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C606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C606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C606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C606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C606E" w:rsidTr="002E5576">
        <w:tc>
          <w:tcPr>
            <w:tcW w:w="4518" w:type="dxa"/>
          </w:tcPr>
          <w:p w:rsidR="00BF25F3" w:rsidRPr="002E2327" w:rsidRDefault="00DB7F1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B7F1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C1BF8"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w:t>
      </w:r>
      <w:r w:rsidR="003359D3">
        <w:rPr>
          <w:lang w:val="fr-CA"/>
        </w:rPr>
        <w:t>1</w:t>
      </w:r>
      <w:r>
        <w:rPr>
          <w:lang w:val="fr-CA"/>
        </w:rPr>
        <w:t>6</w:t>
      </w:r>
      <w:r w:rsidR="00440E24" w:rsidRPr="00675479">
        <w:rPr>
          <w:lang w:val="fr-CA"/>
        </w:rPr>
        <w:t>, 201</w:t>
      </w:r>
      <w:r w:rsidR="003359D3">
        <w:rPr>
          <w:lang w:val="fr-CA"/>
        </w:rPr>
        <w:t>1</w:t>
      </w:r>
      <w:r w:rsidR="00F0068D" w:rsidRPr="00675479">
        <w:rPr>
          <w:lang w:val="fr-CA"/>
        </w:rPr>
        <w:tab/>
      </w:r>
      <w:r>
        <w:rPr>
          <w:lang w:val="fr-CA"/>
        </w:rPr>
        <w:t>1871</w:t>
      </w:r>
      <w:r w:rsidR="00F0068D" w:rsidRPr="00675479">
        <w:rPr>
          <w:lang w:val="fr-CA"/>
        </w:rPr>
        <w:t xml:space="preserve"> - </w:t>
      </w:r>
      <w:r w:rsidR="00B22940">
        <w:rPr>
          <w:lang w:val="fr-CA"/>
        </w:rPr>
        <w:t>1912</w:t>
      </w:r>
      <w:r w:rsidR="00440E24" w:rsidRPr="00675479">
        <w:rPr>
          <w:lang w:val="fr-CA"/>
        </w:rPr>
        <w:tab/>
      </w:r>
      <w:r w:rsidR="00440E24" w:rsidRPr="002E2327">
        <w:rPr>
          <w:lang w:val="fr-CA"/>
        </w:rPr>
        <w:t xml:space="preserve">Le </w:t>
      </w:r>
      <w:r w:rsidR="003359D3">
        <w:rPr>
          <w:lang w:val="fr-CA"/>
        </w:rPr>
        <w:t>1</w:t>
      </w:r>
      <w:r>
        <w:rPr>
          <w:lang w:val="fr-CA"/>
        </w:rPr>
        <w:t>6</w:t>
      </w:r>
      <w:r w:rsidR="00440E24" w:rsidRPr="002E2327">
        <w:rPr>
          <w:lang w:val="fr-CA"/>
        </w:rPr>
        <w:t xml:space="preserve"> </w:t>
      </w:r>
      <w:r>
        <w:rPr>
          <w:lang w:val="fr-CA"/>
        </w:rPr>
        <w:t>décembre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0255DC" w:rsidRPr="002E2327" w:rsidRDefault="000255DC"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0255DC">
            <w:pPr>
              <w:tabs>
                <w:tab w:val="right" w:pos="9360"/>
              </w:tabs>
              <w:rPr>
                <w:rFonts w:cs="Times New Roman"/>
                <w:sz w:val="20"/>
                <w:szCs w:val="20"/>
              </w:rPr>
            </w:pPr>
          </w:p>
        </w:tc>
        <w:tc>
          <w:tcPr>
            <w:tcW w:w="1980" w:type="dxa"/>
          </w:tcPr>
          <w:p w:rsidR="0095096B" w:rsidRPr="002E2327" w:rsidRDefault="00B22940" w:rsidP="0095096B">
            <w:pPr>
              <w:jc w:val="center"/>
              <w:rPr>
                <w:rFonts w:cs="Times New Roman"/>
                <w:sz w:val="20"/>
                <w:szCs w:val="20"/>
              </w:rPr>
            </w:pPr>
            <w:r>
              <w:rPr>
                <w:rFonts w:cs="Times New Roman"/>
                <w:sz w:val="20"/>
                <w:szCs w:val="20"/>
              </w:rPr>
              <w:t xml:space="preserve">1871 </w:t>
            </w:r>
            <w:r w:rsidR="00DB7F13" w:rsidRPr="002E2327">
              <w:rPr>
                <w:rFonts w:cs="Times New Roman"/>
                <w:sz w:val="20"/>
                <w:szCs w:val="20"/>
              </w:rPr>
              <w:fldChar w:fldCharType="begin"/>
            </w:r>
            <w:r w:rsidR="0095096B" w:rsidRPr="002E2327">
              <w:rPr>
                <w:rFonts w:cs="Times New Roman"/>
                <w:sz w:val="20"/>
                <w:szCs w:val="20"/>
              </w:rPr>
              <w:instrText xml:space="preserve"> SEQ CHAPTER \h \r 1</w:instrText>
            </w:r>
            <w:r w:rsidR="00DB7F1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1872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1873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 xml:space="preserve">1874 </w:t>
            </w:r>
            <w:r w:rsidR="0095096B" w:rsidRPr="002E2327">
              <w:rPr>
                <w:rFonts w:cs="Times New Roman"/>
                <w:sz w:val="20"/>
                <w:szCs w:val="20"/>
              </w:rPr>
              <w:t>-</w:t>
            </w:r>
            <w:r>
              <w:rPr>
                <w:rFonts w:cs="Times New Roman"/>
                <w:sz w:val="20"/>
                <w:szCs w:val="20"/>
              </w:rPr>
              <w:t xml:space="preserve"> 1884</w:t>
            </w:r>
          </w:p>
          <w:p w:rsidR="0095096B" w:rsidRPr="002E2327" w:rsidRDefault="0095096B" w:rsidP="0095096B">
            <w:pPr>
              <w:jc w:val="center"/>
              <w:rPr>
                <w:rFonts w:cs="Times New Roman"/>
                <w:sz w:val="20"/>
                <w:szCs w:val="20"/>
              </w:rPr>
            </w:pPr>
          </w:p>
          <w:p w:rsidR="00B22940" w:rsidRDefault="00B22940"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 xml:space="preserve">1885 </w:t>
            </w:r>
            <w:r w:rsidR="0095096B" w:rsidRPr="002E2327">
              <w:rPr>
                <w:rFonts w:cs="Times New Roman"/>
                <w:sz w:val="20"/>
                <w:szCs w:val="20"/>
              </w:rPr>
              <w:t>-</w:t>
            </w:r>
            <w:r>
              <w:rPr>
                <w:rFonts w:cs="Times New Roman"/>
                <w:sz w:val="20"/>
                <w:szCs w:val="20"/>
              </w:rPr>
              <w:t xml:space="preserve"> 1889</w:t>
            </w:r>
          </w:p>
          <w:p w:rsidR="0095096B" w:rsidRPr="002E2327" w:rsidRDefault="0095096B"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1890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 xml:space="preserve">1891 </w:t>
            </w:r>
            <w:r w:rsidR="0095096B" w:rsidRPr="002E2327">
              <w:rPr>
                <w:rFonts w:cs="Times New Roman"/>
                <w:sz w:val="20"/>
                <w:szCs w:val="20"/>
              </w:rPr>
              <w:t>-</w:t>
            </w:r>
            <w:r>
              <w:rPr>
                <w:rFonts w:cs="Times New Roman"/>
                <w:sz w:val="20"/>
                <w:szCs w:val="20"/>
              </w:rPr>
              <w:t xml:space="preserve"> 1896</w:t>
            </w:r>
          </w:p>
          <w:p w:rsidR="0095096B" w:rsidRPr="002E2327" w:rsidRDefault="0095096B" w:rsidP="0095096B">
            <w:pPr>
              <w:jc w:val="center"/>
              <w:rPr>
                <w:rFonts w:cs="Times New Roman"/>
                <w:sz w:val="20"/>
                <w:szCs w:val="20"/>
              </w:rPr>
            </w:pPr>
          </w:p>
          <w:p w:rsidR="00B22940" w:rsidRDefault="00B22940"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 xml:space="preserve">1897 </w:t>
            </w:r>
            <w:r w:rsidR="0095096B" w:rsidRPr="002E2327">
              <w:rPr>
                <w:rFonts w:cs="Times New Roman"/>
                <w:sz w:val="20"/>
                <w:szCs w:val="20"/>
              </w:rPr>
              <w:t>-</w:t>
            </w:r>
            <w:r>
              <w:rPr>
                <w:rFonts w:cs="Times New Roman"/>
                <w:sz w:val="20"/>
                <w:szCs w:val="20"/>
              </w:rPr>
              <w:t xml:space="preserve"> 1898</w:t>
            </w:r>
          </w:p>
          <w:p w:rsidR="0095096B" w:rsidRPr="002E2327" w:rsidRDefault="0095096B" w:rsidP="0095096B">
            <w:pPr>
              <w:jc w:val="center"/>
              <w:rPr>
                <w:rFonts w:cs="Times New Roman"/>
                <w:sz w:val="20"/>
                <w:szCs w:val="20"/>
              </w:rPr>
            </w:pPr>
          </w:p>
          <w:p w:rsidR="00B22940" w:rsidRDefault="00B22940" w:rsidP="0095096B">
            <w:pPr>
              <w:jc w:val="center"/>
              <w:rPr>
                <w:rFonts w:cs="Times New Roman"/>
                <w:sz w:val="20"/>
                <w:szCs w:val="20"/>
              </w:rPr>
            </w:pPr>
          </w:p>
          <w:p w:rsidR="0095096B" w:rsidRPr="002E2327" w:rsidRDefault="00B22940" w:rsidP="0095096B">
            <w:pPr>
              <w:jc w:val="center"/>
              <w:rPr>
                <w:rFonts w:cs="Times New Roman"/>
                <w:sz w:val="20"/>
                <w:szCs w:val="20"/>
              </w:rPr>
            </w:pPr>
            <w:r>
              <w:rPr>
                <w:rFonts w:cs="Times New Roman"/>
                <w:sz w:val="20"/>
                <w:szCs w:val="20"/>
              </w:rPr>
              <w:t xml:space="preserve">1899 </w:t>
            </w:r>
            <w:r w:rsidR="0095096B" w:rsidRPr="002E2327">
              <w:rPr>
                <w:rFonts w:cs="Times New Roman"/>
                <w:sz w:val="20"/>
                <w:szCs w:val="20"/>
              </w:rPr>
              <w:t>-</w:t>
            </w:r>
            <w:r>
              <w:rPr>
                <w:rFonts w:cs="Times New Roman"/>
                <w:sz w:val="20"/>
                <w:szCs w:val="20"/>
              </w:rPr>
              <w:t xml:space="preserve"> 1912</w:t>
            </w:r>
          </w:p>
          <w:p w:rsidR="00A87207" w:rsidRPr="002E2327" w:rsidRDefault="00A87207" w:rsidP="000255DC">
            <w:pPr>
              <w:tabs>
                <w:tab w:val="right" w:pos="9360"/>
              </w:tabs>
              <w:jc w:val="center"/>
              <w:rPr>
                <w:rFonts w:cs="Times New Roman"/>
                <w:sz w:val="20"/>
                <w:szCs w:val="20"/>
              </w:rPr>
            </w:pPr>
          </w:p>
        </w:tc>
        <w:tc>
          <w:tcPr>
            <w:tcW w:w="3888" w:type="dxa"/>
          </w:tcPr>
          <w:p w:rsidR="0095096B" w:rsidRPr="002E2327" w:rsidRDefault="00DB7F1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255DC">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tblPr>
      <w:tblGrid>
        <w:gridCol w:w="9576"/>
      </w:tblGrid>
      <w:tr w:rsidR="0079724F" w:rsidRPr="00AC606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F77819" w:rsidTr="003B3977">
        <w:tc>
          <w:tcPr>
            <w:tcW w:w="4320" w:type="dxa"/>
            <w:shd w:val="clear" w:color="auto" w:fill="auto"/>
          </w:tcPr>
          <w:p w:rsidR="00242AEE" w:rsidRPr="00A935AA" w:rsidRDefault="00CC2C3E" w:rsidP="003B3977">
            <w:pPr>
              <w:rPr>
                <w:b/>
                <w:sz w:val="20"/>
                <w:szCs w:val="20"/>
              </w:rPr>
            </w:pPr>
            <w:proofErr w:type="spellStart"/>
            <w:r w:rsidRPr="00CC2C3E">
              <w:rPr>
                <w:b/>
                <w:sz w:val="20"/>
                <w:szCs w:val="20"/>
              </w:rPr>
              <w:t>Haruyo</w:t>
            </w:r>
            <w:proofErr w:type="spellEnd"/>
            <w:r>
              <w:rPr>
                <w:b/>
                <w:sz w:val="20"/>
                <w:szCs w:val="20"/>
              </w:rPr>
              <w:t xml:space="preserve"> </w:t>
            </w:r>
            <w:proofErr w:type="spellStart"/>
            <w:r>
              <w:rPr>
                <w:b/>
                <w:sz w:val="20"/>
                <w:szCs w:val="20"/>
              </w:rPr>
              <w:t>Taucar</w:t>
            </w:r>
            <w:proofErr w:type="spellEnd"/>
          </w:p>
          <w:p w:rsidR="00242AEE" w:rsidRPr="00A935AA" w:rsidRDefault="00242AEE" w:rsidP="003B3977">
            <w:pPr>
              <w:tabs>
                <w:tab w:val="left" w:pos="-1440"/>
                <w:tab w:val="left" w:pos="-720"/>
              </w:tabs>
              <w:rPr>
                <w:sz w:val="20"/>
                <w:szCs w:val="20"/>
              </w:rPr>
            </w:pPr>
            <w:r w:rsidRPr="00A935AA">
              <w:rPr>
                <w:sz w:val="20"/>
                <w:szCs w:val="20"/>
              </w:rPr>
              <w:tab/>
            </w:r>
            <w:r w:rsidR="001E651D">
              <w:rPr>
                <w:sz w:val="20"/>
                <w:szCs w:val="20"/>
              </w:rPr>
              <w:t xml:space="preserve">Christopher Edward </w:t>
            </w:r>
            <w:proofErr w:type="spellStart"/>
            <w:r w:rsidR="001E651D">
              <w:rPr>
                <w:sz w:val="20"/>
                <w:szCs w:val="20"/>
              </w:rPr>
              <w:t>Taucar</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E0DC2">
              <w:rPr>
                <w:sz w:val="20"/>
                <w:szCs w:val="20"/>
              </w:rPr>
              <w:t>4549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E651D" w:rsidP="003B3977">
            <w:pPr>
              <w:tabs>
                <w:tab w:val="left" w:pos="-1440"/>
                <w:tab w:val="left" w:pos="-720"/>
              </w:tabs>
              <w:rPr>
                <w:b/>
                <w:sz w:val="20"/>
                <w:szCs w:val="20"/>
              </w:rPr>
            </w:pPr>
            <w:r w:rsidRPr="001E651D">
              <w:rPr>
                <w:b/>
                <w:sz w:val="20"/>
                <w:szCs w:val="20"/>
              </w:rPr>
              <w:t>University of Western Ontario</w:t>
            </w:r>
            <w:r>
              <w:rPr>
                <w:b/>
                <w:sz w:val="20"/>
                <w:szCs w:val="20"/>
              </w:rPr>
              <w:t xml:space="preserve"> et al.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1E651D">
              <w:rPr>
                <w:sz w:val="20"/>
                <w:szCs w:val="20"/>
              </w:rPr>
              <w:t>Christopher</w:t>
            </w:r>
            <w:r w:rsidR="00BE0DC2">
              <w:rPr>
                <w:sz w:val="20"/>
                <w:szCs w:val="20"/>
              </w:rPr>
              <w:t xml:space="preserve"> G. Riggs</w:t>
            </w:r>
          </w:p>
          <w:p w:rsidR="00242AEE" w:rsidRPr="00A935AA" w:rsidRDefault="00242AEE" w:rsidP="00BE0DC2">
            <w:pPr>
              <w:tabs>
                <w:tab w:val="left" w:pos="-1440"/>
                <w:tab w:val="left" w:pos="-720"/>
              </w:tabs>
              <w:ind w:left="720" w:hanging="720"/>
              <w:rPr>
                <w:sz w:val="20"/>
                <w:szCs w:val="20"/>
              </w:rPr>
            </w:pPr>
            <w:r w:rsidRPr="00A935AA">
              <w:rPr>
                <w:sz w:val="20"/>
                <w:szCs w:val="20"/>
              </w:rPr>
              <w:tab/>
            </w:r>
            <w:r w:rsidR="001E651D" w:rsidRPr="001E651D">
              <w:rPr>
                <w:sz w:val="20"/>
                <w:szCs w:val="20"/>
              </w:rPr>
              <w:t xml:space="preserve">Hicks Morley Hamilton Stewart </w:t>
            </w:r>
            <w:proofErr w:type="spellStart"/>
            <w:r w:rsidR="001E651D" w:rsidRPr="001E651D">
              <w:rPr>
                <w:sz w:val="20"/>
                <w:szCs w:val="20"/>
              </w:rPr>
              <w:t>Storie</w:t>
            </w:r>
            <w:proofErr w:type="spellEnd"/>
            <w:r w:rsidR="001E651D" w:rsidRPr="001E651D">
              <w:rPr>
                <w:sz w:val="20"/>
                <w:szCs w:val="20"/>
              </w:rPr>
              <w:t xml:space="preserve"> LLP</w:t>
            </w:r>
          </w:p>
          <w:p w:rsidR="00242AEE" w:rsidRPr="00A935AA" w:rsidRDefault="00242AEE" w:rsidP="003B3977">
            <w:pPr>
              <w:tabs>
                <w:tab w:val="left" w:pos="-1440"/>
                <w:tab w:val="left" w:pos="-720"/>
              </w:tabs>
              <w:rPr>
                <w:sz w:val="20"/>
                <w:szCs w:val="20"/>
              </w:rPr>
            </w:pPr>
          </w:p>
          <w:p w:rsidR="00242AEE" w:rsidRPr="00BE0DC2" w:rsidRDefault="00242AEE" w:rsidP="003B3977">
            <w:pPr>
              <w:rPr>
                <w:sz w:val="20"/>
                <w:szCs w:val="20"/>
              </w:rPr>
            </w:pPr>
            <w:r w:rsidRPr="00BE0DC2">
              <w:rPr>
                <w:sz w:val="20"/>
                <w:szCs w:val="20"/>
              </w:rPr>
              <w:t xml:space="preserve">FILING DATE: </w:t>
            </w:r>
            <w:r w:rsidR="00BE0DC2" w:rsidRPr="00BE0DC2">
              <w:rPr>
                <w:sz w:val="20"/>
                <w:szCs w:val="20"/>
              </w:rPr>
              <w:t>30</w:t>
            </w:r>
            <w:r w:rsidRPr="00BE0DC2">
              <w:rPr>
                <w:sz w:val="20"/>
                <w:szCs w:val="20"/>
              </w:rPr>
              <w:t>.</w:t>
            </w:r>
            <w:r w:rsidR="00BE0DC2" w:rsidRPr="00BE0DC2">
              <w:rPr>
                <w:sz w:val="20"/>
                <w:szCs w:val="20"/>
              </w:rPr>
              <w:t>11</w:t>
            </w:r>
            <w:r w:rsidRPr="00BE0DC2">
              <w:rPr>
                <w:sz w:val="20"/>
                <w:szCs w:val="20"/>
              </w:rPr>
              <w:t>.201</w:t>
            </w:r>
            <w:r w:rsidR="00BE0DC2" w:rsidRPr="00BE0DC2">
              <w:rPr>
                <w:sz w:val="20"/>
                <w:szCs w:val="20"/>
              </w:rPr>
              <w:t>1</w:t>
            </w:r>
          </w:p>
          <w:p w:rsidR="00242AEE" w:rsidRPr="00A935AA" w:rsidRDefault="00DB7F13" w:rsidP="003B3977">
            <w:pPr>
              <w:rPr>
                <w:sz w:val="20"/>
                <w:szCs w:val="20"/>
              </w:rPr>
            </w:pPr>
            <w:r w:rsidRPr="00DB7F1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E0DC2" w:rsidP="003B3977">
            <w:pPr>
              <w:keepNext/>
              <w:keepLines/>
              <w:tabs>
                <w:tab w:val="left" w:pos="-1440"/>
                <w:tab w:val="left" w:pos="-720"/>
              </w:tabs>
              <w:rPr>
                <w:b/>
                <w:sz w:val="20"/>
                <w:szCs w:val="20"/>
              </w:rPr>
            </w:pPr>
            <w:proofErr w:type="spellStart"/>
            <w:r>
              <w:rPr>
                <w:b/>
                <w:sz w:val="20"/>
                <w:szCs w:val="20"/>
              </w:rPr>
              <w:t>Jessy</w:t>
            </w:r>
            <w:proofErr w:type="spellEnd"/>
            <w:r>
              <w:rPr>
                <w:b/>
                <w:sz w:val="20"/>
                <w:szCs w:val="20"/>
              </w:rPr>
              <w:t xml:space="preserve"> </w:t>
            </w:r>
            <w:proofErr w:type="spellStart"/>
            <w:r w:rsidRPr="00BE0DC2">
              <w:rPr>
                <w:b/>
                <w:sz w:val="20"/>
                <w:szCs w:val="20"/>
              </w:rPr>
              <w:t>Domond</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proofErr w:type="spellStart"/>
            <w:r w:rsidR="00F658D9" w:rsidRPr="00F658D9">
              <w:rPr>
                <w:sz w:val="20"/>
                <w:szCs w:val="20"/>
              </w:rPr>
              <w:t>Jessy</w:t>
            </w:r>
            <w:proofErr w:type="spellEnd"/>
            <w:r w:rsidR="00F658D9" w:rsidRPr="00F658D9">
              <w:rPr>
                <w:sz w:val="20"/>
                <w:szCs w:val="20"/>
              </w:rPr>
              <w:t xml:space="preserve"> </w:t>
            </w:r>
            <w:proofErr w:type="spellStart"/>
            <w:r w:rsidR="00F658D9" w:rsidRPr="00F658D9">
              <w:rPr>
                <w:sz w:val="20"/>
                <w:szCs w:val="20"/>
              </w:rPr>
              <w:t>Domond</w:t>
            </w:r>
            <w:proofErr w:type="spellEnd"/>
          </w:p>
          <w:p w:rsidR="00242AEE" w:rsidRPr="00A935AA" w:rsidRDefault="00242AEE" w:rsidP="003B3977">
            <w:pPr>
              <w:keepNext/>
              <w:keepLines/>
              <w:tabs>
                <w:tab w:val="left" w:pos="-1440"/>
                <w:tab w:val="left" w:pos="-720"/>
              </w:tabs>
              <w:rPr>
                <w:sz w:val="20"/>
                <w:szCs w:val="20"/>
              </w:rPr>
            </w:pPr>
          </w:p>
          <w:p w:rsidR="00242AEE" w:rsidRPr="00235F2E" w:rsidRDefault="00242AEE" w:rsidP="003B3977">
            <w:pPr>
              <w:keepNext/>
              <w:keepLines/>
              <w:tabs>
                <w:tab w:val="left" w:pos="-1440"/>
                <w:tab w:val="left" w:pos="-720"/>
              </w:tabs>
              <w:rPr>
                <w:sz w:val="20"/>
                <w:szCs w:val="20"/>
                <w:lang w:val="en-US"/>
              </w:rPr>
            </w:pPr>
            <w:r w:rsidRPr="00A935AA">
              <w:rPr>
                <w:sz w:val="20"/>
                <w:szCs w:val="20"/>
              </w:rPr>
              <w:tab/>
            </w:r>
            <w:r w:rsidR="002A2CC3" w:rsidRPr="00235F2E">
              <w:rPr>
                <w:sz w:val="20"/>
                <w:szCs w:val="20"/>
                <w:lang w:val="en-US"/>
              </w:rPr>
              <w:t>c</w:t>
            </w:r>
            <w:r w:rsidRPr="00235F2E">
              <w:rPr>
                <w:sz w:val="20"/>
                <w:szCs w:val="20"/>
                <w:lang w:val="en-US"/>
              </w:rPr>
              <w:t>. (3</w:t>
            </w:r>
            <w:r w:rsidR="00F658D9" w:rsidRPr="00235F2E">
              <w:rPr>
                <w:sz w:val="20"/>
                <w:szCs w:val="20"/>
                <w:lang w:val="en-US"/>
              </w:rPr>
              <w:t>4547</w:t>
            </w:r>
            <w:r w:rsidRPr="00235F2E">
              <w:rPr>
                <w:sz w:val="20"/>
                <w:szCs w:val="20"/>
                <w:lang w:val="en-US"/>
              </w:rPr>
              <w:t>)</w:t>
            </w:r>
          </w:p>
          <w:p w:rsidR="00242AEE" w:rsidRPr="00235F2E" w:rsidRDefault="00242AEE" w:rsidP="003B3977">
            <w:pPr>
              <w:keepNext/>
              <w:keepLines/>
              <w:tabs>
                <w:tab w:val="left" w:pos="-1440"/>
                <w:tab w:val="left" w:pos="-720"/>
              </w:tabs>
              <w:rPr>
                <w:sz w:val="20"/>
                <w:szCs w:val="20"/>
                <w:lang w:val="en-US"/>
              </w:rPr>
            </w:pPr>
          </w:p>
          <w:p w:rsidR="00242AEE" w:rsidRPr="00A935AA" w:rsidRDefault="00F658D9" w:rsidP="003B3977">
            <w:pPr>
              <w:keepNext/>
              <w:keepLines/>
              <w:tabs>
                <w:tab w:val="left" w:pos="-1440"/>
                <w:tab w:val="left" w:pos="-720"/>
              </w:tabs>
              <w:rPr>
                <w:b/>
                <w:sz w:val="20"/>
                <w:szCs w:val="20"/>
                <w:lang w:val="fr-CA"/>
              </w:rPr>
            </w:pPr>
            <w:r w:rsidRPr="00F658D9">
              <w:rPr>
                <w:b/>
                <w:sz w:val="20"/>
                <w:szCs w:val="20"/>
                <w:lang w:val="fr-CA"/>
              </w:rPr>
              <w:t xml:space="preserve">Fonds d'assurance responsabilité professionnelle du Barreau du Québec </w:t>
            </w:r>
            <w:r w:rsidR="00242AEE" w:rsidRPr="00A935AA">
              <w:rPr>
                <w:b/>
                <w:sz w:val="20"/>
                <w:szCs w:val="20"/>
                <w:lang w:val="fr-CA"/>
              </w:rPr>
              <w:t>(</w:t>
            </w:r>
            <w:proofErr w:type="spellStart"/>
            <w:r>
              <w:rPr>
                <w:b/>
                <w:sz w:val="20"/>
                <w:szCs w:val="20"/>
                <w:lang w:val="fr-CA"/>
              </w:rPr>
              <w:t>Qc</w:t>
            </w:r>
            <w:proofErr w:type="spellEnd"/>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F658D9">
              <w:rPr>
                <w:sz w:val="20"/>
                <w:szCs w:val="20"/>
                <w:lang w:val="fr-CA"/>
              </w:rPr>
              <w:t xml:space="preserve">Anne-Marie </w:t>
            </w:r>
            <w:proofErr w:type="spellStart"/>
            <w:r w:rsidR="00F658D9">
              <w:rPr>
                <w:sz w:val="20"/>
                <w:szCs w:val="20"/>
                <w:lang w:val="fr-CA"/>
              </w:rPr>
              <w:t>Desgens</w:t>
            </w:r>
            <w:proofErr w:type="spellEnd"/>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F658D9">
              <w:rPr>
                <w:sz w:val="20"/>
                <w:szCs w:val="20"/>
                <w:lang w:val="fr-CA"/>
              </w:rPr>
              <w:t>Barreau d</w:t>
            </w:r>
            <w:r w:rsidR="00C360D0">
              <w:rPr>
                <w:sz w:val="20"/>
                <w:szCs w:val="20"/>
                <w:lang w:val="fr-CA"/>
              </w:rPr>
              <w:t>u</w:t>
            </w:r>
            <w:r w:rsidR="00F658D9">
              <w:rPr>
                <w:sz w:val="20"/>
                <w:szCs w:val="20"/>
                <w:lang w:val="fr-CA"/>
              </w:rPr>
              <w:t xml:space="preserve"> Québec</w:t>
            </w:r>
          </w:p>
          <w:p w:rsidR="00242AEE" w:rsidRPr="00A935AA" w:rsidRDefault="00242AEE" w:rsidP="003B3977">
            <w:pPr>
              <w:keepNext/>
              <w:keepLines/>
              <w:tabs>
                <w:tab w:val="left" w:pos="-1440"/>
                <w:tab w:val="left" w:pos="-720"/>
              </w:tabs>
              <w:rPr>
                <w:sz w:val="20"/>
                <w:szCs w:val="20"/>
                <w:lang w:val="fr-CA"/>
              </w:rPr>
            </w:pPr>
          </w:p>
          <w:p w:rsidR="00242AEE" w:rsidRPr="00F77819" w:rsidRDefault="00F77819" w:rsidP="00F77819">
            <w:pPr>
              <w:rPr>
                <w:sz w:val="20"/>
                <w:szCs w:val="20"/>
                <w:lang w:val="fr-CA"/>
              </w:rPr>
            </w:pPr>
            <w:r w:rsidRPr="00F77819">
              <w:rPr>
                <w:sz w:val="20"/>
                <w:szCs w:val="20"/>
                <w:lang w:val="fr-CA"/>
              </w:rPr>
              <w:t>DATE DE PRODUCTION</w:t>
            </w:r>
            <w:r>
              <w:rPr>
                <w:sz w:val="20"/>
                <w:szCs w:val="20"/>
                <w:lang w:val="fr-CA"/>
              </w:rPr>
              <w:t xml:space="preserve"> </w:t>
            </w:r>
            <w:r w:rsidR="00242AEE" w:rsidRPr="00F77819">
              <w:rPr>
                <w:sz w:val="20"/>
                <w:szCs w:val="20"/>
                <w:lang w:val="fr-CA"/>
              </w:rPr>
              <w:t>: 2</w:t>
            </w:r>
            <w:r>
              <w:rPr>
                <w:sz w:val="20"/>
                <w:szCs w:val="20"/>
                <w:lang w:val="fr-CA"/>
              </w:rPr>
              <w:t>4</w:t>
            </w:r>
            <w:r w:rsidR="00242AEE" w:rsidRPr="00F77819">
              <w:rPr>
                <w:sz w:val="20"/>
                <w:szCs w:val="20"/>
                <w:lang w:val="fr-CA"/>
              </w:rPr>
              <w:t>.</w:t>
            </w:r>
            <w:r>
              <w:rPr>
                <w:sz w:val="20"/>
                <w:szCs w:val="20"/>
                <w:lang w:val="fr-CA"/>
              </w:rPr>
              <w:t>11</w:t>
            </w:r>
            <w:r w:rsidR="00242AEE" w:rsidRPr="00F77819">
              <w:rPr>
                <w:sz w:val="20"/>
                <w:szCs w:val="20"/>
                <w:lang w:val="fr-CA"/>
              </w:rPr>
              <w:t>.201</w:t>
            </w:r>
            <w:r>
              <w:rPr>
                <w:sz w:val="20"/>
                <w:szCs w:val="20"/>
                <w:lang w:val="fr-CA"/>
              </w:rPr>
              <w:t>1</w:t>
            </w:r>
            <w:r w:rsidR="00DB7F13" w:rsidRPr="00DB7F13">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242AEE" w:rsidRPr="00A935AA" w:rsidRDefault="003101A6" w:rsidP="003B3977">
            <w:pPr>
              <w:rPr>
                <w:b/>
                <w:sz w:val="20"/>
                <w:szCs w:val="20"/>
              </w:rPr>
            </w:pPr>
            <w:r w:rsidRPr="003101A6">
              <w:rPr>
                <w:b/>
                <w:sz w:val="20"/>
                <w:szCs w:val="20"/>
              </w:rPr>
              <w:t>Canadian National Railway</w:t>
            </w:r>
          </w:p>
          <w:p w:rsidR="00242AEE" w:rsidRPr="00A935AA" w:rsidRDefault="00242AEE" w:rsidP="003B3977">
            <w:pPr>
              <w:tabs>
                <w:tab w:val="left" w:pos="-1440"/>
                <w:tab w:val="left" w:pos="-720"/>
              </w:tabs>
              <w:rPr>
                <w:sz w:val="20"/>
                <w:szCs w:val="20"/>
              </w:rPr>
            </w:pPr>
            <w:r w:rsidRPr="00A935AA">
              <w:rPr>
                <w:sz w:val="20"/>
                <w:szCs w:val="20"/>
              </w:rPr>
              <w:tab/>
            </w:r>
            <w:r w:rsidR="003101A6">
              <w:rPr>
                <w:sz w:val="20"/>
                <w:szCs w:val="20"/>
              </w:rPr>
              <w:t xml:space="preserve">Douglas C. </w:t>
            </w:r>
            <w:proofErr w:type="spellStart"/>
            <w:r w:rsidR="003101A6">
              <w:rPr>
                <w:sz w:val="20"/>
                <w:szCs w:val="20"/>
              </w:rPr>
              <w:t>Hodson</w:t>
            </w:r>
            <w:proofErr w:type="spellEnd"/>
          </w:p>
          <w:p w:rsidR="00242AEE" w:rsidRPr="00235F2E" w:rsidRDefault="00242AEE" w:rsidP="003B3977">
            <w:pPr>
              <w:tabs>
                <w:tab w:val="left" w:pos="-1440"/>
                <w:tab w:val="left" w:pos="-720"/>
              </w:tabs>
              <w:rPr>
                <w:sz w:val="20"/>
                <w:szCs w:val="20"/>
                <w:lang w:val="fr-CA"/>
              </w:rPr>
            </w:pPr>
            <w:r w:rsidRPr="00A935AA">
              <w:rPr>
                <w:sz w:val="20"/>
                <w:szCs w:val="20"/>
              </w:rPr>
              <w:tab/>
            </w:r>
            <w:proofErr w:type="spellStart"/>
            <w:r w:rsidR="003101A6" w:rsidRPr="00235F2E">
              <w:rPr>
                <w:sz w:val="20"/>
                <w:szCs w:val="20"/>
                <w:lang w:val="fr-CA"/>
              </w:rPr>
              <w:t>MacPherson</w:t>
            </w:r>
            <w:proofErr w:type="spellEnd"/>
            <w:r w:rsidR="003101A6" w:rsidRPr="00235F2E">
              <w:rPr>
                <w:sz w:val="20"/>
                <w:szCs w:val="20"/>
                <w:lang w:val="fr-CA"/>
              </w:rPr>
              <w:t xml:space="preserve"> Leslie &amp; </w:t>
            </w:r>
            <w:proofErr w:type="spellStart"/>
            <w:r w:rsidR="003101A6" w:rsidRPr="00235F2E">
              <w:rPr>
                <w:sz w:val="20"/>
                <w:szCs w:val="20"/>
                <w:lang w:val="fr-CA"/>
              </w:rPr>
              <w:t>Tyerman</w:t>
            </w:r>
            <w:proofErr w:type="spellEnd"/>
            <w:r w:rsidR="003101A6" w:rsidRPr="00235F2E">
              <w:rPr>
                <w:sz w:val="20"/>
                <w:szCs w:val="20"/>
                <w:lang w:val="fr-CA"/>
              </w:rPr>
              <w:t xml:space="preserve"> LLP</w:t>
            </w:r>
          </w:p>
          <w:p w:rsidR="00242AEE" w:rsidRPr="00235F2E" w:rsidRDefault="00242AEE" w:rsidP="003B3977">
            <w:pPr>
              <w:tabs>
                <w:tab w:val="left" w:pos="-1440"/>
                <w:tab w:val="left" w:pos="-720"/>
              </w:tabs>
              <w:rPr>
                <w:sz w:val="20"/>
                <w:szCs w:val="20"/>
                <w:lang w:val="fr-CA"/>
              </w:rPr>
            </w:pPr>
          </w:p>
          <w:p w:rsidR="00242AEE" w:rsidRPr="00235F2E" w:rsidRDefault="00242AEE" w:rsidP="003B3977">
            <w:pPr>
              <w:tabs>
                <w:tab w:val="left" w:pos="-1440"/>
                <w:tab w:val="left" w:pos="-720"/>
              </w:tabs>
              <w:rPr>
                <w:sz w:val="20"/>
                <w:szCs w:val="20"/>
                <w:lang w:val="fr-CA"/>
              </w:rPr>
            </w:pPr>
            <w:r w:rsidRPr="00235F2E">
              <w:rPr>
                <w:sz w:val="20"/>
                <w:szCs w:val="20"/>
                <w:lang w:val="fr-CA"/>
              </w:rPr>
              <w:tab/>
              <w:t>v. (3</w:t>
            </w:r>
            <w:r w:rsidR="003101A6" w:rsidRPr="00235F2E">
              <w:rPr>
                <w:sz w:val="20"/>
                <w:szCs w:val="20"/>
                <w:lang w:val="fr-CA"/>
              </w:rPr>
              <w:t>4545</w:t>
            </w:r>
            <w:r w:rsidRPr="00235F2E">
              <w:rPr>
                <w:sz w:val="20"/>
                <w:szCs w:val="20"/>
                <w:lang w:val="fr-CA"/>
              </w:rPr>
              <w:t>)</w:t>
            </w:r>
          </w:p>
          <w:p w:rsidR="00242AEE" w:rsidRPr="00235F2E" w:rsidRDefault="00242AEE" w:rsidP="003B3977">
            <w:pPr>
              <w:tabs>
                <w:tab w:val="left" w:pos="-1440"/>
                <w:tab w:val="left" w:pos="-720"/>
              </w:tabs>
              <w:rPr>
                <w:sz w:val="20"/>
                <w:szCs w:val="20"/>
                <w:lang w:val="fr-CA"/>
              </w:rPr>
            </w:pPr>
          </w:p>
          <w:p w:rsidR="00242AEE" w:rsidRPr="00FF4B6E" w:rsidRDefault="003101A6" w:rsidP="003B3977">
            <w:pPr>
              <w:tabs>
                <w:tab w:val="left" w:pos="-1440"/>
                <w:tab w:val="left" w:pos="-720"/>
              </w:tabs>
              <w:rPr>
                <w:b/>
                <w:sz w:val="20"/>
                <w:szCs w:val="20"/>
              </w:rPr>
            </w:pPr>
            <w:proofErr w:type="spellStart"/>
            <w:r w:rsidRPr="00A0680F">
              <w:rPr>
                <w:b/>
                <w:sz w:val="20"/>
                <w:szCs w:val="20"/>
                <w:lang w:val="fr-CA"/>
              </w:rPr>
              <w:t>McKercher</w:t>
            </w:r>
            <w:proofErr w:type="spellEnd"/>
            <w:r w:rsidRPr="00A0680F">
              <w:rPr>
                <w:b/>
                <w:sz w:val="20"/>
                <w:szCs w:val="20"/>
                <w:lang w:val="fr-CA"/>
              </w:rPr>
              <w:t xml:space="preserve"> LLP</w:t>
            </w:r>
            <w:r w:rsidR="00242AEE" w:rsidRPr="00A0680F">
              <w:rPr>
                <w:b/>
                <w:sz w:val="20"/>
                <w:szCs w:val="20"/>
                <w:lang w:val="fr-CA"/>
              </w:rPr>
              <w:t xml:space="preserve"> </w:t>
            </w:r>
            <w:r w:rsidR="00A0680F" w:rsidRPr="00A0680F">
              <w:rPr>
                <w:b/>
                <w:sz w:val="20"/>
                <w:szCs w:val="20"/>
                <w:lang w:val="fr-CA"/>
              </w:rPr>
              <w:t>et al.</w:t>
            </w:r>
            <w:r w:rsidR="00A0680F">
              <w:rPr>
                <w:b/>
                <w:sz w:val="20"/>
                <w:szCs w:val="20"/>
                <w:lang w:val="fr-CA"/>
              </w:rPr>
              <w:t xml:space="preserve"> </w:t>
            </w:r>
            <w:r w:rsidR="00242AEE" w:rsidRPr="00FF4B6E">
              <w:rPr>
                <w:b/>
                <w:sz w:val="20"/>
                <w:szCs w:val="20"/>
              </w:rPr>
              <w:t>(S</w:t>
            </w:r>
            <w:r w:rsidRPr="00FF4B6E">
              <w:rPr>
                <w:b/>
                <w:sz w:val="20"/>
                <w:szCs w:val="20"/>
              </w:rPr>
              <w:t>ask</w:t>
            </w:r>
            <w:r w:rsidR="00242AEE" w:rsidRPr="00FF4B6E">
              <w:rPr>
                <w:b/>
                <w:sz w:val="20"/>
                <w:szCs w:val="20"/>
              </w:rPr>
              <w:t>.)</w:t>
            </w:r>
          </w:p>
          <w:p w:rsidR="00242AEE" w:rsidRPr="00A935AA" w:rsidRDefault="00242AEE" w:rsidP="003B3977">
            <w:pPr>
              <w:tabs>
                <w:tab w:val="left" w:pos="-1440"/>
                <w:tab w:val="left" w:pos="-720"/>
              </w:tabs>
              <w:rPr>
                <w:sz w:val="20"/>
                <w:szCs w:val="20"/>
              </w:rPr>
            </w:pPr>
            <w:r w:rsidRPr="00FF4B6E">
              <w:rPr>
                <w:sz w:val="20"/>
                <w:szCs w:val="20"/>
              </w:rPr>
              <w:tab/>
            </w:r>
            <w:r w:rsidR="003101A6">
              <w:rPr>
                <w:sz w:val="20"/>
                <w:szCs w:val="20"/>
              </w:rPr>
              <w:t xml:space="preserve">Gavin </w:t>
            </w:r>
            <w:proofErr w:type="spellStart"/>
            <w:r w:rsidR="003101A6">
              <w:rPr>
                <w:sz w:val="20"/>
                <w:szCs w:val="20"/>
              </w:rPr>
              <w:t>MacKenzie</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3101A6">
              <w:rPr>
                <w:sz w:val="20"/>
                <w:szCs w:val="20"/>
              </w:rPr>
              <w:t>Heenan</w:t>
            </w:r>
            <w:proofErr w:type="spellEnd"/>
            <w:r w:rsidR="003101A6">
              <w:rPr>
                <w:sz w:val="20"/>
                <w:szCs w:val="20"/>
              </w:rPr>
              <w:t xml:space="preserve"> </w:t>
            </w:r>
            <w:proofErr w:type="spellStart"/>
            <w:r w:rsidR="003101A6">
              <w:rPr>
                <w:sz w:val="20"/>
                <w:szCs w:val="20"/>
              </w:rPr>
              <w:t>Blaikie</w:t>
            </w:r>
            <w:proofErr w:type="spellEnd"/>
            <w:r w:rsidR="003101A6">
              <w:rPr>
                <w:sz w:val="20"/>
                <w:szCs w:val="20"/>
              </w:rPr>
              <w:t xml:space="preserve">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EA0408">
              <w:rPr>
                <w:sz w:val="20"/>
                <w:szCs w:val="20"/>
              </w:rPr>
              <w:t>8</w:t>
            </w:r>
            <w:r w:rsidRPr="00A935AA">
              <w:rPr>
                <w:sz w:val="20"/>
                <w:szCs w:val="20"/>
              </w:rPr>
              <w:t>.</w:t>
            </w:r>
            <w:r w:rsidR="00EA0408">
              <w:rPr>
                <w:sz w:val="20"/>
                <w:szCs w:val="20"/>
              </w:rPr>
              <w:t>11</w:t>
            </w:r>
            <w:r w:rsidRPr="00A935AA">
              <w:rPr>
                <w:sz w:val="20"/>
                <w:szCs w:val="20"/>
              </w:rPr>
              <w:t>.201</w:t>
            </w:r>
            <w:r w:rsidR="00EA0408">
              <w:rPr>
                <w:sz w:val="20"/>
                <w:szCs w:val="20"/>
              </w:rPr>
              <w:t>1</w:t>
            </w:r>
          </w:p>
          <w:p w:rsidR="00242AEE" w:rsidRPr="00A935AA" w:rsidRDefault="00DB7F13" w:rsidP="003B3977">
            <w:pPr>
              <w:rPr>
                <w:sz w:val="20"/>
                <w:szCs w:val="20"/>
              </w:rPr>
            </w:pPr>
            <w:r w:rsidRPr="00DB7F1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BB0C26" w:rsidRDefault="00EA0408" w:rsidP="003B3977">
            <w:pPr>
              <w:keepNext/>
              <w:keepLines/>
              <w:tabs>
                <w:tab w:val="left" w:pos="-1440"/>
                <w:tab w:val="left" w:pos="-720"/>
              </w:tabs>
              <w:rPr>
                <w:b/>
                <w:sz w:val="20"/>
                <w:szCs w:val="20"/>
                <w:lang w:val="en-US"/>
              </w:rPr>
            </w:pPr>
            <w:r w:rsidRPr="00BB0C26">
              <w:rPr>
                <w:b/>
                <w:sz w:val="20"/>
                <w:szCs w:val="20"/>
                <w:lang w:val="en-US"/>
              </w:rPr>
              <w:t xml:space="preserve">Terry </w:t>
            </w:r>
            <w:proofErr w:type="spellStart"/>
            <w:r w:rsidRPr="00BB0C26">
              <w:rPr>
                <w:b/>
                <w:sz w:val="20"/>
                <w:szCs w:val="20"/>
                <w:lang w:val="en-US"/>
              </w:rPr>
              <w:t>Tremaine</w:t>
            </w:r>
            <w:proofErr w:type="spellEnd"/>
          </w:p>
          <w:p w:rsidR="00242AEE" w:rsidRPr="00BB0C26" w:rsidRDefault="00242AEE" w:rsidP="003B3977">
            <w:pPr>
              <w:keepNext/>
              <w:keepLines/>
              <w:tabs>
                <w:tab w:val="left" w:pos="-1440"/>
                <w:tab w:val="left" w:pos="-720"/>
              </w:tabs>
              <w:rPr>
                <w:sz w:val="20"/>
                <w:szCs w:val="20"/>
                <w:lang w:val="en-US"/>
              </w:rPr>
            </w:pPr>
            <w:r w:rsidRPr="00BB0C26">
              <w:rPr>
                <w:sz w:val="20"/>
                <w:szCs w:val="20"/>
                <w:lang w:val="en-US"/>
              </w:rPr>
              <w:tab/>
            </w:r>
            <w:r w:rsidR="00BB0C26" w:rsidRPr="00BB0C26">
              <w:rPr>
                <w:sz w:val="20"/>
                <w:szCs w:val="20"/>
                <w:lang w:val="en-US"/>
              </w:rPr>
              <w:t xml:space="preserve">Douglas H. </w:t>
            </w:r>
            <w:r w:rsidR="00BB0C26">
              <w:rPr>
                <w:sz w:val="20"/>
                <w:szCs w:val="20"/>
                <w:lang w:val="en-US"/>
              </w:rPr>
              <w:t>Christie</w:t>
            </w:r>
          </w:p>
          <w:p w:rsidR="00BB0C26" w:rsidRDefault="00BB0C26" w:rsidP="003B3977">
            <w:pPr>
              <w:keepNext/>
              <w:keepLines/>
              <w:tabs>
                <w:tab w:val="left" w:pos="-1440"/>
                <w:tab w:val="left" w:pos="-720"/>
              </w:tabs>
              <w:rPr>
                <w:sz w:val="20"/>
                <w:szCs w:val="20"/>
                <w:lang w:val="en-US"/>
              </w:rPr>
            </w:pPr>
          </w:p>
          <w:p w:rsidR="00242AEE" w:rsidRPr="00A935AA" w:rsidRDefault="00242AEE" w:rsidP="003B3977">
            <w:pPr>
              <w:keepNext/>
              <w:keepLines/>
              <w:tabs>
                <w:tab w:val="left" w:pos="-1440"/>
                <w:tab w:val="left" w:pos="-720"/>
              </w:tabs>
              <w:rPr>
                <w:sz w:val="20"/>
                <w:szCs w:val="20"/>
              </w:rPr>
            </w:pPr>
            <w:r w:rsidRPr="00A935AA">
              <w:rPr>
                <w:sz w:val="20"/>
                <w:szCs w:val="20"/>
              </w:rPr>
              <w:tab/>
              <w:t>v. (</w:t>
            </w:r>
            <w:r w:rsidR="00EA0408">
              <w:rPr>
                <w:sz w:val="20"/>
                <w:szCs w:val="20"/>
              </w:rPr>
              <w:t>34542</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935AA" w:rsidRDefault="00EA0408" w:rsidP="003B3977">
            <w:pPr>
              <w:keepNext/>
              <w:keepLines/>
              <w:tabs>
                <w:tab w:val="left" w:pos="-1440"/>
                <w:tab w:val="left" w:pos="-720"/>
              </w:tabs>
              <w:rPr>
                <w:b/>
                <w:sz w:val="20"/>
                <w:szCs w:val="20"/>
              </w:rPr>
            </w:pPr>
            <w:r w:rsidRPr="00EA0408">
              <w:rPr>
                <w:b/>
                <w:sz w:val="20"/>
                <w:szCs w:val="20"/>
              </w:rPr>
              <w:t>Canadian Human Rights Commission</w:t>
            </w:r>
            <w:r>
              <w:rPr>
                <w:b/>
                <w:sz w:val="20"/>
                <w:szCs w:val="20"/>
              </w:rPr>
              <w:t xml:space="preserve"> et al. (F</w:t>
            </w:r>
            <w:r w:rsidR="00242AEE" w:rsidRPr="00A935AA">
              <w:rPr>
                <w:b/>
                <w:sz w:val="20"/>
                <w:szCs w:val="20"/>
              </w:rPr>
              <w:t>.</w:t>
            </w:r>
            <w:r>
              <w:rPr>
                <w:b/>
                <w:sz w:val="20"/>
                <w:szCs w:val="20"/>
              </w:rPr>
              <w:t>C.</w:t>
            </w:r>
            <w:r w:rsidR="00242AEE" w:rsidRPr="00A935AA">
              <w:rPr>
                <w:b/>
                <w:sz w:val="20"/>
                <w:szCs w:val="20"/>
              </w:rPr>
              <w:t>)</w:t>
            </w:r>
          </w:p>
          <w:p w:rsidR="00242AEE" w:rsidRPr="00A935AA" w:rsidRDefault="00242AEE" w:rsidP="003B3977">
            <w:pPr>
              <w:keepNext/>
              <w:keepLines/>
              <w:tabs>
                <w:tab w:val="left" w:pos="-1440"/>
                <w:tab w:val="left" w:pos="-720"/>
              </w:tabs>
              <w:rPr>
                <w:sz w:val="20"/>
                <w:szCs w:val="20"/>
              </w:rPr>
            </w:pPr>
            <w:r w:rsidRPr="00A935AA">
              <w:rPr>
                <w:sz w:val="20"/>
                <w:szCs w:val="20"/>
              </w:rPr>
              <w:tab/>
            </w:r>
            <w:r w:rsidR="00BB0C26">
              <w:rPr>
                <w:sz w:val="20"/>
                <w:szCs w:val="20"/>
              </w:rPr>
              <w:t xml:space="preserve">Daniel </w:t>
            </w:r>
            <w:proofErr w:type="spellStart"/>
            <w:r w:rsidR="00BB0C26">
              <w:rPr>
                <w:sz w:val="20"/>
                <w:szCs w:val="20"/>
              </w:rPr>
              <w:t>Poulin</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BB0C26" w:rsidRPr="00BB0C26">
              <w:rPr>
                <w:sz w:val="20"/>
                <w:szCs w:val="20"/>
              </w:rPr>
              <w:t>Canadian Human Rights Commission</w:t>
            </w:r>
          </w:p>
          <w:p w:rsidR="00242AEE" w:rsidRPr="00A935AA" w:rsidRDefault="00242AEE" w:rsidP="003B3977">
            <w:pPr>
              <w:keepNext/>
              <w:keepLines/>
              <w:tabs>
                <w:tab w:val="left" w:pos="-1440"/>
                <w:tab w:val="left" w:pos="-720"/>
              </w:tabs>
              <w:rPr>
                <w:sz w:val="20"/>
                <w:szCs w:val="20"/>
              </w:rPr>
            </w:pPr>
          </w:p>
          <w:p w:rsidR="00242AEE" w:rsidRPr="00A935AA" w:rsidRDefault="00242AEE" w:rsidP="00BB0C26">
            <w:pPr>
              <w:rPr>
                <w:sz w:val="20"/>
                <w:szCs w:val="20"/>
              </w:rPr>
            </w:pPr>
            <w:r w:rsidRPr="00A935AA">
              <w:rPr>
                <w:sz w:val="20"/>
                <w:szCs w:val="20"/>
              </w:rPr>
              <w:t>FILING DATE: 2</w:t>
            </w:r>
            <w:r w:rsidR="00BB0C26">
              <w:rPr>
                <w:sz w:val="20"/>
                <w:szCs w:val="20"/>
              </w:rPr>
              <w:t>3</w:t>
            </w:r>
            <w:r w:rsidRPr="00A935AA">
              <w:rPr>
                <w:sz w:val="20"/>
                <w:szCs w:val="20"/>
              </w:rPr>
              <w:t>.</w:t>
            </w:r>
            <w:r w:rsidR="00BB0C26">
              <w:rPr>
                <w:sz w:val="20"/>
                <w:szCs w:val="20"/>
              </w:rPr>
              <w:t>11</w:t>
            </w:r>
            <w:r w:rsidRPr="00A935AA">
              <w:rPr>
                <w:sz w:val="20"/>
                <w:szCs w:val="20"/>
              </w:rPr>
              <w:t>.201</w:t>
            </w:r>
            <w:r w:rsidR="00BB0C26">
              <w:rPr>
                <w:sz w:val="20"/>
                <w:szCs w:val="20"/>
              </w:rPr>
              <w:t>1</w:t>
            </w:r>
            <w:r w:rsidR="00DB7F13" w:rsidRPr="00DB7F13">
              <w:rPr>
                <w:sz w:val="20"/>
                <w:szCs w:val="20"/>
                <w:lang w:val="fr-CA"/>
              </w:rPr>
              <w:pict>
                <v:rect id="_x0000_i1028" style="width:108pt;height:1pt" o:hrpct="0" o:hralign="center" o:hrstd="t" o:hrnoshade="t" o:hr="t" fillcolor="black [3213]" stroked="f"/>
              </w:pict>
            </w:r>
          </w:p>
        </w:tc>
      </w:tr>
      <w:tr w:rsidR="00242AEE" w:rsidRPr="00A935AA" w:rsidTr="003B3977">
        <w:tc>
          <w:tcPr>
            <w:tcW w:w="4320" w:type="dxa"/>
            <w:shd w:val="clear" w:color="auto" w:fill="auto"/>
          </w:tcPr>
          <w:p w:rsidR="00242AEE" w:rsidRPr="00A935AA" w:rsidRDefault="00404A5B" w:rsidP="003B3977">
            <w:pPr>
              <w:rPr>
                <w:b/>
                <w:sz w:val="20"/>
                <w:szCs w:val="20"/>
              </w:rPr>
            </w:pPr>
            <w:r w:rsidRPr="00404A5B">
              <w:rPr>
                <w:b/>
                <w:sz w:val="20"/>
                <w:szCs w:val="20"/>
              </w:rPr>
              <w:t>Hans J.</w:t>
            </w:r>
            <w:r>
              <w:rPr>
                <w:b/>
                <w:sz w:val="20"/>
                <w:szCs w:val="20"/>
              </w:rPr>
              <w:t xml:space="preserve"> Hahn</w:t>
            </w:r>
          </w:p>
          <w:p w:rsidR="00404A5B" w:rsidRPr="00404A5B" w:rsidRDefault="00242AEE" w:rsidP="00404A5B">
            <w:pPr>
              <w:rPr>
                <w:sz w:val="20"/>
                <w:szCs w:val="20"/>
              </w:rPr>
            </w:pPr>
            <w:r w:rsidRPr="00A935AA">
              <w:rPr>
                <w:sz w:val="20"/>
                <w:szCs w:val="20"/>
              </w:rPr>
              <w:tab/>
            </w:r>
            <w:r w:rsidR="00404A5B" w:rsidRPr="00404A5B">
              <w:rPr>
                <w:sz w:val="20"/>
                <w:szCs w:val="20"/>
              </w:rPr>
              <w:t>Hans J. Hahn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404A5B">
              <w:rPr>
                <w:sz w:val="20"/>
                <w:szCs w:val="20"/>
              </w:rPr>
              <w:t>4552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404A5B" w:rsidP="003B3977">
            <w:pPr>
              <w:tabs>
                <w:tab w:val="left" w:pos="-1440"/>
                <w:tab w:val="left" w:pos="-720"/>
              </w:tabs>
              <w:rPr>
                <w:b/>
                <w:sz w:val="20"/>
                <w:szCs w:val="20"/>
              </w:rPr>
            </w:pPr>
            <w:r w:rsidRPr="00A935AA">
              <w:rPr>
                <w:b/>
                <w:sz w:val="20"/>
                <w:szCs w:val="20"/>
              </w:rPr>
              <w:t>Her Majesty the Queen</w:t>
            </w:r>
            <w:r>
              <w:rPr>
                <w:b/>
                <w:sz w:val="20"/>
                <w:szCs w:val="20"/>
              </w:rPr>
              <w:t xml:space="preserve"> et al.</w:t>
            </w:r>
            <w:r w:rsidR="00242AEE" w:rsidRPr="00A935AA">
              <w:rPr>
                <w:b/>
                <w:sz w:val="20"/>
                <w:szCs w:val="20"/>
              </w:rPr>
              <w:t xml:space="preserve"> (F.C.)</w:t>
            </w:r>
          </w:p>
          <w:p w:rsidR="00404A5B" w:rsidRPr="00A935AA" w:rsidRDefault="00404A5B" w:rsidP="00404A5B">
            <w:pPr>
              <w:tabs>
                <w:tab w:val="left" w:pos="-1440"/>
                <w:tab w:val="left" w:pos="-720"/>
              </w:tabs>
              <w:rPr>
                <w:sz w:val="20"/>
                <w:szCs w:val="20"/>
              </w:rPr>
            </w:pPr>
            <w:r w:rsidRPr="00A935AA">
              <w:rPr>
                <w:sz w:val="20"/>
                <w:szCs w:val="20"/>
              </w:rPr>
              <w:tab/>
            </w:r>
            <w:r>
              <w:rPr>
                <w:sz w:val="20"/>
                <w:szCs w:val="20"/>
              </w:rPr>
              <w:t xml:space="preserve">Gregory F. </w:t>
            </w:r>
            <w:proofErr w:type="spellStart"/>
            <w:r>
              <w:rPr>
                <w:sz w:val="20"/>
                <w:szCs w:val="20"/>
              </w:rPr>
              <w:t>Perlinski</w:t>
            </w:r>
            <w:proofErr w:type="spellEnd"/>
          </w:p>
          <w:p w:rsidR="00404A5B" w:rsidRPr="00A935AA" w:rsidRDefault="00404A5B" w:rsidP="00404A5B">
            <w:pPr>
              <w:tabs>
                <w:tab w:val="left" w:pos="-1440"/>
                <w:tab w:val="left" w:pos="-720"/>
              </w:tabs>
              <w:rPr>
                <w:sz w:val="20"/>
                <w:szCs w:val="20"/>
              </w:rPr>
            </w:pPr>
            <w:r w:rsidRPr="00A935AA">
              <w:rPr>
                <w:sz w:val="20"/>
                <w:szCs w:val="20"/>
              </w:rPr>
              <w:tab/>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404A5B">
              <w:rPr>
                <w:sz w:val="20"/>
                <w:szCs w:val="20"/>
              </w:rPr>
              <w:t>0</w:t>
            </w:r>
            <w:r w:rsidRPr="00A935AA">
              <w:rPr>
                <w:sz w:val="20"/>
                <w:szCs w:val="20"/>
              </w:rPr>
              <w:t>2.</w:t>
            </w:r>
            <w:r w:rsidR="00404A5B">
              <w:rPr>
                <w:sz w:val="20"/>
                <w:szCs w:val="20"/>
              </w:rPr>
              <w:t>12</w:t>
            </w:r>
            <w:r w:rsidRPr="00A935AA">
              <w:rPr>
                <w:sz w:val="20"/>
                <w:szCs w:val="20"/>
              </w:rPr>
              <w:t>.201</w:t>
            </w:r>
            <w:r w:rsidR="00404A5B">
              <w:rPr>
                <w:sz w:val="20"/>
                <w:szCs w:val="20"/>
              </w:rPr>
              <w:t>1</w:t>
            </w:r>
          </w:p>
          <w:p w:rsidR="00242AEE" w:rsidRPr="00A935AA" w:rsidRDefault="00DB7F13" w:rsidP="003B3977">
            <w:pPr>
              <w:rPr>
                <w:sz w:val="20"/>
                <w:szCs w:val="20"/>
              </w:rPr>
            </w:pPr>
            <w:r w:rsidRPr="00DB7F1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A935AA" w:rsidRPr="00A935AA" w:rsidRDefault="00A935AA" w:rsidP="00242AEE">
            <w:pPr>
              <w:jc w:val="center"/>
              <w:rPr>
                <w:sz w:val="20"/>
                <w:szCs w:val="20"/>
              </w:rPr>
            </w:pPr>
          </w:p>
        </w:tc>
        <w:tc>
          <w:tcPr>
            <w:tcW w:w="4320" w:type="dxa"/>
            <w:shd w:val="clear" w:color="auto" w:fill="auto"/>
          </w:tcPr>
          <w:p w:rsidR="009416FF" w:rsidRPr="00A935AA" w:rsidRDefault="009416FF" w:rsidP="009416FF">
            <w:pPr>
              <w:keepNext/>
              <w:keepLines/>
              <w:tabs>
                <w:tab w:val="left" w:pos="-1440"/>
                <w:tab w:val="left" w:pos="-720"/>
              </w:tabs>
              <w:rPr>
                <w:b/>
                <w:sz w:val="20"/>
                <w:szCs w:val="20"/>
              </w:rPr>
            </w:pPr>
            <w:r>
              <w:rPr>
                <w:b/>
                <w:sz w:val="20"/>
                <w:szCs w:val="20"/>
              </w:rPr>
              <w:t xml:space="preserve">Jack </w:t>
            </w:r>
            <w:proofErr w:type="spellStart"/>
            <w:r w:rsidRPr="00391AFB">
              <w:rPr>
                <w:b/>
                <w:sz w:val="20"/>
                <w:szCs w:val="20"/>
              </w:rPr>
              <w:t>Klundert</w:t>
            </w:r>
            <w:proofErr w:type="spellEnd"/>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Douglas H. Christie</w:t>
            </w:r>
          </w:p>
          <w:p w:rsidR="009416FF" w:rsidRPr="00A935AA" w:rsidRDefault="009416FF" w:rsidP="009416FF">
            <w:pPr>
              <w:keepNext/>
              <w:keepLines/>
              <w:tabs>
                <w:tab w:val="left" w:pos="-1440"/>
                <w:tab w:val="left" w:pos="-720"/>
              </w:tabs>
              <w:rPr>
                <w:sz w:val="20"/>
                <w:szCs w:val="20"/>
              </w:rPr>
            </w:pPr>
          </w:p>
          <w:p w:rsidR="009416FF" w:rsidRPr="00A935AA" w:rsidRDefault="009416FF" w:rsidP="009416FF">
            <w:pPr>
              <w:keepNext/>
              <w:keepLines/>
              <w:tabs>
                <w:tab w:val="left" w:pos="-1440"/>
                <w:tab w:val="left" w:pos="-720"/>
              </w:tabs>
              <w:rPr>
                <w:sz w:val="20"/>
                <w:szCs w:val="20"/>
              </w:rPr>
            </w:pPr>
            <w:r w:rsidRPr="00A935AA">
              <w:rPr>
                <w:sz w:val="20"/>
                <w:szCs w:val="20"/>
              </w:rPr>
              <w:tab/>
              <w:t>v. (3</w:t>
            </w:r>
            <w:r>
              <w:rPr>
                <w:sz w:val="20"/>
                <w:szCs w:val="20"/>
              </w:rPr>
              <w:t>4558</w:t>
            </w:r>
            <w:r w:rsidRPr="00A935AA">
              <w:rPr>
                <w:sz w:val="20"/>
                <w:szCs w:val="20"/>
              </w:rPr>
              <w:t>)</w:t>
            </w:r>
          </w:p>
          <w:p w:rsidR="009416FF" w:rsidRPr="00A935AA" w:rsidRDefault="009416FF" w:rsidP="009416FF">
            <w:pPr>
              <w:keepNext/>
              <w:keepLines/>
              <w:tabs>
                <w:tab w:val="left" w:pos="-1440"/>
                <w:tab w:val="left" w:pos="-720"/>
              </w:tabs>
              <w:rPr>
                <w:sz w:val="20"/>
                <w:szCs w:val="20"/>
              </w:rPr>
            </w:pPr>
          </w:p>
          <w:p w:rsidR="009416FF" w:rsidRPr="00A935AA" w:rsidRDefault="009416FF" w:rsidP="009416FF">
            <w:pPr>
              <w:keepNext/>
              <w:keepLines/>
              <w:tabs>
                <w:tab w:val="left" w:pos="-1440"/>
                <w:tab w:val="left" w:pos="-720"/>
              </w:tabs>
              <w:rPr>
                <w:b/>
                <w:sz w:val="20"/>
                <w:szCs w:val="20"/>
              </w:rPr>
            </w:pPr>
            <w:r w:rsidRPr="00400859">
              <w:rPr>
                <w:b/>
                <w:sz w:val="20"/>
                <w:szCs w:val="20"/>
              </w:rPr>
              <w:t>Her Majesty the Queen</w:t>
            </w:r>
            <w:r w:rsidRPr="00A935AA">
              <w:rPr>
                <w:b/>
                <w:sz w:val="20"/>
                <w:szCs w:val="20"/>
              </w:rPr>
              <w:t xml:space="preserve"> (</w:t>
            </w:r>
            <w:r>
              <w:rPr>
                <w:b/>
                <w:sz w:val="20"/>
                <w:szCs w:val="20"/>
              </w:rPr>
              <w:t>Ont.</w:t>
            </w:r>
            <w:r w:rsidRPr="00A935AA">
              <w:rPr>
                <w:b/>
                <w:sz w:val="20"/>
                <w:szCs w:val="20"/>
              </w:rPr>
              <w:t>)</w:t>
            </w:r>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 xml:space="preserve">Xenia </w:t>
            </w:r>
            <w:proofErr w:type="spellStart"/>
            <w:r>
              <w:rPr>
                <w:sz w:val="20"/>
                <w:szCs w:val="20"/>
              </w:rPr>
              <w:t>Proestos</w:t>
            </w:r>
            <w:proofErr w:type="spellEnd"/>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Public Prosecution Service of Canada</w:t>
            </w:r>
          </w:p>
          <w:p w:rsidR="009416FF" w:rsidRPr="00A935AA" w:rsidRDefault="009416FF" w:rsidP="009416FF">
            <w:pPr>
              <w:keepNext/>
              <w:keepLines/>
              <w:tabs>
                <w:tab w:val="left" w:pos="-1440"/>
                <w:tab w:val="left" w:pos="-720"/>
              </w:tabs>
              <w:rPr>
                <w:sz w:val="20"/>
                <w:szCs w:val="20"/>
              </w:rPr>
            </w:pPr>
          </w:p>
          <w:p w:rsidR="009416FF" w:rsidRDefault="009416FF" w:rsidP="009416FF">
            <w:pPr>
              <w:keepNext/>
              <w:keepLines/>
              <w:tabs>
                <w:tab w:val="left" w:pos="-1440"/>
                <w:tab w:val="left" w:pos="-720"/>
              </w:tabs>
              <w:rPr>
                <w:sz w:val="20"/>
                <w:szCs w:val="20"/>
              </w:rPr>
            </w:pPr>
            <w:r>
              <w:rPr>
                <w:sz w:val="20"/>
                <w:szCs w:val="20"/>
              </w:rPr>
              <w:t>FILING DATE: 02</w:t>
            </w:r>
            <w:r w:rsidRPr="00A935AA">
              <w:rPr>
                <w:sz w:val="20"/>
                <w:szCs w:val="20"/>
              </w:rPr>
              <w:t>.</w:t>
            </w:r>
            <w:r>
              <w:rPr>
                <w:sz w:val="20"/>
                <w:szCs w:val="20"/>
              </w:rPr>
              <w:t>12</w:t>
            </w:r>
            <w:r w:rsidRPr="00A935AA">
              <w:rPr>
                <w:sz w:val="20"/>
                <w:szCs w:val="20"/>
              </w:rPr>
              <w:t>.201</w:t>
            </w:r>
          </w:p>
          <w:p w:rsidR="00242AEE" w:rsidRPr="00A935AA" w:rsidRDefault="00DB7F13" w:rsidP="00943205">
            <w:pPr>
              <w:keepNext/>
              <w:keepLines/>
              <w:tabs>
                <w:tab w:val="left" w:pos="-1440"/>
                <w:tab w:val="left" w:pos="-720"/>
              </w:tabs>
              <w:rPr>
                <w:sz w:val="20"/>
                <w:szCs w:val="20"/>
              </w:rPr>
            </w:pPr>
            <w:r w:rsidRPr="00DB7F13">
              <w:rPr>
                <w:sz w:val="20"/>
                <w:szCs w:val="20"/>
                <w:lang w:val="fr-CA"/>
              </w:rPr>
              <w:pict>
                <v:rect id="_x0000_i1030"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242AEE" w:rsidRPr="00A935AA" w:rsidRDefault="00183FF2" w:rsidP="003B3977">
            <w:pPr>
              <w:rPr>
                <w:b/>
                <w:sz w:val="20"/>
                <w:szCs w:val="20"/>
              </w:rPr>
            </w:pPr>
            <w:r>
              <w:rPr>
                <w:b/>
                <w:sz w:val="20"/>
                <w:szCs w:val="20"/>
              </w:rPr>
              <w:t xml:space="preserve">Ian </w:t>
            </w:r>
            <w:proofErr w:type="spellStart"/>
            <w:r w:rsidRPr="00183FF2">
              <w:rPr>
                <w:b/>
                <w:sz w:val="20"/>
                <w:szCs w:val="20"/>
              </w:rPr>
              <w:t>Verner</w:t>
            </w:r>
            <w:proofErr w:type="spellEnd"/>
            <w:r w:rsidRPr="00183FF2">
              <w:rPr>
                <w:b/>
                <w:sz w:val="20"/>
                <w:szCs w:val="20"/>
              </w:rPr>
              <w:t xml:space="preserve"> Macdonald</w:t>
            </w:r>
            <w:r>
              <w:rPr>
                <w:b/>
                <w:sz w:val="20"/>
                <w:szCs w:val="20"/>
              </w:rPr>
              <w:t xml:space="preserve"> </w:t>
            </w:r>
          </w:p>
          <w:p w:rsidR="00242AEE" w:rsidRDefault="00242AEE" w:rsidP="003B3977">
            <w:pPr>
              <w:tabs>
                <w:tab w:val="left" w:pos="-1440"/>
                <w:tab w:val="left" w:pos="-720"/>
              </w:tabs>
              <w:rPr>
                <w:sz w:val="20"/>
                <w:szCs w:val="20"/>
              </w:rPr>
            </w:pPr>
            <w:r w:rsidRPr="00A935AA">
              <w:rPr>
                <w:sz w:val="20"/>
                <w:szCs w:val="20"/>
              </w:rPr>
              <w:tab/>
            </w:r>
            <w:r w:rsidR="00477247" w:rsidRPr="00BB0C26">
              <w:rPr>
                <w:sz w:val="20"/>
                <w:szCs w:val="20"/>
                <w:lang w:val="en-US"/>
              </w:rPr>
              <w:t xml:space="preserve">Douglas H. </w:t>
            </w:r>
            <w:r w:rsidR="00477247">
              <w:rPr>
                <w:sz w:val="20"/>
                <w:szCs w:val="20"/>
                <w:lang w:val="en-US"/>
              </w:rPr>
              <w:t>Christie</w:t>
            </w:r>
            <w:r w:rsidR="00477247" w:rsidRPr="00A935AA">
              <w:rPr>
                <w:sz w:val="20"/>
                <w:szCs w:val="20"/>
              </w:rPr>
              <w:t xml:space="preserve"> </w:t>
            </w:r>
          </w:p>
          <w:p w:rsidR="00477247" w:rsidRPr="00A935AA" w:rsidRDefault="00477247"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(34</w:t>
            </w:r>
            <w:r w:rsidR="00477247">
              <w:rPr>
                <w:sz w:val="20"/>
                <w:szCs w:val="20"/>
              </w:rPr>
              <w:t>546</w:t>
            </w:r>
            <w:r w:rsidRPr="00A935AA">
              <w:rPr>
                <w:sz w:val="20"/>
                <w:szCs w:val="20"/>
              </w:rPr>
              <w:t>)</w:t>
            </w:r>
          </w:p>
          <w:p w:rsidR="00242AEE" w:rsidRPr="00A935AA" w:rsidRDefault="00242AEE" w:rsidP="003B3977">
            <w:pPr>
              <w:tabs>
                <w:tab w:val="left" w:pos="-1440"/>
                <w:tab w:val="left" w:pos="-720"/>
              </w:tabs>
              <w:rPr>
                <w:sz w:val="20"/>
                <w:szCs w:val="20"/>
              </w:rPr>
            </w:pPr>
          </w:p>
          <w:p w:rsidR="00242AEE" w:rsidRPr="00235F2E" w:rsidRDefault="00477247" w:rsidP="003B3977">
            <w:pPr>
              <w:tabs>
                <w:tab w:val="left" w:pos="-1440"/>
                <w:tab w:val="left" w:pos="-720"/>
              </w:tabs>
              <w:rPr>
                <w:b/>
                <w:sz w:val="20"/>
                <w:szCs w:val="20"/>
                <w:lang w:val="en-US"/>
              </w:rPr>
            </w:pPr>
            <w:r w:rsidRPr="00477247">
              <w:rPr>
                <w:b/>
                <w:sz w:val="20"/>
                <w:szCs w:val="20"/>
              </w:rPr>
              <w:t>Canadian Broadcasting Corporation</w:t>
            </w:r>
            <w:r>
              <w:rPr>
                <w:b/>
                <w:sz w:val="20"/>
                <w:szCs w:val="20"/>
              </w:rPr>
              <w:t xml:space="preserve"> et al.</w:t>
            </w:r>
            <w:r w:rsidR="00242AEE" w:rsidRPr="00A935AA">
              <w:rPr>
                <w:b/>
                <w:sz w:val="20"/>
                <w:szCs w:val="20"/>
              </w:rPr>
              <w:t xml:space="preserve"> </w:t>
            </w:r>
            <w:r w:rsidR="00242AEE" w:rsidRPr="00235F2E">
              <w:rPr>
                <w:b/>
                <w:sz w:val="20"/>
                <w:szCs w:val="20"/>
                <w:lang w:val="en-US"/>
              </w:rPr>
              <w:t>(</w:t>
            </w:r>
            <w:r w:rsidRPr="00235F2E">
              <w:rPr>
                <w:b/>
                <w:sz w:val="20"/>
                <w:szCs w:val="20"/>
                <w:lang w:val="en-US"/>
              </w:rPr>
              <w:t>Ont.</w:t>
            </w:r>
            <w:r w:rsidR="00242AEE" w:rsidRPr="00235F2E">
              <w:rPr>
                <w:b/>
                <w:sz w:val="20"/>
                <w:szCs w:val="20"/>
                <w:lang w:val="en-US"/>
              </w:rPr>
              <w:t>)</w:t>
            </w:r>
          </w:p>
          <w:p w:rsidR="00242AEE" w:rsidRPr="00235F2E" w:rsidRDefault="00242AEE" w:rsidP="003B3977">
            <w:pPr>
              <w:tabs>
                <w:tab w:val="left" w:pos="-1440"/>
                <w:tab w:val="left" w:pos="-720"/>
              </w:tabs>
              <w:rPr>
                <w:sz w:val="20"/>
                <w:szCs w:val="20"/>
                <w:lang w:val="en-US"/>
              </w:rPr>
            </w:pPr>
            <w:r w:rsidRPr="00235F2E">
              <w:rPr>
                <w:sz w:val="20"/>
                <w:szCs w:val="20"/>
                <w:lang w:val="en-US"/>
              </w:rPr>
              <w:tab/>
            </w:r>
            <w:r w:rsidR="00477247" w:rsidRPr="00235F2E">
              <w:rPr>
                <w:sz w:val="20"/>
                <w:szCs w:val="20"/>
                <w:lang w:val="en-US"/>
              </w:rPr>
              <w:t>Scott C. Hutchison</w:t>
            </w:r>
          </w:p>
          <w:p w:rsidR="00242AEE" w:rsidRPr="00235F2E" w:rsidRDefault="00477247" w:rsidP="003B3977">
            <w:pPr>
              <w:tabs>
                <w:tab w:val="left" w:pos="-1440"/>
                <w:tab w:val="left" w:pos="-720"/>
              </w:tabs>
              <w:rPr>
                <w:sz w:val="20"/>
                <w:szCs w:val="20"/>
                <w:lang w:val="en-US"/>
              </w:rPr>
            </w:pPr>
            <w:r w:rsidRPr="00235F2E">
              <w:rPr>
                <w:sz w:val="20"/>
                <w:szCs w:val="20"/>
                <w:lang w:val="en-US"/>
              </w:rPr>
              <w:tab/>
            </w:r>
            <w:proofErr w:type="spellStart"/>
            <w:r w:rsidRPr="00235F2E">
              <w:rPr>
                <w:sz w:val="20"/>
                <w:szCs w:val="20"/>
                <w:lang w:val="en-US"/>
              </w:rPr>
              <w:t>Stockwoods</w:t>
            </w:r>
            <w:proofErr w:type="spellEnd"/>
            <w:r w:rsidRPr="00235F2E">
              <w:rPr>
                <w:sz w:val="20"/>
                <w:szCs w:val="20"/>
                <w:lang w:val="en-US"/>
              </w:rPr>
              <w:t xml:space="preserve"> LLP</w:t>
            </w:r>
          </w:p>
          <w:p w:rsidR="00242AEE" w:rsidRPr="00235F2E" w:rsidRDefault="00242AEE" w:rsidP="003B3977">
            <w:pPr>
              <w:tabs>
                <w:tab w:val="left" w:pos="-1440"/>
                <w:tab w:val="left" w:pos="-720"/>
              </w:tabs>
              <w:rPr>
                <w:sz w:val="20"/>
                <w:szCs w:val="20"/>
                <w:lang w:val="en-US"/>
              </w:rPr>
            </w:pPr>
          </w:p>
          <w:p w:rsidR="00242AEE" w:rsidRPr="00477247" w:rsidRDefault="00477247" w:rsidP="003B3977">
            <w:pPr>
              <w:rPr>
                <w:sz w:val="20"/>
                <w:szCs w:val="20"/>
                <w:lang w:val="fr-CA"/>
              </w:rPr>
            </w:pPr>
            <w:r>
              <w:rPr>
                <w:sz w:val="20"/>
                <w:szCs w:val="20"/>
                <w:lang w:val="fr-CA"/>
              </w:rPr>
              <w:t>FILING DATE: 29</w:t>
            </w:r>
            <w:r w:rsidR="00242AEE" w:rsidRPr="00477247">
              <w:rPr>
                <w:sz w:val="20"/>
                <w:szCs w:val="20"/>
                <w:lang w:val="fr-CA"/>
              </w:rPr>
              <w:t>.</w:t>
            </w:r>
            <w:r>
              <w:rPr>
                <w:sz w:val="20"/>
                <w:szCs w:val="20"/>
                <w:lang w:val="fr-CA"/>
              </w:rPr>
              <w:t>11</w:t>
            </w:r>
            <w:r w:rsidR="00242AEE" w:rsidRPr="00477247">
              <w:rPr>
                <w:sz w:val="20"/>
                <w:szCs w:val="20"/>
                <w:lang w:val="fr-CA"/>
              </w:rPr>
              <w:t>.201</w:t>
            </w:r>
            <w:r>
              <w:rPr>
                <w:sz w:val="20"/>
                <w:szCs w:val="20"/>
                <w:lang w:val="fr-CA"/>
              </w:rPr>
              <w:t>1</w:t>
            </w:r>
          </w:p>
          <w:p w:rsidR="00242AEE" w:rsidRPr="00477247" w:rsidRDefault="00DB7F13" w:rsidP="003B3977">
            <w:pPr>
              <w:rPr>
                <w:sz w:val="20"/>
                <w:szCs w:val="20"/>
                <w:lang w:val="fr-CA"/>
              </w:rPr>
            </w:pPr>
            <w:r w:rsidRPr="00DB7F1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p w:rsidR="00242AEE" w:rsidRPr="00477247" w:rsidRDefault="00242AEE" w:rsidP="00242AEE">
            <w:pPr>
              <w:jc w:val="center"/>
              <w:rPr>
                <w:sz w:val="20"/>
                <w:szCs w:val="20"/>
                <w:lang w:val="fr-CA"/>
              </w:rPr>
            </w:pPr>
          </w:p>
        </w:tc>
        <w:tc>
          <w:tcPr>
            <w:tcW w:w="4320" w:type="dxa"/>
            <w:shd w:val="clear" w:color="auto" w:fill="auto"/>
          </w:tcPr>
          <w:p w:rsidR="009416FF" w:rsidRPr="00036CFF" w:rsidRDefault="009416FF" w:rsidP="009416FF">
            <w:pPr>
              <w:rPr>
                <w:b/>
                <w:sz w:val="20"/>
                <w:szCs w:val="20"/>
                <w:lang w:val="fr-CA"/>
              </w:rPr>
            </w:pPr>
            <w:r w:rsidRPr="00036CFF">
              <w:rPr>
                <w:b/>
                <w:sz w:val="20"/>
                <w:szCs w:val="20"/>
                <w:lang w:val="fr-CA"/>
              </w:rPr>
              <w:t xml:space="preserve">Simon </w:t>
            </w:r>
            <w:proofErr w:type="spellStart"/>
            <w:r w:rsidRPr="00036CFF">
              <w:rPr>
                <w:b/>
                <w:sz w:val="20"/>
                <w:szCs w:val="20"/>
                <w:lang w:val="fr-CA"/>
              </w:rPr>
              <w:t>Cadorette</w:t>
            </w:r>
            <w:proofErr w:type="spellEnd"/>
          </w:p>
          <w:p w:rsidR="009416FF" w:rsidRPr="00036CFF" w:rsidRDefault="009416FF" w:rsidP="009416FF">
            <w:pPr>
              <w:tabs>
                <w:tab w:val="left" w:pos="-1440"/>
                <w:tab w:val="left" w:pos="-720"/>
              </w:tabs>
              <w:rPr>
                <w:sz w:val="20"/>
                <w:szCs w:val="20"/>
                <w:lang w:val="fr-CA"/>
              </w:rPr>
            </w:pPr>
            <w:r w:rsidRPr="00036CFF">
              <w:rPr>
                <w:sz w:val="20"/>
                <w:szCs w:val="20"/>
                <w:lang w:val="fr-CA"/>
              </w:rPr>
              <w:tab/>
              <w:t>Marie-H</w:t>
            </w:r>
            <w:r>
              <w:rPr>
                <w:sz w:val="20"/>
                <w:szCs w:val="20"/>
                <w:lang w:val="fr-CA"/>
              </w:rPr>
              <w:t xml:space="preserve">élène Giroux </w:t>
            </w:r>
          </w:p>
          <w:p w:rsidR="009416FF" w:rsidRPr="00036CFF" w:rsidRDefault="009416FF" w:rsidP="009416FF">
            <w:pPr>
              <w:tabs>
                <w:tab w:val="left" w:pos="-1440"/>
                <w:tab w:val="left" w:pos="-720"/>
              </w:tabs>
              <w:rPr>
                <w:sz w:val="20"/>
                <w:szCs w:val="20"/>
                <w:lang w:val="fr-CA"/>
              </w:rPr>
            </w:pPr>
            <w:r w:rsidRPr="00036CFF">
              <w:rPr>
                <w:sz w:val="20"/>
                <w:szCs w:val="20"/>
                <w:lang w:val="fr-CA"/>
              </w:rPr>
              <w:tab/>
            </w:r>
            <w:proofErr w:type="spellStart"/>
            <w:r>
              <w:rPr>
                <w:sz w:val="20"/>
                <w:szCs w:val="20"/>
                <w:lang w:val="fr-CA"/>
              </w:rPr>
              <w:t>Monterosso</w:t>
            </w:r>
            <w:proofErr w:type="spellEnd"/>
            <w:r>
              <w:rPr>
                <w:sz w:val="20"/>
                <w:szCs w:val="20"/>
                <w:lang w:val="fr-CA"/>
              </w:rPr>
              <w:t xml:space="preserve"> Giroux</w:t>
            </w:r>
          </w:p>
          <w:p w:rsidR="009416FF" w:rsidRPr="00036CFF" w:rsidRDefault="009416FF" w:rsidP="009416FF">
            <w:pPr>
              <w:tabs>
                <w:tab w:val="left" w:pos="-1440"/>
                <w:tab w:val="left" w:pos="-720"/>
              </w:tabs>
              <w:rPr>
                <w:sz w:val="20"/>
                <w:szCs w:val="20"/>
                <w:lang w:val="fr-CA"/>
              </w:rPr>
            </w:pPr>
          </w:p>
          <w:p w:rsidR="009416FF" w:rsidRPr="00391AFB" w:rsidRDefault="009416FF" w:rsidP="009416FF">
            <w:pPr>
              <w:tabs>
                <w:tab w:val="left" w:pos="-1440"/>
                <w:tab w:val="left" w:pos="-720"/>
              </w:tabs>
              <w:rPr>
                <w:sz w:val="20"/>
                <w:szCs w:val="20"/>
                <w:lang w:val="fr-CA"/>
              </w:rPr>
            </w:pPr>
            <w:r w:rsidRPr="00036CFF">
              <w:rPr>
                <w:sz w:val="20"/>
                <w:szCs w:val="20"/>
                <w:lang w:val="fr-CA"/>
              </w:rPr>
              <w:tab/>
            </w:r>
            <w:r w:rsidRPr="00391AFB">
              <w:rPr>
                <w:sz w:val="20"/>
                <w:szCs w:val="20"/>
                <w:lang w:val="fr-CA"/>
              </w:rPr>
              <w:t>c. (34540)</w:t>
            </w:r>
          </w:p>
          <w:p w:rsidR="009416FF" w:rsidRPr="00391AFB" w:rsidRDefault="009416FF" w:rsidP="009416FF">
            <w:pPr>
              <w:tabs>
                <w:tab w:val="left" w:pos="-1440"/>
                <w:tab w:val="left" w:pos="-720"/>
              </w:tabs>
              <w:rPr>
                <w:sz w:val="20"/>
                <w:szCs w:val="20"/>
                <w:lang w:val="fr-CA"/>
              </w:rPr>
            </w:pPr>
          </w:p>
          <w:p w:rsidR="009416FF" w:rsidRPr="00391AFB" w:rsidRDefault="009416FF" w:rsidP="009416FF">
            <w:pPr>
              <w:tabs>
                <w:tab w:val="left" w:pos="-1440"/>
                <w:tab w:val="left" w:pos="-720"/>
              </w:tabs>
              <w:rPr>
                <w:b/>
                <w:sz w:val="20"/>
                <w:szCs w:val="20"/>
                <w:lang w:val="fr-CA"/>
              </w:rPr>
            </w:pPr>
            <w:r w:rsidRPr="00391AFB">
              <w:rPr>
                <w:b/>
                <w:sz w:val="20"/>
                <w:szCs w:val="20"/>
                <w:lang w:val="fr-CA"/>
              </w:rPr>
              <w:t>Sa Majesté la Reine (</w:t>
            </w:r>
            <w:proofErr w:type="spellStart"/>
            <w:r>
              <w:rPr>
                <w:b/>
                <w:sz w:val="20"/>
                <w:szCs w:val="20"/>
                <w:lang w:val="fr-CA"/>
              </w:rPr>
              <w:t>Qc</w:t>
            </w:r>
            <w:proofErr w:type="spellEnd"/>
            <w:r w:rsidRPr="00391AFB">
              <w:rPr>
                <w:b/>
                <w:sz w:val="20"/>
                <w:szCs w:val="20"/>
                <w:lang w:val="fr-CA"/>
              </w:rPr>
              <w:t>)</w:t>
            </w:r>
          </w:p>
          <w:p w:rsidR="009416FF" w:rsidRPr="00391AFB" w:rsidRDefault="009416FF" w:rsidP="009416FF">
            <w:pPr>
              <w:tabs>
                <w:tab w:val="left" w:pos="-1440"/>
                <w:tab w:val="left" w:pos="-720"/>
              </w:tabs>
              <w:rPr>
                <w:sz w:val="20"/>
                <w:szCs w:val="20"/>
                <w:lang w:val="fr-CA"/>
              </w:rPr>
            </w:pPr>
            <w:r w:rsidRPr="00391AFB">
              <w:rPr>
                <w:sz w:val="20"/>
                <w:szCs w:val="20"/>
                <w:lang w:val="fr-CA"/>
              </w:rPr>
              <w:tab/>
              <w:t>Caroline Fontaine</w:t>
            </w:r>
          </w:p>
          <w:p w:rsidR="009416FF" w:rsidRPr="00391AFB" w:rsidRDefault="009416FF" w:rsidP="009416FF">
            <w:pPr>
              <w:tabs>
                <w:tab w:val="left" w:pos="-1440"/>
                <w:tab w:val="left" w:pos="-720"/>
              </w:tabs>
              <w:rPr>
                <w:sz w:val="20"/>
                <w:szCs w:val="20"/>
                <w:lang w:val="fr-CA"/>
              </w:rPr>
            </w:pPr>
            <w:r w:rsidRPr="00391AFB">
              <w:rPr>
                <w:sz w:val="20"/>
                <w:szCs w:val="20"/>
                <w:lang w:val="fr-CA"/>
              </w:rPr>
              <w:tab/>
              <w:t>P.G. du Qu</w:t>
            </w:r>
            <w:r>
              <w:rPr>
                <w:sz w:val="20"/>
                <w:szCs w:val="20"/>
                <w:lang w:val="fr-CA"/>
              </w:rPr>
              <w:t>ébec</w:t>
            </w:r>
          </w:p>
          <w:p w:rsidR="009416FF" w:rsidRPr="00A935AA" w:rsidRDefault="009416FF" w:rsidP="009416FF">
            <w:pPr>
              <w:tabs>
                <w:tab w:val="left" w:pos="-1440"/>
                <w:tab w:val="left" w:pos="-720"/>
              </w:tabs>
              <w:rPr>
                <w:sz w:val="20"/>
                <w:szCs w:val="20"/>
                <w:lang w:val="fr-CA"/>
              </w:rPr>
            </w:pPr>
          </w:p>
          <w:p w:rsidR="009416FF" w:rsidRPr="009416FF" w:rsidRDefault="009416FF" w:rsidP="009416FF">
            <w:pPr>
              <w:rPr>
                <w:sz w:val="20"/>
                <w:szCs w:val="20"/>
                <w:lang w:val="en-US"/>
              </w:rPr>
            </w:pPr>
            <w:r w:rsidRPr="009416FF">
              <w:rPr>
                <w:sz w:val="20"/>
                <w:szCs w:val="20"/>
                <w:lang w:val="en-US"/>
              </w:rPr>
              <w:t>DATE DE PRODUCTION : 25.11.2011</w:t>
            </w:r>
          </w:p>
          <w:p w:rsidR="00242AEE" w:rsidRPr="00A935AA" w:rsidRDefault="00DB7F13" w:rsidP="003B3977">
            <w:pPr>
              <w:rPr>
                <w:sz w:val="20"/>
                <w:szCs w:val="20"/>
              </w:rPr>
            </w:pPr>
            <w:r w:rsidRPr="00DB7F13">
              <w:rPr>
                <w:sz w:val="20"/>
                <w:szCs w:val="20"/>
                <w:lang w:val="fr-CA"/>
              </w:rPr>
              <w:pict>
                <v:rect id="_x0000_i1032"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9416FF" w:rsidRDefault="009416FF" w:rsidP="009416FF">
            <w:pPr>
              <w:keepNext/>
              <w:keepLines/>
              <w:tabs>
                <w:tab w:val="left" w:pos="-1440"/>
                <w:tab w:val="left" w:pos="-720"/>
              </w:tabs>
              <w:rPr>
                <w:b/>
                <w:sz w:val="20"/>
                <w:szCs w:val="20"/>
              </w:rPr>
            </w:pPr>
            <w:r w:rsidRPr="00404A5B">
              <w:rPr>
                <w:b/>
                <w:sz w:val="20"/>
                <w:szCs w:val="20"/>
              </w:rPr>
              <w:lastRenderedPageBreak/>
              <w:t>R.D.R.</w:t>
            </w:r>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 xml:space="preserve">Chandra </w:t>
            </w:r>
            <w:proofErr w:type="spellStart"/>
            <w:r>
              <w:rPr>
                <w:sz w:val="20"/>
                <w:szCs w:val="20"/>
              </w:rPr>
              <w:t>Gosine</w:t>
            </w:r>
            <w:proofErr w:type="spellEnd"/>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Nova Scotia Legal Aid</w:t>
            </w:r>
          </w:p>
          <w:p w:rsidR="009416FF" w:rsidRPr="00A935AA" w:rsidRDefault="009416FF" w:rsidP="009416FF">
            <w:pPr>
              <w:keepNext/>
              <w:keepLines/>
              <w:tabs>
                <w:tab w:val="left" w:pos="-1440"/>
                <w:tab w:val="left" w:pos="-720"/>
              </w:tabs>
              <w:rPr>
                <w:sz w:val="20"/>
                <w:szCs w:val="20"/>
              </w:rPr>
            </w:pPr>
          </w:p>
          <w:p w:rsidR="009416FF" w:rsidRPr="00A935AA" w:rsidRDefault="009416FF" w:rsidP="009416FF">
            <w:pPr>
              <w:keepNext/>
              <w:keepLines/>
              <w:tabs>
                <w:tab w:val="left" w:pos="-1440"/>
                <w:tab w:val="left" w:pos="-720"/>
              </w:tabs>
              <w:rPr>
                <w:sz w:val="20"/>
                <w:szCs w:val="20"/>
              </w:rPr>
            </w:pPr>
            <w:r w:rsidRPr="00A935AA">
              <w:rPr>
                <w:sz w:val="20"/>
                <w:szCs w:val="20"/>
              </w:rPr>
              <w:tab/>
              <w:t>v. (3</w:t>
            </w:r>
            <w:r>
              <w:rPr>
                <w:sz w:val="20"/>
                <w:szCs w:val="20"/>
              </w:rPr>
              <w:t>4538</w:t>
            </w:r>
            <w:r w:rsidRPr="00A935AA">
              <w:rPr>
                <w:sz w:val="20"/>
                <w:szCs w:val="20"/>
              </w:rPr>
              <w:t>)</w:t>
            </w:r>
          </w:p>
          <w:p w:rsidR="009416FF" w:rsidRPr="00A935AA" w:rsidRDefault="009416FF" w:rsidP="009416FF">
            <w:pPr>
              <w:keepNext/>
              <w:keepLines/>
              <w:tabs>
                <w:tab w:val="left" w:pos="-1440"/>
                <w:tab w:val="left" w:pos="-720"/>
              </w:tabs>
              <w:rPr>
                <w:sz w:val="20"/>
                <w:szCs w:val="20"/>
              </w:rPr>
            </w:pPr>
          </w:p>
          <w:p w:rsidR="009416FF" w:rsidRPr="00A935AA" w:rsidRDefault="009416FF" w:rsidP="009416FF">
            <w:pPr>
              <w:keepNext/>
              <w:keepLines/>
              <w:tabs>
                <w:tab w:val="left" w:pos="-1440"/>
                <w:tab w:val="left" w:pos="-720"/>
              </w:tabs>
              <w:rPr>
                <w:b/>
                <w:sz w:val="20"/>
                <w:szCs w:val="20"/>
              </w:rPr>
            </w:pPr>
            <w:r>
              <w:rPr>
                <w:b/>
                <w:sz w:val="20"/>
                <w:szCs w:val="20"/>
              </w:rPr>
              <w:t>Her Majesty the Queen</w:t>
            </w:r>
            <w:r w:rsidRPr="00A935AA">
              <w:rPr>
                <w:b/>
                <w:sz w:val="20"/>
                <w:szCs w:val="20"/>
              </w:rPr>
              <w:t xml:space="preserve"> (</w:t>
            </w:r>
            <w:r>
              <w:rPr>
                <w:b/>
                <w:sz w:val="20"/>
                <w:szCs w:val="20"/>
              </w:rPr>
              <w:t>N</w:t>
            </w:r>
            <w:r w:rsidRPr="00A935AA">
              <w:rPr>
                <w:b/>
                <w:sz w:val="20"/>
                <w:szCs w:val="20"/>
              </w:rPr>
              <w:t>.</w:t>
            </w:r>
            <w:r>
              <w:rPr>
                <w:b/>
                <w:sz w:val="20"/>
                <w:szCs w:val="20"/>
              </w:rPr>
              <w:t>S</w:t>
            </w:r>
            <w:r w:rsidRPr="00A935AA">
              <w:rPr>
                <w:b/>
                <w:sz w:val="20"/>
                <w:szCs w:val="20"/>
              </w:rPr>
              <w:t>.)</w:t>
            </w:r>
          </w:p>
          <w:p w:rsidR="009416FF" w:rsidRPr="00A935AA" w:rsidRDefault="009416FF" w:rsidP="009416FF">
            <w:pPr>
              <w:keepNext/>
              <w:keepLines/>
              <w:tabs>
                <w:tab w:val="left" w:pos="-1440"/>
                <w:tab w:val="left" w:pos="-720"/>
              </w:tabs>
              <w:rPr>
                <w:sz w:val="20"/>
                <w:szCs w:val="20"/>
              </w:rPr>
            </w:pPr>
            <w:r w:rsidRPr="00A935AA">
              <w:rPr>
                <w:sz w:val="20"/>
                <w:szCs w:val="20"/>
              </w:rPr>
              <w:tab/>
            </w:r>
            <w:r>
              <w:rPr>
                <w:sz w:val="20"/>
                <w:szCs w:val="20"/>
              </w:rPr>
              <w:t xml:space="preserve">Jennifer A. </w:t>
            </w:r>
            <w:proofErr w:type="spellStart"/>
            <w:r>
              <w:rPr>
                <w:sz w:val="20"/>
                <w:szCs w:val="20"/>
              </w:rPr>
              <w:t>MacLellan</w:t>
            </w:r>
            <w:proofErr w:type="spellEnd"/>
          </w:p>
          <w:p w:rsidR="009416FF" w:rsidRPr="00A935AA" w:rsidRDefault="009416FF" w:rsidP="009416FF">
            <w:pPr>
              <w:keepNext/>
              <w:keepLines/>
              <w:tabs>
                <w:tab w:val="left" w:pos="-1440"/>
                <w:tab w:val="left" w:pos="-720"/>
              </w:tabs>
              <w:ind w:left="720" w:hanging="720"/>
              <w:rPr>
                <w:sz w:val="20"/>
                <w:szCs w:val="20"/>
              </w:rPr>
            </w:pPr>
            <w:r w:rsidRPr="00A935AA">
              <w:rPr>
                <w:sz w:val="20"/>
                <w:szCs w:val="20"/>
              </w:rPr>
              <w:tab/>
            </w:r>
            <w:r>
              <w:rPr>
                <w:sz w:val="20"/>
                <w:szCs w:val="20"/>
              </w:rPr>
              <w:t>Public Prosecution Service of Nova Scotia</w:t>
            </w:r>
          </w:p>
          <w:p w:rsidR="009416FF" w:rsidRPr="00A935AA" w:rsidRDefault="009416FF" w:rsidP="009416FF">
            <w:pPr>
              <w:keepNext/>
              <w:keepLines/>
              <w:tabs>
                <w:tab w:val="left" w:pos="-1440"/>
                <w:tab w:val="left" w:pos="-720"/>
              </w:tabs>
              <w:rPr>
                <w:sz w:val="20"/>
                <w:szCs w:val="20"/>
              </w:rPr>
            </w:pPr>
          </w:p>
          <w:p w:rsidR="009416FF" w:rsidRDefault="009416FF" w:rsidP="009416FF">
            <w:pPr>
              <w:keepNext/>
              <w:keepLines/>
              <w:tabs>
                <w:tab w:val="left" w:pos="-1440"/>
                <w:tab w:val="left" w:pos="-720"/>
              </w:tabs>
              <w:rPr>
                <w:sz w:val="20"/>
                <w:szCs w:val="20"/>
              </w:rPr>
            </w:pPr>
            <w:r w:rsidRPr="00A935AA">
              <w:rPr>
                <w:sz w:val="20"/>
                <w:szCs w:val="20"/>
              </w:rPr>
              <w:t>FILING DATE: 2</w:t>
            </w:r>
            <w:r>
              <w:rPr>
                <w:sz w:val="20"/>
                <w:szCs w:val="20"/>
              </w:rPr>
              <w:t>4</w:t>
            </w:r>
            <w:r w:rsidRPr="00A935AA">
              <w:rPr>
                <w:sz w:val="20"/>
                <w:szCs w:val="20"/>
              </w:rPr>
              <w:t>.</w:t>
            </w:r>
            <w:r>
              <w:rPr>
                <w:sz w:val="20"/>
                <w:szCs w:val="20"/>
              </w:rPr>
              <w:t>11</w:t>
            </w:r>
            <w:r w:rsidRPr="00A935AA">
              <w:rPr>
                <w:sz w:val="20"/>
                <w:szCs w:val="20"/>
              </w:rPr>
              <w:t>.201</w:t>
            </w:r>
            <w:r>
              <w:rPr>
                <w:sz w:val="20"/>
                <w:szCs w:val="20"/>
              </w:rPr>
              <w:t>1</w:t>
            </w:r>
          </w:p>
          <w:p w:rsidR="00242AEE" w:rsidRPr="00A935AA" w:rsidRDefault="00DB7F13" w:rsidP="003B3977">
            <w:pPr>
              <w:rPr>
                <w:sz w:val="20"/>
                <w:szCs w:val="20"/>
              </w:rPr>
            </w:pPr>
            <w:r w:rsidRPr="00DB7F1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9416FF" w:rsidRPr="009416FF" w:rsidRDefault="009416FF" w:rsidP="009416FF">
            <w:pPr>
              <w:keepNext/>
              <w:keepLines/>
              <w:tabs>
                <w:tab w:val="left" w:pos="-1440"/>
                <w:tab w:val="left" w:pos="-720"/>
              </w:tabs>
              <w:rPr>
                <w:b/>
                <w:sz w:val="20"/>
                <w:szCs w:val="20"/>
                <w:lang w:val="en-US"/>
              </w:rPr>
            </w:pPr>
            <w:r w:rsidRPr="009416FF">
              <w:rPr>
                <w:b/>
                <w:sz w:val="20"/>
                <w:szCs w:val="20"/>
                <w:lang w:val="en-US"/>
              </w:rPr>
              <w:t>Hudson's Bay Company</w:t>
            </w:r>
          </w:p>
          <w:p w:rsidR="009416FF" w:rsidRPr="002A2CC3" w:rsidRDefault="009416FF" w:rsidP="009416FF">
            <w:pPr>
              <w:keepNext/>
              <w:keepLines/>
              <w:tabs>
                <w:tab w:val="left" w:pos="-1440"/>
                <w:tab w:val="left" w:pos="-720"/>
              </w:tabs>
              <w:rPr>
                <w:sz w:val="20"/>
                <w:szCs w:val="20"/>
                <w:lang w:val="en-US"/>
              </w:rPr>
            </w:pPr>
            <w:r w:rsidRPr="009416FF">
              <w:rPr>
                <w:sz w:val="20"/>
                <w:szCs w:val="20"/>
                <w:lang w:val="en-US"/>
              </w:rPr>
              <w:tab/>
            </w:r>
            <w:r w:rsidRPr="002A2CC3">
              <w:rPr>
                <w:sz w:val="20"/>
                <w:szCs w:val="20"/>
                <w:lang w:val="en-US"/>
              </w:rPr>
              <w:t>Jeffrey W. Galway</w:t>
            </w:r>
          </w:p>
          <w:p w:rsidR="009416FF" w:rsidRPr="002A2CC3" w:rsidRDefault="009416FF" w:rsidP="009416FF">
            <w:pPr>
              <w:keepNext/>
              <w:keepLines/>
              <w:tabs>
                <w:tab w:val="left" w:pos="-1440"/>
                <w:tab w:val="left" w:pos="-720"/>
              </w:tabs>
              <w:rPr>
                <w:sz w:val="20"/>
                <w:szCs w:val="20"/>
                <w:lang w:val="en-US"/>
              </w:rPr>
            </w:pPr>
            <w:r w:rsidRPr="002A2CC3">
              <w:rPr>
                <w:sz w:val="20"/>
                <w:szCs w:val="20"/>
                <w:lang w:val="en-US"/>
              </w:rPr>
              <w:tab/>
              <w:t xml:space="preserve">Blake, </w:t>
            </w:r>
            <w:proofErr w:type="spellStart"/>
            <w:r w:rsidRPr="002A2CC3">
              <w:rPr>
                <w:sz w:val="20"/>
                <w:szCs w:val="20"/>
                <w:lang w:val="en-US"/>
              </w:rPr>
              <w:t>Cassels</w:t>
            </w:r>
            <w:proofErr w:type="spellEnd"/>
            <w:r w:rsidRPr="002A2CC3">
              <w:rPr>
                <w:sz w:val="20"/>
                <w:szCs w:val="20"/>
                <w:lang w:val="en-US"/>
              </w:rPr>
              <w:t xml:space="preserve"> &amp; </w:t>
            </w:r>
            <w:proofErr w:type="spellStart"/>
            <w:r w:rsidRPr="002A2CC3">
              <w:rPr>
                <w:sz w:val="20"/>
                <w:szCs w:val="20"/>
                <w:lang w:val="en-US"/>
              </w:rPr>
              <w:t>Graydon</w:t>
            </w:r>
            <w:proofErr w:type="spellEnd"/>
            <w:r w:rsidRPr="002A2CC3">
              <w:rPr>
                <w:sz w:val="20"/>
                <w:szCs w:val="20"/>
                <w:lang w:val="en-US"/>
              </w:rPr>
              <w:t xml:space="preserve"> LLP</w:t>
            </w:r>
          </w:p>
          <w:p w:rsidR="009416FF" w:rsidRPr="002A2CC3" w:rsidRDefault="009416FF" w:rsidP="009416FF">
            <w:pPr>
              <w:keepNext/>
              <w:keepLines/>
              <w:tabs>
                <w:tab w:val="left" w:pos="-1440"/>
                <w:tab w:val="left" w:pos="-720"/>
              </w:tabs>
              <w:rPr>
                <w:sz w:val="20"/>
                <w:szCs w:val="20"/>
                <w:lang w:val="en-US"/>
              </w:rPr>
            </w:pPr>
          </w:p>
          <w:p w:rsidR="009416FF" w:rsidRPr="002A2CC3" w:rsidRDefault="009416FF" w:rsidP="009416FF">
            <w:pPr>
              <w:keepNext/>
              <w:keepLines/>
              <w:tabs>
                <w:tab w:val="left" w:pos="-1440"/>
                <w:tab w:val="left" w:pos="-720"/>
              </w:tabs>
              <w:rPr>
                <w:sz w:val="20"/>
                <w:szCs w:val="20"/>
                <w:lang w:val="en-US"/>
              </w:rPr>
            </w:pPr>
            <w:r w:rsidRPr="002A2CC3">
              <w:rPr>
                <w:sz w:val="20"/>
                <w:szCs w:val="20"/>
                <w:lang w:val="en-US"/>
              </w:rPr>
              <w:tab/>
              <w:t>v. (34532)</w:t>
            </w:r>
          </w:p>
          <w:p w:rsidR="009416FF" w:rsidRPr="002A2CC3" w:rsidRDefault="009416FF" w:rsidP="009416FF">
            <w:pPr>
              <w:keepNext/>
              <w:keepLines/>
              <w:tabs>
                <w:tab w:val="left" w:pos="-1440"/>
                <w:tab w:val="left" w:pos="-720"/>
              </w:tabs>
              <w:rPr>
                <w:sz w:val="20"/>
                <w:szCs w:val="20"/>
                <w:lang w:val="en-US"/>
              </w:rPr>
            </w:pPr>
          </w:p>
          <w:p w:rsidR="009416FF" w:rsidRPr="002A2CC3" w:rsidRDefault="009416FF" w:rsidP="009416FF">
            <w:pPr>
              <w:keepNext/>
              <w:keepLines/>
              <w:tabs>
                <w:tab w:val="left" w:pos="-1440"/>
                <w:tab w:val="left" w:pos="-720"/>
              </w:tabs>
              <w:rPr>
                <w:b/>
                <w:sz w:val="20"/>
                <w:szCs w:val="20"/>
                <w:lang w:val="en-US"/>
              </w:rPr>
            </w:pPr>
            <w:r w:rsidRPr="002A2CC3">
              <w:rPr>
                <w:b/>
                <w:sz w:val="20"/>
                <w:szCs w:val="20"/>
                <w:lang w:val="en-US"/>
              </w:rPr>
              <w:t xml:space="preserve">Ronald Sutherland and John Scott on their own behalf and on behalf of the current members, retirees and other beneficiaries of the defined benefit component of the </w:t>
            </w:r>
            <w:proofErr w:type="spellStart"/>
            <w:r w:rsidRPr="002A2CC3">
              <w:rPr>
                <w:b/>
                <w:sz w:val="20"/>
                <w:szCs w:val="20"/>
                <w:lang w:val="en-US"/>
              </w:rPr>
              <w:t>Dumai</w:t>
            </w:r>
            <w:proofErr w:type="spellEnd"/>
            <w:r w:rsidRPr="002A2CC3">
              <w:rPr>
                <w:b/>
                <w:sz w:val="20"/>
                <w:szCs w:val="20"/>
                <w:lang w:val="en-US"/>
              </w:rPr>
              <w:t xml:space="preserve"> Pension Plan</w:t>
            </w:r>
            <w:r>
              <w:rPr>
                <w:b/>
                <w:sz w:val="20"/>
                <w:szCs w:val="20"/>
                <w:lang w:val="en-US"/>
              </w:rPr>
              <w:t xml:space="preserve"> et al.</w:t>
            </w:r>
            <w:r w:rsidRPr="002A2CC3">
              <w:rPr>
                <w:b/>
                <w:sz w:val="20"/>
                <w:szCs w:val="20"/>
                <w:lang w:val="en-US"/>
              </w:rPr>
              <w:t xml:space="preserve"> (</w:t>
            </w:r>
            <w:r>
              <w:rPr>
                <w:b/>
                <w:sz w:val="20"/>
                <w:szCs w:val="20"/>
                <w:lang w:val="en-US"/>
              </w:rPr>
              <w:t>Ont.</w:t>
            </w:r>
            <w:r w:rsidRPr="002A2CC3">
              <w:rPr>
                <w:b/>
                <w:sz w:val="20"/>
                <w:szCs w:val="20"/>
                <w:lang w:val="en-US"/>
              </w:rPr>
              <w:t>)</w:t>
            </w:r>
          </w:p>
          <w:p w:rsidR="009416FF" w:rsidRPr="002A2CC3" w:rsidRDefault="009416FF" w:rsidP="009416FF">
            <w:pPr>
              <w:keepNext/>
              <w:keepLines/>
              <w:tabs>
                <w:tab w:val="left" w:pos="-1440"/>
                <w:tab w:val="left" w:pos="-720"/>
              </w:tabs>
              <w:rPr>
                <w:sz w:val="20"/>
                <w:szCs w:val="20"/>
                <w:lang w:val="en-US"/>
              </w:rPr>
            </w:pPr>
            <w:r w:rsidRPr="002A2CC3">
              <w:rPr>
                <w:sz w:val="20"/>
                <w:szCs w:val="20"/>
                <w:lang w:val="en-US"/>
              </w:rPr>
              <w:tab/>
              <w:t xml:space="preserve">Mark </w:t>
            </w:r>
            <w:proofErr w:type="spellStart"/>
            <w:r w:rsidRPr="002A2CC3">
              <w:rPr>
                <w:sz w:val="20"/>
                <w:szCs w:val="20"/>
                <w:lang w:val="en-US"/>
              </w:rPr>
              <w:t>Zigler</w:t>
            </w:r>
            <w:proofErr w:type="spellEnd"/>
          </w:p>
          <w:p w:rsidR="009416FF" w:rsidRPr="002A2CC3" w:rsidRDefault="009416FF" w:rsidP="009416FF">
            <w:pPr>
              <w:keepNext/>
              <w:keepLines/>
              <w:tabs>
                <w:tab w:val="left" w:pos="-1440"/>
                <w:tab w:val="left" w:pos="-720"/>
              </w:tabs>
              <w:rPr>
                <w:sz w:val="20"/>
                <w:szCs w:val="20"/>
                <w:lang w:val="en-US"/>
              </w:rPr>
            </w:pPr>
            <w:r w:rsidRPr="002A2CC3">
              <w:rPr>
                <w:sz w:val="20"/>
                <w:szCs w:val="20"/>
                <w:lang w:val="en-US"/>
              </w:rPr>
              <w:tab/>
            </w:r>
            <w:proofErr w:type="spellStart"/>
            <w:r w:rsidRPr="002A2CC3">
              <w:rPr>
                <w:sz w:val="20"/>
                <w:szCs w:val="20"/>
                <w:lang w:val="en-US"/>
              </w:rPr>
              <w:t>Koskie</w:t>
            </w:r>
            <w:proofErr w:type="spellEnd"/>
            <w:r w:rsidRPr="002A2CC3">
              <w:rPr>
                <w:sz w:val="20"/>
                <w:szCs w:val="20"/>
                <w:lang w:val="en-US"/>
              </w:rPr>
              <w:t xml:space="preserve"> </w:t>
            </w:r>
            <w:proofErr w:type="spellStart"/>
            <w:r w:rsidRPr="002A2CC3">
              <w:rPr>
                <w:sz w:val="20"/>
                <w:szCs w:val="20"/>
                <w:lang w:val="en-US"/>
              </w:rPr>
              <w:t>Minsky</w:t>
            </w:r>
            <w:proofErr w:type="spellEnd"/>
            <w:r w:rsidRPr="002A2CC3">
              <w:rPr>
                <w:sz w:val="20"/>
                <w:szCs w:val="20"/>
                <w:lang w:val="en-US"/>
              </w:rPr>
              <w:t xml:space="preserve"> LLP</w:t>
            </w:r>
          </w:p>
          <w:p w:rsidR="009416FF" w:rsidRPr="002A2CC3" w:rsidRDefault="009416FF" w:rsidP="009416FF">
            <w:pPr>
              <w:keepNext/>
              <w:keepLines/>
              <w:tabs>
                <w:tab w:val="left" w:pos="-1440"/>
                <w:tab w:val="left" w:pos="-720"/>
              </w:tabs>
              <w:rPr>
                <w:sz w:val="20"/>
                <w:szCs w:val="20"/>
                <w:lang w:val="en-US"/>
              </w:rPr>
            </w:pPr>
          </w:p>
          <w:p w:rsidR="009416FF" w:rsidRPr="002A2CC3" w:rsidRDefault="009416FF" w:rsidP="009416FF">
            <w:pPr>
              <w:rPr>
                <w:sz w:val="20"/>
                <w:szCs w:val="20"/>
                <w:lang w:val="en-US"/>
              </w:rPr>
            </w:pPr>
            <w:r w:rsidRPr="002A2CC3">
              <w:rPr>
                <w:sz w:val="20"/>
                <w:szCs w:val="20"/>
                <w:lang w:val="en-US"/>
              </w:rPr>
              <w:t>FILING DATE: 17.</w:t>
            </w:r>
            <w:r>
              <w:rPr>
                <w:sz w:val="20"/>
                <w:szCs w:val="20"/>
                <w:lang w:val="en-US"/>
              </w:rPr>
              <w:t>11</w:t>
            </w:r>
            <w:r w:rsidRPr="002A2CC3">
              <w:rPr>
                <w:sz w:val="20"/>
                <w:szCs w:val="20"/>
                <w:lang w:val="en-US"/>
              </w:rPr>
              <w:t>.201</w:t>
            </w:r>
            <w:r>
              <w:rPr>
                <w:sz w:val="20"/>
                <w:szCs w:val="20"/>
                <w:lang w:val="en-US"/>
              </w:rPr>
              <w:t>1</w:t>
            </w:r>
          </w:p>
          <w:p w:rsidR="00242AEE" w:rsidRPr="00A935AA" w:rsidRDefault="00DB7F13" w:rsidP="00400859">
            <w:pPr>
              <w:rPr>
                <w:sz w:val="20"/>
                <w:szCs w:val="20"/>
              </w:rPr>
            </w:pPr>
            <w:r w:rsidRPr="00DB7F13">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35F2E">
          <w:headerReference w:type="default" r:id="rId14"/>
          <w:footerReference w:type="default" r:id="rId15"/>
          <w:headerReference w:type="first" r:id="rId16"/>
          <w:footerReference w:type="first" r:id="rId17"/>
          <w:pgSz w:w="12240" w:h="15840"/>
          <w:pgMar w:top="720" w:right="965" w:bottom="1080" w:left="1656" w:header="706" w:footer="706" w:gutter="0"/>
          <w:pgNumType w:start="187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FF4B6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B83460" w:rsidP="004B7F60">
      <w:pPr>
        <w:widowControl w:val="0"/>
        <w:rPr>
          <w:b/>
          <w:sz w:val="20"/>
          <w:szCs w:val="20"/>
        </w:rPr>
      </w:pPr>
      <w:r>
        <w:rPr>
          <w:b/>
          <w:sz w:val="20"/>
          <w:szCs w:val="20"/>
        </w:rPr>
        <w:t>DEC</w:t>
      </w:r>
      <w:r w:rsidR="004B7F60">
        <w:rPr>
          <w:b/>
          <w:sz w:val="20"/>
          <w:szCs w:val="20"/>
        </w:rPr>
        <w:t>EMBER</w:t>
      </w:r>
      <w:r w:rsidR="004B7F60" w:rsidRPr="00C50A5C">
        <w:rPr>
          <w:b/>
          <w:sz w:val="20"/>
          <w:szCs w:val="20"/>
        </w:rPr>
        <w:t xml:space="preserve"> </w:t>
      </w:r>
      <w:r>
        <w:rPr>
          <w:b/>
          <w:sz w:val="20"/>
          <w:szCs w:val="20"/>
        </w:rPr>
        <w:t>12</w:t>
      </w:r>
      <w:r w:rsidR="004B7F60" w:rsidRPr="00C50A5C">
        <w:rPr>
          <w:b/>
          <w:sz w:val="20"/>
          <w:szCs w:val="20"/>
        </w:rPr>
        <w:t>, 201</w:t>
      </w:r>
      <w:r w:rsidR="004B7F60">
        <w:rPr>
          <w:b/>
          <w:sz w:val="20"/>
          <w:szCs w:val="20"/>
        </w:rPr>
        <w:t>1</w:t>
      </w:r>
      <w:r w:rsidR="004B7F60" w:rsidRPr="00C50A5C">
        <w:rPr>
          <w:b/>
          <w:sz w:val="20"/>
          <w:szCs w:val="20"/>
        </w:rPr>
        <w:t xml:space="preserve"> / LE </w:t>
      </w:r>
      <w:r>
        <w:rPr>
          <w:b/>
          <w:sz w:val="20"/>
          <w:szCs w:val="20"/>
        </w:rPr>
        <w:t>12 DÉC</w:t>
      </w:r>
      <w:r w:rsidR="004B7F60">
        <w:rPr>
          <w:b/>
          <w:sz w:val="20"/>
          <w:szCs w:val="20"/>
        </w:rPr>
        <w:t>EMBRE</w:t>
      </w:r>
      <w:r w:rsidR="004B7F60" w:rsidRPr="00C50A5C">
        <w:rPr>
          <w:b/>
          <w:sz w:val="20"/>
          <w:szCs w:val="20"/>
        </w:rPr>
        <w:t xml:space="preserve"> 201</w:t>
      </w:r>
      <w:r w:rsidR="004B7F60">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Default="004B7F60" w:rsidP="004B7F60">
      <w:pPr>
        <w:widowControl w:val="0"/>
        <w:rPr>
          <w:sz w:val="20"/>
          <w:szCs w:val="20"/>
          <w:lang w:val="fr-CA"/>
        </w:rPr>
      </w:pPr>
    </w:p>
    <w:p w:rsidR="00741F70" w:rsidRDefault="00741F70" w:rsidP="004B7F60">
      <w:pPr>
        <w:widowControl w:val="0"/>
        <w:rPr>
          <w:sz w:val="20"/>
          <w:szCs w:val="20"/>
          <w:lang w:val="fr-CA"/>
        </w:rPr>
      </w:pPr>
    </w:p>
    <w:p w:rsidR="00741F70" w:rsidRPr="005122B2" w:rsidRDefault="00741F70" w:rsidP="005122B2">
      <w:pPr>
        <w:pStyle w:val="ListParagraph"/>
        <w:numPr>
          <w:ilvl w:val="0"/>
          <w:numId w:val="5"/>
        </w:numPr>
        <w:ind w:hanging="720"/>
        <w:rPr>
          <w:sz w:val="20"/>
          <w:szCs w:val="20"/>
        </w:rPr>
      </w:pPr>
      <w:r w:rsidRPr="005122B2">
        <w:rPr>
          <w:i/>
          <w:sz w:val="20"/>
          <w:szCs w:val="20"/>
        </w:rPr>
        <w:t xml:space="preserve">Jeffrey Allan </w:t>
      </w:r>
      <w:proofErr w:type="spellStart"/>
      <w:r w:rsidRPr="005122B2">
        <w:rPr>
          <w:i/>
          <w:sz w:val="20"/>
          <w:szCs w:val="20"/>
        </w:rPr>
        <w:t>Ashmore</w:t>
      </w:r>
      <w:proofErr w:type="spellEnd"/>
      <w:r w:rsidR="005122B2" w:rsidRPr="005122B2">
        <w:rPr>
          <w:i/>
          <w:sz w:val="20"/>
          <w:szCs w:val="20"/>
        </w:rPr>
        <w:t xml:space="preserve"> v</w:t>
      </w:r>
      <w:r w:rsidRPr="005122B2">
        <w:rPr>
          <w:i/>
          <w:sz w:val="20"/>
          <w:szCs w:val="20"/>
        </w:rPr>
        <w:t>.</w:t>
      </w:r>
      <w:r w:rsidR="005122B2" w:rsidRPr="005122B2">
        <w:rPr>
          <w:i/>
          <w:sz w:val="20"/>
          <w:szCs w:val="20"/>
        </w:rPr>
        <w:t xml:space="preserve"> </w:t>
      </w:r>
      <w:r w:rsidRPr="005122B2">
        <w:rPr>
          <w:i/>
          <w:sz w:val="20"/>
          <w:szCs w:val="20"/>
        </w:rPr>
        <w:t>Her Majesty the Queen</w:t>
      </w:r>
      <w:r w:rsidR="005122B2" w:rsidRPr="005122B2">
        <w:rPr>
          <w:sz w:val="20"/>
          <w:szCs w:val="20"/>
        </w:rPr>
        <w:t xml:space="preserve"> </w:t>
      </w:r>
      <w:r w:rsidRPr="005122B2">
        <w:rPr>
          <w:sz w:val="20"/>
          <w:szCs w:val="20"/>
        </w:rPr>
        <w:t>(B.C.) (Crim</w:t>
      </w:r>
      <w:r w:rsidR="00C814E7">
        <w:rPr>
          <w:sz w:val="20"/>
          <w:szCs w:val="20"/>
        </w:rPr>
        <w:t>.</w:t>
      </w:r>
      <w:r w:rsidRPr="005122B2">
        <w:rPr>
          <w:sz w:val="20"/>
          <w:szCs w:val="20"/>
        </w:rPr>
        <w:t>) (By Leave</w:t>
      </w:r>
      <w:r w:rsidR="005122B2" w:rsidRPr="005122B2">
        <w:rPr>
          <w:sz w:val="20"/>
          <w:szCs w:val="20"/>
        </w:rPr>
        <w:t>) (</w:t>
      </w:r>
      <w:r w:rsidRPr="005122B2">
        <w:rPr>
          <w:sz w:val="20"/>
          <w:szCs w:val="20"/>
        </w:rPr>
        <w:t>34318</w:t>
      </w:r>
      <w:r w:rsidR="005122B2" w:rsidRPr="005122B2">
        <w:rPr>
          <w:sz w:val="20"/>
          <w:szCs w:val="20"/>
        </w:rPr>
        <w:t>)</w:t>
      </w:r>
    </w:p>
    <w:p w:rsidR="00741F70" w:rsidRPr="005122B2" w:rsidRDefault="00741F70" w:rsidP="005122B2">
      <w:pPr>
        <w:widowControl w:val="0"/>
        <w:ind w:left="720" w:hanging="720"/>
        <w:rPr>
          <w:sz w:val="20"/>
          <w:szCs w:val="20"/>
        </w:rPr>
      </w:pPr>
    </w:p>
    <w:p w:rsidR="00741F70" w:rsidRPr="00C814E7" w:rsidRDefault="00741F70" w:rsidP="005122B2">
      <w:pPr>
        <w:pStyle w:val="SCCAppellantInfoAppellantInfo"/>
        <w:numPr>
          <w:ilvl w:val="0"/>
          <w:numId w:val="5"/>
        </w:numPr>
        <w:ind w:hanging="720"/>
        <w:rPr>
          <w:sz w:val="20"/>
          <w:szCs w:val="20"/>
        </w:rPr>
      </w:pPr>
      <w:r w:rsidRPr="00C814E7">
        <w:rPr>
          <w:i/>
          <w:sz w:val="20"/>
          <w:szCs w:val="20"/>
        </w:rPr>
        <w:t>Her Majesty the Queen in Right of British Columbia as represented by Al Hoffma</w:t>
      </w:r>
      <w:r w:rsidR="00916421">
        <w:rPr>
          <w:i/>
          <w:sz w:val="20"/>
          <w:szCs w:val="20"/>
        </w:rPr>
        <w:t xml:space="preserve">n, Chief Inspector of Mines </w:t>
      </w:r>
      <w:r w:rsidRPr="00C814E7">
        <w:rPr>
          <w:i/>
          <w:sz w:val="20"/>
          <w:szCs w:val="20"/>
        </w:rPr>
        <w:t>et al.</w:t>
      </w:r>
      <w:r w:rsidR="005122B2" w:rsidRPr="00C814E7">
        <w:rPr>
          <w:i/>
          <w:sz w:val="20"/>
          <w:szCs w:val="20"/>
        </w:rPr>
        <w:t xml:space="preserve"> </w:t>
      </w:r>
      <w:r w:rsidRPr="00C814E7">
        <w:rPr>
          <w:i/>
          <w:sz w:val="20"/>
          <w:szCs w:val="20"/>
        </w:rPr>
        <w:t>v.</w:t>
      </w:r>
      <w:r w:rsidR="005122B2" w:rsidRPr="00C814E7">
        <w:rPr>
          <w:i/>
          <w:sz w:val="20"/>
          <w:szCs w:val="20"/>
        </w:rPr>
        <w:t xml:space="preserve"> </w:t>
      </w:r>
      <w:r w:rsidRPr="00C814E7">
        <w:rPr>
          <w:i/>
          <w:sz w:val="20"/>
          <w:szCs w:val="20"/>
        </w:rPr>
        <w:t xml:space="preserve">Chief Roland </w:t>
      </w:r>
      <w:proofErr w:type="spellStart"/>
      <w:r w:rsidRPr="00C814E7">
        <w:rPr>
          <w:i/>
          <w:sz w:val="20"/>
          <w:szCs w:val="20"/>
        </w:rPr>
        <w:t>Willson</w:t>
      </w:r>
      <w:proofErr w:type="spellEnd"/>
      <w:r w:rsidRPr="00C814E7">
        <w:rPr>
          <w:i/>
          <w:sz w:val="20"/>
          <w:szCs w:val="20"/>
        </w:rPr>
        <w:t xml:space="preserve"> on his Own Behalf and on Behalf of all the Members of West Moberly First Nations and the West Moberly First Nations et al.</w:t>
      </w:r>
      <w:r w:rsidR="005122B2" w:rsidRPr="00C814E7">
        <w:rPr>
          <w:sz w:val="20"/>
          <w:szCs w:val="20"/>
        </w:rPr>
        <w:t xml:space="preserve"> </w:t>
      </w:r>
      <w:r w:rsidRPr="00C814E7">
        <w:rPr>
          <w:sz w:val="20"/>
          <w:szCs w:val="20"/>
        </w:rPr>
        <w:t>(B.C.) (Civil) (By Leave)</w:t>
      </w:r>
      <w:r w:rsidR="005122B2" w:rsidRPr="00C814E7">
        <w:rPr>
          <w:sz w:val="20"/>
          <w:szCs w:val="20"/>
        </w:rPr>
        <w:t>(</w:t>
      </w:r>
      <w:r w:rsidRPr="00C814E7">
        <w:rPr>
          <w:sz w:val="20"/>
          <w:szCs w:val="20"/>
        </w:rPr>
        <w:t>34403</w:t>
      </w:r>
      <w:r w:rsidR="005122B2" w:rsidRPr="00C814E7">
        <w:rPr>
          <w:sz w:val="20"/>
          <w:szCs w:val="20"/>
        </w:rPr>
        <w:t>)</w:t>
      </w:r>
    </w:p>
    <w:p w:rsidR="00741F70" w:rsidRPr="005122B2" w:rsidRDefault="00741F70" w:rsidP="005122B2">
      <w:pPr>
        <w:widowControl w:val="0"/>
        <w:ind w:left="720" w:hanging="720"/>
        <w:rPr>
          <w:sz w:val="20"/>
          <w:szCs w:val="20"/>
        </w:rPr>
      </w:pPr>
    </w:p>
    <w:p w:rsidR="00741F70" w:rsidRPr="005122B2" w:rsidRDefault="00741F70" w:rsidP="005122B2">
      <w:pPr>
        <w:pStyle w:val="SCCAppellantInfoAppellantInfo"/>
        <w:numPr>
          <w:ilvl w:val="0"/>
          <w:numId w:val="5"/>
        </w:numPr>
        <w:ind w:hanging="720"/>
        <w:rPr>
          <w:sz w:val="20"/>
          <w:szCs w:val="20"/>
        </w:rPr>
      </w:pPr>
      <w:proofErr w:type="spellStart"/>
      <w:r w:rsidRPr="005122B2">
        <w:rPr>
          <w:i/>
          <w:sz w:val="20"/>
          <w:szCs w:val="20"/>
        </w:rPr>
        <w:t>Jigarkumar</w:t>
      </w:r>
      <w:proofErr w:type="spellEnd"/>
      <w:r w:rsidRPr="005122B2">
        <w:rPr>
          <w:i/>
          <w:sz w:val="20"/>
          <w:szCs w:val="20"/>
        </w:rPr>
        <w:t xml:space="preserve"> Patel v. Minister of Citizenship and Immigration</w:t>
      </w:r>
      <w:r w:rsidRPr="005122B2">
        <w:rPr>
          <w:sz w:val="20"/>
          <w:szCs w:val="20"/>
        </w:rPr>
        <w:t xml:space="preserve"> (F</w:t>
      </w:r>
      <w:r w:rsidR="00916421">
        <w:rPr>
          <w:sz w:val="20"/>
          <w:szCs w:val="20"/>
        </w:rPr>
        <w:t>.</w:t>
      </w:r>
      <w:r w:rsidRPr="005122B2">
        <w:rPr>
          <w:sz w:val="20"/>
          <w:szCs w:val="20"/>
        </w:rPr>
        <w:t>C</w:t>
      </w:r>
      <w:r w:rsidR="00916421">
        <w:rPr>
          <w:sz w:val="20"/>
          <w:szCs w:val="20"/>
        </w:rPr>
        <w:t>.</w:t>
      </w:r>
      <w:r w:rsidRPr="005122B2">
        <w:rPr>
          <w:sz w:val="20"/>
          <w:szCs w:val="20"/>
        </w:rPr>
        <w:t>) (Civil) (By Leave)</w:t>
      </w:r>
      <w:r w:rsidR="005122B2" w:rsidRPr="005122B2">
        <w:rPr>
          <w:sz w:val="20"/>
          <w:szCs w:val="20"/>
        </w:rPr>
        <w:t xml:space="preserve"> (34411)</w:t>
      </w:r>
    </w:p>
    <w:p w:rsidR="00B31C78" w:rsidRPr="00916421" w:rsidRDefault="00B31C78" w:rsidP="00B31C78">
      <w:pPr>
        <w:widowControl w:val="0"/>
        <w:jc w:val="both"/>
        <w:rPr>
          <w:sz w:val="20"/>
          <w:szCs w:val="20"/>
          <w:lang w:val="en-US"/>
        </w:rPr>
      </w:pPr>
    </w:p>
    <w:p w:rsidR="00B31C78" w:rsidRPr="00916421" w:rsidRDefault="00B31C78" w:rsidP="00B31C78">
      <w:pPr>
        <w:widowControl w:val="0"/>
        <w:jc w:val="both"/>
        <w:rPr>
          <w:sz w:val="20"/>
          <w:szCs w:val="20"/>
          <w:lang w:val="en-US"/>
        </w:rPr>
      </w:pPr>
    </w:p>
    <w:p w:rsidR="00B31C78" w:rsidRPr="00B31C78" w:rsidRDefault="00B31C78" w:rsidP="00B31C78">
      <w:pPr>
        <w:widowControl w:val="0"/>
        <w:jc w:val="center"/>
        <w:rPr>
          <w:b/>
          <w:sz w:val="20"/>
          <w:szCs w:val="20"/>
        </w:rPr>
      </w:pPr>
      <w:r w:rsidRPr="00B31C78">
        <w:rPr>
          <w:b/>
          <w:sz w:val="20"/>
          <w:szCs w:val="20"/>
        </w:rPr>
        <w:t xml:space="preserve">CORAM: </w:t>
      </w:r>
      <w:proofErr w:type="spellStart"/>
      <w:r w:rsidRPr="00B31C78">
        <w:rPr>
          <w:b/>
          <w:sz w:val="20"/>
          <w:szCs w:val="20"/>
        </w:rPr>
        <w:t>LeBel</w:t>
      </w:r>
      <w:proofErr w:type="spellEnd"/>
      <w:r w:rsidRPr="00B31C78">
        <w:rPr>
          <w:b/>
          <w:sz w:val="20"/>
          <w:szCs w:val="20"/>
        </w:rPr>
        <w:t xml:space="preserve">, </w:t>
      </w:r>
      <w:proofErr w:type="spellStart"/>
      <w:r w:rsidRPr="00B31C78">
        <w:rPr>
          <w:b/>
          <w:sz w:val="20"/>
          <w:szCs w:val="20"/>
        </w:rPr>
        <w:t>Abella</w:t>
      </w:r>
      <w:proofErr w:type="spellEnd"/>
      <w:r w:rsidRPr="00B31C78">
        <w:rPr>
          <w:b/>
          <w:sz w:val="20"/>
          <w:szCs w:val="20"/>
        </w:rPr>
        <w:t xml:space="preserve"> and Cromwell JJ.</w:t>
      </w:r>
    </w:p>
    <w:p w:rsidR="00B31C78" w:rsidRPr="00B31C78" w:rsidRDefault="00B31C78" w:rsidP="00B31C78">
      <w:pPr>
        <w:widowControl w:val="0"/>
        <w:jc w:val="center"/>
        <w:rPr>
          <w:b/>
          <w:sz w:val="20"/>
          <w:szCs w:val="20"/>
          <w:lang w:val="fr-CA"/>
        </w:rPr>
      </w:pPr>
      <w:r w:rsidRPr="00B31C78">
        <w:rPr>
          <w:b/>
          <w:sz w:val="20"/>
          <w:szCs w:val="20"/>
          <w:lang w:val="fr-CA"/>
        </w:rPr>
        <w:t xml:space="preserve">Les juges </w:t>
      </w:r>
      <w:proofErr w:type="spellStart"/>
      <w:r w:rsidRPr="00B31C78">
        <w:rPr>
          <w:b/>
          <w:sz w:val="20"/>
          <w:szCs w:val="20"/>
          <w:lang w:val="fr-CA"/>
        </w:rPr>
        <w:t>LeBel</w:t>
      </w:r>
      <w:proofErr w:type="spellEnd"/>
      <w:r w:rsidRPr="00B31C78">
        <w:rPr>
          <w:b/>
          <w:sz w:val="20"/>
          <w:szCs w:val="20"/>
          <w:lang w:val="fr-CA"/>
        </w:rPr>
        <w:t>, Abella et Cromwell</w:t>
      </w:r>
    </w:p>
    <w:p w:rsidR="005122B2" w:rsidRPr="00714798" w:rsidRDefault="005122B2" w:rsidP="004B7F60">
      <w:pPr>
        <w:widowControl w:val="0"/>
        <w:rPr>
          <w:sz w:val="20"/>
          <w:szCs w:val="20"/>
          <w:lang w:val="fr-CA"/>
        </w:rPr>
      </w:pPr>
    </w:p>
    <w:p w:rsidR="00B31C78" w:rsidRPr="00714798" w:rsidRDefault="00B31C78" w:rsidP="004B7F60">
      <w:pPr>
        <w:widowControl w:val="0"/>
        <w:rPr>
          <w:sz w:val="20"/>
          <w:szCs w:val="20"/>
          <w:lang w:val="fr-CA"/>
        </w:rPr>
      </w:pPr>
    </w:p>
    <w:p w:rsidR="00D15977" w:rsidRPr="00B31C78" w:rsidRDefault="00D15977" w:rsidP="00B31C78">
      <w:pPr>
        <w:pStyle w:val="ListParagraph"/>
        <w:numPr>
          <w:ilvl w:val="0"/>
          <w:numId w:val="5"/>
        </w:numPr>
        <w:ind w:hanging="720"/>
        <w:rPr>
          <w:sz w:val="20"/>
          <w:szCs w:val="20"/>
        </w:rPr>
      </w:pPr>
      <w:r w:rsidRPr="00B31C78">
        <w:rPr>
          <w:i/>
          <w:sz w:val="20"/>
          <w:szCs w:val="20"/>
        </w:rPr>
        <w:t>Darcy Kim</w:t>
      </w:r>
      <w:r w:rsidR="003149D7" w:rsidRPr="00B31C78">
        <w:rPr>
          <w:i/>
          <w:sz w:val="20"/>
          <w:szCs w:val="20"/>
        </w:rPr>
        <w:t xml:space="preserve"> </w:t>
      </w:r>
      <w:r w:rsidRPr="00B31C78">
        <w:rPr>
          <w:i/>
          <w:sz w:val="20"/>
          <w:szCs w:val="20"/>
        </w:rPr>
        <w:t>v.</w:t>
      </w:r>
      <w:r w:rsidR="003149D7" w:rsidRPr="00B31C78">
        <w:rPr>
          <w:i/>
          <w:sz w:val="20"/>
          <w:szCs w:val="20"/>
        </w:rPr>
        <w:t xml:space="preserve"> </w:t>
      </w:r>
      <w:r w:rsidRPr="00B31C78">
        <w:rPr>
          <w:i/>
          <w:sz w:val="20"/>
          <w:szCs w:val="20"/>
        </w:rPr>
        <w:t>Her Majesty the Queen</w:t>
      </w:r>
      <w:r w:rsidR="003149D7" w:rsidRPr="00B31C78">
        <w:rPr>
          <w:i/>
          <w:sz w:val="20"/>
          <w:szCs w:val="20"/>
        </w:rPr>
        <w:t xml:space="preserve"> </w:t>
      </w:r>
      <w:r w:rsidR="003149D7" w:rsidRPr="00B31C78">
        <w:rPr>
          <w:sz w:val="20"/>
          <w:szCs w:val="20"/>
        </w:rPr>
        <w:t>(</w:t>
      </w:r>
      <w:r w:rsidRPr="00B31C78">
        <w:rPr>
          <w:sz w:val="20"/>
          <w:szCs w:val="20"/>
        </w:rPr>
        <w:t>Sask.) (Crim</w:t>
      </w:r>
      <w:r w:rsidR="00C814E7">
        <w:rPr>
          <w:sz w:val="20"/>
          <w:szCs w:val="20"/>
        </w:rPr>
        <w:t>.</w:t>
      </w:r>
      <w:r w:rsidRPr="00B31C78">
        <w:rPr>
          <w:sz w:val="20"/>
          <w:szCs w:val="20"/>
        </w:rPr>
        <w:t>) (By Leave)</w:t>
      </w:r>
      <w:r w:rsidR="003149D7" w:rsidRPr="00B31C78">
        <w:rPr>
          <w:sz w:val="20"/>
          <w:szCs w:val="20"/>
        </w:rPr>
        <w:t xml:space="preserve"> (</w:t>
      </w:r>
      <w:r w:rsidRPr="00B31C78">
        <w:rPr>
          <w:sz w:val="20"/>
          <w:szCs w:val="20"/>
        </w:rPr>
        <w:t>34436</w:t>
      </w:r>
      <w:r w:rsidR="003149D7" w:rsidRPr="00B31C78">
        <w:rPr>
          <w:sz w:val="20"/>
          <w:szCs w:val="20"/>
        </w:rPr>
        <w:t>)</w:t>
      </w:r>
    </w:p>
    <w:p w:rsidR="00741F70" w:rsidRPr="00B31C78" w:rsidRDefault="00741F70" w:rsidP="00B31C78">
      <w:pPr>
        <w:widowControl w:val="0"/>
        <w:ind w:left="720" w:hanging="720"/>
        <w:rPr>
          <w:sz w:val="20"/>
          <w:szCs w:val="20"/>
          <w:lang w:val="en-US"/>
        </w:rPr>
      </w:pPr>
    </w:p>
    <w:p w:rsidR="005122B2" w:rsidRPr="00B31C78" w:rsidRDefault="005122B2" w:rsidP="00B31C78">
      <w:pPr>
        <w:pStyle w:val="ListParagraph"/>
        <w:numPr>
          <w:ilvl w:val="0"/>
          <w:numId w:val="5"/>
        </w:numPr>
        <w:ind w:hanging="720"/>
        <w:rPr>
          <w:sz w:val="20"/>
          <w:szCs w:val="20"/>
          <w:lang w:val="fr-CA"/>
        </w:rPr>
      </w:pPr>
      <w:r w:rsidRPr="00B31C78">
        <w:rPr>
          <w:i/>
          <w:sz w:val="20"/>
          <w:szCs w:val="20"/>
          <w:lang w:val="fr-CA"/>
        </w:rPr>
        <w:t xml:space="preserve">Erika S. </w:t>
      </w:r>
      <w:proofErr w:type="spellStart"/>
      <w:r w:rsidRPr="00B31C78">
        <w:rPr>
          <w:i/>
          <w:sz w:val="20"/>
          <w:szCs w:val="20"/>
          <w:lang w:val="fr-CA"/>
        </w:rPr>
        <w:t>Tiedemann</w:t>
      </w:r>
      <w:proofErr w:type="spellEnd"/>
      <w:r w:rsidR="003149D7" w:rsidRPr="00B31C78">
        <w:rPr>
          <w:i/>
          <w:sz w:val="20"/>
          <w:szCs w:val="20"/>
          <w:lang w:val="fr-CA"/>
        </w:rPr>
        <w:t xml:space="preserve"> v</w:t>
      </w:r>
      <w:r w:rsidRPr="00B31C78">
        <w:rPr>
          <w:i/>
          <w:sz w:val="20"/>
          <w:szCs w:val="20"/>
          <w:lang w:val="fr-CA"/>
        </w:rPr>
        <w:t>.</w:t>
      </w:r>
      <w:r w:rsidR="003149D7" w:rsidRPr="00B31C78">
        <w:rPr>
          <w:i/>
          <w:sz w:val="20"/>
          <w:szCs w:val="20"/>
          <w:lang w:val="fr-CA"/>
        </w:rPr>
        <w:t xml:space="preserve"> </w:t>
      </w:r>
      <w:r w:rsidRPr="00B31C78">
        <w:rPr>
          <w:i/>
          <w:sz w:val="20"/>
          <w:szCs w:val="20"/>
          <w:lang w:val="fr-CA"/>
        </w:rPr>
        <w:t>Agence du Revenu du Québec</w:t>
      </w:r>
      <w:r w:rsidR="003149D7" w:rsidRPr="00B31C78">
        <w:rPr>
          <w:i/>
          <w:sz w:val="20"/>
          <w:szCs w:val="20"/>
          <w:lang w:val="fr-CA"/>
        </w:rPr>
        <w:t xml:space="preserve"> </w:t>
      </w:r>
      <w:r w:rsidRPr="00B31C78">
        <w:rPr>
          <w:sz w:val="20"/>
          <w:szCs w:val="20"/>
          <w:lang w:val="fr-CA"/>
        </w:rPr>
        <w:t>(</w:t>
      </w:r>
      <w:r w:rsidR="00C814E7">
        <w:rPr>
          <w:sz w:val="20"/>
          <w:szCs w:val="20"/>
          <w:lang w:val="fr-CA"/>
        </w:rPr>
        <w:t>Que.) (</w:t>
      </w:r>
      <w:proofErr w:type="spellStart"/>
      <w:r w:rsidR="00C814E7">
        <w:rPr>
          <w:sz w:val="20"/>
          <w:szCs w:val="20"/>
          <w:lang w:val="fr-CA"/>
        </w:rPr>
        <w:t>Crim</w:t>
      </w:r>
      <w:proofErr w:type="spellEnd"/>
      <w:r w:rsidR="00C814E7">
        <w:rPr>
          <w:sz w:val="20"/>
          <w:szCs w:val="20"/>
          <w:lang w:val="fr-CA"/>
        </w:rPr>
        <w:t>.</w:t>
      </w:r>
      <w:r w:rsidRPr="00B31C78">
        <w:rPr>
          <w:sz w:val="20"/>
          <w:szCs w:val="20"/>
          <w:lang w:val="fr-CA"/>
        </w:rPr>
        <w:t xml:space="preserve">) (By </w:t>
      </w:r>
      <w:proofErr w:type="spellStart"/>
      <w:r w:rsidRPr="00B31C78">
        <w:rPr>
          <w:sz w:val="20"/>
          <w:szCs w:val="20"/>
          <w:lang w:val="fr-CA"/>
        </w:rPr>
        <w:t>Leave</w:t>
      </w:r>
      <w:proofErr w:type="spellEnd"/>
      <w:r w:rsidR="003149D7" w:rsidRPr="00B31C78">
        <w:rPr>
          <w:sz w:val="20"/>
          <w:szCs w:val="20"/>
          <w:lang w:val="fr-CA"/>
        </w:rPr>
        <w:t>) (</w:t>
      </w:r>
      <w:r w:rsidRPr="00B31C78">
        <w:rPr>
          <w:sz w:val="20"/>
          <w:szCs w:val="20"/>
          <w:lang w:val="fr-CA"/>
        </w:rPr>
        <w:t>34343</w:t>
      </w:r>
      <w:r w:rsidR="003149D7" w:rsidRPr="00B31C78">
        <w:rPr>
          <w:sz w:val="20"/>
          <w:szCs w:val="20"/>
          <w:lang w:val="fr-CA"/>
        </w:rPr>
        <w:t>)</w:t>
      </w:r>
    </w:p>
    <w:p w:rsidR="00741F70" w:rsidRPr="00B31C78" w:rsidRDefault="00741F70" w:rsidP="00B31C78">
      <w:pPr>
        <w:widowControl w:val="0"/>
        <w:ind w:left="720" w:hanging="720"/>
        <w:rPr>
          <w:sz w:val="20"/>
          <w:szCs w:val="20"/>
          <w:lang w:val="fr-CA"/>
        </w:rPr>
      </w:pPr>
    </w:p>
    <w:p w:rsidR="005122B2" w:rsidRPr="00B31C78" w:rsidRDefault="005122B2" w:rsidP="00B31C78">
      <w:pPr>
        <w:pStyle w:val="SCCAppellantInfoAppellantInfo"/>
        <w:numPr>
          <w:ilvl w:val="0"/>
          <w:numId w:val="5"/>
        </w:numPr>
        <w:ind w:hanging="720"/>
        <w:rPr>
          <w:sz w:val="20"/>
          <w:szCs w:val="20"/>
          <w:lang w:val="fr-CA"/>
        </w:rPr>
      </w:pPr>
      <w:r w:rsidRPr="00B31C78">
        <w:rPr>
          <w:i/>
          <w:sz w:val="20"/>
          <w:szCs w:val="20"/>
          <w:lang w:val="fr-CA"/>
        </w:rPr>
        <w:t>Fédération des travailleurs et travailleuses du Québec et a</w:t>
      </w:r>
      <w:r w:rsidR="00916421">
        <w:rPr>
          <w:i/>
          <w:sz w:val="20"/>
          <w:szCs w:val="20"/>
          <w:lang w:val="fr-CA"/>
        </w:rPr>
        <w:t>utres</w:t>
      </w:r>
      <w:r w:rsidR="003149D7" w:rsidRPr="00B31C78">
        <w:rPr>
          <w:i/>
          <w:sz w:val="20"/>
          <w:szCs w:val="20"/>
          <w:lang w:val="fr-CA"/>
        </w:rPr>
        <w:t xml:space="preserve"> </w:t>
      </w:r>
      <w:r w:rsidRPr="00B31C78">
        <w:rPr>
          <w:i/>
          <w:sz w:val="20"/>
          <w:szCs w:val="20"/>
          <w:lang w:val="fr-CA"/>
        </w:rPr>
        <w:t>c.</w:t>
      </w:r>
      <w:r w:rsidR="003149D7" w:rsidRPr="00B31C78">
        <w:rPr>
          <w:i/>
          <w:sz w:val="20"/>
          <w:szCs w:val="20"/>
          <w:lang w:val="fr-CA"/>
        </w:rPr>
        <w:t xml:space="preserve"> </w:t>
      </w:r>
      <w:r w:rsidRPr="00B31C78">
        <w:rPr>
          <w:i/>
          <w:sz w:val="20"/>
          <w:szCs w:val="20"/>
          <w:lang w:val="fr-CA"/>
        </w:rPr>
        <w:t>Procureur général du Québec et a</w:t>
      </w:r>
      <w:r w:rsidR="00916421">
        <w:rPr>
          <w:i/>
          <w:sz w:val="20"/>
          <w:szCs w:val="20"/>
          <w:lang w:val="fr-CA"/>
        </w:rPr>
        <w:t>utre</w:t>
      </w:r>
      <w:r w:rsidR="003149D7" w:rsidRPr="00B31C78">
        <w:rPr>
          <w:sz w:val="20"/>
          <w:szCs w:val="20"/>
          <w:lang w:val="fr-CA"/>
        </w:rPr>
        <w:t xml:space="preserve"> </w:t>
      </w:r>
      <w:r w:rsidRPr="00B31C78">
        <w:rPr>
          <w:sz w:val="20"/>
          <w:szCs w:val="20"/>
          <w:lang w:val="fr-CA"/>
        </w:rPr>
        <w:t>(</w:t>
      </w:r>
      <w:proofErr w:type="spellStart"/>
      <w:r w:rsidRPr="00B31C78">
        <w:rPr>
          <w:sz w:val="20"/>
          <w:szCs w:val="20"/>
          <w:lang w:val="fr-CA"/>
        </w:rPr>
        <w:t>Qc</w:t>
      </w:r>
      <w:proofErr w:type="spellEnd"/>
      <w:r w:rsidRPr="00B31C78">
        <w:rPr>
          <w:sz w:val="20"/>
          <w:szCs w:val="20"/>
          <w:lang w:val="fr-CA"/>
        </w:rPr>
        <w:t>) (Civile) (Autorisation)</w:t>
      </w:r>
      <w:r w:rsidR="003149D7" w:rsidRPr="00B31C78">
        <w:rPr>
          <w:sz w:val="20"/>
          <w:szCs w:val="20"/>
          <w:lang w:val="fr-CA"/>
        </w:rPr>
        <w:t xml:space="preserve"> (</w:t>
      </w:r>
      <w:r w:rsidRPr="00B31C78">
        <w:rPr>
          <w:sz w:val="20"/>
          <w:szCs w:val="20"/>
          <w:lang w:val="fr-CA"/>
        </w:rPr>
        <w:t>34398</w:t>
      </w:r>
      <w:r w:rsidR="003149D7" w:rsidRPr="00B31C78">
        <w:rPr>
          <w:sz w:val="20"/>
          <w:szCs w:val="20"/>
          <w:lang w:val="fr-CA"/>
        </w:rPr>
        <w:t>)</w:t>
      </w:r>
    </w:p>
    <w:p w:rsidR="005122B2" w:rsidRDefault="005122B2" w:rsidP="004B7F60">
      <w:pPr>
        <w:widowControl w:val="0"/>
        <w:rPr>
          <w:sz w:val="20"/>
          <w:szCs w:val="20"/>
          <w:lang w:val="fr-CA"/>
        </w:rPr>
      </w:pPr>
    </w:p>
    <w:p w:rsidR="00B31C78" w:rsidRDefault="00B31C78" w:rsidP="004B7F60">
      <w:pPr>
        <w:widowControl w:val="0"/>
        <w:rPr>
          <w:sz w:val="20"/>
          <w:szCs w:val="20"/>
          <w:lang w:val="fr-CA"/>
        </w:rPr>
      </w:pPr>
    </w:p>
    <w:p w:rsidR="00B31C78" w:rsidRPr="00C50A5C" w:rsidRDefault="00B31C78" w:rsidP="00B31C78">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B31C78" w:rsidRPr="00C50A5C" w:rsidRDefault="00B31C78" w:rsidP="00B31C78">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B31C78" w:rsidRPr="00C50A5C" w:rsidRDefault="00B31C78" w:rsidP="00B31C78">
      <w:pPr>
        <w:widowControl w:val="0"/>
        <w:rPr>
          <w:sz w:val="20"/>
          <w:szCs w:val="20"/>
          <w:lang w:val="fr-CA"/>
        </w:rPr>
      </w:pPr>
    </w:p>
    <w:p w:rsidR="003149D7" w:rsidRPr="00B31C78" w:rsidRDefault="003149D7" w:rsidP="004B7F60">
      <w:pPr>
        <w:widowControl w:val="0"/>
        <w:rPr>
          <w:sz w:val="20"/>
          <w:szCs w:val="20"/>
          <w:lang w:val="fr-CA"/>
        </w:rPr>
      </w:pPr>
    </w:p>
    <w:p w:rsidR="003149D7" w:rsidRPr="00B31C78" w:rsidRDefault="003149D7" w:rsidP="00B31C78">
      <w:pPr>
        <w:pStyle w:val="SCCAppellantInfoAppellantInfo"/>
        <w:numPr>
          <w:ilvl w:val="0"/>
          <w:numId w:val="5"/>
        </w:numPr>
        <w:ind w:hanging="720"/>
        <w:rPr>
          <w:sz w:val="20"/>
          <w:szCs w:val="20"/>
          <w:lang w:val="fr-CA"/>
        </w:rPr>
      </w:pPr>
      <w:r w:rsidRPr="00B31C78">
        <w:rPr>
          <w:i/>
          <w:sz w:val="20"/>
          <w:szCs w:val="20"/>
          <w:lang w:val="fr-CA"/>
        </w:rPr>
        <w:t xml:space="preserve">Sa Majesté la Reine c. </w:t>
      </w:r>
      <w:proofErr w:type="spellStart"/>
      <w:r w:rsidRPr="00B31C78">
        <w:rPr>
          <w:i/>
          <w:sz w:val="20"/>
          <w:szCs w:val="20"/>
          <w:lang w:val="fr-CA"/>
        </w:rPr>
        <w:t>Alphide</w:t>
      </w:r>
      <w:proofErr w:type="spellEnd"/>
      <w:r w:rsidRPr="00B31C78">
        <w:rPr>
          <w:i/>
          <w:sz w:val="20"/>
          <w:szCs w:val="20"/>
          <w:lang w:val="fr-CA"/>
        </w:rPr>
        <w:t xml:space="preserve"> Manning </w:t>
      </w:r>
      <w:r w:rsidRPr="00B31C78">
        <w:rPr>
          <w:sz w:val="20"/>
          <w:szCs w:val="20"/>
          <w:lang w:val="fr-CA"/>
        </w:rPr>
        <w:t>(</w:t>
      </w:r>
      <w:proofErr w:type="spellStart"/>
      <w:r w:rsidRPr="00B31C78">
        <w:rPr>
          <w:sz w:val="20"/>
          <w:szCs w:val="20"/>
          <w:lang w:val="fr-CA"/>
        </w:rPr>
        <w:t>Qc</w:t>
      </w:r>
      <w:proofErr w:type="spellEnd"/>
      <w:r w:rsidRPr="00B31C78">
        <w:rPr>
          <w:sz w:val="20"/>
          <w:szCs w:val="20"/>
          <w:lang w:val="fr-CA"/>
        </w:rPr>
        <w:t>) (</w:t>
      </w:r>
      <w:proofErr w:type="spellStart"/>
      <w:r w:rsidRPr="00B31C78">
        <w:rPr>
          <w:sz w:val="20"/>
          <w:szCs w:val="20"/>
          <w:lang w:val="fr-CA"/>
        </w:rPr>
        <w:t>Crim</w:t>
      </w:r>
      <w:proofErr w:type="spellEnd"/>
      <w:r w:rsidR="00C814E7">
        <w:rPr>
          <w:sz w:val="20"/>
          <w:szCs w:val="20"/>
          <w:lang w:val="fr-CA"/>
        </w:rPr>
        <w:t>.</w:t>
      </w:r>
      <w:r w:rsidRPr="00B31C78">
        <w:rPr>
          <w:sz w:val="20"/>
          <w:szCs w:val="20"/>
          <w:lang w:val="fr-CA"/>
        </w:rPr>
        <w:t>) (Autorisation) (34358)</w:t>
      </w:r>
    </w:p>
    <w:p w:rsidR="005122B2" w:rsidRPr="00B31C78" w:rsidRDefault="005122B2" w:rsidP="00B31C78">
      <w:pPr>
        <w:widowControl w:val="0"/>
        <w:ind w:left="720" w:hanging="720"/>
        <w:rPr>
          <w:sz w:val="20"/>
          <w:szCs w:val="20"/>
          <w:lang w:val="fr-CA"/>
        </w:rPr>
      </w:pPr>
    </w:p>
    <w:p w:rsidR="003149D7" w:rsidRPr="00B31C78" w:rsidRDefault="003149D7" w:rsidP="00B31C78">
      <w:pPr>
        <w:pStyle w:val="SCCAppellantInfoAppellantInfo"/>
        <w:numPr>
          <w:ilvl w:val="0"/>
          <w:numId w:val="5"/>
        </w:numPr>
        <w:ind w:hanging="720"/>
        <w:rPr>
          <w:sz w:val="20"/>
          <w:szCs w:val="20"/>
          <w:lang w:val="fr-CA"/>
        </w:rPr>
      </w:pPr>
      <w:proofErr w:type="spellStart"/>
      <w:r w:rsidRPr="00B31C78">
        <w:rPr>
          <w:i/>
          <w:sz w:val="20"/>
          <w:szCs w:val="20"/>
          <w:lang w:val="fr-CA"/>
        </w:rPr>
        <w:t>Remstar</w:t>
      </w:r>
      <w:proofErr w:type="spellEnd"/>
      <w:r w:rsidRPr="00B31C78">
        <w:rPr>
          <w:i/>
          <w:sz w:val="20"/>
          <w:szCs w:val="20"/>
          <w:lang w:val="fr-CA"/>
        </w:rPr>
        <w:t xml:space="preserve"> Corporation c. Syndicat des employés-</w:t>
      </w:r>
      <w:proofErr w:type="gramStart"/>
      <w:r w:rsidRPr="00B31C78">
        <w:rPr>
          <w:i/>
          <w:sz w:val="20"/>
          <w:szCs w:val="20"/>
          <w:lang w:val="fr-CA"/>
        </w:rPr>
        <w:t>es</w:t>
      </w:r>
      <w:proofErr w:type="gramEnd"/>
      <w:r w:rsidRPr="00B31C78">
        <w:rPr>
          <w:i/>
          <w:sz w:val="20"/>
          <w:szCs w:val="20"/>
          <w:lang w:val="fr-CA"/>
        </w:rPr>
        <w:t xml:space="preserve"> de TQS Inc. (FNC-CSN</w:t>
      </w:r>
      <w:r w:rsidR="001B2E88">
        <w:rPr>
          <w:i/>
          <w:sz w:val="20"/>
          <w:szCs w:val="20"/>
          <w:lang w:val="fr-CA"/>
        </w:rPr>
        <w:t>)</w:t>
      </w:r>
      <w:r w:rsidRPr="00B31C78">
        <w:rPr>
          <w:i/>
          <w:sz w:val="20"/>
          <w:szCs w:val="20"/>
          <w:lang w:val="fr-CA"/>
        </w:rPr>
        <w:t xml:space="preserve"> et </w:t>
      </w:r>
      <w:r w:rsidR="001B2E88">
        <w:rPr>
          <w:i/>
          <w:sz w:val="20"/>
          <w:szCs w:val="20"/>
          <w:lang w:val="fr-CA"/>
        </w:rPr>
        <w:t>autres</w:t>
      </w:r>
      <w:r w:rsidRPr="00B31C78">
        <w:rPr>
          <w:i/>
          <w:sz w:val="20"/>
          <w:szCs w:val="20"/>
          <w:lang w:val="fr-CA"/>
        </w:rPr>
        <w:t xml:space="preserve"> </w:t>
      </w:r>
      <w:r w:rsidRPr="00B31C78">
        <w:rPr>
          <w:sz w:val="20"/>
          <w:szCs w:val="20"/>
          <w:lang w:val="fr-CA"/>
        </w:rPr>
        <w:t>(C</w:t>
      </w:r>
      <w:r w:rsidR="001B2E88">
        <w:rPr>
          <w:sz w:val="20"/>
          <w:szCs w:val="20"/>
          <w:lang w:val="fr-CA"/>
        </w:rPr>
        <w:t>.</w:t>
      </w:r>
      <w:r w:rsidRPr="00B31C78">
        <w:rPr>
          <w:sz w:val="20"/>
          <w:szCs w:val="20"/>
          <w:lang w:val="fr-CA"/>
        </w:rPr>
        <w:t>F</w:t>
      </w:r>
      <w:r w:rsidR="001B2E88">
        <w:rPr>
          <w:sz w:val="20"/>
          <w:szCs w:val="20"/>
          <w:lang w:val="fr-CA"/>
        </w:rPr>
        <w:t>.</w:t>
      </w:r>
      <w:r w:rsidRPr="00B31C78">
        <w:rPr>
          <w:sz w:val="20"/>
          <w:szCs w:val="20"/>
          <w:lang w:val="fr-CA"/>
        </w:rPr>
        <w:t>) (Civile) (Autorisation) (34405)</w:t>
      </w:r>
    </w:p>
    <w:p w:rsidR="003149D7" w:rsidRPr="00B31C78" w:rsidRDefault="003149D7" w:rsidP="00B31C78">
      <w:pPr>
        <w:widowControl w:val="0"/>
        <w:ind w:left="720" w:hanging="720"/>
        <w:rPr>
          <w:sz w:val="20"/>
          <w:szCs w:val="20"/>
          <w:lang w:val="fr-CA"/>
        </w:rPr>
      </w:pPr>
    </w:p>
    <w:p w:rsidR="003149D7" w:rsidRPr="00B31C78" w:rsidRDefault="003149D7" w:rsidP="00B31C78">
      <w:pPr>
        <w:pStyle w:val="SCCAppellantInfoAppellantInfo"/>
        <w:numPr>
          <w:ilvl w:val="0"/>
          <w:numId w:val="5"/>
        </w:numPr>
        <w:ind w:hanging="720"/>
        <w:rPr>
          <w:sz w:val="20"/>
          <w:szCs w:val="20"/>
          <w:lang w:val="fr-CA"/>
        </w:rPr>
      </w:pPr>
      <w:r w:rsidRPr="00B31C78">
        <w:rPr>
          <w:i/>
          <w:sz w:val="20"/>
          <w:szCs w:val="20"/>
          <w:lang w:val="fr-CA"/>
        </w:rPr>
        <w:t xml:space="preserve">Hubert </w:t>
      </w:r>
      <w:proofErr w:type="spellStart"/>
      <w:r w:rsidRPr="00B31C78">
        <w:rPr>
          <w:i/>
          <w:sz w:val="20"/>
          <w:szCs w:val="20"/>
          <w:lang w:val="fr-CA"/>
        </w:rPr>
        <w:t>Wallot</w:t>
      </w:r>
      <w:proofErr w:type="spellEnd"/>
      <w:r w:rsidRPr="00B31C78">
        <w:rPr>
          <w:i/>
          <w:sz w:val="20"/>
          <w:szCs w:val="20"/>
          <w:lang w:val="fr-CA"/>
        </w:rPr>
        <w:t xml:space="preserve"> et a</w:t>
      </w:r>
      <w:r w:rsidR="001B2E88">
        <w:rPr>
          <w:i/>
          <w:sz w:val="20"/>
          <w:szCs w:val="20"/>
          <w:lang w:val="fr-CA"/>
        </w:rPr>
        <w:t>utres</w:t>
      </w:r>
      <w:r w:rsidRPr="00B31C78">
        <w:rPr>
          <w:i/>
          <w:sz w:val="20"/>
          <w:szCs w:val="20"/>
          <w:lang w:val="fr-CA"/>
        </w:rPr>
        <w:t xml:space="preserve"> c. Ville de Québec </w:t>
      </w:r>
      <w:r w:rsidRPr="00B31C78">
        <w:rPr>
          <w:sz w:val="20"/>
          <w:szCs w:val="20"/>
          <w:lang w:val="fr-CA"/>
        </w:rPr>
        <w:t>(</w:t>
      </w:r>
      <w:proofErr w:type="spellStart"/>
      <w:r w:rsidRPr="00B31C78">
        <w:rPr>
          <w:sz w:val="20"/>
          <w:szCs w:val="20"/>
          <w:lang w:val="fr-CA"/>
        </w:rPr>
        <w:t>Qc</w:t>
      </w:r>
      <w:proofErr w:type="spellEnd"/>
      <w:r w:rsidRPr="00B31C78">
        <w:rPr>
          <w:sz w:val="20"/>
          <w:szCs w:val="20"/>
          <w:lang w:val="fr-CA"/>
        </w:rPr>
        <w:t>) (Civile) (Autorisation) (34440)</w:t>
      </w:r>
    </w:p>
    <w:p w:rsidR="00741F70" w:rsidRPr="003149D7" w:rsidRDefault="00741F70" w:rsidP="004B7F60">
      <w:pPr>
        <w:widowControl w:val="0"/>
        <w:rPr>
          <w:sz w:val="20"/>
          <w:szCs w:val="20"/>
          <w:lang w:val="fr-CA"/>
        </w:rPr>
      </w:pPr>
    </w:p>
    <w:p w:rsidR="001B2E88" w:rsidRPr="00714798" w:rsidRDefault="001B2E88" w:rsidP="002E2327">
      <w:pPr>
        <w:widowControl w:val="0"/>
        <w:rPr>
          <w:sz w:val="20"/>
          <w:szCs w:val="20"/>
          <w:lang w:val="fr-CA"/>
        </w:rPr>
      </w:pPr>
    </w:p>
    <w:p w:rsidR="002E2327" w:rsidRPr="00C50A5C" w:rsidRDefault="00DB7F13" w:rsidP="002E2327">
      <w:pPr>
        <w:widowControl w:val="0"/>
        <w:rPr>
          <w:sz w:val="20"/>
          <w:szCs w:val="20"/>
        </w:rPr>
      </w:pPr>
      <w:r w:rsidRPr="00DB7F13">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FF4B6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16D3C" w:rsidP="008D292F">
      <w:pPr>
        <w:rPr>
          <w:b/>
          <w:sz w:val="20"/>
          <w:szCs w:val="20"/>
        </w:rPr>
      </w:pPr>
      <w:r>
        <w:rPr>
          <w:b/>
          <w:sz w:val="20"/>
          <w:szCs w:val="20"/>
        </w:rPr>
        <w:t>DECEMBER</w:t>
      </w:r>
      <w:r w:rsidR="008D292F" w:rsidRPr="00C50A5C">
        <w:rPr>
          <w:b/>
          <w:sz w:val="20"/>
          <w:szCs w:val="20"/>
        </w:rPr>
        <w:t xml:space="preserve"> </w:t>
      </w:r>
      <w:r>
        <w:rPr>
          <w:b/>
          <w:sz w:val="20"/>
          <w:szCs w:val="20"/>
        </w:rPr>
        <w:t>15</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15</w:t>
      </w:r>
      <w:r w:rsidR="008D292F" w:rsidRPr="00C50A5C">
        <w:rPr>
          <w:b/>
          <w:sz w:val="20"/>
          <w:szCs w:val="20"/>
        </w:rPr>
        <w:t xml:space="preserve"> </w:t>
      </w:r>
      <w:r>
        <w:rPr>
          <w:b/>
          <w:sz w:val="20"/>
          <w:szCs w:val="20"/>
        </w:rPr>
        <w:t>D</w:t>
      </w:r>
      <w:r>
        <w:rPr>
          <w:b/>
          <w:sz w:val="20"/>
          <w:szCs w:val="20"/>
          <w:lang w:val="fr-CA"/>
        </w:rPr>
        <w:t>ÉCEMBRE</w:t>
      </w:r>
      <w:r w:rsidR="008D292F" w:rsidRPr="00C50A5C">
        <w:rPr>
          <w:b/>
          <w:sz w:val="20"/>
          <w:szCs w:val="20"/>
        </w:rPr>
        <w:t xml:space="preserve"> 201</w:t>
      </w:r>
      <w:r>
        <w:rPr>
          <w:b/>
          <w:sz w:val="20"/>
          <w:szCs w:val="20"/>
        </w:rPr>
        <w:t>1</w:t>
      </w:r>
    </w:p>
    <w:p w:rsidR="008D292F" w:rsidRPr="00C50A5C" w:rsidRDefault="008D292F" w:rsidP="008D292F">
      <w:pPr>
        <w:rPr>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57F38" w:rsidRPr="00457F38" w:rsidTr="00457F38">
        <w:trPr>
          <w:cantSplit/>
        </w:trPr>
        <w:tc>
          <w:tcPr>
            <w:tcW w:w="1458" w:type="dxa"/>
          </w:tcPr>
          <w:p w:rsidR="00457F38" w:rsidRPr="00457F38" w:rsidRDefault="00457F38" w:rsidP="00457F38">
            <w:pPr>
              <w:rPr>
                <w:sz w:val="20"/>
              </w:rPr>
            </w:pPr>
            <w:r w:rsidRPr="00457F38">
              <w:rPr>
                <w:b/>
                <w:sz w:val="20"/>
                <w:lang w:val="fr-CA"/>
              </w:rPr>
              <w:t>34194</w:t>
            </w:r>
          </w:p>
          <w:p w:rsidR="00457F38" w:rsidRPr="00457F38" w:rsidRDefault="00457F38" w:rsidP="00457F38">
            <w:pPr>
              <w:rPr>
                <w:b/>
                <w:sz w:val="20"/>
                <w:lang w:val="fr-CA"/>
              </w:rPr>
            </w:pPr>
          </w:p>
        </w:tc>
        <w:tc>
          <w:tcPr>
            <w:tcW w:w="8118" w:type="dxa"/>
          </w:tcPr>
          <w:p w:rsidR="00457F38" w:rsidRPr="00457F38" w:rsidRDefault="00457F38" w:rsidP="00457F38">
            <w:pPr>
              <w:rPr>
                <w:sz w:val="20"/>
              </w:rPr>
            </w:pPr>
            <w:r w:rsidRPr="00457F38">
              <w:rPr>
                <w:b/>
                <w:sz w:val="20"/>
                <w:u w:val="single"/>
                <w:lang w:val="fr-CA"/>
              </w:rPr>
              <w:t>Guy Young c. Sa Majesté la Reine</w:t>
            </w:r>
            <w:r w:rsidRPr="00457F38">
              <w:rPr>
                <w:sz w:val="20"/>
                <w:lang w:val="fr-CA"/>
              </w:rPr>
              <w:t xml:space="preserve"> (Ont.) </w:t>
            </w:r>
            <w:r w:rsidRPr="00457F38">
              <w:rPr>
                <w:sz w:val="20"/>
              </w:rPr>
              <w:t>(</w:t>
            </w:r>
            <w:proofErr w:type="spellStart"/>
            <w:r w:rsidRPr="00457F38">
              <w:rPr>
                <w:sz w:val="20"/>
              </w:rPr>
              <w:t>Criminelle</w:t>
            </w:r>
            <w:proofErr w:type="spellEnd"/>
            <w:r w:rsidRPr="00457F38">
              <w:rPr>
                <w:sz w:val="20"/>
              </w:rPr>
              <w:t>) (</w:t>
            </w:r>
            <w:proofErr w:type="spellStart"/>
            <w:r w:rsidRPr="00457F38">
              <w:rPr>
                <w:sz w:val="20"/>
              </w:rPr>
              <w:t>Autorisation</w:t>
            </w:r>
            <w:proofErr w:type="spellEnd"/>
            <w:r w:rsidRPr="00457F38">
              <w:rPr>
                <w:sz w:val="20"/>
              </w:rPr>
              <w:t>)</w:t>
            </w:r>
          </w:p>
          <w:p w:rsidR="00457F38" w:rsidRPr="00457F38" w:rsidRDefault="00457F38" w:rsidP="00457F38">
            <w:pPr>
              <w:rPr>
                <w:sz w:val="20"/>
              </w:rPr>
            </w:pPr>
          </w:p>
        </w:tc>
      </w:tr>
      <w:tr w:rsidR="00457F38" w:rsidRPr="00FF4B6E" w:rsidTr="00457F38">
        <w:trPr>
          <w:cantSplit/>
        </w:trPr>
        <w:tc>
          <w:tcPr>
            <w:tcW w:w="1458" w:type="dxa"/>
          </w:tcPr>
          <w:p w:rsidR="00457F38" w:rsidRPr="00457F38" w:rsidRDefault="00457F38" w:rsidP="00457F38">
            <w:pPr>
              <w:rPr>
                <w:sz w:val="20"/>
              </w:rPr>
            </w:pPr>
            <w:r w:rsidRPr="00457F38">
              <w:rPr>
                <w:sz w:val="20"/>
              </w:rPr>
              <w:t>Coram :</w:t>
            </w:r>
          </w:p>
        </w:tc>
        <w:tc>
          <w:tcPr>
            <w:tcW w:w="8118" w:type="dxa"/>
          </w:tcPr>
          <w:p w:rsidR="00457F38" w:rsidRPr="00457F38" w:rsidRDefault="00457F38" w:rsidP="00457F38">
            <w:pPr>
              <w:rPr>
                <w:sz w:val="20"/>
                <w:lang w:val="fr-CA"/>
              </w:rPr>
            </w:pPr>
            <w:r w:rsidRPr="00457F38">
              <w:rPr>
                <w:sz w:val="20"/>
                <w:u w:val="single"/>
                <w:lang w:val="fr-CA"/>
              </w:rPr>
              <w:t xml:space="preserve">Les juges </w:t>
            </w:r>
            <w:proofErr w:type="spellStart"/>
            <w:r w:rsidRPr="00457F38">
              <w:rPr>
                <w:sz w:val="20"/>
                <w:u w:val="single"/>
                <w:lang w:val="fr-CA"/>
              </w:rPr>
              <w:t>LeBel</w:t>
            </w:r>
            <w:proofErr w:type="spellEnd"/>
            <w:r w:rsidRPr="00457F38">
              <w:rPr>
                <w:sz w:val="20"/>
                <w:u w:val="single"/>
                <w:lang w:val="fr-CA"/>
              </w:rPr>
              <w:t>, Abella et Cromwell</w:t>
            </w:r>
          </w:p>
          <w:p w:rsidR="00457F38" w:rsidRPr="00457F38" w:rsidRDefault="00457F38" w:rsidP="00457F38">
            <w:pPr>
              <w:rPr>
                <w:sz w:val="20"/>
                <w:u w:val="single"/>
                <w:lang w:val="fr-CA"/>
              </w:rPr>
            </w:pPr>
          </w:p>
        </w:tc>
      </w:tr>
      <w:tr w:rsidR="00457F38" w:rsidRPr="00457F38" w:rsidTr="00457F38">
        <w:trPr>
          <w:cantSplit/>
        </w:trPr>
        <w:tc>
          <w:tcPr>
            <w:tcW w:w="9576" w:type="dxa"/>
            <w:gridSpan w:val="2"/>
          </w:tcPr>
          <w:p w:rsidR="00457F38" w:rsidRPr="00457F38" w:rsidRDefault="00457F38" w:rsidP="00457F38">
            <w:pPr>
              <w:ind w:firstLine="720"/>
              <w:jc w:val="both"/>
              <w:rPr>
                <w:sz w:val="20"/>
                <w:lang w:val="fr-CA"/>
              </w:rPr>
            </w:pPr>
            <w:r w:rsidRPr="00457F38">
              <w:rPr>
                <w:sz w:val="20"/>
                <w:lang w:val="fr-CA"/>
              </w:rPr>
              <w:t>La requête en prorogation du délai de signification et de dépôt de la demande d’autorisation d’appel est accordée. La demande d’autorisation d’appel de l’arrêt de la Cour d’appel de l’Ontario, numéro C46938, 2009 ONCA 891, daté du 15 décembre 2009, est rejetée sans dépens.</w:t>
            </w:r>
          </w:p>
          <w:p w:rsidR="00457F38" w:rsidRPr="00457F38" w:rsidRDefault="00457F38" w:rsidP="00457F38">
            <w:pPr>
              <w:jc w:val="both"/>
              <w:rPr>
                <w:sz w:val="20"/>
                <w:lang w:val="fr-CA"/>
              </w:rPr>
            </w:pPr>
          </w:p>
          <w:p w:rsidR="00457F38" w:rsidRPr="00457F38" w:rsidRDefault="00457F38" w:rsidP="00457F38">
            <w:pPr>
              <w:ind w:firstLine="720"/>
              <w:jc w:val="both"/>
              <w:rPr>
                <w:sz w:val="20"/>
              </w:rPr>
            </w:pPr>
            <w:r w:rsidRPr="00457F38">
              <w:rPr>
                <w:sz w:val="20"/>
              </w:rPr>
              <w:t>The motion for an extension of time to serve and file the application for leave to appeal is granted. The application for leave to appeal from the judgment of the Court of Appeal for Ontario, Number C46938, 2009 ONCA 891, dated December 15, 2009, is dismissed without costs.</w:t>
            </w:r>
          </w:p>
        </w:tc>
      </w:tr>
    </w:tbl>
    <w:p w:rsidR="00D16D3C" w:rsidRDefault="00D16D3C" w:rsidP="008D292F">
      <w:pPr>
        <w:ind w:left="1440" w:hanging="1440"/>
        <w:rPr>
          <w:b/>
          <w:sz w:val="20"/>
          <w:szCs w:val="20"/>
        </w:rPr>
      </w:pPr>
    </w:p>
    <w:p w:rsidR="00E35EA0" w:rsidRDefault="00E35EA0" w:rsidP="00E35EA0">
      <w:pPr>
        <w:rPr>
          <w:sz w:val="20"/>
          <w:szCs w:val="20"/>
          <w:u w:val="single"/>
        </w:rPr>
      </w:pPr>
      <w:r w:rsidRPr="00E35EA0">
        <w:rPr>
          <w:sz w:val="20"/>
          <w:szCs w:val="20"/>
          <w:u w:val="single"/>
        </w:rPr>
        <w:t>CASE SUMMARY</w:t>
      </w:r>
    </w:p>
    <w:p w:rsidR="00E35EA0" w:rsidRDefault="00E35EA0" w:rsidP="00E35EA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E35EA0" w:rsidRPr="002F64ED" w:rsidTr="00E35EA0">
        <w:tc>
          <w:tcPr>
            <w:tcW w:w="5000" w:type="pct"/>
            <w:gridSpan w:val="3"/>
          </w:tcPr>
          <w:p w:rsidR="00E35EA0" w:rsidRDefault="00E35EA0" w:rsidP="00E35EA0">
            <w:pPr>
              <w:rPr>
                <w:sz w:val="20"/>
              </w:rPr>
            </w:pPr>
            <w:r w:rsidRPr="002F64ED">
              <w:rPr>
                <w:sz w:val="20"/>
              </w:rPr>
              <w:t xml:space="preserve">Criminal law — Evidence — Admissibility — </w:t>
            </w:r>
            <w:proofErr w:type="spellStart"/>
            <w:r w:rsidRPr="002F64ED">
              <w:rPr>
                <w:sz w:val="20"/>
              </w:rPr>
              <w:t>Out</w:t>
            </w:r>
            <w:r w:rsidRPr="002F64ED">
              <w:rPr>
                <w:sz w:val="20"/>
              </w:rPr>
              <w:noBreakHyphen/>
              <w:t>of</w:t>
            </w:r>
            <w:r w:rsidRPr="002F64ED">
              <w:rPr>
                <w:sz w:val="20"/>
              </w:rPr>
              <w:noBreakHyphen/>
              <w:t>court</w:t>
            </w:r>
            <w:proofErr w:type="spellEnd"/>
            <w:r w:rsidRPr="002F64ED">
              <w:rPr>
                <w:sz w:val="20"/>
              </w:rPr>
              <w:t xml:space="preserve"> statements — Guilty verdict entered on nine counts — Whether Ontario Court of Appeal erred in upholding trial judge’s conclusions, </w:t>
            </w:r>
            <w:r w:rsidRPr="002F64ED">
              <w:rPr>
                <w:i/>
                <w:sz w:val="20"/>
              </w:rPr>
              <w:t>inter alia</w:t>
            </w:r>
            <w:r w:rsidRPr="002F64ED">
              <w:rPr>
                <w:sz w:val="20"/>
              </w:rPr>
              <w:t xml:space="preserve"> concerning admissibility of </w:t>
            </w:r>
            <w:proofErr w:type="spellStart"/>
            <w:r w:rsidRPr="002F64ED">
              <w:rPr>
                <w:sz w:val="20"/>
              </w:rPr>
              <w:t>out</w:t>
            </w:r>
            <w:r w:rsidRPr="002F64ED">
              <w:rPr>
                <w:sz w:val="20"/>
              </w:rPr>
              <w:noBreakHyphen/>
              <w:t>of</w:t>
            </w:r>
            <w:r w:rsidRPr="002F64ED">
              <w:rPr>
                <w:sz w:val="20"/>
              </w:rPr>
              <w:noBreakHyphen/>
              <w:t>court</w:t>
            </w:r>
            <w:proofErr w:type="spellEnd"/>
            <w:r w:rsidRPr="002F64ED">
              <w:rPr>
                <w:sz w:val="20"/>
              </w:rPr>
              <w:t xml:space="preserve"> statements attributed to applicant and of identification evidence — Criminal Code, R.S.C. 1985, c. C</w:t>
            </w:r>
            <w:r w:rsidRPr="002F64ED">
              <w:rPr>
                <w:sz w:val="20"/>
              </w:rPr>
              <w:noBreakHyphen/>
              <w:t>46, s. 691(1)(b).</w:t>
            </w:r>
          </w:p>
          <w:p w:rsidR="00E35EA0" w:rsidRPr="002F64ED" w:rsidRDefault="00E35EA0" w:rsidP="00E35EA0">
            <w:pPr>
              <w:rPr>
                <w:sz w:val="20"/>
              </w:rPr>
            </w:pPr>
          </w:p>
        </w:tc>
      </w:tr>
      <w:tr w:rsidR="00E35EA0" w:rsidRPr="002F64ED" w:rsidTr="00E35EA0">
        <w:tc>
          <w:tcPr>
            <w:tcW w:w="5000" w:type="pct"/>
            <w:gridSpan w:val="3"/>
          </w:tcPr>
          <w:p w:rsidR="00E35EA0" w:rsidRPr="002F64ED" w:rsidRDefault="00E35EA0" w:rsidP="00E35EA0">
            <w:pPr>
              <w:jc w:val="both"/>
              <w:rPr>
                <w:sz w:val="20"/>
              </w:rPr>
            </w:pPr>
            <w:r w:rsidRPr="002F64ED">
              <w:rPr>
                <w:sz w:val="20"/>
              </w:rPr>
              <w:t>After a trial by judge and jury, Mr. Young was convicted on nine counts, including theft, using a firearm and attempted assault.  He was sentenced to imprisonment for 11 years with no parole until half of the sentence was served.</w:t>
            </w:r>
          </w:p>
          <w:p w:rsidR="00E35EA0" w:rsidRPr="002F64ED" w:rsidRDefault="00E35EA0" w:rsidP="00E35EA0">
            <w:pPr>
              <w:jc w:val="both"/>
              <w:rPr>
                <w:sz w:val="20"/>
              </w:rPr>
            </w:pPr>
          </w:p>
          <w:p w:rsidR="00E35EA0" w:rsidRPr="002F64ED" w:rsidRDefault="00E35EA0" w:rsidP="00E35EA0">
            <w:pPr>
              <w:jc w:val="both"/>
              <w:rPr>
                <w:sz w:val="20"/>
              </w:rPr>
            </w:pPr>
            <w:r w:rsidRPr="002F64ED">
              <w:rPr>
                <w:sz w:val="20"/>
              </w:rPr>
              <w:t xml:space="preserve">At trial, the Crown had introduced into evidence the prints from three of Mr. Young’s fingers found on a UPS box used by the thieves, the jewellery store owner’s identification of Mr. Young and a series of </w:t>
            </w:r>
            <w:proofErr w:type="spellStart"/>
            <w:r w:rsidRPr="002F64ED">
              <w:rPr>
                <w:sz w:val="20"/>
              </w:rPr>
              <w:t>inculpatory</w:t>
            </w:r>
            <w:proofErr w:type="spellEnd"/>
            <w:r w:rsidRPr="002F64ED">
              <w:rPr>
                <w:sz w:val="20"/>
              </w:rPr>
              <w:t xml:space="preserve"> statements made by Mr. Young to the police investigators.</w:t>
            </w:r>
          </w:p>
          <w:p w:rsidR="00E35EA0" w:rsidRPr="002F64ED" w:rsidRDefault="00E35EA0" w:rsidP="00E35EA0">
            <w:pPr>
              <w:jc w:val="both"/>
              <w:rPr>
                <w:sz w:val="20"/>
              </w:rPr>
            </w:pPr>
          </w:p>
          <w:p w:rsidR="00E35EA0" w:rsidRPr="002F64ED" w:rsidRDefault="00E35EA0" w:rsidP="00E35EA0">
            <w:pPr>
              <w:jc w:val="both"/>
              <w:rPr>
                <w:sz w:val="20"/>
              </w:rPr>
            </w:pPr>
            <w:r w:rsidRPr="002F64ED">
              <w:rPr>
                <w:sz w:val="20"/>
              </w:rPr>
              <w:t xml:space="preserve">The appeals from the guilty verdict and the sentence were dismissed by the Court of Appeal. </w:t>
            </w:r>
          </w:p>
          <w:p w:rsidR="00E35EA0" w:rsidRPr="002F64ED" w:rsidRDefault="00E35EA0" w:rsidP="00E35EA0">
            <w:pPr>
              <w:jc w:val="both"/>
              <w:rPr>
                <w:sz w:val="20"/>
              </w:rPr>
            </w:pPr>
          </w:p>
        </w:tc>
      </w:tr>
      <w:tr w:rsidR="00E35EA0" w:rsidRPr="002F64ED" w:rsidTr="00E35EA0">
        <w:tc>
          <w:tcPr>
            <w:tcW w:w="2427" w:type="pct"/>
          </w:tcPr>
          <w:p w:rsidR="00E35EA0" w:rsidRPr="002F64ED" w:rsidRDefault="00E35EA0" w:rsidP="00E35EA0">
            <w:pPr>
              <w:rPr>
                <w:sz w:val="20"/>
              </w:rPr>
            </w:pPr>
            <w:r w:rsidRPr="002F64ED">
              <w:rPr>
                <w:sz w:val="20"/>
              </w:rPr>
              <w:t>December 6, 2006</w:t>
            </w:r>
          </w:p>
          <w:p w:rsidR="00E35EA0" w:rsidRPr="002F64ED" w:rsidRDefault="00E35EA0" w:rsidP="00E35EA0">
            <w:pPr>
              <w:rPr>
                <w:sz w:val="20"/>
              </w:rPr>
            </w:pPr>
            <w:r w:rsidRPr="002F64ED">
              <w:rPr>
                <w:sz w:val="20"/>
              </w:rPr>
              <w:t>Ontario Superior Court of Justice</w:t>
            </w:r>
          </w:p>
          <w:p w:rsidR="00E35EA0" w:rsidRPr="002F64ED" w:rsidRDefault="00E35EA0" w:rsidP="00E35EA0">
            <w:pPr>
              <w:rPr>
                <w:sz w:val="20"/>
              </w:rPr>
            </w:pPr>
            <w:r w:rsidRPr="002F64ED">
              <w:rPr>
                <w:sz w:val="20"/>
              </w:rPr>
              <w:t>(Molloy J.)</w:t>
            </w:r>
          </w:p>
          <w:p w:rsidR="00E35EA0" w:rsidRPr="002F64ED" w:rsidRDefault="00E35EA0" w:rsidP="00E35EA0">
            <w:pPr>
              <w:rPr>
                <w:sz w:val="20"/>
              </w:rPr>
            </w:pPr>
            <w:r w:rsidRPr="002F64ED">
              <w:rPr>
                <w:sz w:val="20"/>
              </w:rPr>
              <w:t xml:space="preserve">2006 </w:t>
            </w:r>
            <w:proofErr w:type="spellStart"/>
            <w:r w:rsidRPr="002F64ED">
              <w:rPr>
                <w:sz w:val="20"/>
              </w:rPr>
              <w:t>CanLII</w:t>
            </w:r>
            <w:proofErr w:type="spellEnd"/>
            <w:r w:rsidRPr="002F64ED">
              <w:rPr>
                <w:sz w:val="20"/>
              </w:rPr>
              <w:t xml:space="preserve"> 38868 (ON SC)</w:t>
            </w:r>
          </w:p>
          <w:p w:rsidR="00E35EA0" w:rsidRPr="002F64ED" w:rsidRDefault="00E35EA0" w:rsidP="00E35EA0">
            <w:pPr>
              <w:rPr>
                <w:sz w:val="20"/>
              </w:rPr>
            </w:pPr>
          </w:p>
        </w:tc>
        <w:tc>
          <w:tcPr>
            <w:tcW w:w="243" w:type="pct"/>
          </w:tcPr>
          <w:p w:rsidR="00E35EA0" w:rsidRPr="002F64ED" w:rsidRDefault="00E35EA0" w:rsidP="00E35EA0">
            <w:pPr>
              <w:rPr>
                <w:sz w:val="20"/>
              </w:rPr>
            </w:pPr>
          </w:p>
        </w:tc>
        <w:tc>
          <w:tcPr>
            <w:tcW w:w="2330" w:type="pct"/>
          </w:tcPr>
          <w:p w:rsidR="00E35EA0" w:rsidRPr="002F64ED" w:rsidRDefault="00E35EA0" w:rsidP="00E35EA0">
            <w:pPr>
              <w:rPr>
                <w:sz w:val="20"/>
              </w:rPr>
            </w:pPr>
            <w:r w:rsidRPr="002F64ED">
              <w:rPr>
                <w:sz w:val="20"/>
              </w:rPr>
              <w:t>Guilty verdict entered</w:t>
            </w:r>
          </w:p>
          <w:p w:rsidR="00E35EA0" w:rsidRPr="002F64ED" w:rsidRDefault="00E35EA0" w:rsidP="00E35EA0">
            <w:pPr>
              <w:rPr>
                <w:sz w:val="20"/>
              </w:rPr>
            </w:pPr>
          </w:p>
          <w:p w:rsidR="00E35EA0" w:rsidRPr="002F64ED" w:rsidRDefault="00E35EA0" w:rsidP="00E35EA0">
            <w:pPr>
              <w:rPr>
                <w:sz w:val="20"/>
              </w:rPr>
            </w:pPr>
          </w:p>
        </w:tc>
      </w:tr>
      <w:tr w:rsidR="00E35EA0" w:rsidRPr="002F64ED" w:rsidTr="00E35EA0">
        <w:tc>
          <w:tcPr>
            <w:tcW w:w="2427" w:type="pct"/>
          </w:tcPr>
          <w:p w:rsidR="00E35EA0" w:rsidRPr="002F64ED" w:rsidRDefault="00E35EA0" w:rsidP="00E35EA0">
            <w:pPr>
              <w:rPr>
                <w:sz w:val="20"/>
              </w:rPr>
            </w:pPr>
            <w:r w:rsidRPr="002F64ED">
              <w:rPr>
                <w:sz w:val="20"/>
              </w:rPr>
              <w:t>January 30, 2007</w:t>
            </w:r>
          </w:p>
          <w:p w:rsidR="00E35EA0" w:rsidRPr="002F64ED" w:rsidRDefault="00E35EA0" w:rsidP="00E35EA0">
            <w:pPr>
              <w:rPr>
                <w:sz w:val="20"/>
              </w:rPr>
            </w:pPr>
            <w:r w:rsidRPr="002F64ED">
              <w:rPr>
                <w:sz w:val="20"/>
              </w:rPr>
              <w:t>Ontario Superior Court of Justice</w:t>
            </w:r>
          </w:p>
          <w:p w:rsidR="00E35EA0" w:rsidRPr="002F64ED" w:rsidRDefault="00E35EA0" w:rsidP="00E35EA0">
            <w:pPr>
              <w:rPr>
                <w:sz w:val="20"/>
              </w:rPr>
            </w:pPr>
            <w:r w:rsidRPr="002F64ED">
              <w:rPr>
                <w:sz w:val="20"/>
              </w:rPr>
              <w:t>(Molloy J.)</w:t>
            </w:r>
          </w:p>
          <w:p w:rsidR="00E35EA0" w:rsidRPr="002F64ED" w:rsidRDefault="00E35EA0" w:rsidP="00E35EA0">
            <w:pPr>
              <w:rPr>
                <w:sz w:val="20"/>
              </w:rPr>
            </w:pPr>
            <w:r w:rsidRPr="002F64ED">
              <w:rPr>
                <w:sz w:val="20"/>
              </w:rPr>
              <w:t xml:space="preserve">2007 </w:t>
            </w:r>
            <w:proofErr w:type="spellStart"/>
            <w:r w:rsidRPr="002F64ED">
              <w:rPr>
                <w:sz w:val="20"/>
              </w:rPr>
              <w:t>CanLII</w:t>
            </w:r>
            <w:proofErr w:type="spellEnd"/>
            <w:r w:rsidRPr="002F64ED">
              <w:rPr>
                <w:sz w:val="20"/>
              </w:rPr>
              <w:t xml:space="preserve"> 1899 (ON SC)</w:t>
            </w:r>
          </w:p>
          <w:p w:rsidR="00E35EA0" w:rsidRPr="002F64ED" w:rsidRDefault="00E35EA0" w:rsidP="00E35EA0">
            <w:pPr>
              <w:rPr>
                <w:sz w:val="20"/>
              </w:rPr>
            </w:pPr>
          </w:p>
        </w:tc>
        <w:tc>
          <w:tcPr>
            <w:tcW w:w="243" w:type="pct"/>
          </w:tcPr>
          <w:p w:rsidR="00E35EA0" w:rsidRPr="002F64ED" w:rsidRDefault="00E35EA0" w:rsidP="00E35EA0">
            <w:pPr>
              <w:rPr>
                <w:sz w:val="20"/>
              </w:rPr>
            </w:pPr>
          </w:p>
        </w:tc>
        <w:tc>
          <w:tcPr>
            <w:tcW w:w="2330" w:type="pct"/>
          </w:tcPr>
          <w:p w:rsidR="00E35EA0" w:rsidRPr="002F64ED" w:rsidRDefault="00E35EA0" w:rsidP="00E35EA0">
            <w:pPr>
              <w:rPr>
                <w:sz w:val="20"/>
              </w:rPr>
            </w:pPr>
            <w:r w:rsidRPr="002F64ED">
              <w:rPr>
                <w:sz w:val="20"/>
              </w:rPr>
              <w:t>Sentence imposed</w:t>
            </w:r>
          </w:p>
        </w:tc>
      </w:tr>
      <w:tr w:rsidR="00E35EA0" w:rsidRPr="002F64ED" w:rsidTr="00E35EA0">
        <w:tc>
          <w:tcPr>
            <w:tcW w:w="2427" w:type="pct"/>
          </w:tcPr>
          <w:p w:rsidR="00E35EA0" w:rsidRPr="002F64ED" w:rsidRDefault="00E35EA0" w:rsidP="00E35EA0">
            <w:pPr>
              <w:rPr>
                <w:sz w:val="20"/>
              </w:rPr>
            </w:pPr>
            <w:r w:rsidRPr="002F64ED">
              <w:rPr>
                <w:sz w:val="20"/>
              </w:rPr>
              <w:t>December 15, 2009</w:t>
            </w:r>
          </w:p>
          <w:p w:rsidR="00E35EA0" w:rsidRPr="002F64ED" w:rsidRDefault="00E35EA0" w:rsidP="00E35EA0">
            <w:pPr>
              <w:rPr>
                <w:sz w:val="20"/>
              </w:rPr>
            </w:pPr>
            <w:r w:rsidRPr="002F64ED">
              <w:rPr>
                <w:sz w:val="20"/>
              </w:rPr>
              <w:t>Ontario Court of Appeal</w:t>
            </w:r>
          </w:p>
          <w:p w:rsidR="00E35EA0" w:rsidRPr="002F64ED" w:rsidRDefault="00E35EA0" w:rsidP="00E35EA0">
            <w:pPr>
              <w:rPr>
                <w:sz w:val="20"/>
              </w:rPr>
            </w:pPr>
            <w:r w:rsidRPr="002F64ED">
              <w:rPr>
                <w:sz w:val="20"/>
              </w:rPr>
              <w:t>(</w:t>
            </w:r>
            <w:proofErr w:type="spellStart"/>
            <w:r w:rsidRPr="002F64ED">
              <w:rPr>
                <w:sz w:val="20"/>
              </w:rPr>
              <w:t>Laskin</w:t>
            </w:r>
            <w:proofErr w:type="spellEnd"/>
            <w:r w:rsidRPr="002F64ED">
              <w:rPr>
                <w:sz w:val="20"/>
              </w:rPr>
              <w:t xml:space="preserve">, Sharpe and </w:t>
            </w:r>
            <w:proofErr w:type="spellStart"/>
            <w:r w:rsidRPr="002F64ED">
              <w:rPr>
                <w:sz w:val="20"/>
              </w:rPr>
              <w:t>Cronk</w:t>
            </w:r>
            <w:proofErr w:type="spellEnd"/>
            <w:r w:rsidRPr="002F64ED">
              <w:rPr>
                <w:sz w:val="20"/>
              </w:rPr>
              <w:t xml:space="preserve"> JJ.A.)</w:t>
            </w:r>
          </w:p>
          <w:p w:rsidR="00E35EA0" w:rsidRPr="002F64ED" w:rsidRDefault="00E35EA0" w:rsidP="00E35EA0">
            <w:pPr>
              <w:rPr>
                <w:sz w:val="20"/>
              </w:rPr>
            </w:pPr>
            <w:r w:rsidRPr="002F64ED">
              <w:rPr>
                <w:sz w:val="20"/>
              </w:rPr>
              <w:t>2009 ONCA 891</w:t>
            </w:r>
          </w:p>
          <w:p w:rsidR="00E35EA0" w:rsidRPr="002F64ED" w:rsidRDefault="00E35EA0" w:rsidP="00E35EA0">
            <w:pPr>
              <w:rPr>
                <w:sz w:val="20"/>
              </w:rPr>
            </w:pPr>
          </w:p>
        </w:tc>
        <w:tc>
          <w:tcPr>
            <w:tcW w:w="243" w:type="pct"/>
          </w:tcPr>
          <w:p w:rsidR="00E35EA0" w:rsidRPr="002F64ED" w:rsidRDefault="00E35EA0" w:rsidP="00E35EA0">
            <w:pPr>
              <w:rPr>
                <w:sz w:val="20"/>
              </w:rPr>
            </w:pPr>
          </w:p>
        </w:tc>
        <w:tc>
          <w:tcPr>
            <w:tcW w:w="2330" w:type="pct"/>
          </w:tcPr>
          <w:p w:rsidR="00E35EA0" w:rsidRPr="002F64ED" w:rsidRDefault="00E35EA0" w:rsidP="00E35EA0">
            <w:pPr>
              <w:rPr>
                <w:sz w:val="20"/>
              </w:rPr>
            </w:pPr>
            <w:r w:rsidRPr="002F64ED">
              <w:rPr>
                <w:sz w:val="20"/>
              </w:rPr>
              <w:t>Appeals from verdict and sentence dismissed</w:t>
            </w:r>
          </w:p>
          <w:p w:rsidR="00E35EA0" w:rsidRPr="002F64ED" w:rsidRDefault="00E35EA0" w:rsidP="00E35EA0">
            <w:pPr>
              <w:rPr>
                <w:sz w:val="20"/>
              </w:rPr>
            </w:pPr>
          </w:p>
        </w:tc>
      </w:tr>
    </w:tbl>
    <w:p w:rsidR="00306FCD" w:rsidRDefault="00306FCD"/>
    <w:p w:rsidR="00306FCD" w:rsidRDefault="00306FCD">
      <w:r>
        <w:br w:type="page"/>
      </w:r>
    </w:p>
    <w:tbl>
      <w:tblPr>
        <w:tblW w:w="4952" w:type="pct"/>
        <w:tblLayout w:type="fixed"/>
        <w:tblCellMar>
          <w:left w:w="0" w:type="dxa"/>
          <w:bottom w:w="99" w:type="dxa"/>
          <w:right w:w="0" w:type="dxa"/>
        </w:tblCellMar>
        <w:tblLook w:val="04A0"/>
      </w:tblPr>
      <w:tblGrid>
        <w:gridCol w:w="4624"/>
        <w:gridCol w:w="463"/>
        <w:gridCol w:w="4440"/>
      </w:tblGrid>
      <w:tr w:rsidR="00E35EA0" w:rsidRPr="002F64ED" w:rsidTr="00E35EA0">
        <w:tc>
          <w:tcPr>
            <w:tcW w:w="2427" w:type="pct"/>
          </w:tcPr>
          <w:p w:rsidR="00E35EA0" w:rsidRPr="002F64ED" w:rsidRDefault="00E35EA0" w:rsidP="00E35EA0">
            <w:pPr>
              <w:rPr>
                <w:sz w:val="20"/>
              </w:rPr>
            </w:pPr>
            <w:r w:rsidRPr="002F64ED">
              <w:rPr>
                <w:sz w:val="20"/>
              </w:rPr>
              <w:lastRenderedPageBreak/>
              <w:t>April 7, 2011</w:t>
            </w:r>
          </w:p>
          <w:p w:rsidR="00E35EA0" w:rsidRPr="002F64ED" w:rsidRDefault="00E35EA0" w:rsidP="009E6CCE">
            <w:pPr>
              <w:rPr>
                <w:sz w:val="20"/>
              </w:rPr>
            </w:pPr>
            <w:r w:rsidRPr="002F64ED">
              <w:rPr>
                <w:sz w:val="20"/>
              </w:rPr>
              <w:t>Supreme Court of Canada</w:t>
            </w:r>
          </w:p>
        </w:tc>
        <w:tc>
          <w:tcPr>
            <w:tcW w:w="243" w:type="pct"/>
          </w:tcPr>
          <w:p w:rsidR="00E35EA0" w:rsidRPr="002F64ED" w:rsidRDefault="00E35EA0" w:rsidP="00E35EA0">
            <w:pPr>
              <w:rPr>
                <w:sz w:val="20"/>
              </w:rPr>
            </w:pPr>
          </w:p>
        </w:tc>
        <w:tc>
          <w:tcPr>
            <w:tcW w:w="2330" w:type="pct"/>
          </w:tcPr>
          <w:p w:rsidR="00E35EA0" w:rsidRPr="002F64ED" w:rsidRDefault="00E35EA0" w:rsidP="00E35EA0">
            <w:pPr>
              <w:jc w:val="both"/>
              <w:rPr>
                <w:sz w:val="20"/>
              </w:rPr>
            </w:pPr>
            <w:r w:rsidRPr="002F64ED">
              <w:rPr>
                <w:sz w:val="20"/>
              </w:rPr>
              <w:t>Motion to extend time to serve and file application for leave to appeal and application for leave to appeal filed</w:t>
            </w:r>
          </w:p>
        </w:tc>
      </w:tr>
    </w:tbl>
    <w:p w:rsidR="00E35EA0" w:rsidRPr="00E35EA0" w:rsidRDefault="00E35EA0" w:rsidP="00E35EA0">
      <w:pPr>
        <w:rPr>
          <w:sz w:val="20"/>
          <w:szCs w:val="20"/>
        </w:rPr>
      </w:pPr>
    </w:p>
    <w:p w:rsidR="00E35EA0" w:rsidRPr="00E35EA0" w:rsidRDefault="00DB7F13" w:rsidP="00E35EA0">
      <w:pPr>
        <w:rPr>
          <w:sz w:val="20"/>
          <w:szCs w:val="20"/>
        </w:rPr>
      </w:pPr>
      <w:r w:rsidRPr="00DB7F13">
        <w:rPr>
          <w:sz w:val="20"/>
          <w:szCs w:val="20"/>
          <w:lang w:val="fr-CA"/>
        </w:rPr>
        <w:pict>
          <v:rect id="_x0000_i1040" style="width:2in;height:1pt" o:hrpct="0" o:hralign="center" o:hrstd="t" o:hrnoshade="t" o:hr="t" fillcolor="black [3213]" stroked="f"/>
        </w:pict>
      </w:r>
    </w:p>
    <w:p w:rsidR="00E35EA0" w:rsidRPr="00E35EA0" w:rsidRDefault="00E35EA0" w:rsidP="00E35EA0">
      <w:pPr>
        <w:rPr>
          <w:sz w:val="20"/>
          <w:szCs w:val="20"/>
        </w:rPr>
      </w:pPr>
    </w:p>
    <w:p w:rsidR="00E35EA0" w:rsidRPr="00E35EA0" w:rsidRDefault="00E35EA0" w:rsidP="00E35EA0">
      <w:pPr>
        <w:rPr>
          <w:sz w:val="20"/>
          <w:szCs w:val="20"/>
          <w:u w:val="single"/>
          <w:lang w:val="fr-CA"/>
        </w:rPr>
      </w:pPr>
      <w:r w:rsidRPr="00E35EA0">
        <w:rPr>
          <w:sz w:val="20"/>
          <w:szCs w:val="20"/>
          <w:u w:val="single"/>
          <w:lang w:val="fr-CA"/>
        </w:rPr>
        <w:t>RÉSUMÉ DE L’AFFAIRE</w:t>
      </w:r>
    </w:p>
    <w:p w:rsidR="00E35EA0" w:rsidRPr="00E35EA0" w:rsidRDefault="00E35EA0" w:rsidP="00E35EA0">
      <w:pPr>
        <w:keepNext/>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35EA0" w:rsidRPr="002F64ED" w:rsidTr="00E35EA0">
        <w:tc>
          <w:tcPr>
            <w:tcW w:w="5000" w:type="pct"/>
            <w:gridSpan w:val="3"/>
          </w:tcPr>
          <w:p w:rsidR="00E35EA0" w:rsidRDefault="00E35EA0" w:rsidP="00E35EA0">
            <w:pPr>
              <w:jc w:val="both"/>
              <w:rPr>
                <w:rFonts w:eastAsia="Calibri"/>
                <w:sz w:val="20"/>
                <w:lang w:val="fr-CA"/>
              </w:rPr>
            </w:pPr>
            <w:r w:rsidRPr="002F64ED">
              <w:rPr>
                <w:rFonts w:eastAsia="Calibri"/>
                <w:sz w:val="20"/>
                <w:lang w:val="fr-CA"/>
              </w:rPr>
              <w:t xml:space="preserve">Droit criminel — Preuve — Admissibilité — Déclarations extrajudiciaires — Verdict de culpabilité prononcé sur neuf chefs d’accusation — La Cour d’appel de l’Ontario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erré en confirmant les conclusions de la juge de première instance portant notamment sur l’admissibilité des déclarations extrajudiciaires imputées au demandeur et de la preuve d’identification? — Code criminel, L.R.C. 1985, ch. C</w:t>
            </w:r>
            <w:r w:rsidRPr="002F64ED">
              <w:rPr>
                <w:rFonts w:eastAsia="Calibri"/>
                <w:sz w:val="20"/>
                <w:lang w:val="fr-CA"/>
              </w:rPr>
              <w:noBreakHyphen/>
              <w:t>46, par. 691(1)b).</w:t>
            </w:r>
          </w:p>
          <w:p w:rsidR="00E35EA0" w:rsidRPr="002F64ED" w:rsidRDefault="00E35EA0" w:rsidP="00E35EA0">
            <w:pPr>
              <w:jc w:val="both"/>
              <w:rPr>
                <w:rFonts w:eastAsia="Calibri"/>
                <w:sz w:val="20"/>
                <w:lang w:val="fr-CA"/>
              </w:rPr>
            </w:pPr>
          </w:p>
        </w:tc>
      </w:tr>
      <w:tr w:rsidR="00E35EA0" w:rsidRPr="00FF4B6E" w:rsidTr="00E35EA0">
        <w:tc>
          <w:tcPr>
            <w:tcW w:w="5000" w:type="pct"/>
            <w:gridSpan w:val="3"/>
          </w:tcPr>
          <w:p w:rsidR="00E35EA0" w:rsidRPr="002F64ED" w:rsidRDefault="00E35EA0" w:rsidP="00E35EA0">
            <w:pPr>
              <w:jc w:val="both"/>
              <w:rPr>
                <w:rFonts w:eastAsia="Calibri"/>
                <w:sz w:val="20"/>
                <w:lang w:val="fr-CA"/>
              </w:rPr>
            </w:pPr>
            <w:r w:rsidRPr="002F64ED">
              <w:rPr>
                <w:rFonts w:eastAsia="Calibri"/>
                <w:sz w:val="20"/>
                <w:lang w:val="fr-CA"/>
              </w:rPr>
              <w:t>Au terme d’un procès devant juge et jury, M. Young est trouvé coupable de neuf chefs d’accusation, notamment d’une infraction de vol, d’utilisation d’une arme à feu et de tentative de voies de fait.  Il est condamné à onze ans d’emprisonnement sans libération conditionnelle avant que la moitié de la sentence soit purgée.</w:t>
            </w:r>
          </w:p>
          <w:p w:rsidR="00E35EA0" w:rsidRPr="002F64ED" w:rsidRDefault="00E35EA0" w:rsidP="00E35EA0">
            <w:pPr>
              <w:jc w:val="both"/>
              <w:rPr>
                <w:rFonts w:eastAsia="Calibri"/>
                <w:sz w:val="20"/>
                <w:lang w:val="fr-CA"/>
              </w:rPr>
            </w:pPr>
          </w:p>
          <w:p w:rsidR="00E35EA0" w:rsidRPr="002F64ED" w:rsidRDefault="00E35EA0" w:rsidP="00E35EA0">
            <w:pPr>
              <w:jc w:val="both"/>
              <w:rPr>
                <w:rFonts w:eastAsia="Calibri"/>
                <w:sz w:val="20"/>
                <w:lang w:val="fr-CA"/>
              </w:rPr>
            </w:pPr>
            <w:r w:rsidRPr="002F64ED">
              <w:rPr>
                <w:rFonts w:eastAsia="Calibri"/>
                <w:sz w:val="20"/>
                <w:lang w:val="fr-CA"/>
              </w:rPr>
              <w:t xml:space="preserve">Au procès, la Couronne a introduit en preuve les empreintes de trois doigts de M. Young trouvé sur une boîte d’UPS utilisée par les voleurs, l’identification de M. Young par le propriétaire de la bijouterie et que M. Young a fait une série de déclarations </w:t>
            </w:r>
            <w:proofErr w:type="spellStart"/>
            <w:r w:rsidRPr="002F64ED">
              <w:rPr>
                <w:rFonts w:eastAsia="Calibri"/>
                <w:sz w:val="20"/>
                <w:lang w:val="fr-CA"/>
              </w:rPr>
              <w:t>inculpatoires</w:t>
            </w:r>
            <w:proofErr w:type="spellEnd"/>
            <w:r w:rsidRPr="002F64ED">
              <w:rPr>
                <w:rFonts w:eastAsia="Calibri"/>
                <w:sz w:val="20"/>
                <w:lang w:val="fr-CA"/>
              </w:rPr>
              <w:t xml:space="preserve"> faites aux policiers enquêteurs.</w:t>
            </w:r>
          </w:p>
          <w:p w:rsidR="00E35EA0" w:rsidRPr="002F64ED" w:rsidRDefault="00E35EA0" w:rsidP="00E35EA0">
            <w:pPr>
              <w:jc w:val="both"/>
              <w:rPr>
                <w:rFonts w:eastAsia="Calibri"/>
                <w:sz w:val="20"/>
                <w:lang w:val="fr-CA"/>
              </w:rPr>
            </w:pPr>
          </w:p>
          <w:p w:rsidR="00E35EA0" w:rsidRPr="002F64ED" w:rsidRDefault="00E35EA0" w:rsidP="00E35EA0">
            <w:pPr>
              <w:jc w:val="both"/>
              <w:rPr>
                <w:rFonts w:eastAsia="Calibri"/>
                <w:sz w:val="20"/>
                <w:lang w:val="fr-CA"/>
              </w:rPr>
            </w:pPr>
            <w:r w:rsidRPr="002F64ED">
              <w:rPr>
                <w:rFonts w:eastAsia="Calibri"/>
                <w:sz w:val="20"/>
                <w:lang w:val="fr-CA"/>
              </w:rPr>
              <w:t xml:space="preserve">Les appels du verdict de culpabilité et de la sentence rendus contre lui sont rejetés par la Cour d’appel. </w:t>
            </w:r>
          </w:p>
          <w:p w:rsidR="00E35EA0" w:rsidRPr="002F64ED" w:rsidRDefault="00E35EA0" w:rsidP="00E35EA0">
            <w:pPr>
              <w:jc w:val="both"/>
              <w:rPr>
                <w:rFonts w:eastAsia="Calibri"/>
                <w:sz w:val="20"/>
                <w:lang w:val="fr-CA"/>
              </w:rPr>
            </w:pPr>
          </w:p>
        </w:tc>
      </w:tr>
      <w:tr w:rsidR="00E35EA0" w:rsidRPr="002F64ED" w:rsidTr="00E35EA0">
        <w:tc>
          <w:tcPr>
            <w:tcW w:w="2427" w:type="pct"/>
          </w:tcPr>
          <w:p w:rsidR="00E35EA0" w:rsidRPr="002F64ED" w:rsidRDefault="00E35EA0" w:rsidP="00E35EA0">
            <w:pPr>
              <w:jc w:val="both"/>
              <w:rPr>
                <w:rFonts w:eastAsia="Calibri"/>
                <w:sz w:val="20"/>
                <w:lang w:val="fr-CA"/>
              </w:rPr>
            </w:pPr>
            <w:r w:rsidRPr="002F64ED">
              <w:rPr>
                <w:rFonts w:eastAsia="Calibri"/>
                <w:sz w:val="20"/>
                <w:lang w:val="fr-CA"/>
              </w:rPr>
              <w:t>Le 6 décembre 2006</w:t>
            </w:r>
          </w:p>
          <w:p w:rsidR="00E35EA0" w:rsidRPr="002F64ED" w:rsidRDefault="00E35EA0" w:rsidP="00E35EA0">
            <w:pPr>
              <w:jc w:val="both"/>
              <w:rPr>
                <w:rFonts w:eastAsia="Calibri"/>
                <w:sz w:val="20"/>
                <w:lang w:val="fr-CA"/>
              </w:rPr>
            </w:pPr>
            <w:r w:rsidRPr="002F64ED">
              <w:rPr>
                <w:rFonts w:eastAsia="Calibri"/>
                <w:sz w:val="20"/>
                <w:lang w:val="fr-CA"/>
              </w:rPr>
              <w:t>Cour supérieure de justice de l’Ontario</w:t>
            </w:r>
          </w:p>
          <w:p w:rsidR="00E35EA0" w:rsidRPr="002F64ED" w:rsidRDefault="00E35EA0" w:rsidP="00E35EA0">
            <w:pPr>
              <w:jc w:val="both"/>
              <w:rPr>
                <w:rFonts w:eastAsia="Calibri"/>
                <w:sz w:val="20"/>
                <w:lang w:val="fr-CA"/>
              </w:rPr>
            </w:pPr>
            <w:r w:rsidRPr="002F64ED">
              <w:rPr>
                <w:rFonts w:eastAsia="Calibri"/>
                <w:sz w:val="20"/>
                <w:lang w:val="fr-CA"/>
              </w:rPr>
              <w:t xml:space="preserve">(La juge </w:t>
            </w:r>
            <w:proofErr w:type="spellStart"/>
            <w:r w:rsidRPr="002F64ED">
              <w:rPr>
                <w:rFonts w:eastAsia="Calibri"/>
                <w:sz w:val="20"/>
                <w:lang w:val="fr-CA"/>
              </w:rPr>
              <w:t>Molloy</w:t>
            </w:r>
            <w:proofErr w:type="spellEnd"/>
            <w:r w:rsidRPr="002F64ED">
              <w:rPr>
                <w:rFonts w:eastAsia="Calibri"/>
                <w:sz w:val="20"/>
                <w:lang w:val="fr-CA"/>
              </w:rPr>
              <w:t>)</w:t>
            </w:r>
          </w:p>
          <w:p w:rsidR="00E35EA0" w:rsidRPr="002F64ED" w:rsidRDefault="00E35EA0" w:rsidP="00E35EA0">
            <w:pPr>
              <w:jc w:val="both"/>
              <w:rPr>
                <w:rFonts w:eastAsia="Calibri"/>
                <w:sz w:val="20"/>
                <w:lang w:val="fr-CA"/>
              </w:rPr>
            </w:pPr>
            <w:r w:rsidRPr="002F64ED">
              <w:rPr>
                <w:rFonts w:eastAsia="Calibri"/>
                <w:sz w:val="20"/>
                <w:lang w:val="fr-CA"/>
              </w:rPr>
              <w:t xml:space="preserve">2006 </w:t>
            </w:r>
            <w:proofErr w:type="spellStart"/>
            <w:r w:rsidRPr="002F64ED">
              <w:rPr>
                <w:rFonts w:eastAsia="Calibri"/>
                <w:sz w:val="20"/>
                <w:lang w:val="fr-CA"/>
              </w:rPr>
              <w:t>CanLII</w:t>
            </w:r>
            <w:proofErr w:type="spellEnd"/>
            <w:r w:rsidRPr="002F64ED">
              <w:rPr>
                <w:rFonts w:eastAsia="Calibri"/>
                <w:sz w:val="20"/>
                <w:lang w:val="fr-CA"/>
              </w:rPr>
              <w:t xml:space="preserve"> 38868 (ON SC)</w:t>
            </w:r>
          </w:p>
          <w:p w:rsidR="00E35EA0" w:rsidRPr="002F64ED" w:rsidRDefault="00E35EA0" w:rsidP="00E35EA0">
            <w:pPr>
              <w:jc w:val="both"/>
              <w:rPr>
                <w:rFonts w:eastAsia="Calibri"/>
                <w:sz w:val="20"/>
                <w:lang w:val="fr-CA"/>
              </w:rPr>
            </w:pPr>
          </w:p>
        </w:tc>
        <w:tc>
          <w:tcPr>
            <w:tcW w:w="243" w:type="pct"/>
          </w:tcPr>
          <w:p w:rsidR="00E35EA0" w:rsidRPr="002F64ED" w:rsidRDefault="00E35EA0" w:rsidP="00E35EA0">
            <w:pPr>
              <w:jc w:val="both"/>
              <w:rPr>
                <w:rFonts w:eastAsia="Calibri"/>
                <w:sz w:val="20"/>
                <w:lang w:val="fr-CA"/>
              </w:rPr>
            </w:pPr>
          </w:p>
        </w:tc>
        <w:tc>
          <w:tcPr>
            <w:tcW w:w="2330" w:type="pct"/>
          </w:tcPr>
          <w:p w:rsidR="00E35EA0" w:rsidRPr="002F64ED" w:rsidRDefault="00E35EA0" w:rsidP="00E35EA0">
            <w:pPr>
              <w:jc w:val="both"/>
              <w:rPr>
                <w:rFonts w:eastAsia="Calibri"/>
                <w:sz w:val="20"/>
                <w:lang w:val="fr-CA"/>
              </w:rPr>
            </w:pPr>
            <w:r w:rsidRPr="002F64ED">
              <w:rPr>
                <w:rFonts w:eastAsia="Calibri"/>
                <w:sz w:val="20"/>
                <w:lang w:val="fr-CA"/>
              </w:rPr>
              <w:t>Verdict de culpabilité prononcé</w:t>
            </w:r>
          </w:p>
          <w:p w:rsidR="00E35EA0" w:rsidRPr="002F64ED" w:rsidRDefault="00E35EA0" w:rsidP="00E35EA0">
            <w:pPr>
              <w:jc w:val="both"/>
              <w:rPr>
                <w:rFonts w:eastAsia="Calibri"/>
                <w:sz w:val="20"/>
                <w:lang w:val="fr-CA"/>
              </w:rPr>
            </w:pPr>
          </w:p>
          <w:p w:rsidR="00E35EA0" w:rsidRPr="002F64ED" w:rsidRDefault="00E35EA0" w:rsidP="00E35EA0">
            <w:pPr>
              <w:jc w:val="both"/>
              <w:rPr>
                <w:rFonts w:eastAsia="Calibri"/>
                <w:sz w:val="20"/>
                <w:lang w:val="fr-CA"/>
              </w:rPr>
            </w:pPr>
          </w:p>
        </w:tc>
      </w:tr>
      <w:tr w:rsidR="00E35EA0" w:rsidRPr="002F64ED" w:rsidTr="00E35EA0">
        <w:tc>
          <w:tcPr>
            <w:tcW w:w="2427" w:type="pct"/>
          </w:tcPr>
          <w:p w:rsidR="00E35EA0" w:rsidRPr="002F64ED" w:rsidRDefault="00E35EA0" w:rsidP="00E35EA0">
            <w:pPr>
              <w:jc w:val="both"/>
              <w:rPr>
                <w:rFonts w:eastAsia="Calibri"/>
                <w:sz w:val="20"/>
                <w:lang w:val="fr-CA"/>
              </w:rPr>
            </w:pPr>
            <w:r w:rsidRPr="002F64ED">
              <w:rPr>
                <w:rFonts w:eastAsia="Calibri"/>
                <w:sz w:val="20"/>
                <w:lang w:val="fr-CA"/>
              </w:rPr>
              <w:t>Le 30 janvier 2007</w:t>
            </w:r>
          </w:p>
          <w:p w:rsidR="00E35EA0" w:rsidRPr="002F64ED" w:rsidRDefault="00E35EA0" w:rsidP="00E35EA0">
            <w:pPr>
              <w:jc w:val="both"/>
              <w:rPr>
                <w:rFonts w:eastAsia="Calibri"/>
                <w:sz w:val="20"/>
                <w:lang w:val="fr-CA"/>
              </w:rPr>
            </w:pPr>
            <w:r w:rsidRPr="002F64ED">
              <w:rPr>
                <w:rFonts w:eastAsia="Calibri"/>
                <w:sz w:val="20"/>
                <w:lang w:val="fr-CA"/>
              </w:rPr>
              <w:t>Cour supérieure de justice de l’Ontario</w:t>
            </w:r>
          </w:p>
          <w:p w:rsidR="00E35EA0" w:rsidRPr="002F64ED" w:rsidRDefault="00E35EA0" w:rsidP="00E35EA0">
            <w:pPr>
              <w:jc w:val="both"/>
              <w:rPr>
                <w:rFonts w:eastAsia="Calibri"/>
                <w:sz w:val="20"/>
                <w:lang w:val="fr-CA"/>
              </w:rPr>
            </w:pPr>
            <w:r w:rsidRPr="002F64ED">
              <w:rPr>
                <w:rFonts w:eastAsia="Calibri"/>
                <w:sz w:val="20"/>
                <w:lang w:val="fr-CA"/>
              </w:rPr>
              <w:t xml:space="preserve">(La juge </w:t>
            </w:r>
            <w:proofErr w:type="spellStart"/>
            <w:r w:rsidRPr="002F64ED">
              <w:rPr>
                <w:rFonts w:eastAsia="Calibri"/>
                <w:sz w:val="20"/>
                <w:lang w:val="fr-CA"/>
              </w:rPr>
              <w:t>Molloy</w:t>
            </w:r>
            <w:proofErr w:type="spellEnd"/>
            <w:r w:rsidRPr="002F64ED">
              <w:rPr>
                <w:rFonts w:eastAsia="Calibri"/>
                <w:sz w:val="20"/>
                <w:lang w:val="fr-CA"/>
              </w:rPr>
              <w:t>)</w:t>
            </w:r>
          </w:p>
          <w:p w:rsidR="00E35EA0" w:rsidRPr="002F64ED" w:rsidRDefault="00E35EA0" w:rsidP="00E35EA0">
            <w:pPr>
              <w:jc w:val="both"/>
              <w:rPr>
                <w:rFonts w:eastAsia="Calibri"/>
                <w:sz w:val="20"/>
                <w:lang w:val="fr-CA"/>
              </w:rPr>
            </w:pPr>
            <w:r w:rsidRPr="002F64ED">
              <w:rPr>
                <w:rFonts w:eastAsia="Calibri"/>
                <w:sz w:val="20"/>
                <w:lang w:val="fr-CA"/>
              </w:rPr>
              <w:t xml:space="preserve">2007 </w:t>
            </w:r>
            <w:proofErr w:type="spellStart"/>
            <w:r w:rsidRPr="002F64ED">
              <w:rPr>
                <w:rFonts w:eastAsia="Calibri"/>
                <w:sz w:val="20"/>
                <w:lang w:val="fr-CA"/>
              </w:rPr>
              <w:t>CanLII</w:t>
            </w:r>
            <w:proofErr w:type="spellEnd"/>
            <w:r w:rsidRPr="002F64ED">
              <w:rPr>
                <w:rFonts w:eastAsia="Calibri"/>
                <w:sz w:val="20"/>
                <w:lang w:val="fr-CA"/>
              </w:rPr>
              <w:t xml:space="preserve"> 1899 (ON SC)</w:t>
            </w:r>
          </w:p>
          <w:p w:rsidR="00E35EA0" w:rsidRPr="002F64ED" w:rsidRDefault="00E35EA0" w:rsidP="00E35EA0">
            <w:pPr>
              <w:jc w:val="both"/>
              <w:rPr>
                <w:rFonts w:eastAsia="Calibri"/>
                <w:sz w:val="20"/>
                <w:lang w:val="fr-CA"/>
              </w:rPr>
            </w:pPr>
          </w:p>
        </w:tc>
        <w:tc>
          <w:tcPr>
            <w:tcW w:w="243" w:type="pct"/>
          </w:tcPr>
          <w:p w:rsidR="00E35EA0" w:rsidRPr="002F64ED" w:rsidRDefault="00E35EA0" w:rsidP="00E35EA0">
            <w:pPr>
              <w:jc w:val="both"/>
              <w:rPr>
                <w:rFonts w:eastAsia="Calibri"/>
                <w:sz w:val="20"/>
                <w:lang w:val="fr-CA"/>
              </w:rPr>
            </w:pPr>
          </w:p>
        </w:tc>
        <w:tc>
          <w:tcPr>
            <w:tcW w:w="2330" w:type="pct"/>
          </w:tcPr>
          <w:p w:rsidR="00E35EA0" w:rsidRPr="002F64ED" w:rsidRDefault="00E35EA0" w:rsidP="00E35EA0">
            <w:pPr>
              <w:jc w:val="both"/>
              <w:rPr>
                <w:rFonts w:eastAsia="Calibri"/>
                <w:sz w:val="20"/>
                <w:lang w:val="fr-CA"/>
              </w:rPr>
            </w:pPr>
            <w:r w:rsidRPr="002F64ED">
              <w:rPr>
                <w:rFonts w:eastAsia="Calibri"/>
                <w:sz w:val="20"/>
                <w:lang w:val="fr-CA"/>
              </w:rPr>
              <w:t>Sentence imposée</w:t>
            </w:r>
          </w:p>
        </w:tc>
      </w:tr>
      <w:tr w:rsidR="00E35EA0" w:rsidRPr="00FF4B6E" w:rsidTr="00E35EA0">
        <w:tc>
          <w:tcPr>
            <w:tcW w:w="2427" w:type="pct"/>
          </w:tcPr>
          <w:p w:rsidR="00E35EA0" w:rsidRPr="002F64ED" w:rsidRDefault="00E35EA0" w:rsidP="00E35EA0">
            <w:pPr>
              <w:jc w:val="both"/>
              <w:rPr>
                <w:rFonts w:eastAsia="Calibri"/>
                <w:sz w:val="20"/>
                <w:lang w:val="fr-CA"/>
              </w:rPr>
            </w:pPr>
            <w:r w:rsidRPr="002F64ED">
              <w:rPr>
                <w:rFonts w:eastAsia="Calibri"/>
                <w:sz w:val="20"/>
                <w:lang w:val="fr-CA"/>
              </w:rPr>
              <w:t>Le 15 décembre 2009</w:t>
            </w:r>
          </w:p>
          <w:p w:rsidR="00E35EA0" w:rsidRPr="002F64ED" w:rsidRDefault="00E35EA0" w:rsidP="00E35EA0">
            <w:pPr>
              <w:jc w:val="both"/>
              <w:rPr>
                <w:rFonts w:eastAsia="Calibri"/>
                <w:sz w:val="20"/>
                <w:lang w:val="fr-CA"/>
              </w:rPr>
            </w:pPr>
            <w:r w:rsidRPr="002F64ED">
              <w:rPr>
                <w:rFonts w:eastAsia="Calibri"/>
                <w:sz w:val="20"/>
                <w:lang w:val="fr-CA"/>
              </w:rPr>
              <w:t>Cour d’appel de l’Ontario</w:t>
            </w:r>
          </w:p>
          <w:p w:rsidR="00E35EA0" w:rsidRPr="002F64ED" w:rsidRDefault="00E35EA0" w:rsidP="00E35EA0">
            <w:pPr>
              <w:jc w:val="both"/>
              <w:rPr>
                <w:rFonts w:eastAsia="Calibri"/>
                <w:sz w:val="20"/>
                <w:lang w:val="fr-CA"/>
              </w:rPr>
            </w:pPr>
            <w:r w:rsidRPr="002F64ED">
              <w:rPr>
                <w:rFonts w:eastAsia="Calibri"/>
                <w:sz w:val="20"/>
                <w:lang w:val="fr-CA"/>
              </w:rPr>
              <w:t xml:space="preserve">(Les juges </w:t>
            </w:r>
            <w:proofErr w:type="spellStart"/>
            <w:r w:rsidRPr="002F64ED">
              <w:rPr>
                <w:rFonts w:eastAsia="Calibri"/>
                <w:sz w:val="20"/>
                <w:lang w:val="fr-CA"/>
              </w:rPr>
              <w:t>Laskin</w:t>
            </w:r>
            <w:proofErr w:type="spellEnd"/>
            <w:r w:rsidRPr="002F64ED">
              <w:rPr>
                <w:rFonts w:eastAsia="Calibri"/>
                <w:sz w:val="20"/>
                <w:lang w:val="fr-CA"/>
              </w:rPr>
              <w:t xml:space="preserve">, Sharpe et </w:t>
            </w:r>
            <w:proofErr w:type="spellStart"/>
            <w:r w:rsidRPr="002F64ED">
              <w:rPr>
                <w:rFonts w:eastAsia="Calibri"/>
                <w:sz w:val="20"/>
                <w:lang w:val="fr-CA"/>
              </w:rPr>
              <w:t>Cronk</w:t>
            </w:r>
            <w:proofErr w:type="spellEnd"/>
            <w:r w:rsidRPr="002F64ED">
              <w:rPr>
                <w:rFonts w:eastAsia="Calibri"/>
                <w:sz w:val="20"/>
                <w:lang w:val="fr-CA"/>
              </w:rPr>
              <w:t>)</w:t>
            </w:r>
          </w:p>
          <w:p w:rsidR="00E35EA0" w:rsidRPr="002F64ED" w:rsidRDefault="00E35EA0" w:rsidP="00E35EA0">
            <w:pPr>
              <w:jc w:val="both"/>
              <w:rPr>
                <w:rFonts w:eastAsia="Calibri"/>
                <w:sz w:val="20"/>
                <w:lang w:val="fr-CA"/>
              </w:rPr>
            </w:pPr>
            <w:r w:rsidRPr="002F64ED">
              <w:rPr>
                <w:rFonts w:eastAsia="Calibri"/>
                <w:sz w:val="20"/>
                <w:lang w:val="fr-CA"/>
              </w:rPr>
              <w:t>2009 ONCA 891</w:t>
            </w:r>
          </w:p>
          <w:p w:rsidR="00E35EA0" w:rsidRPr="002F64ED" w:rsidRDefault="00E35EA0" w:rsidP="00E35EA0">
            <w:pPr>
              <w:jc w:val="both"/>
              <w:rPr>
                <w:rFonts w:eastAsia="Calibri"/>
                <w:sz w:val="20"/>
                <w:lang w:val="fr-CA"/>
              </w:rPr>
            </w:pPr>
          </w:p>
        </w:tc>
        <w:tc>
          <w:tcPr>
            <w:tcW w:w="243" w:type="pct"/>
          </w:tcPr>
          <w:p w:rsidR="00E35EA0" w:rsidRPr="002F64ED" w:rsidRDefault="00E35EA0" w:rsidP="00E35EA0">
            <w:pPr>
              <w:jc w:val="both"/>
              <w:rPr>
                <w:rFonts w:eastAsia="Calibri"/>
                <w:sz w:val="20"/>
                <w:lang w:val="fr-CA"/>
              </w:rPr>
            </w:pPr>
          </w:p>
        </w:tc>
        <w:tc>
          <w:tcPr>
            <w:tcW w:w="2330" w:type="pct"/>
          </w:tcPr>
          <w:p w:rsidR="00E35EA0" w:rsidRPr="002F64ED" w:rsidRDefault="00E35EA0" w:rsidP="00E35EA0">
            <w:pPr>
              <w:jc w:val="both"/>
              <w:rPr>
                <w:rFonts w:eastAsia="Calibri"/>
                <w:sz w:val="20"/>
                <w:lang w:val="fr-CA"/>
              </w:rPr>
            </w:pPr>
            <w:r w:rsidRPr="002F64ED">
              <w:rPr>
                <w:rFonts w:eastAsia="Calibri"/>
                <w:sz w:val="20"/>
                <w:lang w:val="fr-CA"/>
              </w:rPr>
              <w:t>Appels du verdict et de la sentence rejetés</w:t>
            </w:r>
          </w:p>
          <w:p w:rsidR="00E35EA0" w:rsidRPr="002F64ED" w:rsidRDefault="00E35EA0" w:rsidP="00E35EA0">
            <w:pPr>
              <w:jc w:val="both"/>
              <w:rPr>
                <w:rFonts w:eastAsia="Calibri"/>
                <w:sz w:val="20"/>
                <w:lang w:val="fr-CA"/>
              </w:rPr>
            </w:pPr>
          </w:p>
        </w:tc>
      </w:tr>
      <w:tr w:rsidR="00E35EA0" w:rsidRPr="00FF4B6E" w:rsidTr="00E35EA0">
        <w:tc>
          <w:tcPr>
            <w:tcW w:w="2427" w:type="pct"/>
          </w:tcPr>
          <w:p w:rsidR="00E35EA0" w:rsidRPr="002F64ED" w:rsidRDefault="00E35EA0" w:rsidP="00E35EA0">
            <w:pPr>
              <w:jc w:val="both"/>
              <w:rPr>
                <w:rFonts w:eastAsia="Calibri"/>
                <w:sz w:val="20"/>
                <w:lang w:val="fr-CA"/>
              </w:rPr>
            </w:pPr>
            <w:r w:rsidRPr="002F64ED">
              <w:rPr>
                <w:rFonts w:eastAsia="Calibri"/>
                <w:sz w:val="20"/>
                <w:lang w:val="fr-CA"/>
              </w:rPr>
              <w:t>Le 7 avril 2011</w:t>
            </w:r>
          </w:p>
          <w:p w:rsidR="00E35EA0" w:rsidRPr="002F64ED" w:rsidRDefault="00E35EA0" w:rsidP="00E35EA0">
            <w:pPr>
              <w:jc w:val="both"/>
              <w:rPr>
                <w:rFonts w:eastAsia="Calibri"/>
                <w:sz w:val="20"/>
                <w:lang w:val="fr-CA"/>
              </w:rPr>
            </w:pPr>
            <w:r w:rsidRPr="002F64ED">
              <w:rPr>
                <w:rFonts w:eastAsia="Calibri"/>
                <w:sz w:val="20"/>
                <w:lang w:val="fr-CA"/>
              </w:rPr>
              <w:t>Cour suprême du Canada</w:t>
            </w:r>
          </w:p>
          <w:p w:rsidR="00E35EA0" w:rsidRPr="002F64ED" w:rsidRDefault="00E35EA0" w:rsidP="00E35EA0">
            <w:pPr>
              <w:jc w:val="both"/>
              <w:rPr>
                <w:rFonts w:eastAsia="Calibri"/>
                <w:sz w:val="20"/>
                <w:lang w:val="fr-CA"/>
              </w:rPr>
            </w:pPr>
          </w:p>
        </w:tc>
        <w:tc>
          <w:tcPr>
            <w:tcW w:w="243" w:type="pct"/>
          </w:tcPr>
          <w:p w:rsidR="00E35EA0" w:rsidRPr="002F64ED" w:rsidRDefault="00E35EA0" w:rsidP="00E35EA0">
            <w:pPr>
              <w:jc w:val="both"/>
              <w:rPr>
                <w:rFonts w:eastAsia="Calibri"/>
                <w:sz w:val="20"/>
                <w:lang w:val="fr-CA"/>
              </w:rPr>
            </w:pPr>
          </w:p>
        </w:tc>
        <w:tc>
          <w:tcPr>
            <w:tcW w:w="2330" w:type="pct"/>
          </w:tcPr>
          <w:p w:rsidR="00E35EA0" w:rsidRPr="002F64ED" w:rsidRDefault="00E35EA0" w:rsidP="00E35EA0">
            <w:pPr>
              <w:jc w:val="both"/>
              <w:rPr>
                <w:rFonts w:eastAsia="Calibri"/>
                <w:sz w:val="20"/>
                <w:lang w:val="fr-CA"/>
              </w:rPr>
            </w:pPr>
            <w:r w:rsidRPr="002F64ED">
              <w:rPr>
                <w:rFonts w:eastAsia="Calibri"/>
                <w:sz w:val="20"/>
                <w:lang w:val="fr-CA"/>
              </w:rPr>
              <w:t xml:space="preserve">Requête en prorogation du délai de signification et dépôt de sa demande d’autorisation d’appel et demande d’autorisation </w:t>
            </w:r>
            <w:proofErr w:type="gramStart"/>
            <w:r w:rsidRPr="002F64ED">
              <w:rPr>
                <w:rFonts w:eastAsia="Calibri"/>
                <w:sz w:val="20"/>
                <w:lang w:val="fr-CA"/>
              </w:rPr>
              <w:t>d’appel déposées</w:t>
            </w:r>
            <w:proofErr w:type="gramEnd"/>
          </w:p>
        </w:tc>
      </w:tr>
    </w:tbl>
    <w:p w:rsidR="00E35EA0" w:rsidRPr="00E35EA0" w:rsidRDefault="00E35EA0" w:rsidP="00E35EA0">
      <w:pPr>
        <w:rPr>
          <w:sz w:val="20"/>
          <w:szCs w:val="20"/>
          <w:lang w:val="fr-CA"/>
        </w:rPr>
      </w:pPr>
    </w:p>
    <w:p w:rsidR="00E35EA0" w:rsidRPr="00E35EA0" w:rsidRDefault="00DB7F13" w:rsidP="00E35EA0">
      <w:pPr>
        <w:rPr>
          <w:sz w:val="20"/>
          <w:szCs w:val="20"/>
          <w:lang w:val="fr-CA"/>
        </w:rPr>
      </w:pPr>
      <w:r w:rsidRPr="00DB7F13">
        <w:rPr>
          <w:sz w:val="20"/>
          <w:szCs w:val="20"/>
          <w:lang w:val="fr-CA"/>
        </w:rPr>
        <w:pict>
          <v:rect id="_x0000_i1041" style="width:2in;height:1pt" o:hrpct="0" o:hralign="center" o:hrstd="t" o:hrnoshade="t" o:hr="t" fillcolor="black [3213]" stroked="f"/>
        </w:pict>
      </w:r>
    </w:p>
    <w:p w:rsidR="00D16D3C" w:rsidRDefault="00D16D3C" w:rsidP="008D292F">
      <w:pPr>
        <w:ind w:left="1440" w:hanging="1440"/>
        <w:rPr>
          <w:b/>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57F38" w:rsidRPr="00457F38" w:rsidTr="00457F38">
        <w:trPr>
          <w:cantSplit/>
        </w:trPr>
        <w:tc>
          <w:tcPr>
            <w:tcW w:w="1458" w:type="dxa"/>
          </w:tcPr>
          <w:p w:rsidR="00457F38" w:rsidRPr="00457F38" w:rsidRDefault="00457F38" w:rsidP="00457F38">
            <w:pPr>
              <w:rPr>
                <w:sz w:val="20"/>
              </w:rPr>
            </w:pPr>
            <w:r w:rsidRPr="00457F38">
              <w:rPr>
                <w:b/>
                <w:sz w:val="20"/>
                <w:lang w:val="fr-CA"/>
              </w:rPr>
              <w:t>34361</w:t>
            </w:r>
          </w:p>
          <w:p w:rsidR="00457F38" w:rsidRPr="00457F38" w:rsidRDefault="00457F38" w:rsidP="00457F38">
            <w:pPr>
              <w:rPr>
                <w:b/>
                <w:sz w:val="20"/>
                <w:lang w:val="fr-CA"/>
              </w:rPr>
            </w:pPr>
          </w:p>
        </w:tc>
        <w:tc>
          <w:tcPr>
            <w:tcW w:w="8118" w:type="dxa"/>
          </w:tcPr>
          <w:p w:rsidR="00457F38" w:rsidRPr="00457F38" w:rsidRDefault="00457F38" w:rsidP="00457F38">
            <w:pPr>
              <w:rPr>
                <w:sz w:val="20"/>
              </w:rPr>
            </w:pPr>
            <w:r w:rsidRPr="00457F38">
              <w:rPr>
                <w:b/>
                <w:sz w:val="20"/>
                <w:u w:val="single"/>
                <w:lang w:val="en-US"/>
              </w:rPr>
              <w:t>V.L. v. B.A.J.</w:t>
            </w:r>
            <w:r w:rsidRPr="00457F38">
              <w:rPr>
                <w:sz w:val="20"/>
              </w:rPr>
              <w:t xml:space="preserve"> (B.C.) (Civil) (By Leave)</w:t>
            </w:r>
          </w:p>
          <w:p w:rsidR="00457F38" w:rsidRPr="00457F38" w:rsidRDefault="00457F38" w:rsidP="00457F38">
            <w:pPr>
              <w:rPr>
                <w:sz w:val="20"/>
              </w:rPr>
            </w:pPr>
          </w:p>
        </w:tc>
      </w:tr>
      <w:tr w:rsidR="00457F38" w:rsidRPr="00457F38" w:rsidTr="00457F38">
        <w:trPr>
          <w:cantSplit/>
        </w:trPr>
        <w:tc>
          <w:tcPr>
            <w:tcW w:w="1458" w:type="dxa"/>
          </w:tcPr>
          <w:p w:rsidR="00457F38" w:rsidRPr="00457F38" w:rsidRDefault="00457F38" w:rsidP="00457F38">
            <w:pPr>
              <w:rPr>
                <w:sz w:val="20"/>
              </w:rPr>
            </w:pPr>
            <w:r w:rsidRPr="00457F38">
              <w:rPr>
                <w:sz w:val="20"/>
              </w:rPr>
              <w:t>Coram :</w:t>
            </w:r>
          </w:p>
        </w:tc>
        <w:tc>
          <w:tcPr>
            <w:tcW w:w="8118" w:type="dxa"/>
          </w:tcPr>
          <w:p w:rsidR="00457F38" w:rsidRPr="00457F38" w:rsidRDefault="00457F38" w:rsidP="00457F38">
            <w:pPr>
              <w:rPr>
                <w:sz w:val="20"/>
              </w:rPr>
            </w:pPr>
            <w:proofErr w:type="spellStart"/>
            <w:r w:rsidRPr="00457F38">
              <w:rPr>
                <w:sz w:val="20"/>
                <w:u w:val="single"/>
                <w:lang w:val="en-US"/>
              </w:rPr>
              <w:t>LeBel</w:t>
            </w:r>
            <w:proofErr w:type="spellEnd"/>
            <w:r w:rsidRPr="00457F38">
              <w:rPr>
                <w:sz w:val="20"/>
                <w:u w:val="single"/>
                <w:lang w:val="en-US"/>
              </w:rPr>
              <w:t xml:space="preserve">, </w:t>
            </w:r>
            <w:proofErr w:type="spellStart"/>
            <w:r w:rsidRPr="00457F38">
              <w:rPr>
                <w:sz w:val="20"/>
                <w:u w:val="single"/>
                <w:lang w:val="en-US"/>
              </w:rPr>
              <w:t>Abella</w:t>
            </w:r>
            <w:proofErr w:type="spellEnd"/>
            <w:r w:rsidRPr="00457F38">
              <w:rPr>
                <w:sz w:val="20"/>
                <w:u w:val="single"/>
                <w:lang w:val="en-US"/>
              </w:rPr>
              <w:t xml:space="preserve"> and Cromwell JJ.</w:t>
            </w:r>
          </w:p>
          <w:p w:rsidR="00457F38" w:rsidRPr="00457F38" w:rsidRDefault="00457F38" w:rsidP="00457F38">
            <w:pPr>
              <w:rPr>
                <w:sz w:val="20"/>
                <w:u w:val="single"/>
              </w:rPr>
            </w:pPr>
          </w:p>
        </w:tc>
      </w:tr>
      <w:tr w:rsidR="00457F38" w:rsidRPr="00FF4B6E" w:rsidTr="00457F38">
        <w:trPr>
          <w:cantSplit/>
        </w:trPr>
        <w:tc>
          <w:tcPr>
            <w:tcW w:w="9576" w:type="dxa"/>
            <w:gridSpan w:val="2"/>
          </w:tcPr>
          <w:p w:rsidR="00457F38" w:rsidRPr="00457F38" w:rsidRDefault="00457F38" w:rsidP="00457F38">
            <w:pPr>
              <w:ind w:firstLine="720"/>
              <w:jc w:val="both"/>
              <w:rPr>
                <w:sz w:val="20"/>
              </w:rPr>
            </w:pPr>
            <w:r w:rsidRPr="00457F38">
              <w:rPr>
                <w:sz w:val="20"/>
              </w:rPr>
              <w:lastRenderedPageBreak/>
              <w:t>The motion for an extension of time to serve and file the application for leave to appeal is granted. The application for leave to appeal from the judgment of the Court of Appeal for British Columbia, Number CA038129, 2010 BCCA 380, dated August 18, 2010, is dismissed without costs.</w:t>
            </w:r>
          </w:p>
          <w:p w:rsidR="00457F38" w:rsidRPr="00457F38" w:rsidRDefault="00457F38" w:rsidP="00457F38">
            <w:pPr>
              <w:jc w:val="both"/>
              <w:rPr>
                <w:sz w:val="20"/>
              </w:rPr>
            </w:pPr>
          </w:p>
          <w:p w:rsidR="00457F38" w:rsidRPr="00457F38" w:rsidRDefault="00457F38" w:rsidP="00457F38">
            <w:pPr>
              <w:ind w:firstLine="720"/>
              <w:jc w:val="both"/>
              <w:rPr>
                <w:sz w:val="20"/>
                <w:lang w:val="fr-CA"/>
              </w:rPr>
            </w:pPr>
            <w:r w:rsidRPr="00457F38">
              <w:rPr>
                <w:sz w:val="20"/>
                <w:lang w:val="fr-CA"/>
              </w:rPr>
              <w:t>La requête en prorogation du délai de signification et de dépôt de la demande d’autorisation d’appel est accordée. La demande d’autorisation d’appel de l’arrêt de la Cour d’appel de la Colombie-Britannique, numéro CA038129, 2010 BCCA 380, daté du 18 août 2010, est rejetée sans dépens.</w:t>
            </w:r>
          </w:p>
        </w:tc>
      </w:tr>
    </w:tbl>
    <w:p w:rsidR="007E6660" w:rsidRPr="00457F38" w:rsidRDefault="007E6660" w:rsidP="007E6660">
      <w:pPr>
        <w:ind w:left="1440" w:hanging="1440"/>
        <w:rPr>
          <w:b/>
          <w:sz w:val="20"/>
          <w:szCs w:val="20"/>
          <w:lang w:val="fr-CA"/>
        </w:rPr>
      </w:pPr>
    </w:p>
    <w:p w:rsidR="007E6660" w:rsidRDefault="007E6660" w:rsidP="007E6660">
      <w:pPr>
        <w:rPr>
          <w:sz w:val="20"/>
          <w:szCs w:val="20"/>
          <w:u w:val="single"/>
        </w:rPr>
      </w:pPr>
      <w:r w:rsidRPr="00E35EA0">
        <w:rPr>
          <w:sz w:val="20"/>
          <w:szCs w:val="20"/>
          <w:u w:val="single"/>
        </w:rPr>
        <w:t>CASE SUMMARY</w:t>
      </w:r>
    </w:p>
    <w:p w:rsidR="007E6660" w:rsidRDefault="007E6660" w:rsidP="007E666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7E6660" w:rsidRPr="002F64ED" w:rsidTr="007E6660">
        <w:tc>
          <w:tcPr>
            <w:tcW w:w="5000" w:type="pct"/>
            <w:gridSpan w:val="3"/>
          </w:tcPr>
          <w:p w:rsidR="007E6660" w:rsidRDefault="007E6660" w:rsidP="007E6660">
            <w:pPr>
              <w:jc w:val="both"/>
              <w:rPr>
                <w:rFonts w:eastAsia="Calibri"/>
                <w:smallCaps/>
                <w:sz w:val="20"/>
              </w:rPr>
            </w:pPr>
            <w:r w:rsidRPr="002F64ED">
              <w:rPr>
                <w:rFonts w:eastAsia="Calibri"/>
                <w:smallCaps/>
                <w:sz w:val="20"/>
              </w:rPr>
              <w:t>(Publication ban in case) (Publication ban on party)</w:t>
            </w:r>
          </w:p>
          <w:p w:rsidR="007E6660" w:rsidRPr="002F64ED" w:rsidRDefault="007E6660" w:rsidP="007E6660">
            <w:pPr>
              <w:jc w:val="both"/>
              <w:rPr>
                <w:rFonts w:eastAsia="Calibri"/>
                <w:smallCaps/>
                <w:sz w:val="20"/>
              </w:rPr>
            </w:pPr>
          </w:p>
        </w:tc>
      </w:tr>
      <w:tr w:rsidR="007E6660" w:rsidRPr="002F64ED" w:rsidTr="007E6660">
        <w:tc>
          <w:tcPr>
            <w:tcW w:w="5000" w:type="pct"/>
            <w:gridSpan w:val="3"/>
          </w:tcPr>
          <w:p w:rsidR="007E6660" w:rsidRPr="002F64ED" w:rsidRDefault="007E6660" w:rsidP="007E6660">
            <w:pPr>
              <w:jc w:val="both"/>
              <w:rPr>
                <w:rFonts w:eastAsia="Calibri"/>
                <w:sz w:val="20"/>
              </w:rPr>
            </w:pPr>
            <w:r w:rsidRPr="002F64ED">
              <w:rPr>
                <w:rFonts w:eastAsia="Calibri"/>
                <w:sz w:val="20"/>
              </w:rPr>
              <w:t>Family law — Appeals — Indigent status — Whether the Court of Appeal erred in dismissing the applicant’s application for review of an order dismissing her application for indigent status.</w:t>
            </w:r>
          </w:p>
          <w:p w:rsidR="007E6660" w:rsidRPr="002F64ED" w:rsidRDefault="007E6660" w:rsidP="007E6660">
            <w:pPr>
              <w:jc w:val="both"/>
              <w:rPr>
                <w:rFonts w:eastAsia="Calibri"/>
                <w:sz w:val="20"/>
              </w:rPr>
            </w:pPr>
          </w:p>
        </w:tc>
      </w:tr>
      <w:tr w:rsidR="007E6660" w:rsidRPr="002F64ED" w:rsidTr="007E6660">
        <w:tc>
          <w:tcPr>
            <w:tcW w:w="5000" w:type="pct"/>
            <w:gridSpan w:val="3"/>
          </w:tcPr>
          <w:p w:rsidR="007E6660" w:rsidRPr="002F64ED" w:rsidRDefault="007E6660" w:rsidP="007E6660">
            <w:pPr>
              <w:jc w:val="both"/>
              <w:rPr>
                <w:rFonts w:eastAsia="Calibri"/>
                <w:sz w:val="20"/>
              </w:rPr>
            </w:pPr>
            <w:r w:rsidRPr="002F64ED">
              <w:rPr>
                <w:rFonts w:eastAsia="Calibri"/>
                <w:sz w:val="20"/>
              </w:rPr>
              <w:t xml:space="preserve">The applicant and the respondent separated in 2002 and were divorced in 2007.  They have two daughters, aged nine and six.  At trial in 2007, joint guardianship and custody of the children was ordered, with primary residency with the applicant and defined access for the respondent. In 2009, the respondent applied for a variation of guardianship, custody and access, and sought an order for sole custody and guardianship with supervised access for the applicant.  The application was granted.  The applicant appealed to the Court of Appeal for British Columbia. In the context of this appeal, she brought an application seeking indigent status, which was dismissed.  The applicant brought an application for review of the dismissal before a </w:t>
            </w:r>
            <w:proofErr w:type="spellStart"/>
            <w:r w:rsidRPr="002F64ED">
              <w:rPr>
                <w:rFonts w:eastAsia="Calibri"/>
                <w:sz w:val="20"/>
              </w:rPr>
              <w:t>three</w:t>
            </w:r>
            <w:r w:rsidRPr="002F64ED">
              <w:rPr>
                <w:rFonts w:eastAsia="Calibri"/>
                <w:sz w:val="20"/>
              </w:rPr>
              <w:noBreakHyphen/>
              <w:t>judge</w:t>
            </w:r>
            <w:proofErr w:type="spellEnd"/>
            <w:r w:rsidRPr="002F64ED">
              <w:rPr>
                <w:rFonts w:eastAsia="Calibri"/>
                <w:sz w:val="20"/>
              </w:rPr>
              <w:t xml:space="preserve"> panel of the Court of Appeal.  The application was dismissed, the court holding that there was no error in principle in the decision refusing to grant indigent status to the applicant.</w:t>
            </w:r>
          </w:p>
          <w:p w:rsidR="007E6660" w:rsidRPr="002F64ED" w:rsidRDefault="007E6660" w:rsidP="007E6660">
            <w:pPr>
              <w:jc w:val="both"/>
              <w:rPr>
                <w:rFonts w:eastAsia="Calibri"/>
                <w:sz w:val="20"/>
              </w:rPr>
            </w:pPr>
          </w:p>
        </w:tc>
      </w:tr>
      <w:tr w:rsidR="007E6660" w:rsidRPr="002F64ED" w:rsidTr="007E6660">
        <w:tc>
          <w:tcPr>
            <w:tcW w:w="2427" w:type="pct"/>
          </w:tcPr>
          <w:p w:rsidR="007E6660" w:rsidRPr="002F64ED" w:rsidRDefault="007E6660" w:rsidP="007E6660">
            <w:pPr>
              <w:jc w:val="both"/>
              <w:rPr>
                <w:rFonts w:eastAsia="Calibri"/>
                <w:sz w:val="20"/>
              </w:rPr>
            </w:pPr>
            <w:r w:rsidRPr="002F64ED">
              <w:rPr>
                <w:rFonts w:eastAsia="Calibri"/>
                <w:sz w:val="20"/>
              </w:rPr>
              <w:t>April 19, 2010</w:t>
            </w:r>
          </w:p>
          <w:p w:rsidR="007E6660" w:rsidRPr="002F64ED" w:rsidRDefault="007E6660" w:rsidP="007E6660">
            <w:pPr>
              <w:jc w:val="both"/>
              <w:rPr>
                <w:rFonts w:eastAsia="Calibri"/>
                <w:sz w:val="20"/>
              </w:rPr>
            </w:pPr>
            <w:r w:rsidRPr="002F64ED">
              <w:rPr>
                <w:rFonts w:eastAsia="Calibri"/>
                <w:sz w:val="20"/>
              </w:rPr>
              <w:t>Supreme Court of British Columbia</w:t>
            </w:r>
          </w:p>
          <w:p w:rsidR="007E6660" w:rsidRPr="002F64ED" w:rsidRDefault="007E6660" w:rsidP="007E6660">
            <w:pPr>
              <w:jc w:val="both"/>
              <w:rPr>
                <w:rFonts w:eastAsia="Calibri"/>
                <w:sz w:val="20"/>
              </w:rPr>
            </w:pPr>
            <w:r w:rsidRPr="002F64ED">
              <w:rPr>
                <w:rFonts w:eastAsia="Calibri"/>
                <w:sz w:val="20"/>
              </w:rPr>
              <w:t>(</w:t>
            </w:r>
            <w:proofErr w:type="spellStart"/>
            <w:r w:rsidRPr="002F64ED">
              <w:rPr>
                <w:rFonts w:eastAsia="Calibri"/>
                <w:sz w:val="20"/>
              </w:rPr>
              <w:t>Masuhara</w:t>
            </w:r>
            <w:proofErr w:type="spellEnd"/>
            <w:r w:rsidRPr="002F64ED">
              <w:rPr>
                <w:rFonts w:eastAsia="Calibri"/>
                <w:sz w:val="20"/>
              </w:rPr>
              <w:t xml:space="preserve"> J.)</w:t>
            </w:r>
          </w:p>
          <w:p w:rsidR="007E6660" w:rsidRPr="002F64ED" w:rsidRDefault="007E6660" w:rsidP="007E6660">
            <w:pPr>
              <w:jc w:val="both"/>
              <w:rPr>
                <w:rFonts w:eastAsia="Calibri"/>
                <w:sz w:val="20"/>
              </w:rPr>
            </w:pPr>
            <w:r w:rsidRPr="002F64ED">
              <w:rPr>
                <w:rFonts w:eastAsia="Calibri"/>
                <w:sz w:val="20"/>
              </w:rPr>
              <w:t>2010 BCSC 514</w:t>
            </w:r>
          </w:p>
          <w:p w:rsidR="007E6660" w:rsidRPr="002F64ED" w:rsidRDefault="007E6660" w:rsidP="007E6660">
            <w:pPr>
              <w:jc w:val="both"/>
              <w:rPr>
                <w:rFonts w:eastAsia="Calibri"/>
                <w:sz w:val="20"/>
              </w:rPr>
            </w:pPr>
          </w:p>
        </w:tc>
        <w:tc>
          <w:tcPr>
            <w:tcW w:w="243" w:type="pct"/>
          </w:tcPr>
          <w:p w:rsidR="007E6660" w:rsidRPr="002F64ED" w:rsidRDefault="007E6660" w:rsidP="007E6660">
            <w:pPr>
              <w:jc w:val="both"/>
              <w:rPr>
                <w:rFonts w:eastAsia="Calibri"/>
                <w:sz w:val="20"/>
              </w:rPr>
            </w:pPr>
          </w:p>
        </w:tc>
        <w:tc>
          <w:tcPr>
            <w:tcW w:w="2330" w:type="pct"/>
          </w:tcPr>
          <w:p w:rsidR="007E6660" w:rsidRPr="002F64ED" w:rsidRDefault="007E6660" w:rsidP="007E6660">
            <w:pPr>
              <w:jc w:val="both"/>
              <w:rPr>
                <w:rFonts w:eastAsia="Calibri"/>
                <w:sz w:val="20"/>
              </w:rPr>
            </w:pPr>
            <w:r w:rsidRPr="002F64ED">
              <w:rPr>
                <w:rFonts w:eastAsia="Calibri"/>
                <w:sz w:val="20"/>
              </w:rPr>
              <w:t>Order that guardianship, custody and residence of the children be with the respondent and that the applicant have supervised access</w:t>
            </w:r>
          </w:p>
          <w:p w:rsidR="007E6660" w:rsidRPr="002F64ED" w:rsidRDefault="007E6660" w:rsidP="007E6660">
            <w:pPr>
              <w:jc w:val="both"/>
              <w:rPr>
                <w:rFonts w:eastAsia="Calibri"/>
                <w:sz w:val="20"/>
              </w:rPr>
            </w:pPr>
          </w:p>
        </w:tc>
      </w:tr>
      <w:tr w:rsidR="007E6660" w:rsidRPr="002F64ED" w:rsidTr="007E6660">
        <w:tc>
          <w:tcPr>
            <w:tcW w:w="2427" w:type="pct"/>
          </w:tcPr>
          <w:p w:rsidR="007E6660" w:rsidRPr="002F64ED" w:rsidRDefault="007E6660" w:rsidP="007E6660">
            <w:pPr>
              <w:jc w:val="both"/>
              <w:rPr>
                <w:rFonts w:eastAsia="Calibri"/>
                <w:sz w:val="20"/>
              </w:rPr>
            </w:pPr>
            <w:r w:rsidRPr="002F64ED">
              <w:rPr>
                <w:rFonts w:eastAsia="Calibri"/>
                <w:sz w:val="20"/>
              </w:rPr>
              <w:t>May 25, 2010</w:t>
            </w:r>
          </w:p>
          <w:p w:rsidR="007E6660" w:rsidRPr="002F64ED" w:rsidRDefault="007E6660" w:rsidP="007E6660">
            <w:pPr>
              <w:jc w:val="both"/>
              <w:rPr>
                <w:rFonts w:eastAsia="Calibri"/>
                <w:sz w:val="20"/>
              </w:rPr>
            </w:pPr>
            <w:r w:rsidRPr="002F64ED">
              <w:rPr>
                <w:rFonts w:eastAsia="Calibri"/>
                <w:sz w:val="20"/>
              </w:rPr>
              <w:t>Court of Appeal for British Columbia (Vancouver)</w:t>
            </w:r>
          </w:p>
          <w:p w:rsidR="007E6660" w:rsidRPr="002F64ED" w:rsidRDefault="007E6660" w:rsidP="007E6660">
            <w:pPr>
              <w:jc w:val="both"/>
              <w:rPr>
                <w:rFonts w:eastAsia="Calibri"/>
                <w:sz w:val="20"/>
              </w:rPr>
            </w:pPr>
            <w:r w:rsidRPr="002F64ED">
              <w:rPr>
                <w:rFonts w:eastAsia="Calibri"/>
                <w:sz w:val="20"/>
              </w:rPr>
              <w:t>(Newbury J.A.)</w:t>
            </w:r>
          </w:p>
          <w:p w:rsidR="007E6660" w:rsidRPr="002F64ED" w:rsidRDefault="007E6660" w:rsidP="007E6660">
            <w:pPr>
              <w:jc w:val="both"/>
              <w:rPr>
                <w:rFonts w:eastAsia="Calibri"/>
                <w:sz w:val="20"/>
              </w:rPr>
            </w:pPr>
          </w:p>
        </w:tc>
        <w:tc>
          <w:tcPr>
            <w:tcW w:w="243" w:type="pct"/>
          </w:tcPr>
          <w:p w:rsidR="007E6660" w:rsidRPr="002F64ED" w:rsidRDefault="007E6660" w:rsidP="007E6660">
            <w:pPr>
              <w:jc w:val="both"/>
              <w:rPr>
                <w:rFonts w:eastAsia="Calibri"/>
                <w:sz w:val="20"/>
              </w:rPr>
            </w:pPr>
          </w:p>
        </w:tc>
        <w:tc>
          <w:tcPr>
            <w:tcW w:w="2330" w:type="pct"/>
          </w:tcPr>
          <w:p w:rsidR="007E6660" w:rsidRPr="002F64ED" w:rsidRDefault="007E6660" w:rsidP="007E6660">
            <w:pPr>
              <w:jc w:val="both"/>
              <w:rPr>
                <w:rFonts w:eastAsia="Calibri"/>
                <w:sz w:val="20"/>
              </w:rPr>
            </w:pPr>
            <w:r w:rsidRPr="002F64ED">
              <w:rPr>
                <w:rFonts w:eastAsia="Calibri"/>
                <w:sz w:val="20"/>
              </w:rPr>
              <w:t>Application by applicant seeking indigent status dismissed</w:t>
            </w:r>
          </w:p>
        </w:tc>
      </w:tr>
      <w:tr w:rsidR="007E6660" w:rsidRPr="002F64ED" w:rsidTr="007E6660">
        <w:tc>
          <w:tcPr>
            <w:tcW w:w="2427" w:type="pct"/>
          </w:tcPr>
          <w:p w:rsidR="007E6660" w:rsidRPr="002F64ED" w:rsidRDefault="007E6660" w:rsidP="007E6660">
            <w:pPr>
              <w:jc w:val="both"/>
              <w:rPr>
                <w:rFonts w:eastAsia="Calibri"/>
                <w:sz w:val="20"/>
              </w:rPr>
            </w:pPr>
            <w:r w:rsidRPr="002F64ED">
              <w:rPr>
                <w:rFonts w:eastAsia="Calibri"/>
                <w:sz w:val="20"/>
              </w:rPr>
              <w:t>August 18, 2010</w:t>
            </w:r>
          </w:p>
          <w:p w:rsidR="007E6660" w:rsidRPr="002F64ED" w:rsidRDefault="007E6660" w:rsidP="007E6660">
            <w:pPr>
              <w:jc w:val="both"/>
              <w:rPr>
                <w:rFonts w:eastAsia="Calibri"/>
                <w:sz w:val="20"/>
              </w:rPr>
            </w:pPr>
            <w:r w:rsidRPr="002F64ED">
              <w:rPr>
                <w:rFonts w:eastAsia="Calibri"/>
                <w:sz w:val="20"/>
              </w:rPr>
              <w:t>Court of Appeal for British Columbia (Vancouver)</w:t>
            </w:r>
          </w:p>
          <w:p w:rsidR="007E6660" w:rsidRPr="002F64ED" w:rsidRDefault="007E6660" w:rsidP="007E6660">
            <w:pPr>
              <w:jc w:val="both"/>
              <w:rPr>
                <w:rFonts w:eastAsia="Calibri"/>
                <w:sz w:val="20"/>
              </w:rPr>
            </w:pPr>
            <w:r w:rsidRPr="002F64ED">
              <w:rPr>
                <w:rFonts w:eastAsia="Calibri"/>
                <w:sz w:val="20"/>
              </w:rPr>
              <w:t xml:space="preserve">(Hall, </w:t>
            </w:r>
            <w:proofErr w:type="spellStart"/>
            <w:r w:rsidRPr="002F64ED">
              <w:rPr>
                <w:rFonts w:eastAsia="Calibri"/>
                <w:sz w:val="20"/>
              </w:rPr>
              <w:t>Tysoe</w:t>
            </w:r>
            <w:proofErr w:type="spellEnd"/>
            <w:r w:rsidRPr="002F64ED">
              <w:rPr>
                <w:rFonts w:eastAsia="Calibri"/>
                <w:sz w:val="20"/>
              </w:rPr>
              <w:t xml:space="preserve"> and Smith JJ.A.)</w:t>
            </w:r>
          </w:p>
          <w:p w:rsidR="007E6660" w:rsidRPr="002F64ED" w:rsidRDefault="007E6660" w:rsidP="007E6660">
            <w:pPr>
              <w:jc w:val="both"/>
              <w:rPr>
                <w:rFonts w:eastAsia="Calibri"/>
                <w:sz w:val="20"/>
              </w:rPr>
            </w:pPr>
            <w:r w:rsidRPr="002F64ED">
              <w:rPr>
                <w:rFonts w:eastAsia="Calibri"/>
                <w:sz w:val="20"/>
              </w:rPr>
              <w:t>2010 BCCA 380</w:t>
            </w:r>
          </w:p>
          <w:p w:rsidR="007E6660" w:rsidRPr="002F64ED" w:rsidRDefault="007E6660" w:rsidP="007E6660">
            <w:pPr>
              <w:jc w:val="both"/>
              <w:rPr>
                <w:rFonts w:eastAsia="Calibri"/>
                <w:sz w:val="20"/>
              </w:rPr>
            </w:pPr>
          </w:p>
        </w:tc>
        <w:tc>
          <w:tcPr>
            <w:tcW w:w="243" w:type="pct"/>
          </w:tcPr>
          <w:p w:rsidR="007E6660" w:rsidRPr="002F64ED" w:rsidRDefault="007E6660" w:rsidP="007E6660">
            <w:pPr>
              <w:jc w:val="both"/>
              <w:rPr>
                <w:rFonts w:eastAsia="Calibri"/>
                <w:sz w:val="20"/>
              </w:rPr>
            </w:pPr>
          </w:p>
        </w:tc>
        <w:tc>
          <w:tcPr>
            <w:tcW w:w="2330" w:type="pct"/>
          </w:tcPr>
          <w:p w:rsidR="007E6660" w:rsidRPr="002F64ED" w:rsidRDefault="007E6660" w:rsidP="007E6660">
            <w:pPr>
              <w:jc w:val="both"/>
              <w:rPr>
                <w:rFonts w:eastAsia="Calibri"/>
                <w:sz w:val="20"/>
              </w:rPr>
            </w:pPr>
            <w:r w:rsidRPr="002F64ED">
              <w:rPr>
                <w:rFonts w:eastAsia="Calibri"/>
                <w:sz w:val="20"/>
              </w:rPr>
              <w:t>Application by applicant for a review of the order of Newbury J.A. dismissed</w:t>
            </w:r>
          </w:p>
          <w:p w:rsidR="007E6660" w:rsidRPr="002F64ED" w:rsidRDefault="007E6660" w:rsidP="007E6660">
            <w:pPr>
              <w:jc w:val="both"/>
              <w:rPr>
                <w:rFonts w:eastAsia="Calibri"/>
                <w:sz w:val="20"/>
              </w:rPr>
            </w:pPr>
          </w:p>
        </w:tc>
      </w:tr>
      <w:tr w:rsidR="007E6660" w:rsidRPr="002F64ED" w:rsidTr="007E6660">
        <w:tc>
          <w:tcPr>
            <w:tcW w:w="2427" w:type="pct"/>
          </w:tcPr>
          <w:p w:rsidR="007E6660" w:rsidRPr="002F64ED" w:rsidRDefault="007E6660" w:rsidP="007E6660">
            <w:pPr>
              <w:jc w:val="both"/>
              <w:rPr>
                <w:rFonts w:eastAsia="Calibri"/>
                <w:sz w:val="20"/>
              </w:rPr>
            </w:pPr>
            <w:r w:rsidRPr="002F64ED">
              <w:rPr>
                <w:rFonts w:eastAsia="Calibri"/>
                <w:sz w:val="20"/>
              </w:rPr>
              <w:t>July 28, 2011</w:t>
            </w:r>
          </w:p>
          <w:p w:rsidR="007E6660" w:rsidRPr="002F64ED" w:rsidRDefault="007E6660" w:rsidP="007E6660">
            <w:pPr>
              <w:jc w:val="both"/>
              <w:rPr>
                <w:rFonts w:eastAsia="Calibri"/>
                <w:sz w:val="20"/>
              </w:rPr>
            </w:pPr>
            <w:r w:rsidRPr="002F64ED">
              <w:rPr>
                <w:rFonts w:eastAsia="Calibri"/>
                <w:sz w:val="20"/>
              </w:rPr>
              <w:t>Supreme Court of Canada</w:t>
            </w:r>
          </w:p>
          <w:p w:rsidR="007E6660" w:rsidRPr="002F64ED" w:rsidRDefault="007E6660" w:rsidP="007E6660">
            <w:pPr>
              <w:jc w:val="both"/>
              <w:rPr>
                <w:rFonts w:eastAsia="Calibri"/>
                <w:sz w:val="20"/>
              </w:rPr>
            </w:pPr>
          </w:p>
        </w:tc>
        <w:tc>
          <w:tcPr>
            <w:tcW w:w="243" w:type="pct"/>
          </w:tcPr>
          <w:p w:rsidR="007E6660" w:rsidRPr="002F64ED" w:rsidRDefault="007E6660" w:rsidP="007E6660">
            <w:pPr>
              <w:jc w:val="both"/>
              <w:rPr>
                <w:rFonts w:eastAsia="Calibri"/>
                <w:sz w:val="20"/>
              </w:rPr>
            </w:pPr>
          </w:p>
        </w:tc>
        <w:tc>
          <w:tcPr>
            <w:tcW w:w="2330" w:type="pct"/>
          </w:tcPr>
          <w:p w:rsidR="007E6660" w:rsidRPr="002F64ED" w:rsidRDefault="007E6660" w:rsidP="007E6660">
            <w:pPr>
              <w:jc w:val="both"/>
              <w:rPr>
                <w:rFonts w:eastAsia="Calibri"/>
                <w:sz w:val="20"/>
              </w:rPr>
            </w:pPr>
            <w:r w:rsidRPr="002F64ED">
              <w:rPr>
                <w:rFonts w:eastAsia="Calibri"/>
                <w:sz w:val="20"/>
              </w:rPr>
              <w:t xml:space="preserve">Motion for extension of time to serve and file application for leave to appeal and application for leave to appeal filed </w:t>
            </w:r>
          </w:p>
        </w:tc>
      </w:tr>
    </w:tbl>
    <w:p w:rsidR="007E6660" w:rsidRPr="00E35EA0" w:rsidRDefault="007E6660" w:rsidP="007E6660">
      <w:pPr>
        <w:rPr>
          <w:sz w:val="20"/>
          <w:szCs w:val="20"/>
        </w:rPr>
      </w:pPr>
    </w:p>
    <w:p w:rsidR="007E6660" w:rsidRPr="00E35EA0" w:rsidRDefault="00DB7F13" w:rsidP="007E6660">
      <w:pPr>
        <w:rPr>
          <w:sz w:val="20"/>
          <w:szCs w:val="20"/>
        </w:rPr>
      </w:pPr>
      <w:r w:rsidRPr="00DB7F13">
        <w:rPr>
          <w:sz w:val="20"/>
          <w:szCs w:val="20"/>
          <w:lang w:val="fr-CA"/>
        </w:rPr>
        <w:pict>
          <v:rect id="_x0000_i1042" style="width:2in;height:1pt" o:hrpct="0" o:hralign="center" o:hrstd="t" o:hrnoshade="t" o:hr="t" fillcolor="black [3213]" stroked="f"/>
        </w:pict>
      </w:r>
    </w:p>
    <w:p w:rsidR="007E6660" w:rsidRPr="00E35EA0" w:rsidRDefault="007E6660" w:rsidP="007E6660">
      <w:pPr>
        <w:rPr>
          <w:sz w:val="20"/>
          <w:szCs w:val="20"/>
        </w:rPr>
      </w:pPr>
    </w:p>
    <w:p w:rsidR="007E6660" w:rsidRPr="00E35EA0" w:rsidRDefault="007E6660" w:rsidP="007E6660">
      <w:pPr>
        <w:rPr>
          <w:sz w:val="20"/>
          <w:szCs w:val="20"/>
          <w:u w:val="single"/>
          <w:lang w:val="fr-CA"/>
        </w:rPr>
      </w:pPr>
      <w:r w:rsidRPr="00E35EA0">
        <w:rPr>
          <w:sz w:val="20"/>
          <w:szCs w:val="20"/>
          <w:u w:val="single"/>
          <w:lang w:val="fr-CA"/>
        </w:rPr>
        <w:t>RÉSUMÉ DE L’AFFAIRE</w:t>
      </w:r>
    </w:p>
    <w:p w:rsidR="007E6660" w:rsidRPr="00E35EA0" w:rsidRDefault="007E6660" w:rsidP="007E6660">
      <w:pPr>
        <w:keepNext/>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E6660" w:rsidRPr="00FF4B6E" w:rsidTr="007E6660">
        <w:tc>
          <w:tcPr>
            <w:tcW w:w="5000" w:type="pct"/>
            <w:gridSpan w:val="3"/>
          </w:tcPr>
          <w:p w:rsidR="007E6660" w:rsidRPr="002F64ED" w:rsidRDefault="007E6660" w:rsidP="007E6660">
            <w:pPr>
              <w:jc w:val="both"/>
              <w:rPr>
                <w:rFonts w:eastAsia="Calibri"/>
                <w:smallCaps/>
                <w:sz w:val="20"/>
                <w:lang w:val="fr-CA"/>
              </w:rPr>
            </w:pPr>
            <w:r w:rsidRPr="002F64ED">
              <w:rPr>
                <w:rFonts w:eastAsia="Calibri"/>
                <w:smallCaps/>
                <w:sz w:val="20"/>
                <w:lang w:val="fr-CA"/>
              </w:rPr>
              <w:t xml:space="preserve">(Ordonnance de </w:t>
            </w:r>
            <w:proofErr w:type="spellStart"/>
            <w:r w:rsidRPr="002F64ED">
              <w:rPr>
                <w:rFonts w:eastAsia="Calibri"/>
                <w:smallCaps/>
                <w:sz w:val="20"/>
                <w:lang w:val="fr-CA"/>
              </w:rPr>
              <w:t>non</w:t>
            </w:r>
            <w:r w:rsidRPr="002F64ED">
              <w:rPr>
                <w:rFonts w:eastAsia="Calibri"/>
                <w:smallCaps/>
                <w:sz w:val="20"/>
                <w:lang w:val="fr-CA"/>
              </w:rPr>
              <w:noBreakHyphen/>
              <w:t>publication</w:t>
            </w:r>
            <w:proofErr w:type="spellEnd"/>
            <w:r w:rsidRPr="002F64ED">
              <w:rPr>
                <w:rFonts w:eastAsia="Calibri"/>
                <w:smallCaps/>
                <w:sz w:val="20"/>
                <w:lang w:val="fr-CA"/>
              </w:rPr>
              <w:t xml:space="preserve"> dans le dossier) (ordonnance de </w:t>
            </w:r>
            <w:proofErr w:type="spellStart"/>
            <w:r w:rsidRPr="002F64ED">
              <w:rPr>
                <w:rFonts w:eastAsia="Calibri"/>
                <w:smallCaps/>
                <w:sz w:val="20"/>
                <w:lang w:val="fr-CA"/>
              </w:rPr>
              <w:t>non</w:t>
            </w:r>
            <w:r w:rsidRPr="002F64ED">
              <w:rPr>
                <w:rFonts w:eastAsia="Calibri"/>
                <w:smallCaps/>
                <w:sz w:val="20"/>
                <w:lang w:val="fr-CA"/>
              </w:rPr>
              <w:noBreakHyphen/>
              <w:t>publication</w:t>
            </w:r>
            <w:proofErr w:type="spellEnd"/>
            <w:r w:rsidRPr="002F64ED">
              <w:rPr>
                <w:rFonts w:eastAsia="Calibri"/>
                <w:smallCaps/>
                <w:sz w:val="20"/>
                <w:lang w:val="fr-CA"/>
              </w:rPr>
              <w:t xml:space="preserve"> visant une partie)</w:t>
            </w:r>
          </w:p>
          <w:p w:rsidR="007E6660" w:rsidRPr="002F64ED" w:rsidRDefault="007E6660" w:rsidP="007E6660">
            <w:pPr>
              <w:jc w:val="both"/>
              <w:rPr>
                <w:rFonts w:eastAsia="Calibri"/>
                <w:sz w:val="20"/>
                <w:lang w:val="fr-CA"/>
              </w:rPr>
            </w:pPr>
          </w:p>
        </w:tc>
      </w:tr>
      <w:tr w:rsidR="007E6660" w:rsidRPr="00FF4B6E" w:rsidTr="007E6660">
        <w:tc>
          <w:tcPr>
            <w:tcW w:w="5000" w:type="pct"/>
            <w:gridSpan w:val="3"/>
          </w:tcPr>
          <w:p w:rsidR="007E6660" w:rsidRPr="002F64ED" w:rsidRDefault="007E6660" w:rsidP="007E6660">
            <w:pPr>
              <w:jc w:val="both"/>
              <w:rPr>
                <w:rFonts w:eastAsia="Calibri"/>
                <w:sz w:val="20"/>
                <w:lang w:val="fr-CA"/>
              </w:rPr>
            </w:pPr>
            <w:r w:rsidRPr="002F64ED">
              <w:rPr>
                <w:rFonts w:eastAsia="Calibri"/>
                <w:sz w:val="20"/>
                <w:lang w:val="fr-CA"/>
              </w:rPr>
              <w:t xml:space="preserve">Droit de la famille — Appels — Partie sans ressources — La Cour d'appel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eu tort de rejeter la demande de la </w:t>
            </w:r>
            <w:r w:rsidRPr="002F64ED">
              <w:rPr>
                <w:rFonts w:eastAsia="Calibri"/>
                <w:sz w:val="20"/>
                <w:lang w:val="fr-CA"/>
              </w:rPr>
              <w:lastRenderedPageBreak/>
              <w:t>demanderesse en révision d'une ordonnance rejetant sa demande pour être reconnue sans ressources?</w:t>
            </w:r>
          </w:p>
          <w:p w:rsidR="007E6660" w:rsidRPr="002F64ED" w:rsidRDefault="007E6660" w:rsidP="007E6660">
            <w:pPr>
              <w:jc w:val="both"/>
              <w:rPr>
                <w:rFonts w:eastAsia="Calibri"/>
                <w:sz w:val="20"/>
                <w:lang w:val="fr-CA"/>
              </w:rPr>
            </w:pPr>
          </w:p>
        </w:tc>
      </w:tr>
      <w:tr w:rsidR="007E6660" w:rsidRPr="00FF4B6E" w:rsidTr="007E6660">
        <w:tc>
          <w:tcPr>
            <w:tcW w:w="5000" w:type="pct"/>
            <w:gridSpan w:val="3"/>
          </w:tcPr>
          <w:p w:rsidR="007E6660" w:rsidRPr="002F64ED" w:rsidRDefault="007E6660" w:rsidP="007E6660">
            <w:pPr>
              <w:jc w:val="both"/>
              <w:rPr>
                <w:rFonts w:eastAsia="Calibri"/>
                <w:sz w:val="20"/>
                <w:lang w:val="fr-CA"/>
              </w:rPr>
            </w:pPr>
            <w:r w:rsidRPr="002F64ED">
              <w:rPr>
                <w:rFonts w:eastAsia="Calibri"/>
                <w:sz w:val="20"/>
                <w:lang w:val="fr-CA"/>
              </w:rPr>
              <w:lastRenderedPageBreak/>
              <w:t xml:space="preserve">La demanderesse et l'intimé se sont séparés en 2002 et ils se sont divorcés en 2007.  Ils ont deux filles, âgées de neuf ans et de six ans.  Au procès en 2007, le tribunal a ordonné la garde partagée des enfants qui allaient résider principalement chez la demanderesse, avec droit de visite en faveur de l'intimé.  En 2009, l'intimé a demandé la modification de l’ordonnance de garde et du droit de visite et a sollicité une ordonnance lui accordant la garde exclusive avec droit de visite surveillée pour la demanderesse.  La demande a été accueillie.  La demanderesse a interjeté appel à la Cour d'appel de la </w:t>
            </w:r>
            <w:proofErr w:type="spellStart"/>
            <w:r w:rsidRPr="002F64ED">
              <w:rPr>
                <w:rFonts w:eastAsia="Calibri"/>
                <w:sz w:val="20"/>
                <w:lang w:val="fr-CA"/>
              </w:rPr>
              <w:t>Colombie</w:t>
            </w:r>
            <w:r w:rsidRPr="002F64ED">
              <w:rPr>
                <w:rFonts w:eastAsia="Calibri"/>
                <w:sz w:val="20"/>
                <w:lang w:val="fr-CA"/>
              </w:rPr>
              <w:noBreakHyphen/>
              <w:t>Britannique</w:t>
            </w:r>
            <w:proofErr w:type="spellEnd"/>
            <w:r w:rsidRPr="002F64ED">
              <w:rPr>
                <w:rFonts w:eastAsia="Calibri"/>
                <w:sz w:val="20"/>
                <w:lang w:val="fr-CA"/>
              </w:rPr>
              <w:t>.  Dans le contexte du présent appel, elle a présenté une demande pour être reconnue sans ressources, demande qui a été rejetée.  La demanderesse a présenté une demande de révision du rejet à une formation de trois juges de la Cour d'appel.  La demande a été rejetée, la Cour statuant qu'il n'y avait eu aucune erreur de principe dans la décision de refuser de reconnaître que la demanderesse était sans ressources.</w:t>
            </w:r>
          </w:p>
          <w:p w:rsidR="007E6660" w:rsidRPr="002F64ED" w:rsidRDefault="007E6660" w:rsidP="007E6660">
            <w:pPr>
              <w:jc w:val="both"/>
              <w:rPr>
                <w:rFonts w:eastAsia="Calibri"/>
                <w:sz w:val="20"/>
                <w:lang w:val="fr-CA"/>
              </w:rPr>
            </w:pPr>
          </w:p>
        </w:tc>
      </w:tr>
      <w:tr w:rsidR="007E6660" w:rsidRPr="00FF4B6E" w:rsidTr="007E6660">
        <w:tc>
          <w:tcPr>
            <w:tcW w:w="2427" w:type="pct"/>
          </w:tcPr>
          <w:p w:rsidR="007E6660" w:rsidRPr="002F64ED" w:rsidRDefault="007E6660" w:rsidP="007E6660">
            <w:pPr>
              <w:jc w:val="both"/>
              <w:rPr>
                <w:rFonts w:eastAsia="Calibri"/>
                <w:sz w:val="20"/>
                <w:lang w:val="fr-CA"/>
              </w:rPr>
            </w:pPr>
            <w:r w:rsidRPr="002F64ED">
              <w:rPr>
                <w:rFonts w:eastAsia="Calibri"/>
                <w:sz w:val="20"/>
                <w:lang w:val="fr-CA"/>
              </w:rPr>
              <w:t>19 avril 2010</w:t>
            </w:r>
          </w:p>
          <w:p w:rsidR="007E6660" w:rsidRPr="002F64ED" w:rsidRDefault="007E6660" w:rsidP="007E6660">
            <w:pPr>
              <w:jc w:val="both"/>
              <w:rPr>
                <w:rFonts w:eastAsia="Calibri"/>
                <w:sz w:val="20"/>
                <w:lang w:val="fr-CA"/>
              </w:rPr>
            </w:pPr>
            <w:r w:rsidRPr="002F64ED">
              <w:rPr>
                <w:rFonts w:eastAsia="Calibri"/>
                <w:sz w:val="20"/>
                <w:lang w:val="fr-CA"/>
              </w:rPr>
              <w:t xml:space="preserve">Cour suprême de la </w:t>
            </w:r>
            <w:proofErr w:type="spellStart"/>
            <w:r w:rsidRPr="002F64ED">
              <w:rPr>
                <w:rFonts w:eastAsia="Calibri"/>
                <w:sz w:val="20"/>
                <w:lang w:val="fr-CA"/>
              </w:rPr>
              <w:t>Colombie</w:t>
            </w:r>
            <w:r w:rsidRPr="002F64ED">
              <w:rPr>
                <w:rFonts w:eastAsia="Calibri"/>
                <w:sz w:val="20"/>
                <w:lang w:val="fr-CA"/>
              </w:rPr>
              <w:noBreakHyphen/>
              <w:t>Britannique</w:t>
            </w:r>
            <w:proofErr w:type="spellEnd"/>
            <w:r w:rsidRPr="002F64ED">
              <w:rPr>
                <w:rFonts w:eastAsia="Calibri"/>
                <w:sz w:val="20"/>
                <w:lang w:val="fr-CA"/>
              </w:rPr>
              <w:t xml:space="preserve"> </w:t>
            </w:r>
          </w:p>
          <w:p w:rsidR="007E6660" w:rsidRPr="002F64ED" w:rsidRDefault="007E6660" w:rsidP="007E6660">
            <w:pPr>
              <w:jc w:val="both"/>
              <w:rPr>
                <w:rFonts w:eastAsia="Calibri"/>
                <w:sz w:val="20"/>
                <w:lang w:val="fr-CA"/>
              </w:rPr>
            </w:pPr>
            <w:r w:rsidRPr="002F64ED">
              <w:rPr>
                <w:rFonts w:eastAsia="Calibri"/>
                <w:sz w:val="20"/>
                <w:lang w:val="fr-CA"/>
              </w:rPr>
              <w:t xml:space="preserve">(Juge </w:t>
            </w:r>
            <w:proofErr w:type="spellStart"/>
            <w:r w:rsidRPr="002F64ED">
              <w:rPr>
                <w:rFonts w:eastAsia="Calibri"/>
                <w:sz w:val="20"/>
                <w:lang w:val="fr-CA"/>
              </w:rPr>
              <w:t>Masuhara</w:t>
            </w:r>
            <w:proofErr w:type="spellEnd"/>
            <w:r w:rsidRPr="002F64ED">
              <w:rPr>
                <w:rFonts w:eastAsia="Calibri"/>
                <w:sz w:val="20"/>
                <w:lang w:val="fr-CA"/>
              </w:rPr>
              <w:t>)</w:t>
            </w:r>
          </w:p>
          <w:p w:rsidR="007E6660" w:rsidRPr="002F64ED" w:rsidRDefault="007E6660" w:rsidP="007E6660">
            <w:pPr>
              <w:jc w:val="both"/>
              <w:rPr>
                <w:rFonts w:eastAsia="Calibri"/>
                <w:sz w:val="20"/>
                <w:lang w:val="fr-CA"/>
              </w:rPr>
            </w:pPr>
            <w:r w:rsidRPr="002F64ED">
              <w:rPr>
                <w:rFonts w:eastAsia="Calibri"/>
                <w:sz w:val="20"/>
                <w:lang w:val="fr-CA"/>
              </w:rPr>
              <w:t>2010 BCSC 514</w:t>
            </w:r>
          </w:p>
          <w:p w:rsidR="007E6660" w:rsidRPr="002F64ED" w:rsidRDefault="007E6660" w:rsidP="007E6660">
            <w:pPr>
              <w:jc w:val="both"/>
              <w:rPr>
                <w:rFonts w:eastAsia="Calibri"/>
                <w:sz w:val="20"/>
                <w:lang w:val="fr-CA"/>
              </w:rPr>
            </w:pPr>
          </w:p>
        </w:tc>
        <w:tc>
          <w:tcPr>
            <w:tcW w:w="243" w:type="pct"/>
          </w:tcPr>
          <w:p w:rsidR="007E6660" w:rsidRPr="002F64ED" w:rsidRDefault="007E6660" w:rsidP="007E6660">
            <w:pPr>
              <w:jc w:val="both"/>
              <w:rPr>
                <w:rFonts w:eastAsia="Calibri"/>
                <w:sz w:val="20"/>
                <w:lang w:val="fr-CA"/>
              </w:rPr>
            </w:pPr>
          </w:p>
        </w:tc>
        <w:tc>
          <w:tcPr>
            <w:tcW w:w="2330" w:type="pct"/>
          </w:tcPr>
          <w:p w:rsidR="007E6660" w:rsidRPr="002F64ED" w:rsidRDefault="007E6660" w:rsidP="007E6660">
            <w:pPr>
              <w:jc w:val="both"/>
              <w:rPr>
                <w:rFonts w:eastAsia="Calibri"/>
                <w:sz w:val="20"/>
                <w:lang w:val="fr-CA"/>
              </w:rPr>
            </w:pPr>
            <w:r w:rsidRPr="002F64ED">
              <w:rPr>
                <w:rFonts w:eastAsia="Calibri"/>
                <w:sz w:val="20"/>
                <w:lang w:val="fr-CA"/>
              </w:rPr>
              <w:t>Ordonnance accordant à l'intimé la garde des enfants avec droit de visite surveillée pour la demanderesse</w:t>
            </w:r>
          </w:p>
          <w:p w:rsidR="007E6660" w:rsidRPr="002F64ED" w:rsidRDefault="007E6660" w:rsidP="007E6660">
            <w:pPr>
              <w:jc w:val="both"/>
              <w:rPr>
                <w:rFonts w:eastAsia="Calibri"/>
                <w:sz w:val="20"/>
                <w:lang w:val="fr-CA"/>
              </w:rPr>
            </w:pPr>
          </w:p>
        </w:tc>
      </w:tr>
      <w:tr w:rsidR="007E6660" w:rsidRPr="00FF4B6E" w:rsidTr="007E6660">
        <w:tc>
          <w:tcPr>
            <w:tcW w:w="2427" w:type="pct"/>
          </w:tcPr>
          <w:p w:rsidR="007E6660" w:rsidRPr="002F64ED" w:rsidRDefault="007E6660" w:rsidP="007E6660">
            <w:pPr>
              <w:jc w:val="both"/>
              <w:rPr>
                <w:rFonts w:eastAsia="Calibri"/>
                <w:sz w:val="20"/>
                <w:lang w:val="fr-CA"/>
              </w:rPr>
            </w:pPr>
            <w:r w:rsidRPr="002F64ED">
              <w:rPr>
                <w:rFonts w:eastAsia="Calibri"/>
                <w:sz w:val="20"/>
                <w:lang w:val="fr-CA"/>
              </w:rPr>
              <w:t>25 mai 2010</w:t>
            </w:r>
          </w:p>
          <w:p w:rsidR="007E6660" w:rsidRPr="002F64ED" w:rsidRDefault="007E6660" w:rsidP="007E6660">
            <w:pPr>
              <w:jc w:val="both"/>
              <w:rPr>
                <w:rFonts w:eastAsia="Calibri"/>
                <w:sz w:val="20"/>
                <w:lang w:val="fr-CA"/>
              </w:rPr>
            </w:pPr>
            <w:r w:rsidRPr="002F64ED">
              <w:rPr>
                <w:rFonts w:eastAsia="Calibri"/>
                <w:sz w:val="20"/>
                <w:lang w:val="fr-CA"/>
              </w:rPr>
              <w:t xml:space="preserve">Cour d'appel de la </w:t>
            </w:r>
            <w:proofErr w:type="spellStart"/>
            <w:r w:rsidRPr="002F64ED">
              <w:rPr>
                <w:rFonts w:eastAsia="Calibri"/>
                <w:sz w:val="20"/>
                <w:lang w:val="fr-CA"/>
              </w:rPr>
              <w:t>Colombie</w:t>
            </w:r>
            <w:r w:rsidRPr="002F64ED">
              <w:rPr>
                <w:rFonts w:eastAsia="Calibri"/>
                <w:sz w:val="20"/>
                <w:lang w:val="fr-CA"/>
              </w:rPr>
              <w:noBreakHyphen/>
              <w:t>Britannique</w:t>
            </w:r>
            <w:proofErr w:type="spellEnd"/>
            <w:r w:rsidRPr="002F64ED">
              <w:rPr>
                <w:rFonts w:eastAsia="Calibri"/>
                <w:sz w:val="20"/>
                <w:lang w:val="fr-CA"/>
              </w:rPr>
              <w:t xml:space="preserve"> (Vancouver)</w:t>
            </w:r>
          </w:p>
          <w:p w:rsidR="007E6660" w:rsidRPr="002F64ED" w:rsidRDefault="007E6660" w:rsidP="007E6660">
            <w:pPr>
              <w:jc w:val="both"/>
              <w:rPr>
                <w:rFonts w:eastAsia="Calibri"/>
                <w:sz w:val="20"/>
                <w:lang w:val="fr-CA"/>
              </w:rPr>
            </w:pPr>
            <w:r w:rsidRPr="002F64ED">
              <w:rPr>
                <w:rFonts w:eastAsia="Calibri"/>
                <w:sz w:val="20"/>
                <w:lang w:val="fr-CA"/>
              </w:rPr>
              <w:t>(Juge Newbury)</w:t>
            </w:r>
          </w:p>
          <w:p w:rsidR="007E6660" w:rsidRPr="002F64ED" w:rsidRDefault="007E6660" w:rsidP="007E6660">
            <w:pPr>
              <w:jc w:val="both"/>
              <w:rPr>
                <w:rFonts w:eastAsia="Calibri"/>
                <w:sz w:val="20"/>
                <w:lang w:val="fr-CA"/>
              </w:rPr>
            </w:pPr>
          </w:p>
        </w:tc>
        <w:tc>
          <w:tcPr>
            <w:tcW w:w="243" w:type="pct"/>
          </w:tcPr>
          <w:p w:rsidR="007E6660" w:rsidRPr="002F64ED" w:rsidRDefault="007E6660" w:rsidP="007E6660">
            <w:pPr>
              <w:jc w:val="both"/>
              <w:rPr>
                <w:rFonts w:eastAsia="Calibri"/>
                <w:sz w:val="20"/>
                <w:lang w:val="fr-CA"/>
              </w:rPr>
            </w:pPr>
          </w:p>
        </w:tc>
        <w:tc>
          <w:tcPr>
            <w:tcW w:w="2330" w:type="pct"/>
          </w:tcPr>
          <w:p w:rsidR="007E6660" w:rsidRPr="002F64ED" w:rsidRDefault="007E6660" w:rsidP="007E6660">
            <w:pPr>
              <w:jc w:val="both"/>
              <w:rPr>
                <w:rFonts w:eastAsia="Calibri"/>
                <w:sz w:val="20"/>
                <w:lang w:val="fr-CA"/>
              </w:rPr>
            </w:pPr>
            <w:r w:rsidRPr="002F64ED">
              <w:rPr>
                <w:rFonts w:eastAsia="Calibri"/>
                <w:sz w:val="20"/>
                <w:lang w:val="fr-CA"/>
              </w:rPr>
              <w:t>Demande de la demanderesse pour être reconnue sans ressources, rejetée</w:t>
            </w:r>
          </w:p>
        </w:tc>
      </w:tr>
      <w:tr w:rsidR="007E6660" w:rsidRPr="00FF4B6E" w:rsidTr="007E6660">
        <w:tc>
          <w:tcPr>
            <w:tcW w:w="2427" w:type="pct"/>
          </w:tcPr>
          <w:p w:rsidR="007E6660" w:rsidRPr="002F64ED" w:rsidRDefault="007E6660" w:rsidP="007E6660">
            <w:pPr>
              <w:jc w:val="both"/>
              <w:rPr>
                <w:rFonts w:eastAsia="Calibri"/>
                <w:sz w:val="20"/>
                <w:lang w:val="fr-CA"/>
              </w:rPr>
            </w:pPr>
            <w:r w:rsidRPr="002F64ED">
              <w:rPr>
                <w:rFonts w:eastAsia="Calibri"/>
                <w:sz w:val="20"/>
                <w:lang w:val="fr-CA"/>
              </w:rPr>
              <w:t>18 août 2010</w:t>
            </w:r>
          </w:p>
          <w:p w:rsidR="007E6660" w:rsidRPr="002F64ED" w:rsidRDefault="007E6660" w:rsidP="007E6660">
            <w:pPr>
              <w:jc w:val="both"/>
              <w:rPr>
                <w:rFonts w:eastAsia="Calibri"/>
                <w:sz w:val="20"/>
                <w:lang w:val="fr-CA"/>
              </w:rPr>
            </w:pPr>
            <w:r w:rsidRPr="002F64ED">
              <w:rPr>
                <w:rFonts w:eastAsia="Calibri"/>
                <w:sz w:val="20"/>
                <w:lang w:val="fr-CA"/>
              </w:rPr>
              <w:t>Cour d'appel de la Colombie Britannique (Vancouver)</w:t>
            </w:r>
          </w:p>
          <w:p w:rsidR="007E6660" w:rsidRPr="002F64ED" w:rsidRDefault="007E6660" w:rsidP="007E6660">
            <w:pPr>
              <w:jc w:val="both"/>
              <w:rPr>
                <w:rFonts w:eastAsia="Calibri"/>
                <w:sz w:val="20"/>
              </w:rPr>
            </w:pPr>
            <w:r w:rsidRPr="002F64ED">
              <w:rPr>
                <w:rFonts w:eastAsia="Calibri"/>
                <w:sz w:val="20"/>
              </w:rPr>
              <w:t>(</w:t>
            </w:r>
            <w:proofErr w:type="spellStart"/>
            <w:r w:rsidRPr="002F64ED">
              <w:rPr>
                <w:rFonts w:eastAsia="Calibri"/>
                <w:sz w:val="20"/>
              </w:rPr>
              <w:t>Juges</w:t>
            </w:r>
            <w:proofErr w:type="spellEnd"/>
            <w:r w:rsidRPr="002F64ED">
              <w:rPr>
                <w:rFonts w:eastAsia="Calibri"/>
                <w:sz w:val="20"/>
              </w:rPr>
              <w:t xml:space="preserve"> Hall, </w:t>
            </w:r>
            <w:proofErr w:type="spellStart"/>
            <w:r w:rsidRPr="002F64ED">
              <w:rPr>
                <w:rFonts w:eastAsia="Calibri"/>
                <w:sz w:val="20"/>
              </w:rPr>
              <w:t>Tysoe</w:t>
            </w:r>
            <w:proofErr w:type="spellEnd"/>
            <w:r w:rsidRPr="002F64ED">
              <w:rPr>
                <w:rFonts w:eastAsia="Calibri"/>
                <w:sz w:val="20"/>
              </w:rPr>
              <w:t xml:space="preserve"> et Smith)</w:t>
            </w:r>
          </w:p>
          <w:p w:rsidR="007E6660" w:rsidRPr="002F64ED" w:rsidRDefault="007E6660" w:rsidP="007E6660">
            <w:pPr>
              <w:jc w:val="both"/>
              <w:rPr>
                <w:rFonts w:eastAsia="Calibri"/>
                <w:sz w:val="20"/>
              </w:rPr>
            </w:pPr>
            <w:r w:rsidRPr="002F64ED">
              <w:rPr>
                <w:rFonts w:eastAsia="Calibri"/>
                <w:sz w:val="20"/>
              </w:rPr>
              <w:t>2010 BCCA 380</w:t>
            </w:r>
          </w:p>
          <w:p w:rsidR="007E6660" w:rsidRPr="002F64ED" w:rsidRDefault="007E6660" w:rsidP="007E6660">
            <w:pPr>
              <w:jc w:val="both"/>
              <w:rPr>
                <w:rFonts w:eastAsia="Calibri"/>
                <w:sz w:val="20"/>
              </w:rPr>
            </w:pPr>
          </w:p>
        </w:tc>
        <w:tc>
          <w:tcPr>
            <w:tcW w:w="243" w:type="pct"/>
          </w:tcPr>
          <w:p w:rsidR="007E6660" w:rsidRPr="002F64ED" w:rsidRDefault="007E6660" w:rsidP="007E6660">
            <w:pPr>
              <w:jc w:val="both"/>
              <w:rPr>
                <w:rFonts w:eastAsia="Calibri"/>
                <w:sz w:val="20"/>
              </w:rPr>
            </w:pPr>
          </w:p>
        </w:tc>
        <w:tc>
          <w:tcPr>
            <w:tcW w:w="2330" w:type="pct"/>
          </w:tcPr>
          <w:p w:rsidR="007E6660" w:rsidRPr="002F64ED" w:rsidRDefault="007E6660" w:rsidP="007E6660">
            <w:pPr>
              <w:jc w:val="both"/>
              <w:rPr>
                <w:rFonts w:eastAsia="Calibri"/>
                <w:sz w:val="20"/>
                <w:lang w:val="fr-CA"/>
              </w:rPr>
            </w:pPr>
            <w:r w:rsidRPr="002F64ED">
              <w:rPr>
                <w:rFonts w:eastAsia="Calibri"/>
                <w:sz w:val="20"/>
                <w:lang w:val="fr-CA"/>
              </w:rPr>
              <w:t>Demande par la demanderesse en révision de l'ordonnance du juge Newbury, rejetée</w:t>
            </w:r>
          </w:p>
          <w:p w:rsidR="007E6660" w:rsidRPr="002F64ED" w:rsidRDefault="007E6660" w:rsidP="007E6660">
            <w:pPr>
              <w:jc w:val="both"/>
              <w:rPr>
                <w:rFonts w:eastAsia="Calibri"/>
                <w:sz w:val="20"/>
                <w:lang w:val="fr-CA"/>
              </w:rPr>
            </w:pPr>
          </w:p>
        </w:tc>
      </w:tr>
      <w:tr w:rsidR="007E6660" w:rsidRPr="00FF4B6E" w:rsidTr="007E6660">
        <w:tc>
          <w:tcPr>
            <w:tcW w:w="2427" w:type="pct"/>
          </w:tcPr>
          <w:p w:rsidR="007E6660" w:rsidRPr="002F64ED" w:rsidRDefault="007E6660" w:rsidP="007E6660">
            <w:pPr>
              <w:jc w:val="both"/>
              <w:rPr>
                <w:rFonts w:eastAsia="Calibri"/>
                <w:sz w:val="20"/>
                <w:lang w:val="fr-CA"/>
              </w:rPr>
            </w:pPr>
            <w:r w:rsidRPr="002F64ED">
              <w:rPr>
                <w:rFonts w:eastAsia="Calibri"/>
                <w:sz w:val="20"/>
                <w:lang w:val="fr-CA"/>
              </w:rPr>
              <w:t>28 août 2011</w:t>
            </w:r>
          </w:p>
          <w:p w:rsidR="007E6660" w:rsidRPr="002F64ED" w:rsidRDefault="007E6660" w:rsidP="007E6660">
            <w:pPr>
              <w:jc w:val="both"/>
              <w:rPr>
                <w:rFonts w:eastAsia="Calibri"/>
                <w:sz w:val="20"/>
                <w:lang w:val="fr-CA"/>
              </w:rPr>
            </w:pPr>
            <w:r w:rsidRPr="002F64ED">
              <w:rPr>
                <w:rFonts w:eastAsia="Calibri"/>
                <w:sz w:val="20"/>
                <w:lang w:val="fr-CA"/>
              </w:rPr>
              <w:t>Cour suprême du Canada</w:t>
            </w:r>
          </w:p>
          <w:p w:rsidR="007E6660" w:rsidRPr="002F64ED" w:rsidRDefault="007E6660" w:rsidP="007E6660">
            <w:pPr>
              <w:jc w:val="both"/>
              <w:rPr>
                <w:rFonts w:eastAsia="Calibri"/>
                <w:sz w:val="20"/>
                <w:lang w:val="fr-CA"/>
              </w:rPr>
            </w:pPr>
          </w:p>
        </w:tc>
        <w:tc>
          <w:tcPr>
            <w:tcW w:w="243" w:type="pct"/>
          </w:tcPr>
          <w:p w:rsidR="007E6660" w:rsidRPr="002F64ED" w:rsidRDefault="007E6660" w:rsidP="007E6660">
            <w:pPr>
              <w:jc w:val="both"/>
              <w:rPr>
                <w:rFonts w:eastAsia="Calibri"/>
                <w:sz w:val="20"/>
                <w:lang w:val="fr-CA"/>
              </w:rPr>
            </w:pPr>
          </w:p>
        </w:tc>
        <w:tc>
          <w:tcPr>
            <w:tcW w:w="2330" w:type="pct"/>
          </w:tcPr>
          <w:p w:rsidR="007E6660" w:rsidRPr="002F64ED" w:rsidRDefault="007E6660" w:rsidP="007E6660">
            <w:pPr>
              <w:jc w:val="both"/>
              <w:rPr>
                <w:rFonts w:eastAsia="Calibri"/>
                <w:sz w:val="20"/>
                <w:lang w:val="fr-CA"/>
              </w:rPr>
            </w:pPr>
            <w:r w:rsidRPr="002F64ED">
              <w:rPr>
                <w:rFonts w:eastAsia="Calibri"/>
                <w:sz w:val="20"/>
                <w:lang w:val="fr-CA"/>
              </w:rPr>
              <w:t>Requête en prorogation du délai de signification et de dépôt de la demande d'autorisation d'appel et demande d'autorisation d'appel, déposées</w:t>
            </w:r>
          </w:p>
        </w:tc>
      </w:tr>
    </w:tbl>
    <w:p w:rsidR="007E6660" w:rsidRPr="007E6660" w:rsidRDefault="007E6660" w:rsidP="007E6660">
      <w:pPr>
        <w:rPr>
          <w:sz w:val="20"/>
          <w:szCs w:val="20"/>
          <w:lang w:val="fr-CA"/>
        </w:rPr>
      </w:pPr>
    </w:p>
    <w:p w:rsidR="007E6660" w:rsidRPr="00E35EA0" w:rsidRDefault="00DB7F13" w:rsidP="007E6660">
      <w:pPr>
        <w:rPr>
          <w:sz w:val="20"/>
          <w:szCs w:val="20"/>
          <w:lang w:val="fr-CA"/>
        </w:rPr>
      </w:pPr>
      <w:r w:rsidRPr="00DB7F13">
        <w:rPr>
          <w:sz w:val="20"/>
          <w:szCs w:val="20"/>
          <w:lang w:val="fr-CA"/>
        </w:rPr>
        <w:pict>
          <v:rect id="_x0000_i1043" style="width:2in;height:1pt" o:hrpct="0" o:hralign="center" o:hrstd="t" o:hrnoshade="t" o:hr="t" fillcolor="black [3213]" stroked="f"/>
        </w:pict>
      </w:r>
    </w:p>
    <w:p w:rsidR="007E6660" w:rsidRDefault="007E6660" w:rsidP="007E6660">
      <w:pPr>
        <w:ind w:left="1440" w:hanging="1440"/>
        <w:rPr>
          <w:b/>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0798" w:rsidRPr="00457F38" w:rsidTr="00410798">
        <w:trPr>
          <w:cantSplit/>
        </w:trPr>
        <w:tc>
          <w:tcPr>
            <w:tcW w:w="1458" w:type="dxa"/>
          </w:tcPr>
          <w:p w:rsidR="00410798" w:rsidRDefault="00410798" w:rsidP="00410798">
            <w:pPr>
              <w:rPr>
                <w:rStyle w:val="SCCFileNumberChar"/>
                <w:sz w:val="20"/>
                <w:szCs w:val="20"/>
              </w:rPr>
            </w:pPr>
            <w:r w:rsidRPr="002F64ED">
              <w:rPr>
                <w:rStyle w:val="SCCFileNumberChar"/>
                <w:sz w:val="20"/>
                <w:szCs w:val="20"/>
              </w:rPr>
              <w:t>34392</w:t>
            </w:r>
          </w:p>
          <w:p w:rsidR="00410798" w:rsidRPr="00457F38" w:rsidRDefault="00410798" w:rsidP="00410798">
            <w:pPr>
              <w:rPr>
                <w:b/>
                <w:sz w:val="20"/>
                <w:lang w:val="fr-CA"/>
              </w:rPr>
            </w:pPr>
          </w:p>
        </w:tc>
        <w:tc>
          <w:tcPr>
            <w:tcW w:w="8118" w:type="dxa"/>
          </w:tcPr>
          <w:p w:rsidR="00410798" w:rsidRPr="00457F38" w:rsidRDefault="00410798" w:rsidP="00410798">
            <w:pPr>
              <w:rPr>
                <w:sz w:val="20"/>
              </w:rPr>
            </w:pPr>
            <w:r w:rsidRPr="00410798">
              <w:rPr>
                <w:b/>
                <w:sz w:val="20"/>
                <w:u w:val="single"/>
                <w:lang w:val="en-US"/>
              </w:rPr>
              <w:t xml:space="preserve">Troy Palmer v. Her Majesty the Queen </w:t>
            </w:r>
            <w:r w:rsidRPr="002F64ED">
              <w:rPr>
                <w:sz w:val="20"/>
              </w:rPr>
              <w:t>(Ont.) (Criminal) (By Leave)</w:t>
            </w:r>
          </w:p>
          <w:p w:rsidR="00410798" w:rsidRPr="00457F38" w:rsidRDefault="00410798" w:rsidP="00410798">
            <w:pPr>
              <w:rPr>
                <w:sz w:val="20"/>
              </w:rPr>
            </w:pPr>
          </w:p>
        </w:tc>
      </w:tr>
      <w:tr w:rsidR="00410798" w:rsidRPr="00457F38" w:rsidTr="00410798">
        <w:trPr>
          <w:cantSplit/>
        </w:trPr>
        <w:tc>
          <w:tcPr>
            <w:tcW w:w="1458" w:type="dxa"/>
          </w:tcPr>
          <w:p w:rsidR="00410798" w:rsidRPr="00457F38" w:rsidRDefault="00410798" w:rsidP="00410798">
            <w:pPr>
              <w:rPr>
                <w:sz w:val="20"/>
              </w:rPr>
            </w:pPr>
            <w:r w:rsidRPr="00457F38">
              <w:rPr>
                <w:sz w:val="20"/>
              </w:rPr>
              <w:t>Coram :</w:t>
            </w:r>
          </w:p>
        </w:tc>
        <w:tc>
          <w:tcPr>
            <w:tcW w:w="8118" w:type="dxa"/>
          </w:tcPr>
          <w:p w:rsidR="00410798" w:rsidRPr="00457F38" w:rsidRDefault="00410798" w:rsidP="00410798">
            <w:pPr>
              <w:rPr>
                <w:sz w:val="20"/>
              </w:rPr>
            </w:pPr>
            <w:proofErr w:type="spellStart"/>
            <w:r w:rsidRPr="00457F38">
              <w:rPr>
                <w:sz w:val="20"/>
                <w:u w:val="single"/>
                <w:lang w:val="en-US"/>
              </w:rPr>
              <w:t>LeBel</w:t>
            </w:r>
            <w:proofErr w:type="spellEnd"/>
            <w:r w:rsidRPr="00457F38">
              <w:rPr>
                <w:sz w:val="20"/>
                <w:u w:val="single"/>
                <w:lang w:val="en-US"/>
              </w:rPr>
              <w:t xml:space="preserve">, </w:t>
            </w:r>
            <w:proofErr w:type="spellStart"/>
            <w:r w:rsidRPr="00457F38">
              <w:rPr>
                <w:sz w:val="20"/>
                <w:u w:val="single"/>
                <w:lang w:val="en-US"/>
              </w:rPr>
              <w:t>Abella</w:t>
            </w:r>
            <w:proofErr w:type="spellEnd"/>
            <w:r w:rsidRPr="00457F38">
              <w:rPr>
                <w:sz w:val="20"/>
                <w:u w:val="single"/>
                <w:lang w:val="en-US"/>
              </w:rPr>
              <w:t xml:space="preserve"> and Cromwell JJ.</w:t>
            </w:r>
          </w:p>
          <w:p w:rsidR="00410798" w:rsidRPr="00457F38" w:rsidRDefault="00410798" w:rsidP="00410798">
            <w:pPr>
              <w:rPr>
                <w:sz w:val="20"/>
                <w:u w:val="single"/>
              </w:rPr>
            </w:pPr>
          </w:p>
        </w:tc>
      </w:tr>
      <w:tr w:rsidR="00410798" w:rsidRPr="00FF4B6E" w:rsidTr="00410798">
        <w:trPr>
          <w:cantSplit/>
        </w:trPr>
        <w:tc>
          <w:tcPr>
            <w:tcW w:w="9576" w:type="dxa"/>
            <w:gridSpan w:val="2"/>
          </w:tcPr>
          <w:p w:rsidR="00410798" w:rsidRDefault="00410798" w:rsidP="00410798">
            <w:pPr>
              <w:ind w:firstLine="720"/>
              <w:jc w:val="both"/>
              <w:rPr>
                <w:sz w:val="20"/>
                <w:szCs w:val="20"/>
              </w:rPr>
            </w:pPr>
            <w:r w:rsidRPr="00410798">
              <w:rPr>
                <w:sz w:val="20"/>
                <w:szCs w:val="20"/>
              </w:rPr>
              <w:t>The motion for an extension of time to serve and file an application for leave to appeal from the judgment of the Court of Appeal for Ontario, Number C47592, 2010 ONCA 804, dated November 29, 2010, is dismissed.</w:t>
            </w:r>
          </w:p>
          <w:p w:rsidR="007617E3" w:rsidRPr="00410798" w:rsidRDefault="007617E3" w:rsidP="00410798">
            <w:pPr>
              <w:ind w:firstLine="720"/>
              <w:jc w:val="both"/>
              <w:rPr>
                <w:sz w:val="20"/>
                <w:szCs w:val="20"/>
              </w:rPr>
            </w:pPr>
          </w:p>
          <w:p w:rsidR="00410798" w:rsidRPr="007617E3" w:rsidRDefault="00410798" w:rsidP="00410798">
            <w:pPr>
              <w:ind w:firstLine="720"/>
              <w:jc w:val="both"/>
              <w:rPr>
                <w:sz w:val="20"/>
                <w:szCs w:val="20"/>
                <w:lang w:val="fr-CA"/>
              </w:rPr>
            </w:pPr>
            <w:r w:rsidRPr="00410798">
              <w:rPr>
                <w:sz w:val="20"/>
                <w:szCs w:val="20"/>
                <w:lang w:val="fr-CA"/>
              </w:rPr>
              <w:t xml:space="preserve">La requête en prorogation du délai de signification et de dépôt de la demande d’autorisation d’appel de l’arrêt de la Cour d’appel de l’Ontario, numéro C47592, 2010 ONCA 804, daté du 29 novembre 2010, est rejetée. </w:t>
            </w:r>
          </w:p>
        </w:tc>
      </w:tr>
    </w:tbl>
    <w:p w:rsidR="007E6660" w:rsidRPr="00457F38" w:rsidRDefault="007E6660" w:rsidP="007E6660">
      <w:pPr>
        <w:ind w:left="1440" w:hanging="1440"/>
        <w:rPr>
          <w:b/>
          <w:sz w:val="20"/>
          <w:szCs w:val="20"/>
          <w:lang w:val="fr-CA"/>
        </w:rPr>
      </w:pPr>
    </w:p>
    <w:p w:rsidR="007E6660" w:rsidRDefault="007E6660" w:rsidP="007E6660">
      <w:pPr>
        <w:rPr>
          <w:sz w:val="20"/>
          <w:szCs w:val="20"/>
          <w:u w:val="single"/>
        </w:rPr>
      </w:pPr>
      <w:r w:rsidRPr="00E35EA0">
        <w:rPr>
          <w:sz w:val="20"/>
          <w:szCs w:val="20"/>
          <w:u w:val="single"/>
        </w:rPr>
        <w:t>CASE SUMMARY</w:t>
      </w:r>
    </w:p>
    <w:p w:rsidR="007E6660" w:rsidRDefault="007E6660" w:rsidP="007E666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7E6660" w:rsidRPr="002F64ED" w:rsidTr="007E6660">
        <w:tc>
          <w:tcPr>
            <w:tcW w:w="5000" w:type="pct"/>
            <w:gridSpan w:val="3"/>
          </w:tcPr>
          <w:p w:rsidR="007E6660" w:rsidRPr="002F64ED" w:rsidRDefault="007E6660" w:rsidP="007E6660">
            <w:pPr>
              <w:jc w:val="both"/>
              <w:rPr>
                <w:sz w:val="20"/>
              </w:rPr>
            </w:pPr>
            <w:r w:rsidRPr="002F64ED">
              <w:rPr>
                <w:sz w:val="20"/>
              </w:rPr>
              <w:t xml:space="preserve">Criminal law — Murder — Evidence — Post-offence conduct — Whether the fairness of a trial is adversely affected when the jury has heard inadmissible evidence going to the </w:t>
            </w:r>
            <w:proofErr w:type="spellStart"/>
            <w:r w:rsidRPr="002F64ED">
              <w:rPr>
                <w:sz w:val="20"/>
              </w:rPr>
              <w:t>accused’s</w:t>
            </w:r>
            <w:proofErr w:type="spellEnd"/>
            <w:r w:rsidRPr="002F64ED">
              <w:rPr>
                <w:sz w:val="20"/>
              </w:rPr>
              <w:t xml:space="preserve"> credibility — Whether the proviso in s. 686(1)(</w:t>
            </w:r>
            <w:r w:rsidRPr="002F64ED">
              <w:rPr>
                <w:i/>
                <w:sz w:val="20"/>
              </w:rPr>
              <w:t>b</w:t>
            </w:r>
            <w:r w:rsidRPr="002F64ED">
              <w:rPr>
                <w:sz w:val="20"/>
              </w:rPr>
              <w:t>)(iii) is applicable when the jury has been misdirected on the use of post-offence conduct.</w:t>
            </w:r>
          </w:p>
          <w:p w:rsidR="007E6660" w:rsidRPr="002F64ED" w:rsidRDefault="007E6660" w:rsidP="007E6660">
            <w:pPr>
              <w:jc w:val="both"/>
              <w:rPr>
                <w:sz w:val="20"/>
              </w:rPr>
            </w:pPr>
          </w:p>
        </w:tc>
      </w:tr>
      <w:tr w:rsidR="007E6660" w:rsidRPr="002F64ED" w:rsidTr="007E6660">
        <w:tc>
          <w:tcPr>
            <w:tcW w:w="5000" w:type="pct"/>
            <w:gridSpan w:val="3"/>
          </w:tcPr>
          <w:p w:rsidR="007E6660" w:rsidRPr="002F64ED" w:rsidRDefault="007E6660" w:rsidP="007E6660">
            <w:pPr>
              <w:jc w:val="both"/>
              <w:rPr>
                <w:sz w:val="20"/>
              </w:rPr>
            </w:pPr>
            <w:r w:rsidRPr="002F64ED">
              <w:rPr>
                <w:sz w:val="20"/>
              </w:rPr>
              <w:t xml:space="preserve">Palmer was convicted of second degree murder and sentenced to life imprisonment with a parole ineligibility period of </w:t>
            </w:r>
            <w:r w:rsidRPr="002F64ED">
              <w:rPr>
                <w:sz w:val="20"/>
              </w:rPr>
              <w:lastRenderedPageBreak/>
              <w:t>15 years.  The victim was fatally shot in a park following a dispute over a cigarette and a small quantity of marijuana.  Palmer asked the victim for a cigarette.  The victim refused and Palmer took some marijuana from a park table at which the victim was seated.  The victim demanded the return of the marijuana.  A physical fight ensued during which Palmer took a gun from his waistband.  At this point, a different version of events was put forth by both the Crown and Palmer at trial.  The Crown’s theory, supported by the evidence of three of the victim’s friends, was that Palmer’s associate said “shoot him” and Palmer pointed the gun at the victim and fired it with the intent to kill him.  The defence position was that Palmer brandished his gun in self-</w:t>
            </w:r>
            <w:proofErr w:type="gramStart"/>
            <w:r w:rsidRPr="002F64ED">
              <w:rPr>
                <w:sz w:val="20"/>
              </w:rPr>
              <w:t>defence, that</w:t>
            </w:r>
            <w:proofErr w:type="gramEnd"/>
            <w:r w:rsidRPr="002F64ED">
              <w:rPr>
                <w:sz w:val="20"/>
              </w:rPr>
              <w:t xml:space="preserve"> the victim had grabbed the gun and that during the struggle, Palmer stumbled and the gun went off accidentally.  The Crown led a significant body of post-offence conduct evidence as to Palmer’s activities following the shooting, including disposing of the gun and items of clothing, shaving his head to conceal his identity and sleeping in stairwells to avoid detection.  Palmer’s appeal from conviction was dismissed.  He was granted leave to appeal his sentence, but the sentence appeal was also dismissed.</w:t>
            </w:r>
          </w:p>
          <w:p w:rsidR="007E6660" w:rsidRPr="002F64ED" w:rsidRDefault="007E6660" w:rsidP="007E6660">
            <w:pPr>
              <w:jc w:val="both"/>
              <w:rPr>
                <w:sz w:val="20"/>
              </w:rPr>
            </w:pPr>
          </w:p>
        </w:tc>
      </w:tr>
      <w:tr w:rsidR="007E6660" w:rsidRPr="002F64ED" w:rsidTr="007E6660">
        <w:tc>
          <w:tcPr>
            <w:tcW w:w="2427" w:type="pct"/>
          </w:tcPr>
          <w:p w:rsidR="007E6660" w:rsidRPr="002F64ED" w:rsidRDefault="007E6660" w:rsidP="007E6660">
            <w:pPr>
              <w:rPr>
                <w:sz w:val="20"/>
              </w:rPr>
            </w:pPr>
            <w:r w:rsidRPr="002F64ED">
              <w:rPr>
                <w:sz w:val="20"/>
              </w:rPr>
              <w:lastRenderedPageBreak/>
              <w:t>February 1, 2007</w:t>
            </w:r>
          </w:p>
          <w:p w:rsidR="007E6660" w:rsidRPr="002F64ED" w:rsidRDefault="007E6660" w:rsidP="007E6660">
            <w:pPr>
              <w:rPr>
                <w:sz w:val="20"/>
              </w:rPr>
            </w:pPr>
            <w:r w:rsidRPr="002F64ED">
              <w:rPr>
                <w:sz w:val="20"/>
              </w:rPr>
              <w:t>Ontario Superior Court of Justice</w:t>
            </w:r>
          </w:p>
          <w:p w:rsidR="007E6660" w:rsidRPr="002F64ED" w:rsidRDefault="007E6660" w:rsidP="007E6660">
            <w:pPr>
              <w:rPr>
                <w:sz w:val="20"/>
              </w:rPr>
            </w:pPr>
            <w:r w:rsidRPr="002F64ED">
              <w:rPr>
                <w:sz w:val="20"/>
              </w:rPr>
              <w:t>(</w:t>
            </w:r>
            <w:proofErr w:type="spellStart"/>
            <w:r w:rsidRPr="002F64ED">
              <w:rPr>
                <w:sz w:val="20"/>
              </w:rPr>
              <w:t>Dunnet</w:t>
            </w:r>
            <w:proofErr w:type="spellEnd"/>
            <w:r w:rsidRPr="002F64ED">
              <w:rPr>
                <w:sz w:val="20"/>
              </w:rPr>
              <w:t xml:space="preserve"> J.)</w:t>
            </w:r>
          </w:p>
          <w:p w:rsidR="007E6660" w:rsidRPr="002F64ED" w:rsidRDefault="007E6660" w:rsidP="007E6660">
            <w:pPr>
              <w:rPr>
                <w:sz w:val="20"/>
              </w:rPr>
            </w:pPr>
          </w:p>
        </w:tc>
        <w:tc>
          <w:tcPr>
            <w:tcW w:w="243" w:type="pct"/>
          </w:tcPr>
          <w:p w:rsidR="007E6660" w:rsidRPr="002F64ED" w:rsidRDefault="007E6660" w:rsidP="007E6660">
            <w:pPr>
              <w:rPr>
                <w:sz w:val="20"/>
              </w:rPr>
            </w:pPr>
          </w:p>
        </w:tc>
        <w:tc>
          <w:tcPr>
            <w:tcW w:w="2330" w:type="pct"/>
          </w:tcPr>
          <w:p w:rsidR="007E6660" w:rsidRPr="002F64ED" w:rsidRDefault="007E6660" w:rsidP="007E6660">
            <w:pPr>
              <w:rPr>
                <w:sz w:val="20"/>
              </w:rPr>
            </w:pPr>
            <w:r w:rsidRPr="002F64ED">
              <w:rPr>
                <w:sz w:val="20"/>
              </w:rPr>
              <w:t>Applicant convicted of second degree murder</w:t>
            </w:r>
          </w:p>
          <w:p w:rsidR="007E6660" w:rsidRPr="002F64ED" w:rsidRDefault="007E6660" w:rsidP="007E6660">
            <w:pPr>
              <w:rPr>
                <w:sz w:val="20"/>
              </w:rPr>
            </w:pPr>
          </w:p>
        </w:tc>
      </w:tr>
      <w:tr w:rsidR="007E6660" w:rsidRPr="002F64ED" w:rsidTr="007E6660">
        <w:tc>
          <w:tcPr>
            <w:tcW w:w="2427" w:type="pct"/>
          </w:tcPr>
          <w:p w:rsidR="007E6660" w:rsidRPr="002F64ED" w:rsidRDefault="007E6660" w:rsidP="007E6660">
            <w:pPr>
              <w:rPr>
                <w:sz w:val="20"/>
              </w:rPr>
            </w:pPr>
            <w:r w:rsidRPr="002F64ED">
              <w:rPr>
                <w:sz w:val="20"/>
              </w:rPr>
              <w:t>June 29, 2007</w:t>
            </w:r>
          </w:p>
          <w:p w:rsidR="007E6660" w:rsidRPr="002F64ED" w:rsidRDefault="007E6660" w:rsidP="007E6660">
            <w:pPr>
              <w:rPr>
                <w:sz w:val="20"/>
              </w:rPr>
            </w:pPr>
            <w:r w:rsidRPr="002F64ED">
              <w:rPr>
                <w:sz w:val="20"/>
              </w:rPr>
              <w:t>Ontario Superior Court of Justice</w:t>
            </w:r>
          </w:p>
          <w:p w:rsidR="007E6660" w:rsidRPr="002F64ED" w:rsidRDefault="007E6660" w:rsidP="007E6660">
            <w:pPr>
              <w:rPr>
                <w:sz w:val="20"/>
              </w:rPr>
            </w:pPr>
            <w:r w:rsidRPr="002F64ED">
              <w:rPr>
                <w:sz w:val="20"/>
              </w:rPr>
              <w:t>(</w:t>
            </w:r>
            <w:proofErr w:type="spellStart"/>
            <w:r w:rsidRPr="002F64ED">
              <w:rPr>
                <w:sz w:val="20"/>
              </w:rPr>
              <w:t>Dunnet</w:t>
            </w:r>
            <w:proofErr w:type="spellEnd"/>
            <w:r w:rsidRPr="002F64ED">
              <w:rPr>
                <w:sz w:val="20"/>
              </w:rPr>
              <w:t xml:space="preserve"> J.)</w:t>
            </w:r>
          </w:p>
          <w:p w:rsidR="007E6660" w:rsidRPr="002F64ED" w:rsidRDefault="007E6660" w:rsidP="007E6660">
            <w:pPr>
              <w:rPr>
                <w:sz w:val="20"/>
              </w:rPr>
            </w:pPr>
          </w:p>
        </w:tc>
        <w:tc>
          <w:tcPr>
            <w:tcW w:w="243" w:type="pct"/>
          </w:tcPr>
          <w:p w:rsidR="007E6660" w:rsidRPr="002F64ED" w:rsidRDefault="007E6660" w:rsidP="007E6660">
            <w:pPr>
              <w:rPr>
                <w:sz w:val="20"/>
              </w:rPr>
            </w:pPr>
          </w:p>
        </w:tc>
        <w:tc>
          <w:tcPr>
            <w:tcW w:w="2330" w:type="pct"/>
          </w:tcPr>
          <w:p w:rsidR="007E6660" w:rsidRPr="002F64ED" w:rsidRDefault="007E6660" w:rsidP="0069434C">
            <w:pPr>
              <w:jc w:val="both"/>
              <w:rPr>
                <w:sz w:val="20"/>
              </w:rPr>
            </w:pPr>
            <w:r w:rsidRPr="002F64ED">
              <w:rPr>
                <w:sz w:val="20"/>
              </w:rPr>
              <w:t>Applicant sentenced to life imprisonment with a parole ineligibility period of 15 years</w:t>
            </w:r>
          </w:p>
          <w:p w:rsidR="007E6660" w:rsidRPr="002F64ED" w:rsidRDefault="007E6660" w:rsidP="007E6660">
            <w:pPr>
              <w:rPr>
                <w:sz w:val="20"/>
              </w:rPr>
            </w:pPr>
          </w:p>
        </w:tc>
      </w:tr>
      <w:tr w:rsidR="007E6660" w:rsidRPr="002F64ED" w:rsidTr="007E6660">
        <w:tc>
          <w:tcPr>
            <w:tcW w:w="2427" w:type="pct"/>
          </w:tcPr>
          <w:p w:rsidR="007E6660" w:rsidRPr="002F64ED" w:rsidRDefault="007E6660" w:rsidP="007E6660">
            <w:pPr>
              <w:rPr>
                <w:sz w:val="20"/>
              </w:rPr>
            </w:pPr>
            <w:r w:rsidRPr="002F64ED">
              <w:rPr>
                <w:sz w:val="20"/>
              </w:rPr>
              <w:t>November 29, 2010</w:t>
            </w:r>
          </w:p>
          <w:p w:rsidR="007E6660" w:rsidRPr="002F64ED" w:rsidRDefault="007E6660" w:rsidP="007E6660">
            <w:pPr>
              <w:rPr>
                <w:sz w:val="20"/>
              </w:rPr>
            </w:pPr>
            <w:r w:rsidRPr="002F64ED">
              <w:rPr>
                <w:sz w:val="20"/>
              </w:rPr>
              <w:t>Court of Appeal for Ontario</w:t>
            </w:r>
          </w:p>
          <w:p w:rsidR="007E6660" w:rsidRPr="002F64ED" w:rsidRDefault="007E6660" w:rsidP="007E6660">
            <w:pPr>
              <w:rPr>
                <w:sz w:val="20"/>
              </w:rPr>
            </w:pPr>
            <w:r w:rsidRPr="002F64ED">
              <w:rPr>
                <w:sz w:val="20"/>
              </w:rPr>
              <w:t xml:space="preserve">(Winkler C. J.O. and Sharpe and </w:t>
            </w:r>
            <w:proofErr w:type="spellStart"/>
            <w:r w:rsidRPr="002F64ED">
              <w:rPr>
                <w:sz w:val="20"/>
              </w:rPr>
              <w:t>Karakatsanis</w:t>
            </w:r>
            <w:proofErr w:type="spellEnd"/>
            <w:r w:rsidRPr="002F64ED">
              <w:rPr>
                <w:sz w:val="20"/>
              </w:rPr>
              <w:t xml:space="preserve"> JJ.A.)</w:t>
            </w:r>
          </w:p>
          <w:p w:rsidR="007E6660" w:rsidRPr="002F64ED" w:rsidRDefault="007E6660" w:rsidP="007E6660">
            <w:pPr>
              <w:rPr>
                <w:sz w:val="20"/>
              </w:rPr>
            </w:pPr>
            <w:r w:rsidRPr="002F64ED">
              <w:rPr>
                <w:sz w:val="20"/>
              </w:rPr>
              <w:t>2010 ONCA 804; C47592</w:t>
            </w:r>
          </w:p>
          <w:p w:rsidR="007E6660" w:rsidRPr="002F64ED" w:rsidRDefault="007E6660" w:rsidP="007E6660">
            <w:pPr>
              <w:rPr>
                <w:sz w:val="20"/>
              </w:rPr>
            </w:pPr>
          </w:p>
        </w:tc>
        <w:tc>
          <w:tcPr>
            <w:tcW w:w="243" w:type="pct"/>
          </w:tcPr>
          <w:p w:rsidR="007E6660" w:rsidRPr="002F64ED" w:rsidRDefault="007E6660" w:rsidP="007E6660">
            <w:pPr>
              <w:rPr>
                <w:sz w:val="20"/>
              </w:rPr>
            </w:pPr>
          </w:p>
        </w:tc>
        <w:tc>
          <w:tcPr>
            <w:tcW w:w="2330" w:type="pct"/>
          </w:tcPr>
          <w:p w:rsidR="007E6660" w:rsidRPr="002F64ED" w:rsidRDefault="007E6660" w:rsidP="0069434C">
            <w:pPr>
              <w:jc w:val="both"/>
              <w:rPr>
                <w:sz w:val="20"/>
              </w:rPr>
            </w:pPr>
            <w:r w:rsidRPr="002F64ED">
              <w:rPr>
                <w:sz w:val="20"/>
              </w:rPr>
              <w:t>Appeal from conviction dismissed; Leave to appeal sentence is granted and sentence appeal dismissed</w:t>
            </w:r>
          </w:p>
          <w:p w:rsidR="007E6660" w:rsidRPr="002F64ED" w:rsidRDefault="007E6660" w:rsidP="007E6660">
            <w:pPr>
              <w:rPr>
                <w:sz w:val="20"/>
              </w:rPr>
            </w:pPr>
          </w:p>
        </w:tc>
      </w:tr>
      <w:tr w:rsidR="007E6660" w:rsidRPr="002F64ED" w:rsidTr="007E6660">
        <w:tc>
          <w:tcPr>
            <w:tcW w:w="2427" w:type="pct"/>
          </w:tcPr>
          <w:p w:rsidR="007E6660" w:rsidRPr="002F64ED" w:rsidRDefault="007E6660" w:rsidP="007E6660">
            <w:pPr>
              <w:rPr>
                <w:sz w:val="20"/>
              </w:rPr>
            </w:pPr>
            <w:r w:rsidRPr="002F64ED">
              <w:rPr>
                <w:sz w:val="20"/>
              </w:rPr>
              <w:t>August 22, 2011</w:t>
            </w:r>
          </w:p>
          <w:p w:rsidR="007E6660" w:rsidRPr="002F64ED" w:rsidRDefault="007E6660" w:rsidP="007E6660">
            <w:pPr>
              <w:rPr>
                <w:sz w:val="20"/>
              </w:rPr>
            </w:pPr>
            <w:r w:rsidRPr="002F64ED">
              <w:rPr>
                <w:sz w:val="20"/>
              </w:rPr>
              <w:t>Supreme Court of Canada</w:t>
            </w:r>
          </w:p>
          <w:p w:rsidR="007E6660" w:rsidRPr="002F64ED" w:rsidRDefault="007E6660" w:rsidP="007E6660">
            <w:pPr>
              <w:rPr>
                <w:sz w:val="20"/>
              </w:rPr>
            </w:pPr>
          </w:p>
        </w:tc>
        <w:tc>
          <w:tcPr>
            <w:tcW w:w="243" w:type="pct"/>
          </w:tcPr>
          <w:p w:rsidR="007E6660" w:rsidRPr="002F64ED" w:rsidRDefault="007E6660" w:rsidP="007E6660">
            <w:pPr>
              <w:rPr>
                <w:sz w:val="20"/>
              </w:rPr>
            </w:pPr>
          </w:p>
        </w:tc>
        <w:tc>
          <w:tcPr>
            <w:tcW w:w="2330" w:type="pct"/>
          </w:tcPr>
          <w:p w:rsidR="007E6660" w:rsidRPr="002F64ED" w:rsidRDefault="007E6660" w:rsidP="0069434C">
            <w:pPr>
              <w:jc w:val="both"/>
              <w:rPr>
                <w:sz w:val="20"/>
              </w:rPr>
            </w:pPr>
            <w:r w:rsidRPr="002F64ED">
              <w:rPr>
                <w:sz w:val="20"/>
              </w:rPr>
              <w:t>Motion for an extension of time to serve and file the application for leave to appeal and Application for leave to appeal filed</w:t>
            </w:r>
          </w:p>
        </w:tc>
      </w:tr>
    </w:tbl>
    <w:p w:rsidR="007E6660" w:rsidRPr="00E35EA0" w:rsidRDefault="007E6660" w:rsidP="007E6660">
      <w:pPr>
        <w:rPr>
          <w:sz w:val="20"/>
          <w:szCs w:val="20"/>
        </w:rPr>
      </w:pPr>
    </w:p>
    <w:p w:rsidR="007E6660" w:rsidRPr="00E35EA0" w:rsidRDefault="00DB7F13" w:rsidP="007E6660">
      <w:pPr>
        <w:rPr>
          <w:sz w:val="20"/>
          <w:szCs w:val="20"/>
        </w:rPr>
      </w:pPr>
      <w:r w:rsidRPr="00DB7F13">
        <w:rPr>
          <w:sz w:val="20"/>
          <w:szCs w:val="20"/>
          <w:lang w:val="fr-CA"/>
        </w:rPr>
        <w:pict>
          <v:rect id="_x0000_i1044" style="width:2in;height:1pt" o:hrpct="0" o:hralign="center" o:hrstd="t" o:hrnoshade="t" o:hr="t" fillcolor="black [3213]" stroked="f"/>
        </w:pict>
      </w:r>
    </w:p>
    <w:p w:rsidR="007E6660" w:rsidRPr="00E35EA0" w:rsidRDefault="007E6660" w:rsidP="007E6660">
      <w:pPr>
        <w:rPr>
          <w:sz w:val="20"/>
          <w:szCs w:val="20"/>
        </w:rPr>
      </w:pPr>
    </w:p>
    <w:p w:rsidR="007E6660" w:rsidRPr="00E35EA0" w:rsidRDefault="007E6660" w:rsidP="007E6660">
      <w:pPr>
        <w:rPr>
          <w:sz w:val="20"/>
          <w:szCs w:val="20"/>
          <w:u w:val="single"/>
          <w:lang w:val="fr-CA"/>
        </w:rPr>
      </w:pPr>
      <w:r w:rsidRPr="00E35EA0">
        <w:rPr>
          <w:sz w:val="20"/>
          <w:szCs w:val="20"/>
          <w:u w:val="single"/>
          <w:lang w:val="fr-CA"/>
        </w:rPr>
        <w:t>RÉSUMÉ DE L’AFFAIRE</w:t>
      </w:r>
    </w:p>
    <w:p w:rsidR="007E6660" w:rsidRPr="00E35EA0" w:rsidRDefault="007E6660" w:rsidP="007E6660">
      <w:pPr>
        <w:keepNext/>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D6A45" w:rsidRPr="00FF4B6E" w:rsidTr="007D6A45">
        <w:tc>
          <w:tcPr>
            <w:tcW w:w="5000" w:type="pct"/>
            <w:gridSpan w:val="3"/>
          </w:tcPr>
          <w:p w:rsidR="007D6A45" w:rsidRPr="002F64ED" w:rsidRDefault="007D6A45" w:rsidP="007D6A45">
            <w:pPr>
              <w:jc w:val="both"/>
              <w:rPr>
                <w:rFonts w:eastAsia="Calibri"/>
                <w:sz w:val="20"/>
                <w:lang w:val="fr-CA"/>
              </w:rPr>
            </w:pPr>
            <w:r w:rsidRPr="002F64ED">
              <w:rPr>
                <w:rFonts w:eastAsia="Calibri"/>
                <w:sz w:val="20"/>
                <w:lang w:val="fr-CA"/>
              </w:rPr>
              <w:t xml:space="preserve">Droit criminel — Meurtre — Preuve — Comportement postérieur à l’infraction — L'équité d'un procès </w:t>
            </w:r>
            <w:proofErr w:type="spellStart"/>
            <w:r w:rsidRPr="002F64ED">
              <w:rPr>
                <w:rFonts w:eastAsia="Calibri"/>
                <w:sz w:val="20"/>
                <w:lang w:val="fr-CA"/>
              </w:rPr>
              <w:t>est</w:t>
            </w:r>
            <w:r w:rsidRPr="002F64ED">
              <w:rPr>
                <w:rFonts w:eastAsia="Calibri"/>
                <w:sz w:val="20"/>
                <w:lang w:val="fr-CA"/>
              </w:rPr>
              <w:noBreakHyphen/>
              <w:t>elle</w:t>
            </w:r>
            <w:proofErr w:type="spellEnd"/>
            <w:r w:rsidRPr="002F64ED">
              <w:rPr>
                <w:rFonts w:eastAsia="Calibri"/>
                <w:sz w:val="20"/>
                <w:lang w:val="fr-CA"/>
              </w:rPr>
              <w:t xml:space="preserve"> compromise lorsque le jury a entendu une preuve inadmissible concernant la crédibilité de l'accusé? — La disposition du </w:t>
            </w:r>
            <w:proofErr w:type="spellStart"/>
            <w:r w:rsidRPr="002F64ED">
              <w:rPr>
                <w:rFonts w:eastAsia="Calibri"/>
                <w:sz w:val="20"/>
                <w:lang w:val="fr-CA"/>
              </w:rPr>
              <w:t>sous</w:t>
            </w:r>
            <w:r w:rsidRPr="002F64ED">
              <w:rPr>
                <w:rFonts w:eastAsia="Calibri"/>
                <w:sz w:val="20"/>
                <w:lang w:val="fr-CA"/>
              </w:rPr>
              <w:noBreakHyphen/>
              <w:t>al</w:t>
            </w:r>
            <w:proofErr w:type="spellEnd"/>
            <w:r w:rsidRPr="002F64ED">
              <w:rPr>
                <w:rFonts w:eastAsia="Calibri"/>
                <w:sz w:val="20"/>
                <w:lang w:val="fr-CA"/>
              </w:rPr>
              <w:t>. 686(1)</w:t>
            </w:r>
            <w:r w:rsidRPr="002F64ED">
              <w:rPr>
                <w:rFonts w:eastAsia="Calibri"/>
                <w:i/>
                <w:sz w:val="20"/>
                <w:lang w:val="fr-CA"/>
              </w:rPr>
              <w:t>b</w:t>
            </w:r>
            <w:proofErr w:type="gramStart"/>
            <w:r w:rsidRPr="002F64ED">
              <w:rPr>
                <w:rFonts w:eastAsia="Calibri"/>
                <w:sz w:val="20"/>
                <w:lang w:val="fr-CA"/>
              </w:rPr>
              <w:t>)(</w:t>
            </w:r>
            <w:proofErr w:type="gramEnd"/>
            <w:r w:rsidRPr="002F64ED">
              <w:rPr>
                <w:rFonts w:eastAsia="Calibri"/>
                <w:sz w:val="20"/>
                <w:lang w:val="fr-CA"/>
              </w:rPr>
              <w:t xml:space="preserve">iii) </w:t>
            </w:r>
            <w:proofErr w:type="spellStart"/>
            <w:r w:rsidRPr="002F64ED">
              <w:rPr>
                <w:rFonts w:eastAsia="Calibri"/>
                <w:sz w:val="20"/>
                <w:lang w:val="fr-CA"/>
              </w:rPr>
              <w:t>est</w:t>
            </w:r>
            <w:r w:rsidRPr="002F64ED">
              <w:rPr>
                <w:rFonts w:eastAsia="Calibri"/>
                <w:sz w:val="20"/>
                <w:lang w:val="fr-CA"/>
              </w:rPr>
              <w:noBreakHyphen/>
              <w:t>elle</w:t>
            </w:r>
            <w:proofErr w:type="spellEnd"/>
            <w:r w:rsidRPr="002F64ED">
              <w:rPr>
                <w:rFonts w:eastAsia="Calibri"/>
                <w:sz w:val="20"/>
                <w:lang w:val="fr-CA"/>
              </w:rPr>
              <w:t xml:space="preserve"> applicable lorsque le jury a été mal instruit sur l'utilisation du comportement postérieur de l'infraction?</w:t>
            </w:r>
          </w:p>
          <w:p w:rsidR="007D6A45" w:rsidRPr="002F64ED" w:rsidRDefault="007D6A45" w:rsidP="007D6A45">
            <w:pPr>
              <w:jc w:val="both"/>
              <w:rPr>
                <w:rFonts w:eastAsia="Calibri"/>
                <w:sz w:val="20"/>
                <w:lang w:val="fr-CA"/>
              </w:rPr>
            </w:pPr>
          </w:p>
        </w:tc>
      </w:tr>
      <w:tr w:rsidR="007D6A45" w:rsidRPr="00FF4B6E" w:rsidTr="007D6A45">
        <w:tc>
          <w:tcPr>
            <w:tcW w:w="5000" w:type="pct"/>
            <w:gridSpan w:val="3"/>
          </w:tcPr>
          <w:p w:rsidR="007D6A45" w:rsidRPr="002F64ED" w:rsidRDefault="007D6A45" w:rsidP="007D6A45">
            <w:pPr>
              <w:jc w:val="both"/>
              <w:rPr>
                <w:rFonts w:eastAsia="Calibri"/>
                <w:sz w:val="20"/>
                <w:lang w:val="fr-CA"/>
              </w:rPr>
            </w:pPr>
            <w:r w:rsidRPr="002F64ED">
              <w:rPr>
                <w:rFonts w:eastAsia="Calibri"/>
                <w:sz w:val="20"/>
                <w:lang w:val="fr-CA"/>
              </w:rPr>
              <w:t>Monsieur Palmer a été déclaré coupable de meurtre au deuxième degré et condamné à une peine d'emprisonnement à perpétuité assortie d’une période d’inadmissibilité à la libération conditionnelle de 15 ans.  La victime a été abattue d’un coup de feu dans un parc après une dispute à propos d'une cigarette et d'une petite quantité de marijuana.  Monsieur Palmer a demandé une cigarette à la victime.  La victime a refusé et M. Palmer a pris de la marijuana qui se trouvait sur une table du parc à laquelle la victime était assise.  La victime a exigé qu'il rende la marijuana.  Il y a ensuite eu une bagarre au cours de laquelle M. Palmer a sorti une arme à feu de sa ceinture montée.  À partir de ce point, le ministère public et M. Palmer ont relaté des versions différentes des événements au procès.  Selon la thèse du ministère public, appuyée par les témoignages de trois amis de la victime, le compagnon de M. Palmer lui aurait dit [</w:t>
            </w:r>
            <w:r w:rsidRPr="002F64ED">
              <w:rPr>
                <w:rFonts w:eastAsia="Calibri"/>
                <w:smallCaps/>
                <w:sz w:val="20"/>
                <w:lang w:val="fr-CA"/>
              </w:rPr>
              <w:t>traduction</w:t>
            </w:r>
            <w:r w:rsidRPr="002F64ED">
              <w:rPr>
                <w:rFonts w:eastAsia="Calibri"/>
                <w:sz w:val="20"/>
                <w:lang w:val="fr-CA"/>
              </w:rPr>
              <w:t>] « </w:t>
            </w:r>
            <w:proofErr w:type="gramStart"/>
            <w:r w:rsidRPr="002F64ED">
              <w:rPr>
                <w:rFonts w:eastAsia="Calibri"/>
                <w:sz w:val="20"/>
                <w:lang w:val="fr-CA"/>
              </w:rPr>
              <w:t>tire le</w:t>
            </w:r>
            <w:proofErr w:type="gramEnd"/>
            <w:r w:rsidRPr="002F64ED">
              <w:rPr>
                <w:rFonts w:eastAsia="Calibri"/>
                <w:sz w:val="20"/>
                <w:lang w:val="fr-CA"/>
              </w:rPr>
              <w:t xml:space="preserve"> » et M. Palmer aurait braqué l'arme sur la victime et aurait tiré un coup de feu avec l'intention de le tuer.  Selon la défense, M. Palmer aurait brandi son arme en légitime défense, la victime aurait saisi l'arme et pendant la lutte, M. Palmer aurait trébuché et l’arme se serait déchargée accidentellement.  Le ministère public a présenté une preuve abondante du comportement postérieur à l'infraction pour ce qui est des activités de M. Palmer à la suite de la fusillade, y compris le fait qu'il se soit départi de l’arme à feu et de certains vêtements, qu'il se soit rasé la </w:t>
            </w:r>
            <w:r w:rsidRPr="002F64ED">
              <w:rPr>
                <w:rFonts w:eastAsia="Calibri"/>
                <w:sz w:val="20"/>
                <w:lang w:val="fr-CA"/>
              </w:rPr>
              <w:lastRenderedPageBreak/>
              <w:t>tête pour cacher son identité et qu'il ait dormi dans des cages d'escalier pour éviter d'être repéré.  L'appel de M. Palmer de sa condamnation a été rejeté.  Il s'est vu accorder l'autorisation d'interjeter appel de sa peine, mais cet appel a également été rejeté.</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lastRenderedPageBreak/>
              <w:t>1</w:t>
            </w:r>
            <w:r w:rsidRPr="002F64ED">
              <w:rPr>
                <w:rFonts w:eastAsia="Calibri"/>
                <w:sz w:val="20"/>
                <w:vertAlign w:val="superscript"/>
                <w:lang w:val="fr-CA"/>
              </w:rPr>
              <w:t>er</w:t>
            </w:r>
            <w:r w:rsidRPr="002F64ED">
              <w:rPr>
                <w:rFonts w:eastAsia="Calibri"/>
                <w:sz w:val="20"/>
                <w:lang w:val="fr-CA"/>
              </w:rPr>
              <w:t xml:space="preserve"> février 2007</w:t>
            </w:r>
          </w:p>
          <w:p w:rsidR="007D6A45" w:rsidRPr="002F64ED" w:rsidRDefault="007D6A45" w:rsidP="007D6A45">
            <w:pPr>
              <w:jc w:val="both"/>
              <w:rPr>
                <w:rFonts w:eastAsia="Calibri"/>
                <w:sz w:val="20"/>
                <w:lang w:val="fr-CA"/>
              </w:rPr>
            </w:pPr>
            <w:r w:rsidRPr="002F64ED">
              <w:rPr>
                <w:rFonts w:eastAsia="Calibri"/>
                <w:sz w:val="20"/>
                <w:lang w:val="fr-CA"/>
              </w:rPr>
              <w:t xml:space="preserve">Cour supérieure de justice de l'Ontario </w:t>
            </w:r>
          </w:p>
          <w:p w:rsidR="007D6A45" w:rsidRPr="002F64ED" w:rsidRDefault="007D6A45" w:rsidP="007D6A45">
            <w:pPr>
              <w:jc w:val="both"/>
              <w:rPr>
                <w:rFonts w:eastAsia="Calibri"/>
                <w:sz w:val="20"/>
                <w:lang w:val="fr-CA"/>
              </w:rPr>
            </w:pPr>
            <w:r w:rsidRPr="002F64ED">
              <w:rPr>
                <w:rFonts w:eastAsia="Calibri"/>
                <w:sz w:val="20"/>
                <w:lang w:val="fr-CA"/>
              </w:rPr>
              <w:t xml:space="preserve">(Juge </w:t>
            </w:r>
            <w:proofErr w:type="spellStart"/>
            <w:r w:rsidRPr="002F64ED">
              <w:rPr>
                <w:rFonts w:eastAsia="Calibri"/>
                <w:sz w:val="20"/>
                <w:lang w:val="fr-CA"/>
              </w:rPr>
              <w:t>Dunnet</w:t>
            </w:r>
            <w:proofErr w:type="spellEnd"/>
            <w:r w:rsidRPr="002F64ED">
              <w:rPr>
                <w:rFonts w:eastAsia="Calibri"/>
                <w:sz w:val="20"/>
                <w:lang w:val="fr-CA"/>
              </w:rPr>
              <w:t>)</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Demandeur déclaré coupable de meurtre au deuxième degré</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29 juin 2007</w:t>
            </w:r>
          </w:p>
          <w:p w:rsidR="007D6A45" w:rsidRPr="002F64ED" w:rsidRDefault="007D6A45" w:rsidP="007D6A45">
            <w:pPr>
              <w:jc w:val="both"/>
              <w:rPr>
                <w:rFonts w:eastAsia="Calibri"/>
                <w:sz w:val="20"/>
                <w:lang w:val="fr-CA"/>
              </w:rPr>
            </w:pPr>
            <w:r w:rsidRPr="002F64ED">
              <w:rPr>
                <w:rFonts w:eastAsia="Calibri"/>
                <w:sz w:val="20"/>
                <w:lang w:val="fr-CA"/>
              </w:rPr>
              <w:t xml:space="preserve">Cour supérieure de justice de l'Ontario </w:t>
            </w:r>
          </w:p>
          <w:p w:rsidR="007D6A45" w:rsidRPr="002F64ED" w:rsidRDefault="007D6A45" w:rsidP="007D6A45">
            <w:pPr>
              <w:jc w:val="both"/>
              <w:rPr>
                <w:rFonts w:eastAsia="Calibri"/>
                <w:sz w:val="20"/>
                <w:lang w:val="fr-CA"/>
              </w:rPr>
            </w:pPr>
            <w:r w:rsidRPr="002F64ED">
              <w:rPr>
                <w:rFonts w:eastAsia="Calibri"/>
                <w:sz w:val="20"/>
                <w:lang w:val="fr-CA"/>
              </w:rPr>
              <w:t xml:space="preserve">(Juge </w:t>
            </w:r>
            <w:proofErr w:type="spellStart"/>
            <w:r w:rsidRPr="002F64ED">
              <w:rPr>
                <w:rFonts w:eastAsia="Calibri"/>
                <w:sz w:val="20"/>
                <w:lang w:val="fr-CA"/>
              </w:rPr>
              <w:t>Dunnet</w:t>
            </w:r>
            <w:proofErr w:type="spellEnd"/>
            <w:r w:rsidRPr="002F64ED">
              <w:rPr>
                <w:rFonts w:eastAsia="Calibri"/>
                <w:sz w:val="20"/>
                <w:lang w:val="fr-CA"/>
              </w:rPr>
              <w:t>)</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Demandeur condamné à une peine d'emprisonnement à perpétuité assortie d’une période d’inadmissibilité à la libération conditionnelle de 15 ans</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29 novembre 2010</w:t>
            </w:r>
          </w:p>
          <w:p w:rsidR="007D6A45" w:rsidRPr="002F64ED" w:rsidRDefault="007D6A45" w:rsidP="007D6A45">
            <w:pPr>
              <w:jc w:val="both"/>
              <w:rPr>
                <w:rFonts w:eastAsia="Calibri"/>
                <w:sz w:val="20"/>
                <w:lang w:val="fr-CA"/>
              </w:rPr>
            </w:pPr>
            <w:r w:rsidRPr="002F64ED">
              <w:rPr>
                <w:rFonts w:eastAsia="Calibri"/>
                <w:sz w:val="20"/>
                <w:lang w:val="fr-CA"/>
              </w:rPr>
              <w:t xml:space="preserve">Cour d'appel de l'Ontario </w:t>
            </w:r>
          </w:p>
          <w:p w:rsidR="007D6A45" w:rsidRPr="002F64ED" w:rsidRDefault="007D6A45" w:rsidP="007D6A45">
            <w:pPr>
              <w:jc w:val="both"/>
              <w:rPr>
                <w:rFonts w:eastAsia="Calibri"/>
                <w:sz w:val="20"/>
                <w:lang w:val="fr-CA"/>
              </w:rPr>
            </w:pPr>
            <w:r w:rsidRPr="002F64ED">
              <w:rPr>
                <w:rFonts w:eastAsia="Calibri"/>
                <w:sz w:val="20"/>
                <w:lang w:val="fr-CA"/>
              </w:rPr>
              <w:t xml:space="preserve">(Juge en chef </w:t>
            </w:r>
            <w:proofErr w:type="spellStart"/>
            <w:r w:rsidRPr="002F64ED">
              <w:rPr>
                <w:rFonts w:eastAsia="Calibri"/>
                <w:sz w:val="20"/>
                <w:lang w:val="fr-CA"/>
              </w:rPr>
              <w:t>Winkler</w:t>
            </w:r>
            <w:proofErr w:type="spellEnd"/>
            <w:r w:rsidRPr="002F64ED">
              <w:rPr>
                <w:rFonts w:eastAsia="Calibri"/>
                <w:sz w:val="20"/>
                <w:lang w:val="fr-CA"/>
              </w:rPr>
              <w:t xml:space="preserve">, juges Sharpe et </w:t>
            </w:r>
            <w:proofErr w:type="spellStart"/>
            <w:r w:rsidRPr="002F64ED">
              <w:rPr>
                <w:rFonts w:eastAsia="Calibri"/>
                <w:sz w:val="20"/>
                <w:lang w:val="fr-CA"/>
              </w:rPr>
              <w:t>Karakatsanis</w:t>
            </w:r>
            <w:proofErr w:type="spellEnd"/>
            <w:r w:rsidRPr="002F64ED">
              <w:rPr>
                <w:rFonts w:eastAsia="Calibri"/>
                <w:sz w:val="20"/>
                <w:lang w:val="fr-CA"/>
              </w:rPr>
              <w:t>)</w:t>
            </w:r>
          </w:p>
          <w:p w:rsidR="007D6A45" w:rsidRPr="002F64ED" w:rsidRDefault="007D6A45" w:rsidP="007D6A45">
            <w:pPr>
              <w:jc w:val="both"/>
              <w:rPr>
                <w:rFonts w:eastAsia="Calibri"/>
                <w:sz w:val="20"/>
                <w:lang w:val="fr-CA"/>
              </w:rPr>
            </w:pPr>
            <w:r w:rsidRPr="002F64ED">
              <w:rPr>
                <w:rFonts w:eastAsia="Calibri"/>
                <w:sz w:val="20"/>
                <w:lang w:val="fr-CA"/>
              </w:rPr>
              <w:t>2010 ONCA 804; C47592</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Appel de la condamnation, rejeté; autorisation d'appel de la peine, accordée et appel de la peine, rejeté</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22 août 2011</w:t>
            </w:r>
          </w:p>
          <w:p w:rsidR="007D6A45" w:rsidRPr="002F64ED" w:rsidRDefault="007D6A45" w:rsidP="007D6A45">
            <w:pPr>
              <w:jc w:val="both"/>
              <w:rPr>
                <w:rFonts w:eastAsia="Calibri"/>
                <w:sz w:val="20"/>
                <w:lang w:val="fr-CA"/>
              </w:rPr>
            </w:pPr>
            <w:r w:rsidRPr="002F64ED">
              <w:rPr>
                <w:rFonts w:eastAsia="Calibri"/>
                <w:sz w:val="20"/>
                <w:lang w:val="fr-CA"/>
              </w:rPr>
              <w:t>Cour suprême du Canada</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Requête en prorogation du délai de signification et de dépôt de la demande d'autorisation d'appel et demande d'autorisation d'appel, déposées</w:t>
            </w:r>
          </w:p>
        </w:tc>
      </w:tr>
    </w:tbl>
    <w:p w:rsidR="007E6660" w:rsidRPr="00E35EA0" w:rsidRDefault="007E6660" w:rsidP="007E6660">
      <w:pPr>
        <w:rPr>
          <w:sz w:val="20"/>
          <w:szCs w:val="20"/>
          <w:lang w:val="fr-CA"/>
        </w:rPr>
      </w:pPr>
    </w:p>
    <w:p w:rsidR="007E6660" w:rsidRPr="00E35EA0" w:rsidRDefault="00DB7F13" w:rsidP="007E6660">
      <w:pPr>
        <w:rPr>
          <w:sz w:val="20"/>
          <w:szCs w:val="20"/>
          <w:lang w:val="fr-CA"/>
        </w:rPr>
      </w:pPr>
      <w:r w:rsidRPr="00DB7F13">
        <w:rPr>
          <w:sz w:val="20"/>
          <w:szCs w:val="20"/>
          <w:lang w:val="fr-CA"/>
        </w:rPr>
        <w:pict>
          <v:rect id="_x0000_i1045" style="width:2in;height:1pt" o:hrpct="0" o:hralign="center" o:hrstd="t" o:hrnoshade="t" o:hr="t" fillcolor="black [3213]" stroked="f"/>
        </w:pict>
      </w:r>
    </w:p>
    <w:p w:rsidR="007E6660" w:rsidRDefault="007E6660" w:rsidP="007E6660">
      <w:pPr>
        <w:ind w:left="1440" w:hanging="1440"/>
        <w:rPr>
          <w:b/>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617E3" w:rsidRPr="007617E3" w:rsidTr="007617E3">
        <w:trPr>
          <w:cantSplit/>
        </w:trPr>
        <w:tc>
          <w:tcPr>
            <w:tcW w:w="1458" w:type="dxa"/>
          </w:tcPr>
          <w:p w:rsidR="007617E3" w:rsidRPr="007617E3" w:rsidRDefault="007617E3" w:rsidP="007617E3">
            <w:pPr>
              <w:rPr>
                <w:sz w:val="20"/>
              </w:rPr>
            </w:pPr>
            <w:r w:rsidRPr="007617E3">
              <w:rPr>
                <w:b/>
                <w:sz w:val="20"/>
                <w:lang w:val="fr-CA"/>
              </w:rPr>
              <w:t>34393</w:t>
            </w:r>
          </w:p>
          <w:p w:rsidR="007617E3" w:rsidRPr="007617E3" w:rsidRDefault="007617E3" w:rsidP="007617E3">
            <w:pPr>
              <w:rPr>
                <w:b/>
                <w:sz w:val="20"/>
                <w:lang w:val="fr-CA"/>
              </w:rPr>
            </w:pPr>
          </w:p>
        </w:tc>
        <w:tc>
          <w:tcPr>
            <w:tcW w:w="8118" w:type="dxa"/>
          </w:tcPr>
          <w:p w:rsidR="007617E3" w:rsidRPr="007617E3" w:rsidRDefault="007617E3" w:rsidP="007617E3">
            <w:pPr>
              <w:rPr>
                <w:sz w:val="20"/>
              </w:rPr>
            </w:pPr>
            <w:r w:rsidRPr="007617E3">
              <w:rPr>
                <w:b/>
                <w:sz w:val="20"/>
                <w:u w:val="single"/>
                <w:lang w:val="fr-CA"/>
              </w:rPr>
              <w:t xml:space="preserve">Agence du Revenu du Québec c. Agence du revenu du Canada, Jean </w:t>
            </w:r>
            <w:proofErr w:type="spellStart"/>
            <w:r w:rsidRPr="007617E3">
              <w:rPr>
                <w:b/>
                <w:sz w:val="20"/>
                <w:u w:val="single"/>
                <w:lang w:val="fr-CA"/>
              </w:rPr>
              <w:t>Riopel</w:t>
            </w:r>
            <w:proofErr w:type="spellEnd"/>
            <w:r w:rsidRPr="007617E3">
              <w:rPr>
                <w:b/>
                <w:sz w:val="20"/>
                <w:u w:val="single"/>
                <w:lang w:val="fr-CA"/>
              </w:rPr>
              <w:t xml:space="preserve">, Christiane Archambault, Entreprise J.P.F. </w:t>
            </w:r>
            <w:proofErr w:type="spellStart"/>
            <w:r w:rsidRPr="007617E3">
              <w:rPr>
                <w:b/>
                <w:sz w:val="20"/>
                <w:u w:val="single"/>
                <w:lang w:val="fr-CA"/>
              </w:rPr>
              <w:t>Riopel</w:t>
            </w:r>
            <w:proofErr w:type="spellEnd"/>
            <w:r w:rsidRPr="007617E3">
              <w:rPr>
                <w:b/>
                <w:sz w:val="20"/>
                <w:u w:val="single"/>
                <w:lang w:val="fr-CA"/>
              </w:rPr>
              <w:t xml:space="preserve"> </w:t>
            </w:r>
            <w:proofErr w:type="spellStart"/>
            <w:r w:rsidRPr="007617E3">
              <w:rPr>
                <w:b/>
                <w:sz w:val="20"/>
                <w:u w:val="single"/>
                <w:lang w:val="fr-CA"/>
              </w:rPr>
              <w:t>inc</w:t>
            </w:r>
            <w:proofErr w:type="spellEnd"/>
            <w:r w:rsidRPr="007617E3">
              <w:rPr>
                <w:b/>
                <w:sz w:val="20"/>
                <w:u w:val="single"/>
                <w:lang w:val="fr-CA"/>
              </w:rPr>
              <w:t>.</w:t>
            </w:r>
            <w:r w:rsidRPr="007617E3">
              <w:rPr>
                <w:sz w:val="20"/>
                <w:lang w:val="fr-CA"/>
              </w:rPr>
              <w:t xml:space="preserve"> </w:t>
            </w:r>
            <w:r w:rsidRPr="007617E3">
              <w:rPr>
                <w:sz w:val="20"/>
              </w:rPr>
              <w:t>(Qc) (</w:t>
            </w:r>
            <w:proofErr w:type="spellStart"/>
            <w:r w:rsidRPr="007617E3">
              <w:rPr>
                <w:sz w:val="20"/>
              </w:rPr>
              <w:t>Civile</w:t>
            </w:r>
            <w:proofErr w:type="spellEnd"/>
            <w:r w:rsidRPr="007617E3">
              <w:rPr>
                <w:sz w:val="20"/>
              </w:rPr>
              <w:t>) (</w:t>
            </w:r>
            <w:proofErr w:type="spellStart"/>
            <w:r w:rsidRPr="007617E3">
              <w:rPr>
                <w:sz w:val="20"/>
              </w:rPr>
              <w:t>Autorisation</w:t>
            </w:r>
            <w:proofErr w:type="spellEnd"/>
            <w:r w:rsidRPr="007617E3">
              <w:rPr>
                <w:sz w:val="20"/>
              </w:rPr>
              <w:t>)</w:t>
            </w:r>
          </w:p>
          <w:p w:rsidR="007617E3" w:rsidRPr="007617E3" w:rsidRDefault="007617E3" w:rsidP="007617E3">
            <w:pPr>
              <w:rPr>
                <w:sz w:val="20"/>
              </w:rPr>
            </w:pPr>
          </w:p>
        </w:tc>
      </w:tr>
      <w:tr w:rsidR="007617E3" w:rsidRPr="00FF4B6E" w:rsidTr="007617E3">
        <w:trPr>
          <w:cantSplit/>
        </w:trPr>
        <w:tc>
          <w:tcPr>
            <w:tcW w:w="1458" w:type="dxa"/>
          </w:tcPr>
          <w:p w:rsidR="007617E3" w:rsidRPr="007617E3" w:rsidRDefault="007617E3" w:rsidP="007617E3">
            <w:pPr>
              <w:rPr>
                <w:sz w:val="20"/>
              </w:rPr>
            </w:pPr>
            <w:r w:rsidRPr="007617E3">
              <w:rPr>
                <w:sz w:val="20"/>
              </w:rPr>
              <w:t>Coram :</w:t>
            </w:r>
          </w:p>
        </w:tc>
        <w:tc>
          <w:tcPr>
            <w:tcW w:w="8118" w:type="dxa"/>
          </w:tcPr>
          <w:p w:rsidR="007617E3" w:rsidRPr="007617E3" w:rsidRDefault="007617E3" w:rsidP="007617E3">
            <w:pPr>
              <w:rPr>
                <w:sz w:val="20"/>
                <w:lang w:val="fr-CA"/>
              </w:rPr>
            </w:pPr>
            <w:r w:rsidRPr="007617E3">
              <w:rPr>
                <w:sz w:val="20"/>
                <w:u w:val="single"/>
                <w:lang w:val="fr-CA"/>
              </w:rPr>
              <w:t xml:space="preserve">Les juges </w:t>
            </w:r>
            <w:proofErr w:type="spellStart"/>
            <w:r w:rsidRPr="007617E3">
              <w:rPr>
                <w:sz w:val="20"/>
                <w:u w:val="single"/>
                <w:lang w:val="fr-CA"/>
              </w:rPr>
              <w:t>LeBel</w:t>
            </w:r>
            <w:proofErr w:type="spellEnd"/>
            <w:r w:rsidRPr="007617E3">
              <w:rPr>
                <w:sz w:val="20"/>
                <w:u w:val="single"/>
                <w:lang w:val="fr-CA"/>
              </w:rPr>
              <w:t>, Abella et Cromwell</w:t>
            </w:r>
          </w:p>
          <w:p w:rsidR="007617E3" w:rsidRPr="007617E3" w:rsidRDefault="007617E3" w:rsidP="007617E3">
            <w:pPr>
              <w:rPr>
                <w:sz w:val="20"/>
                <w:u w:val="single"/>
                <w:lang w:val="fr-CA"/>
              </w:rPr>
            </w:pPr>
          </w:p>
        </w:tc>
      </w:tr>
      <w:tr w:rsidR="007617E3" w:rsidRPr="007617E3" w:rsidTr="007617E3">
        <w:trPr>
          <w:cantSplit/>
        </w:trPr>
        <w:tc>
          <w:tcPr>
            <w:tcW w:w="9576" w:type="dxa"/>
            <w:gridSpan w:val="2"/>
          </w:tcPr>
          <w:p w:rsidR="007617E3" w:rsidRPr="007617E3" w:rsidRDefault="007617E3" w:rsidP="007617E3">
            <w:pPr>
              <w:ind w:firstLine="720"/>
              <w:jc w:val="both"/>
              <w:rPr>
                <w:sz w:val="20"/>
              </w:rPr>
            </w:pPr>
            <w:r w:rsidRPr="007617E3">
              <w:rPr>
                <w:sz w:val="20"/>
                <w:lang w:val="fr-CA"/>
              </w:rPr>
              <w:t xml:space="preserve">La demande d’autorisation d’appel de l’arrêt de la Cour d’appel du Québec (Montréal), numéro 500-09-020651-105, 2011 QCCA 954, daté du 20 mai 2011, est accueillie avec dépens suivant l’issue de la cause. Cet appel sera entendu avec Agence du Revenu du Québec c. Services environnementaux AES Inc. </w:t>
            </w:r>
            <w:r w:rsidRPr="007617E3">
              <w:rPr>
                <w:sz w:val="20"/>
              </w:rPr>
              <w:t>(34235).</w:t>
            </w:r>
          </w:p>
          <w:p w:rsidR="007617E3" w:rsidRPr="007617E3" w:rsidRDefault="007617E3" w:rsidP="007617E3">
            <w:pPr>
              <w:jc w:val="both"/>
              <w:rPr>
                <w:sz w:val="20"/>
              </w:rPr>
            </w:pPr>
          </w:p>
          <w:p w:rsidR="007617E3" w:rsidRPr="007617E3" w:rsidRDefault="007617E3" w:rsidP="007617E3">
            <w:pPr>
              <w:ind w:firstLine="720"/>
              <w:jc w:val="both"/>
              <w:rPr>
                <w:sz w:val="20"/>
              </w:rPr>
            </w:pPr>
            <w:r w:rsidRPr="007617E3">
              <w:rPr>
                <w:sz w:val="20"/>
              </w:rPr>
              <w:t xml:space="preserve">The application for leave to appeal from the judgment of the Court of Appeal of Quebec (Montréal), Number 500-09-020651-105, </w:t>
            </w:r>
            <w:proofErr w:type="gramStart"/>
            <w:r w:rsidRPr="007617E3">
              <w:rPr>
                <w:sz w:val="20"/>
              </w:rPr>
              <w:t>2011</w:t>
            </w:r>
            <w:proofErr w:type="gramEnd"/>
            <w:r w:rsidRPr="007617E3">
              <w:rPr>
                <w:sz w:val="20"/>
              </w:rPr>
              <w:t xml:space="preserve"> QCCA 954, dated May 20, 2011, is granted with costs in the cause. This appeal is to be heard with </w:t>
            </w:r>
            <w:proofErr w:type="spellStart"/>
            <w:r w:rsidRPr="007617E3">
              <w:rPr>
                <w:sz w:val="20"/>
              </w:rPr>
              <w:t>Agence</w:t>
            </w:r>
            <w:proofErr w:type="spellEnd"/>
            <w:r w:rsidRPr="007617E3">
              <w:rPr>
                <w:sz w:val="20"/>
              </w:rPr>
              <w:t xml:space="preserve"> du </w:t>
            </w:r>
            <w:proofErr w:type="spellStart"/>
            <w:r w:rsidRPr="007617E3">
              <w:rPr>
                <w:sz w:val="20"/>
              </w:rPr>
              <w:t>Revenu</w:t>
            </w:r>
            <w:proofErr w:type="spellEnd"/>
            <w:r w:rsidRPr="007617E3">
              <w:rPr>
                <w:sz w:val="20"/>
              </w:rPr>
              <w:t xml:space="preserve"> du Québec v. Services </w:t>
            </w:r>
            <w:proofErr w:type="spellStart"/>
            <w:r w:rsidRPr="007617E3">
              <w:rPr>
                <w:sz w:val="20"/>
              </w:rPr>
              <w:t>environnementaux</w:t>
            </w:r>
            <w:proofErr w:type="spellEnd"/>
            <w:r w:rsidRPr="007617E3">
              <w:rPr>
                <w:sz w:val="20"/>
              </w:rPr>
              <w:t xml:space="preserve"> AES Inc. (34235).</w:t>
            </w:r>
          </w:p>
        </w:tc>
      </w:tr>
    </w:tbl>
    <w:p w:rsidR="007D6A45" w:rsidRDefault="007D6A45"/>
    <w:p w:rsidR="007E6660" w:rsidRDefault="007E6660" w:rsidP="007E6660">
      <w:pPr>
        <w:rPr>
          <w:sz w:val="20"/>
          <w:szCs w:val="20"/>
          <w:u w:val="single"/>
        </w:rPr>
      </w:pPr>
      <w:r w:rsidRPr="00E35EA0">
        <w:rPr>
          <w:sz w:val="20"/>
          <w:szCs w:val="20"/>
          <w:u w:val="single"/>
        </w:rPr>
        <w:t>CASE SUMMARY</w:t>
      </w:r>
    </w:p>
    <w:p w:rsidR="007E6660" w:rsidRDefault="007E6660" w:rsidP="007E666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7D6A45" w:rsidRPr="007D6A45" w:rsidTr="007D6A45">
        <w:tc>
          <w:tcPr>
            <w:tcW w:w="5000" w:type="pct"/>
            <w:gridSpan w:val="3"/>
          </w:tcPr>
          <w:p w:rsidR="007D6A45" w:rsidRPr="002F64ED" w:rsidRDefault="007D6A45" w:rsidP="007D6A45">
            <w:pPr>
              <w:jc w:val="both"/>
              <w:rPr>
                <w:rFonts w:eastAsia="Calibri"/>
                <w:sz w:val="20"/>
              </w:rPr>
            </w:pPr>
            <w:r w:rsidRPr="002F64ED">
              <w:rPr>
                <w:rFonts w:eastAsia="Calibri"/>
                <w:sz w:val="20"/>
              </w:rPr>
              <w:t xml:space="preserve">Contracts — Interpretation — Error — Rectification — Whether Quebec courts can rectify contract where intention stated in contract differs from common intention of parties — </w:t>
            </w:r>
            <w:r w:rsidRPr="002F64ED">
              <w:rPr>
                <w:rFonts w:eastAsia="Calibri"/>
                <w:i/>
                <w:sz w:val="20"/>
              </w:rPr>
              <w:t>Civil Code of Québec</w:t>
            </w:r>
            <w:r w:rsidRPr="002F64ED">
              <w:rPr>
                <w:rFonts w:eastAsia="Calibri"/>
                <w:sz w:val="20"/>
              </w:rPr>
              <w:t>, S.Q. 1991, c. 91, arts. 1425, 1439.</w:t>
            </w:r>
          </w:p>
          <w:p w:rsidR="007D6A45" w:rsidRPr="002F64ED" w:rsidRDefault="007D6A45" w:rsidP="007D6A45">
            <w:pPr>
              <w:jc w:val="both"/>
              <w:rPr>
                <w:rFonts w:eastAsia="Calibri"/>
                <w:sz w:val="20"/>
              </w:rPr>
            </w:pPr>
          </w:p>
        </w:tc>
      </w:tr>
      <w:tr w:rsidR="007D6A45" w:rsidRPr="002F64ED" w:rsidTr="007D6A45">
        <w:tc>
          <w:tcPr>
            <w:tcW w:w="5000" w:type="pct"/>
            <w:gridSpan w:val="3"/>
          </w:tcPr>
          <w:p w:rsidR="007D6A45" w:rsidRPr="002F64ED" w:rsidRDefault="007D6A45" w:rsidP="007D6A45">
            <w:pPr>
              <w:jc w:val="both"/>
              <w:rPr>
                <w:rFonts w:eastAsia="Calibri"/>
                <w:sz w:val="20"/>
              </w:rPr>
            </w:pPr>
            <w:r w:rsidRPr="002F64ED">
              <w:rPr>
                <w:rFonts w:eastAsia="Calibri"/>
                <w:sz w:val="20"/>
              </w:rPr>
              <w:t xml:space="preserve">In the context of a corporate reorganization, planning was done for the amalgamation of </w:t>
            </w:r>
            <w:proofErr w:type="spellStart"/>
            <w:r w:rsidRPr="002F64ED">
              <w:rPr>
                <w:rFonts w:eastAsia="Calibri"/>
                <w:sz w:val="20"/>
              </w:rPr>
              <w:t>Déchiquetage</w:t>
            </w:r>
            <w:proofErr w:type="spellEnd"/>
            <w:r w:rsidRPr="002F64ED">
              <w:rPr>
                <w:rFonts w:eastAsia="Calibri"/>
                <w:sz w:val="20"/>
              </w:rPr>
              <w:t xml:space="preserve"> Mobile JR inc. and </w:t>
            </w:r>
            <w:proofErr w:type="spellStart"/>
            <w:r w:rsidRPr="002F64ED">
              <w:rPr>
                <w:rFonts w:eastAsia="Calibri"/>
                <w:sz w:val="20"/>
              </w:rPr>
              <w:t>Entreprise</w:t>
            </w:r>
            <w:proofErr w:type="spellEnd"/>
            <w:r w:rsidRPr="002F64ED">
              <w:rPr>
                <w:rFonts w:eastAsia="Calibri"/>
                <w:sz w:val="20"/>
              </w:rPr>
              <w:t xml:space="preserve"> J.P.F. </w:t>
            </w:r>
            <w:proofErr w:type="spellStart"/>
            <w:r w:rsidRPr="002F64ED">
              <w:rPr>
                <w:rFonts w:eastAsia="Calibri"/>
                <w:sz w:val="20"/>
              </w:rPr>
              <w:t>Riopel</w:t>
            </w:r>
            <w:proofErr w:type="spellEnd"/>
            <w:r w:rsidRPr="002F64ED">
              <w:rPr>
                <w:rFonts w:eastAsia="Calibri"/>
                <w:sz w:val="20"/>
              </w:rPr>
              <w:t xml:space="preserve"> inc., which was the holding company of the respondent Mr. </w:t>
            </w:r>
            <w:proofErr w:type="spellStart"/>
            <w:r w:rsidRPr="002F64ED">
              <w:rPr>
                <w:rFonts w:eastAsia="Calibri"/>
                <w:sz w:val="20"/>
              </w:rPr>
              <w:t>Riopel</w:t>
            </w:r>
            <w:proofErr w:type="spellEnd"/>
            <w:r w:rsidRPr="002F64ED">
              <w:rPr>
                <w:rFonts w:eastAsia="Calibri"/>
                <w:sz w:val="20"/>
              </w:rPr>
              <w:t>.  Under the contract prepared by the professionals who were consulted, the respondent Ms. </w:t>
            </w:r>
            <w:proofErr w:type="spellStart"/>
            <w:r w:rsidRPr="002F64ED">
              <w:rPr>
                <w:rFonts w:eastAsia="Calibri"/>
                <w:sz w:val="20"/>
              </w:rPr>
              <w:t>Archambault</w:t>
            </w:r>
            <w:proofErr w:type="spellEnd"/>
            <w:r w:rsidRPr="002F64ED">
              <w:rPr>
                <w:rFonts w:eastAsia="Calibri"/>
                <w:sz w:val="20"/>
              </w:rPr>
              <w:t xml:space="preserve"> undertook to sell shares to the new amalgamated company, the respondent </w:t>
            </w:r>
            <w:proofErr w:type="spellStart"/>
            <w:r w:rsidRPr="002F64ED">
              <w:rPr>
                <w:rFonts w:eastAsia="Calibri"/>
                <w:sz w:val="20"/>
              </w:rPr>
              <w:t>Entreprise</w:t>
            </w:r>
            <w:proofErr w:type="spellEnd"/>
            <w:r w:rsidRPr="002F64ED">
              <w:rPr>
                <w:rFonts w:eastAsia="Calibri"/>
                <w:sz w:val="20"/>
              </w:rPr>
              <w:t xml:space="preserve"> J.P.F. </w:t>
            </w:r>
            <w:proofErr w:type="spellStart"/>
            <w:r w:rsidRPr="002F64ED">
              <w:rPr>
                <w:rFonts w:eastAsia="Calibri"/>
                <w:sz w:val="20"/>
              </w:rPr>
              <w:t>Riopel</w:t>
            </w:r>
            <w:proofErr w:type="spellEnd"/>
            <w:r w:rsidRPr="002F64ED">
              <w:rPr>
                <w:rFonts w:eastAsia="Calibri"/>
                <w:sz w:val="20"/>
              </w:rPr>
              <w:t xml:space="preserve"> inc.  Three years later, Ms. </w:t>
            </w:r>
            <w:proofErr w:type="spellStart"/>
            <w:r w:rsidRPr="002F64ED">
              <w:rPr>
                <w:rFonts w:eastAsia="Calibri"/>
                <w:sz w:val="20"/>
              </w:rPr>
              <w:t>Archambault</w:t>
            </w:r>
            <w:proofErr w:type="spellEnd"/>
            <w:r w:rsidRPr="002F64ED">
              <w:rPr>
                <w:rFonts w:eastAsia="Calibri"/>
                <w:sz w:val="20"/>
              </w:rPr>
              <w:t xml:space="preserve"> received notices of assessment from the tax authorities.</w:t>
            </w:r>
          </w:p>
          <w:p w:rsidR="007D6A45" w:rsidRPr="002F64ED" w:rsidRDefault="007D6A45" w:rsidP="007D6A45">
            <w:pPr>
              <w:jc w:val="both"/>
              <w:rPr>
                <w:rFonts w:eastAsia="Calibri"/>
                <w:sz w:val="20"/>
              </w:rPr>
            </w:pPr>
          </w:p>
          <w:p w:rsidR="007D6A45" w:rsidRPr="002F64ED" w:rsidRDefault="007D6A45" w:rsidP="007D6A45">
            <w:pPr>
              <w:jc w:val="both"/>
              <w:rPr>
                <w:rFonts w:eastAsia="Calibri"/>
                <w:sz w:val="20"/>
              </w:rPr>
            </w:pPr>
            <w:r w:rsidRPr="002F64ED">
              <w:rPr>
                <w:rFonts w:eastAsia="Calibri"/>
                <w:sz w:val="20"/>
              </w:rPr>
              <w:t xml:space="preserve">The respondents objected to the notices of assessment and then brought a motion in the Superior Court for rectification of contract to show the true intention of the contracting parties, correct the articles of amalgamation and obtain </w:t>
            </w:r>
            <w:r w:rsidRPr="002F64ED">
              <w:rPr>
                <w:rFonts w:eastAsia="Calibri"/>
                <w:sz w:val="20"/>
              </w:rPr>
              <w:lastRenderedPageBreak/>
              <w:t>permission to make the corresponding changes to the tax forms sent to the tax authorities.  They argued that, in preparing the articles of amalgamation and the contract for the sale of shares, the professionals consulted had made an error and changed the nature of the contemplated transaction without informing them, with the result that the documents they signed and that recorded the contract did not reflect their actual agreement.</w:t>
            </w:r>
          </w:p>
          <w:p w:rsidR="007D6A45" w:rsidRPr="002F64ED" w:rsidRDefault="007D6A45" w:rsidP="007D6A45">
            <w:pPr>
              <w:jc w:val="both"/>
              <w:rPr>
                <w:rFonts w:eastAsia="Calibri"/>
                <w:sz w:val="20"/>
              </w:rPr>
            </w:pPr>
          </w:p>
          <w:p w:rsidR="007D6A45" w:rsidRDefault="007D6A45" w:rsidP="007D6A45">
            <w:pPr>
              <w:jc w:val="both"/>
              <w:rPr>
                <w:rFonts w:eastAsia="Calibri"/>
                <w:sz w:val="20"/>
              </w:rPr>
            </w:pPr>
            <w:r w:rsidRPr="002F64ED">
              <w:rPr>
                <w:rFonts w:eastAsia="Calibri"/>
                <w:sz w:val="20"/>
              </w:rPr>
              <w:t xml:space="preserve">The Superior Court dismissed the motion on the ground that it had no jurisdiction to grant the remedy sought.  The Court of Appeal set aside that decision, holding that, where a request is legitimate and necessary and the correction sought does not affect third parties’ rights, a court can authorize the correction of a document recording a contract where the common intention of the parties differs from the intention stated in the act. </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lastRenderedPageBreak/>
              <w:t>April 12, 2010</w:t>
            </w:r>
          </w:p>
          <w:p w:rsidR="007D6A45" w:rsidRPr="002F64ED" w:rsidRDefault="007D6A45" w:rsidP="007D6A45">
            <w:pPr>
              <w:jc w:val="both"/>
              <w:rPr>
                <w:rFonts w:eastAsia="Calibri"/>
                <w:sz w:val="20"/>
              </w:rPr>
            </w:pPr>
            <w:r w:rsidRPr="002F64ED">
              <w:rPr>
                <w:rFonts w:eastAsia="Calibri"/>
                <w:sz w:val="20"/>
              </w:rPr>
              <w:t>Quebec Superior Court</w:t>
            </w:r>
          </w:p>
          <w:p w:rsidR="007D6A45" w:rsidRPr="002F64ED" w:rsidRDefault="007D6A45" w:rsidP="007D6A45">
            <w:pPr>
              <w:jc w:val="both"/>
              <w:rPr>
                <w:rFonts w:eastAsia="Calibri"/>
                <w:sz w:val="20"/>
              </w:rPr>
            </w:pPr>
            <w:r w:rsidRPr="002F64ED">
              <w:rPr>
                <w:rFonts w:eastAsia="Calibri"/>
                <w:sz w:val="20"/>
              </w:rPr>
              <w:t>(</w:t>
            </w:r>
            <w:proofErr w:type="spellStart"/>
            <w:r w:rsidRPr="002F64ED">
              <w:rPr>
                <w:rFonts w:eastAsia="Calibri"/>
                <w:sz w:val="20"/>
              </w:rPr>
              <w:t>Nantel</w:t>
            </w:r>
            <w:proofErr w:type="spellEnd"/>
            <w:r w:rsidRPr="002F64ED">
              <w:rPr>
                <w:rFonts w:eastAsia="Calibri"/>
                <w:sz w:val="20"/>
              </w:rPr>
              <w:t xml:space="preserve"> J.)</w:t>
            </w:r>
          </w:p>
          <w:p w:rsidR="007D6A45" w:rsidRPr="002F64ED" w:rsidRDefault="007D6A45" w:rsidP="007D6A45">
            <w:pPr>
              <w:jc w:val="both"/>
              <w:rPr>
                <w:rFonts w:eastAsia="Calibri"/>
                <w:sz w:val="20"/>
              </w:rPr>
            </w:pPr>
            <w:r w:rsidRPr="002F64ED">
              <w:rPr>
                <w:rFonts w:eastAsia="Calibri"/>
                <w:sz w:val="20"/>
              </w:rPr>
              <w:t>2010 QCCS 1576</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 xml:space="preserve">Motion for rectification of contract dismissed </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May 20, 2011</w:t>
            </w:r>
          </w:p>
          <w:p w:rsidR="007D6A45" w:rsidRPr="002F64ED" w:rsidRDefault="007D6A45" w:rsidP="007D6A45">
            <w:pPr>
              <w:jc w:val="both"/>
              <w:rPr>
                <w:rFonts w:eastAsia="Calibri"/>
                <w:sz w:val="20"/>
              </w:rPr>
            </w:pPr>
            <w:r w:rsidRPr="002F64ED">
              <w:rPr>
                <w:rFonts w:eastAsia="Calibri"/>
                <w:sz w:val="20"/>
              </w:rPr>
              <w:t>Quebec Court of Appeal (Montréal)</w:t>
            </w:r>
          </w:p>
          <w:p w:rsidR="007D6A45" w:rsidRPr="002F64ED" w:rsidRDefault="007D6A45" w:rsidP="007D6A45">
            <w:pPr>
              <w:jc w:val="both"/>
              <w:rPr>
                <w:rFonts w:eastAsia="Calibri"/>
                <w:sz w:val="20"/>
              </w:rPr>
            </w:pPr>
            <w:r w:rsidRPr="002F64ED">
              <w:rPr>
                <w:rFonts w:eastAsia="Calibri"/>
                <w:sz w:val="20"/>
              </w:rPr>
              <w:t>(</w:t>
            </w:r>
            <w:proofErr w:type="spellStart"/>
            <w:r w:rsidRPr="002F64ED">
              <w:rPr>
                <w:rFonts w:eastAsia="Calibri"/>
                <w:sz w:val="20"/>
              </w:rPr>
              <w:t>Bich</w:t>
            </w:r>
            <w:proofErr w:type="spellEnd"/>
            <w:r w:rsidRPr="002F64ED">
              <w:rPr>
                <w:rFonts w:eastAsia="Calibri"/>
                <w:sz w:val="20"/>
              </w:rPr>
              <w:t xml:space="preserve">, </w:t>
            </w:r>
            <w:proofErr w:type="spellStart"/>
            <w:r w:rsidRPr="002F64ED">
              <w:rPr>
                <w:rFonts w:eastAsia="Calibri"/>
                <w:sz w:val="20"/>
              </w:rPr>
              <w:t>Kasirer</w:t>
            </w:r>
            <w:proofErr w:type="spellEnd"/>
            <w:r w:rsidRPr="002F64ED">
              <w:rPr>
                <w:rFonts w:eastAsia="Calibri"/>
                <w:sz w:val="20"/>
              </w:rPr>
              <w:t xml:space="preserve"> and Wagner JJ.A.)</w:t>
            </w:r>
          </w:p>
          <w:p w:rsidR="007D6A45" w:rsidRPr="002F64ED" w:rsidRDefault="007D6A45" w:rsidP="007D6A45">
            <w:pPr>
              <w:jc w:val="both"/>
              <w:rPr>
                <w:rFonts w:eastAsia="Calibri"/>
                <w:sz w:val="20"/>
              </w:rPr>
            </w:pPr>
            <w:r w:rsidRPr="002F64ED">
              <w:rPr>
                <w:rFonts w:eastAsia="Calibri"/>
                <w:sz w:val="20"/>
              </w:rPr>
              <w:t>2011 QCCA 954</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 xml:space="preserve">Appeal allowed </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August 18, 2011</w:t>
            </w:r>
          </w:p>
          <w:p w:rsidR="007D6A45" w:rsidRPr="002F64ED" w:rsidRDefault="007D6A45" w:rsidP="007D6A45">
            <w:pPr>
              <w:jc w:val="both"/>
              <w:rPr>
                <w:rFonts w:eastAsia="Calibri"/>
                <w:sz w:val="20"/>
              </w:rPr>
            </w:pPr>
            <w:r w:rsidRPr="002F64ED">
              <w:rPr>
                <w:rFonts w:eastAsia="Calibri"/>
                <w:sz w:val="20"/>
              </w:rPr>
              <w:t>Supreme Court of Canada</w:t>
            </w: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Application for leave to appeal filed</w:t>
            </w:r>
          </w:p>
        </w:tc>
      </w:tr>
    </w:tbl>
    <w:p w:rsidR="007E6660" w:rsidRPr="00E35EA0" w:rsidRDefault="007E6660" w:rsidP="007E6660">
      <w:pPr>
        <w:rPr>
          <w:sz w:val="20"/>
          <w:szCs w:val="20"/>
        </w:rPr>
      </w:pPr>
    </w:p>
    <w:p w:rsidR="007E6660" w:rsidRPr="00E35EA0" w:rsidRDefault="00DB7F13" w:rsidP="007E6660">
      <w:pPr>
        <w:rPr>
          <w:sz w:val="20"/>
          <w:szCs w:val="20"/>
        </w:rPr>
      </w:pPr>
      <w:r w:rsidRPr="00DB7F13">
        <w:rPr>
          <w:sz w:val="20"/>
          <w:szCs w:val="20"/>
          <w:lang w:val="fr-CA"/>
        </w:rPr>
        <w:pict>
          <v:rect id="_x0000_i1046" style="width:2in;height:1pt" o:hrpct="0" o:hralign="center" o:hrstd="t" o:hrnoshade="t" o:hr="t" fillcolor="black [3213]" stroked="f"/>
        </w:pict>
      </w:r>
    </w:p>
    <w:p w:rsidR="007E6660" w:rsidRPr="00E35EA0" w:rsidRDefault="007E6660" w:rsidP="007E6660">
      <w:pPr>
        <w:rPr>
          <w:sz w:val="20"/>
          <w:szCs w:val="20"/>
        </w:rPr>
      </w:pPr>
    </w:p>
    <w:p w:rsidR="007E6660" w:rsidRPr="00E35EA0" w:rsidRDefault="007E6660" w:rsidP="007E6660">
      <w:pPr>
        <w:rPr>
          <w:sz w:val="20"/>
          <w:szCs w:val="20"/>
          <w:u w:val="single"/>
          <w:lang w:val="fr-CA"/>
        </w:rPr>
      </w:pPr>
      <w:r w:rsidRPr="00E35EA0">
        <w:rPr>
          <w:sz w:val="20"/>
          <w:szCs w:val="20"/>
          <w:u w:val="single"/>
          <w:lang w:val="fr-CA"/>
        </w:rPr>
        <w:t>RÉSUMÉ DE L’AFFAIRE</w:t>
      </w:r>
    </w:p>
    <w:p w:rsidR="007E6660" w:rsidRPr="00E35EA0" w:rsidRDefault="007E6660" w:rsidP="007E6660">
      <w:pPr>
        <w:keepNext/>
        <w:rPr>
          <w:sz w:val="20"/>
          <w:szCs w:val="20"/>
          <w:lang w:val="fr-CA"/>
        </w:rPr>
      </w:pPr>
    </w:p>
    <w:tbl>
      <w:tblPr>
        <w:tblW w:w="4952" w:type="pct"/>
        <w:tblLayout w:type="fixed"/>
        <w:tblCellMar>
          <w:left w:w="0" w:type="dxa"/>
          <w:bottom w:w="99" w:type="dxa"/>
          <w:right w:w="0" w:type="dxa"/>
        </w:tblCellMar>
        <w:tblLook w:val="04A0"/>
      </w:tblPr>
      <w:tblGrid>
        <w:gridCol w:w="9527"/>
      </w:tblGrid>
      <w:tr w:rsidR="007D6A45" w:rsidRPr="00FF4B6E" w:rsidTr="007D6A45">
        <w:tc>
          <w:tcPr>
            <w:tcW w:w="5000" w:type="pct"/>
          </w:tcPr>
          <w:p w:rsidR="007D6A45" w:rsidRPr="002F64ED" w:rsidRDefault="007D6A45" w:rsidP="007D6A45">
            <w:pPr>
              <w:jc w:val="both"/>
              <w:rPr>
                <w:rFonts w:eastAsia="Calibri"/>
                <w:sz w:val="20"/>
                <w:lang w:val="fr-CA"/>
              </w:rPr>
            </w:pPr>
            <w:r w:rsidRPr="002F64ED">
              <w:rPr>
                <w:rFonts w:eastAsia="Calibri"/>
                <w:sz w:val="20"/>
                <w:lang w:val="fr-CA"/>
              </w:rPr>
              <w:t xml:space="preserve">Contrats — Interprétation — Erreur — Rectification — Les tribunaux québécois </w:t>
            </w:r>
            <w:proofErr w:type="spellStart"/>
            <w:r w:rsidRPr="002F64ED">
              <w:rPr>
                <w:rFonts w:eastAsia="Calibri"/>
                <w:sz w:val="20"/>
                <w:lang w:val="fr-CA"/>
              </w:rPr>
              <w:t>peuvent</w:t>
            </w:r>
            <w:r w:rsidRPr="002F64ED">
              <w:rPr>
                <w:rFonts w:eastAsia="Calibri"/>
                <w:sz w:val="20"/>
                <w:lang w:val="fr-CA"/>
              </w:rPr>
              <w:noBreakHyphen/>
              <w:t>ils</w:t>
            </w:r>
            <w:proofErr w:type="spellEnd"/>
            <w:r w:rsidRPr="002F64ED">
              <w:rPr>
                <w:rFonts w:eastAsia="Calibri"/>
                <w:sz w:val="20"/>
                <w:lang w:val="fr-CA"/>
              </w:rPr>
              <w:t xml:space="preserve"> rectifier un contrat en cas de divergence entre l’intention déclarée au contrat et l’intention commune des parties? — </w:t>
            </w:r>
            <w:r w:rsidRPr="002F64ED">
              <w:rPr>
                <w:rFonts w:eastAsia="Calibri"/>
                <w:i/>
                <w:sz w:val="20"/>
                <w:lang w:val="fr-CA"/>
              </w:rPr>
              <w:t>Code civil du Québec</w:t>
            </w:r>
            <w:r w:rsidRPr="002F64ED">
              <w:rPr>
                <w:rFonts w:eastAsia="Calibri"/>
                <w:sz w:val="20"/>
                <w:lang w:val="fr-CA"/>
              </w:rPr>
              <w:t>, L.Q. 1991, ch. 91, art. 1425, 1439.</w:t>
            </w:r>
          </w:p>
          <w:p w:rsidR="007D6A45" w:rsidRPr="002F64ED" w:rsidRDefault="007D6A45" w:rsidP="007D6A45">
            <w:pPr>
              <w:jc w:val="both"/>
              <w:rPr>
                <w:rFonts w:eastAsia="Calibri"/>
                <w:sz w:val="20"/>
                <w:lang w:val="fr-CA"/>
              </w:rPr>
            </w:pPr>
          </w:p>
        </w:tc>
      </w:tr>
      <w:tr w:rsidR="007D6A45" w:rsidRPr="00FF4B6E" w:rsidTr="007D6A45">
        <w:tc>
          <w:tcPr>
            <w:tcW w:w="5000" w:type="pct"/>
          </w:tcPr>
          <w:p w:rsidR="007D6A45" w:rsidRPr="002F64ED" w:rsidRDefault="007D6A45" w:rsidP="007D6A45">
            <w:pPr>
              <w:jc w:val="both"/>
              <w:rPr>
                <w:rFonts w:eastAsia="Calibri"/>
                <w:sz w:val="20"/>
                <w:lang w:val="fr-CA"/>
              </w:rPr>
            </w:pPr>
            <w:r w:rsidRPr="002F64ED">
              <w:rPr>
                <w:rFonts w:eastAsia="Calibri"/>
                <w:sz w:val="20"/>
                <w:lang w:val="fr-CA"/>
              </w:rPr>
              <w:t xml:space="preserve">Dans le cadre d’une réorganisation corporative, une planification est mise en place pour fusionner les sociétés Déchiquetage Mobile JR </w:t>
            </w:r>
            <w:proofErr w:type="spellStart"/>
            <w:r w:rsidRPr="002F64ED">
              <w:rPr>
                <w:rFonts w:eastAsia="Calibri"/>
                <w:sz w:val="20"/>
                <w:lang w:val="fr-CA"/>
              </w:rPr>
              <w:t>inc</w:t>
            </w:r>
            <w:proofErr w:type="spellEnd"/>
            <w:r w:rsidRPr="002F64ED">
              <w:rPr>
                <w:rFonts w:eastAsia="Calibri"/>
                <w:sz w:val="20"/>
                <w:lang w:val="fr-CA"/>
              </w:rPr>
              <w:t xml:space="preserve">. et Entreprise J.P.F. </w:t>
            </w:r>
            <w:proofErr w:type="spellStart"/>
            <w:r w:rsidRPr="002F64ED">
              <w:rPr>
                <w:rFonts w:eastAsia="Calibri"/>
                <w:sz w:val="20"/>
                <w:lang w:val="fr-CA"/>
              </w:rPr>
              <w:t>Riopel</w:t>
            </w:r>
            <w:proofErr w:type="spellEnd"/>
            <w:r w:rsidRPr="002F64ED">
              <w:rPr>
                <w:rFonts w:eastAsia="Calibri"/>
                <w:sz w:val="20"/>
                <w:lang w:val="fr-CA"/>
              </w:rPr>
              <w:t xml:space="preserve"> </w:t>
            </w:r>
            <w:proofErr w:type="spellStart"/>
            <w:r w:rsidRPr="002F64ED">
              <w:rPr>
                <w:rFonts w:eastAsia="Calibri"/>
                <w:sz w:val="20"/>
                <w:lang w:val="fr-CA"/>
              </w:rPr>
              <w:t>inc</w:t>
            </w:r>
            <w:proofErr w:type="spellEnd"/>
            <w:r w:rsidRPr="002F64ED">
              <w:rPr>
                <w:rFonts w:eastAsia="Calibri"/>
                <w:sz w:val="20"/>
                <w:lang w:val="fr-CA"/>
              </w:rPr>
              <w:t>., cette dernière étant la société de portefeuille de l’intimé M. </w:t>
            </w:r>
            <w:proofErr w:type="spellStart"/>
            <w:r w:rsidRPr="002F64ED">
              <w:rPr>
                <w:rFonts w:eastAsia="Calibri"/>
                <w:sz w:val="20"/>
                <w:lang w:val="fr-CA"/>
              </w:rPr>
              <w:t>Riopel</w:t>
            </w:r>
            <w:proofErr w:type="spellEnd"/>
            <w:r w:rsidRPr="002F64ED">
              <w:rPr>
                <w:rFonts w:eastAsia="Calibri"/>
                <w:sz w:val="20"/>
                <w:lang w:val="fr-CA"/>
              </w:rPr>
              <w:t xml:space="preserve">.  Aux termes du contrat préparé par les </w:t>
            </w:r>
            <w:proofErr w:type="spellStart"/>
            <w:r w:rsidRPr="002F64ED">
              <w:rPr>
                <w:rFonts w:eastAsia="Calibri"/>
                <w:sz w:val="20"/>
                <w:lang w:val="fr-CA"/>
              </w:rPr>
              <w:t>professionels</w:t>
            </w:r>
            <w:proofErr w:type="spellEnd"/>
            <w:r w:rsidRPr="002F64ED">
              <w:rPr>
                <w:rFonts w:eastAsia="Calibri"/>
                <w:sz w:val="20"/>
                <w:lang w:val="fr-CA"/>
              </w:rPr>
              <w:t xml:space="preserve"> consultés, l’intimée Mme Archambault s’engage à vendre des actions à la nouvelle société fusionnée, soit l’intimée Entreprise J.P.F. </w:t>
            </w:r>
            <w:proofErr w:type="spellStart"/>
            <w:r w:rsidRPr="002F64ED">
              <w:rPr>
                <w:rFonts w:eastAsia="Calibri"/>
                <w:sz w:val="20"/>
                <w:lang w:val="fr-CA"/>
              </w:rPr>
              <w:t>Riopel</w:t>
            </w:r>
            <w:proofErr w:type="spellEnd"/>
            <w:r w:rsidRPr="002F64ED">
              <w:rPr>
                <w:rFonts w:eastAsia="Calibri"/>
                <w:sz w:val="20"/>
                <w:lang w:val="fr-CA"/>
              </w:rPr>
              <w:t xml:space="preserve"> </w:t>
            </w:r>
            <w:proofErr w:type="spellStart"/>
            <w:r w:rsidRPr="002F64ED">
              <w:rPr>
                <w:rFonts w:eastAsia="Calibri"/>
                <w:sz w:val="20"/>
                <w:lang w:val="fr-CA"/>
              </w:rPr>
              <w:t>inc</w:t>
            </w:r>
            <w:proofErr w:type="spellEnd"/>
            <w:r w:rsidRPr="002F64ED">
              <w:rPr>
                <w:rFonts w:eastAsia="Calibri"/>
                <w:sz w:val="20"/>
                <w:lang w:val="fr-CA"/>
              </w:rPr>
              <w:t>.  Trois ans plus tard, Mme Archambault reçoit des avis de cotisation du fisc.</w:t>
            </w:r>
          </w:p>
          <w:p w:rsidR="007D6A45" w:rsidRPr="002F64ED" w:rsidRDefault="007D6A45" w:rsidP="007D6A45">
            <w:pPr>
              <w:jc w:val="both"/>
              <w:rPr>
                <w:rFonts w:eastAsia="Calibri"/>
                <w:sz w:val="20"/>
                <w:lang w:val="fr-CA"/>
              </w:rPr>
            </w:pPr>
          </w:p>
          <w:p w:rsidR="007D6A45" w:rsidRPr="002F64ED" w:rsidRDefault="007D6A45" w:rsidP="007D6A45">
            <w:pPr>
              <w:jc w:val="both"/>
              <w:rPr>
                <w:rFonts w:eastAsia="Calibri"/>
                <w:sz w:val="20"/>
                <w:lang w:val="fr-CA"/>
              </w:rPr>
            </w:pPr>
            <w:r w:rsidRPr="002F64ED">
              <w:rPr>
                <w:rFonts w:eastAsia="Calibri"/>
                <w:sz w:val="20"/>
                <w:lang w:val="fr-CA"/>
              </w:rPr>
              <w:t>Les intimés s’opposent aux avis de cotisation puis s’adressent ensuite à la Cour supérieure au moyen d’une requête pour rectification de contrat, pour démontrer la volonté réelle des parties contractantes, corriger les statuts de fusion et obtenir la permission de modifier en conséquence les formulaires fiscaux expédiés au fisc.  Ils soutiennent qu’en préparant les statuts de fusion et le contrat de vente d’actions, les professionnels consultés ont commis une erreur et modifié la teneur de la transaction envisagée sans les informer, de sorte que les documents qu’ils ont signé et qui constatent le contrat ne reflètent pas leur entente véritable.</w:t>
            </w:r>
          </w:p>
          <w:p w:rsidR="007D6A45" w:rsidRPr="002F64ED" w:rsidRDefault="007D6A45" w:rsidP="007D6A45">
            <w:pPr>
              <w:jc w:val="both"/>
              <w:rPr>
                <w:rFonts w:eastAsia="Calibri"/>
                <w:sz w:val="20"/>
                <w:lang w:val="fr-CA"/>
              </w:rPr>
            </w:pPr>
          </w:p>
          <w:p w:rsidR="007D6A45" w:rsidRDefault="007D6A45" w:rsidP="007D6A45">
            <w:pPr>
              <w:jc w:val="both"/>
              <w:rPr>
                <w:rFonts w:eastAsia="Calibri"/>
                <w:sz w:val="20"/>
                <w:lang w:val="fr-CA"/>
              </w:rPr>
            </w:pPr>
            <w:r w:rsidRPr="002F64ED">
              <w:rPr>
                <w:rFonts w:eastAsia="Calibri"/>
                <w:sz w:val="20"/>
                <w:lang w:val="fr-CA"/>
              </w:rPr>
              <w:t xml:space="preserve">La Cour supérieure rejette la requête au motif d’absence de compétence pour octroyer le remède recherché.  La Cour d’appel infirme la décision, jugeant que lorsqu’une demande est légitime et nécessaire et que la correction recherchée n’affecte en rien les droits des tiers, un tribunal peut permettre la correction du document porteur d’un contrat en cas de divergence entre l’intention commune des parties et l’intention déclarée à l’acte. </w:t>
            </w:r>
          </w:p>
          <w:p w:rsidR="007D6A45" w:rsidRPr="002F64ED" w:rsidRDefault="007D6A45" w:rsidP="007D6A45">
            <w:pPr>
              <w:jc w:val="both"/>
              <w:rPr>
                <w:rFonts w:eastAsia="Calibri"/>
                <w:sz w:val="20"/>
                <w:lang w:val="fr-CA"/>
              </w:rPr>
            </w:pPr>
          </w:p>
        </w:tc>
      </w:tr>
    </w:tbl>
    <w:p w:rsidR="0069434C" w:rsidRPr="00CA75C8" w:rsidRDefault="0069434C">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7D6A45" w:rsidRPr="00FF4B6E" w:rsidTr="0069434C">
        <w:trPr>
          <w:cantSplit/>
        </w:trPr>
        <w:tc>
          <w:tcPr>
            <w:tcW w:w="2427" w:type="pct"/>
          </w:tcPr>
          <w:p w:rsidR="007D6A45" w:rsidRPr="002F64ED" w:rsidRDefault="007D6A45" w:rsidP="007D6A45">
            <w:pPr>
              <w:jc w:val="both"/>
              <w:rPr>
                <w:rFonts w:eastAsia="Calibri"/>
                <w:sz w:val="20"/>
                <w:lang w:val="fr-CA"/>
              </w:rPr>
            </w:pPr>
            <w:r w:rsidRPr="002F64ED">
              <w:rPr>
                <w:rFonts w:eastAsia="Calibri"/>
                <w:sz w:val="20"/>
                <w:lang w:val="fr-CA"/>
              </w:rPr>
              <w:lastRenderedPageBreak/>
              <w:t>Le 12 avril 2010</w:t>
            </w:r>
          </w:p>
          <w:p w:rsidR="007D6A45" w:rsidRPr="002F64ED" w:rsidRDefault="007D6A45" w:rsidP="007D6A45">
            <w:pPr>
              <w:jc w:val="both"/>
              <w:rPr>
                <w:rFonts w:eastAsia="Calibri"/>
                <w:sz w:val="20"/>
                <w:lang w:val="fr-CA"/>
              </w:rPr>
            </w:pPr>
            <w:r w:rsidRPr="002F64ED">
              <w:rPr>
                <w:rFonts w:eastAsia="Calibri"/>
                <w:sz w:val="20"/>
                <w:lang w:val="fr-CA"/>
              </w:rPr>
              <w:t>Cour supérieure du Québec</w:t>
            </w:r>
          </w:p>
          <w:p w:rsidR="007D6A45" w:rsidRPr="002F64ED" w:rsidRDefault="007D6A45" w:rsidP="007D6A45">
            <w:pPr>
              <w:jc w:val="both"/>
              <w:rPr>
                <w:rFonts w:eastAsia="Calibri"/>
                <w:sz w:val="20"/>
                <w:lang w:val="fr-CA"/>
              </w:rPr>
            </w:pPr>
            <w:r w:rsidRPr="002F64ED">
              <w:rPr>
                <w:rFonts w:eastAsia="Calibri"/>
                <w:sz w:val="20"/>
                <w:lang w:val="fr-CA"/>
              </w:rPr>
              <w:t xml:space="preserve">(La juge </w:t>
            </w:r>
            <w:proofErr w:type="spellStart"/>
            <w:r w:rsidRPr="002F64ED">
              <w:rPr>
                <w:rFonts w:eastAsia="Calibri"/>
                <w:sz w:val="20"/>
                <w:lang w:val="fr-CA"/>
              </w:rPr>
              <w:t>Nantel</w:t>
            </w:r>
            <w:proofErr w:type="spellEnd"/>
            <w:r w:rsidRPr="002F64ED">
              <w:rPr>
                <w:rFonts w:eastAsia="Calibri"/>
                <w:sz w:val="20"/>
                <w:lang w:val="fr-CA"/>
              </w:rPr>
              <w:t>)</w:t>
            </w:r>
          </w:p>
          <w:p w:rsidR="007D6A45" w:rsidRPr="002F64ED" w:rsidRDefault="007D6A45" w:rsidP="007D6A45">
            <w:pPr>
              <w:jc w:val="both"/>
              <w:rPr>
                <w:rFonts w:eastAsia="Calibri"/>
                <w:sz w:val="20"/>
                <w:lang w:val="fr-CA"/>
              </w:rPr>
            </w:pPr>
            <w:r w:rsidRPr="002F64ED">
              <w:rPr>
                <w:rFonts w:eastAsia="Calibri"/>
                <w:sz w:val="20"/>
                <w:lang w:val="fr-CA"/>
              </w:rPr>
              <w:t>2010 QCCS 1576</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 xml:space="preserve">Requête pour rectification de contrat rejetée </w:t>
            </w:r>
          </w:p>
          <w:p w:rsidR="007D6A45" w:rsidRPr="002F64ED" w:rsidRDefault="007D6A45" w:rsidP="007D6A45">
            <w:pPr>
              <w:jc w:val="both"/>
              <w:rPr>
                <w:rFonts w:eastAsia="Calibri"/>
                <w:sz w:val="20"/>
                <w:lang w:val="fr-CA"/>
              </w:rPr>
            </w:pPr>
          </w:p>
        </w:tc>
      </w:tr>
      <w:tr w:rsidR="007D6A45" w:rsidRPr="002F64ED" w:rsidTr="0069434C">
        <w:trPr>
          <w:cantSplit/>
        </w:trPr>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20 mai 2011</w:t>
            </w:r>
          </w:p>
          <w:p w:rsidR="007D6A45" w:rsidRPr="002F64ED" w:rsidRDefault="007D6A45" w:rsidP="007D6A45">
            <w:pPr>
              <w:jc w:val="both"/>
              <w:rPr>
                <w:rFonts w:eastAsia="Calibri"/>
                <w:sz w:val="20"/>
                <w:lang w:val="fr-CA"/>
              </w:rPr>
            </w:pPr>
            <w:r w:rsidRPr="002F64ED">
              <w:rPr>
                <w:rFonts w:eastAsia="Calibri"/>
                <w:sz w:val="20"/>
                <w:lang w:val="fr-CA"/>
              </w:rPr>
              <w:t>Cour d’appel du Québec (Montréal)</w:t>
            </w:r>
          </w:p>
          <w:p w:rsidR="007D6A45" w:rsidRPr="002F64ED" w:rsidRDefault="007D6A45" w:rsidP="007D6A45">
            <w:pPr>
              <w:jc w:val="both"/>
              <w:rPr>
                <w:rFonts w:eastAsia="Calibri"/>
                <w:sz w:val="20"/>
                <w:lang w:val="fr-CA"/>
              </w:rPr>
            </w:pPr>
            <w:r w:rsidRPr="002F64ED">
              <w:rPr>
                <w:rFonts w:eastAsia="Calibri"/>
                <w:sz w:val="20"/>
                <w:lang w:val="fr-CA"/>
              </w:rPr>
              <w:t xml:space="preserve">(Les juges </w:t>
            </w:r>
            <w:proofErr w:type="spellStart"/>
            <w:r w:rsidRPr="002F64ED">
              <w:rPr>
                <w:rFonts w:eastAsia="Calibri"/>
                <w:sz w:val="20"/>
                <w:lang w:val="fr-CA"/>
              </w:rPr>
              <w:t>Bich</w:t>
            </w:r>
            <w:proofErr w:type="spellEnd"/>
            <w:r w:rsidRPr="002F64ED">
              <w:rPr>
                <w:rFonts w:eastAsia="Calibri"/>
                <w:sz w:val="20"/>
                <w:lang w:val="fr-CA"/>
              </w:rPr>
              <w:t xml:space="preserve">, </w:t>
            </w:r>
            <w:proofErr w:type="spellStart"/>
            <w:r w:rsidRPr="002F64ED">
              <w:rPr>
                <w:rFonts w:eastAsia="Calibri"/>
                <w:sz w:val="20"/>
                <w:lang w:val="fr-CA"/>
              </w:rPr>
              <w:t>Kasirer</w:t>
            </w:r>
            <w:proofErr w:type="spellEnd"/>
            <w:r w:rsidRPr="002F64ED">
              <w:rPr>
                <w:rFonts w:eastAsia="Calibri"/>
                <w:sz w:val="20"/>
                <w:lang w:val="fr-CA"/>
              </w:rPr>
              <w:t xml:space="preserve"> et Wagner)</w:t>
            </w:r>
          </w:p>
          <w:p w:rsidR="007D6A45" w:rsidRPr="002F64ED" w:rsidRDefault="007D6A45" w:rsidP="007D6A45">
            <w:pPr>
              <w:jc w:val="both"/>
              <w:rPr>
                <w:rFonts w:eastAsia="Calibri"/>
                <w:sz w:val="20"/>
                <w:lang w:val="fr-CA"/>
              </w:rPr>
            </w:pPr>
            <w:r w:rsidRPr="002F64ED">
              <w:rPr>
                <w:rFonts w:eastAsia="Calibri"/>
                <w:sz w:val="20"/>
                <w:lang w:val="fr-CA"/>
              </w:rPr>
              <w:t>2011 QCCA 954</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 xml:space="preserve">Appel accueilli </w:t>
            </w:r>
          </w:p>
          <w:p w:rsidR="007D6A45" w:rsidRPr="002F64ED" w:rsidRDefault="007D6A45" w:rsidP="007D6A45">
            <w:pPr>
              <w:jc w:val="both"/>
              <w:rPr>
                <w:rFonts w:eastAsia="Calibri"/>
                <w:sz w:val="20"/>
                <w:lang w:val="fr-CA"/>
              </w:rPr>
            </w:pPr>
          </w:p>
        </w:tc>
      </w:tr>
      <w:tr w:rsidR="007D6A45" w:rsidRPr="002F64ED" w:rsidTr="0069434C">
        <w:trPr>
          <w:cantSplit/>
        </w:trPr>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18 août 2011</w:t>
            </w:r>
          </w:p>
          <w:p w:rsidR="007D6A45" w:rsidRPr="002F64ED" w:rsidRDefault="007D6A45" w:rsidP="007D6A45">
            <w:pPr>
              <w:jc w:val="both"/>
              <w:rPr>
                <w:rFonts w:eastAsia="Calibri"/>
                <w:sz w:val="20"/>
                <w:lang w:val="fr-CA"/>
              </w:rPr>
            </w:pPr>
            <w:r w:rsidRPr="002F64ED">
              <w:rPr>
                <w:rFonts w:eastAsia="Calibri"/>
                <w:sz w:val="20"/>
                <w:lang w:val="fr-CA"/>
              </w:rPr>
              <w:t>Cour suprême du Canada</w:t>
            </w: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Demande d'autorisation d'appel déposée</w:t>
            </w:r>
          </w:p>
          <w:p w:rsidR="007D6A45" w:rsidRPr="002F64ED" w:rsidRDefault="007D6A45" w:rsidP="007D6A45">
            <w:pPr>
              <w:jc w:val="both"/>
              <w:rPr>
                <w:rFonts w:eastAsia="Calibri"/>
                <w:sz w:val="20"/>
                <w:lang w:val="fr-CA"/>
              </w:rPr>
            </w:pPr>
          </w:p>
        </w:tc>
      </w:tr>
    </w:tbl>
    <w:p w:rsidR="007E6660" w:rsidRPr="00E35EA0" w:rsidRDefault="007E6660" w:rsidP="007E6660">
      <w:pPr>
        <w:rPr>
          <w:sz w:val="20"/>
          <w:szCs w:val="20"/>
          <w:lang w:val="fr-CA"/>
        </w:rPr>
      </w:pPr>
    </w:p>
    <w:p w:rsidR="007E6660" w:rsidRPr="00E35EA0" w:rsidRDefault="00DB7F13" w:rsidP="007E6660">
      <w:pPr>
        <w:rPr>
          <w:sz w:val="20"/>
          <w:szCs w:val="20"/>
          <w:lang w:val="fr-CA"/>
        </w:rPr>
      </w:pPr>
      <w:r w:rsidRPr="00DB7F13">
        <w:rPr>
          <w:sz w:val="20"/>
          <w:szCs w:val="20"/>
          <w:lang w:val="fr-CA"/>
        </w:rPr>
        <w:pict>
          <v:rect id="_x0000_i1047" style="width:2in;height:1pt" o:hrpct="0" o:hralign="center" o:hrstd="t" o:hrnoshade="t" o:hr="t" fillcolor="black [3213]" stroked="f"/>
        </w:pict>
      </w:r>
    </w:p>
    <w:p w:rsidR="007E6660" w:rsidRDefault="007E6660" w:rsidP="007E6660">
      <w:pPr>
        <w:ind w:left="1440" w:hanging="1440"/>
        <w:rPr>
          <w:b/>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617E3" w:rsidRPr="00FF4B6E" w:rsidTr="007617E3">
        <w:trPr>
          <w:cantSplit/>
        </w:trPr>
        <w:tc>
          <w:tcPr>
            <w:tcW w:w="1458" w:type="dxa"/>
          </w:tcPr>
          <w:p w:rsidR="007617E3" w:rsidRPr="007617E3" w:rsidRDefault="007617E3" w:rsidP="007617E3">
            <w:pPr>
              <w:rPr>
                <w:sz w:val="20"/>
              </w:rPr>
            </w:pPr>
            <w:r w:rsidRPr="007617E3">
              <w:rPr>
                <w:b/>
                <w:sz w:val="20"/>
                <w:lang w:val="fr-CA"/>
              </w:rPr>
              <w:t>34417</w:t>
            </w:r>
          </w:p>
          <w:p w:rsidR="007617E3" w:rsidRPr="007617E3" w:rsidRDefault="007617E3" w:rsidP="007617E3">
            <w:pPr>
              <w:rPr>
                <w:b/>
                <w:sz w:val="20"/>
                <w:lang w:val="fr-CA"/>
              </w:rPr>
            </w:pPr>
          </w:p>
        </w:tc>
        <w:tc>
          <w:tcPr>
            <w:tcW w:w="8118" w:type="dxa"/>
          </w:tcPr>
          <w:p w:rsidR="007617E3" w:rsidRPr="007617E3" w:rsidRDefault="007617E3" w:rsidP="007617E3">
            <w:pPr>
              <w:rPr>
                <w:sz w:val="20"/>
                <w:lang w:val="fr-CA"/>
              </w:rPr>
            </w:pPr>
            <w:r w:rsidRPr="007617E3">
              <w:rPr>
                <w:b/>
                <w:sz w:val="20"/>
                <w:u w:val="single"/>
                <w:lang w:val="fr-CA"/>
              </w:rPr>
              <w:t>Pierre Lévesque c. Sa Majesté la Reine</w:t>
            </w:r>
            <w:r w:rsidRPr="007617E3">
              <w:rPr>
                <w:sz w:val="20"/>
                <w:lang w:val="fr-CA"/>
              </w:rPr>
              <w:t xml:space="preserve"> (</w:t>
            </w:r>
            <w:proofErr w:type="spellStart"/>
            <w:r w:rsidRPr="007617E3">
              <w:rPr>
                <w:sz w:val="20"/>
                <w:lang w:val="fr-CA"/>
              </w:rPr>
              <w:t>Qc</w:t>
            </w:r>
            <w:proofErr w:type="spellEnd"/>
            <w:r w:rsidRPr="007617E3">
              <w:rPr>
                <w:sz w:val="20"/>
                <w:lang w:val="fr-CA"/>
              </w:rPr>
              <w:t>) (Criminelle) (Autorisation)</w:t>
            </w:r>
          </w:p>
          <w:p w:rsidR="007617E3" w:rsidRPr="007617E3" w:rsidRDefault="007617E3" w:rsidP="007617E3">
            <w:pPr>
              <w:rPr>
                <w:sz w:val="20"/>
                <w:lang w:val="fr-CA"/>
              </w:rPr>
            </w:pPr>
          </w:p>
        </w:tc>
      </w:tr>
      <w:tr w:rsidR="007617E3" w:rsidRPr="00FF4B6E" w:rsidTr="007617E3">
        <w:trPr>
          <w:cantSplit/>
        </w:trPr>
        <w:tc>
          <w:tcPr>
            <w:tcW w:w="1458" w:type="dxa"/>
          </w:tcPr>
          <w:p w:rsidR="007617E3" w:rsidRPr="007617E3" w:rsidRDefault="007617E3" w:rsidP="007617E3">
            <w:pPr>
              <w:rPr>
                <w:sz w:val="20"/>
              </w:rPr>
            </w:pPr>
            <w:r w:rsidRPr="007617E3">
              <w:rPr>
                <w:sz w:val="20"/>
              </w:rPr>
              <w:t>Coram :</w:t>
            </w:r>
          </w:p>
        </w:tc>
        <w:tc>
          <w:tcPr>
            <w:tcW w:w="8118" w:type="dxa"/>
          </w:tcPr>
          <w:p w:rsidR="007617E3" w:rsidRPr="007617E3" w:rsidRDefault="007617E3" w:rsidP="007617E3">
            <w:pPr>
              <w:rPr>
                <w:sz w:val="20"/>
                <w:lang w:val="fr-CA"/>
              </w:rPr>
            </w:pPr>
            <w:r w:rsidRPr="007617E3">
              <w:rPr>
                <w:sz w:val="20"/>
                <w:u w:val="single"/>
                <w:lang w:val="fr-CA"/>
              </w:rPr>
              <w:t xml:space="preserve">Les juges Deschamps, Fish et </w:t>
            </w:r>
            <w:proofErr w:type="spellStart"/>
            <w:r w:rsidRPr="007617E3">
              <w:rPr>
                <w:sz w:val="20"/>
                <w:u w:val="single"/>
                <w:lang w:val="fr-CA"/>
              </w:rPr>
              <w:t>Karakatsanis</w:t>
            </w:r>
            <w:proofErr w:type="spellEnd"/>
          </w:p>
          <w:p w:rsidR="007617E3" w:rsidRPr="007617E3" w:rsidRDefault="007617E3" w:rsidP="007617E3">
            <w:pPr>
              <w:rPr>
                <w:sz w:val="20"/>
                <w:u w:val="single"/>
                <w:lang w:val="fr-CA"/>
              </w:rPr>
            </w:pPr>
          </w:p>
        </w:tc>
      </w:tr>
      <w:tr w:rsidR="007617E3" w:rsidRPr="007617E3" w:rsidTr="007617E3">
        <w:trPr>
          <w:cantSplit/>
        </w:trPr>
        <w:tc>
          <w:tcPr>
            <w:tcW w:w="9576" w:type="dxa"/>
            <w:gridSpan w:val="2"/>
          </w:tcPr>
          <w:p w:rsidR="007617E3" w:rsidRPr="007617E3" w:rsidRDefault="007617E3" w:rsidP="007617E3">
            <w:pPr>
              <w:ind w:firstLine="720"/>
              <w:jc w:val="both"/>
              <w:rPr>
                <w:sz w:val="20"/>
                <w:lang w:val="fr-CA"/>
              </w:rPr>
            </w:pPr>
            <w:r w:rsidRPr="007617E3">
              <w:rPr>
                <w:sz w:val="20"/>
                <w:lang w:val="fr-CA"/>
              </w:rPr>
              <w:t>La demande d’autorisation d’appel de l’arrêt de la Cour d’appel du Québec (Québec), numéro 200-10-002313-083, 2011 QCCA 1203, daté du 7 juin 2011, est accueillie sans dépens.</w:t>
            </w:r>
          </w:p>
          <w:p w:rsidR="007617E3" w:rsidRPr="007617E3" w:rsidRDefault="007617E3" w:rsidP="007617E3">
            <w:pPr>
              <w:jc w:val="both"/>
              <w:rPr>
                <w:sz w:val="20"/>
                <w:lang w:val="fr-CA"/>
              </w:rPr>
            </w:pPr>
          </w:p>
          <w:p w:rsidR="007617E3" w:rsidRPr="007617E3" w:rsidRDefault="007617E3" w:rsidP="007617E3">
            <w:pPr>
              <w:ind w:firstLine="720"/>
              <w:jc w:val="both"/>
              <w:rPr>
                <w:sz w:val="20"/>
              </w:rPr>
            </w:pPr>
            <w:r w:rsidRPr="007617E3">
              <w:rPr>
                <w:sz w:val="20"/>
              </w:rPr>
              <w:t>The application for leave to appeal from the judgment of the Court of Appeal of Quebec (Québec), Number 200-10-002313-083, 2011 QCCA 1203, dated June 7, 2011, is granted without costs.</w:t>
            </w:r>
          </w:p>
        </w:tc>
      </w:tr>
    </w:tbl>
    <w:p w:rsidR="007E6660" w:rsidRDefault="007E6660" w:rsidP="007E6660">
      <w:pPr>
        <w:ind w:left="1440" w:hanging="1440"/>
        <w:rPr>
          <w:b/>
          <w:sz w:val="20"/>
          <w:szCs w:val="20"/>
        </w:rPr>
      </w:pPr>
    </w:p>
    <w:p w:rsidR="007E6660" w:rsidRDefault="007E6660" w:rsidP="007E6660">
      <w:pPr>
        <w:rPr>
          <w:sz w:val="20"/>
          <w:szCs w:val="20"/>
          <w:u w:val="single"/>
        </w:rPr>
      </w:pPr>
      <w:r w:rsidRPr="00E35EA0">
        <w:rPr>
          <w:sz w:val="20"/>
          <w:szCs w:val="20"/>
          <w:u w:val="single"/>
        </w:rPr>
        <w:t>CASE SUMMARY</w:t>
      </w:r>
    </w:p>
    <w:p w:rsidR="007E6660" w:rsidRDefault="007E6660" w:rsidP="007E666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7D6A45" w:rsidRPr="002F64ED" w:rsidTr="007D6A45">
        <w:tc>
          <w:tcPr>
            <w:tcW w:w="5000" w:type="pct"/>
            <w:gridSpan w:val="3"/>
          </w:tcPr>
          <w:p w:rsidR="007D6A45" w:rsidRDefault="007D6A45" w:rsidP="007D6A45">
            <w:pPr>
              <w:jc w:val="both"/>
              <w:rPr>
                <w:rFonts w:eastAsia="Calibri"/>
                <w:sz w:val="20"/>
              </w:rPr>
            </w:pPr>
            <w:r w:rsidRPr="002F64ED">
              <w:rPr>
                <w:rFonts w:eastAsia="Calibri"/>
                <w:sz w:val="20"/>
              </w:rPr>
              <w:t xml:space="preserve">Criminal law — Instructions to jury — Whether Court of Appeal erred in minimizing extent to which jury’s deliberations and verdicts were affected by absence of additional instructions concerning “knowledge” element of being accessory to murder under s. 21(2) of </w:t>
            </w:r>
            <w:r w:rsidRPr="002F64ED">
              <w:rPr>
                <w:rFonts w:eastAsia="Calibri"/>
                <w:i/>
                <w:sz w:val="20"/>
              </w:rPr>
              <w:t>Criminal Code</w:t>
            </w:r>
            <w:r w:rsidRPr="002F64ED">
              <w:rPr>
                <w:rFonts w:eastAsia="Calibri"/>
                <w:sz w:val="20"/>
              </w:rPr>
              <w:t xml:space="preserve">, to which jury’s question had clearly been directed — </w:t>
            </w:r>
            <w:r w:rsidRPr="002F64ED">
              <w:rPr>
                <w:rFonts w:eastAsia="Calibri"/>
                <w:i/>
                <w:sz w:val="20"/>
              </w:rPr>
              <w:t xml:space="preserve">R. v. </w:t>
            </w:r>
            <w:proofErr w:type="spellStart"/>
            <w:r w:rsidRPr="002F64ED">
              <w:rPr>
                <w:rFonts w:eastAsia="Calibri"/>
                <w:i/>
                <w:sz w:val="20"/>
              </w:rPr>
              <w:t>Naglik</w:t>
            </w:r>
            <w:proofErr w:type="spellEnd"/>
            <w:r w:rsidRPr="002F64ED">
              <w:rPr>
                <w:rFonts w:eastAsia="Calibri"/>
                <w:sz w:val="20"/>
              </w:rPr>
              <w:t>, [1993] 3 S.C.R. 122.</w:t>
            </w:r>
          </w:p>
          <w:p w:rsidR="007D6A45" w:rsidRPr="002F64ED" w:rsidRDefault="007D6A45" w:rsidP="007D6A45">
            <w:pPr>
              <w:jc w:val="both"/>
              <w:rPr>
                <w:rFonts w:eastAsia="Calibri"/>
                <w:sz w:val="20"/>
              </w:rPr>
            </w:pPr>
          </w:p>
        </w:tc>
      </w:tr>
      <w:tr w:rsidR="007D6A45" w:rsidRPr="002F64ED" w:rsidTr="007D6A45">
        <w:tc>
          <w:tcPr>
            <w:tcW w:w="5000" w:type="pct"/>
            <w:gridSpan w:val="3"/>
          </w:tcPr>
          <w:p w:rsidR="007D6A45" w:rsidRPr="002F64ED" w:rsidRDefault="007D6A45" w:rsidP="007D6A45">
            <w:pPr>
              <w:jc w:val="both"/>
              <w:rPr>
                <w:rFonts w:eastAsia="Calibri"/>
                <w:sz w:val="20"/>
              </w:rPr>
            </w:pPr>
            <w:r w:rsidRPr="002F64ED">
              <w:rPr>
                <w:rFonts w:eastAsia="Calibri"/>
                <w:sz w:val="20"/>
              </w:rPr>
              <w:t xml:space="preserve">This application for leave to appeal concerns a guilty verdict returned by a jury on a charge of first degree murder. </w:t>
            </w:r>
          </w:p>
          <w:p w:rsidR="007D6A45" w:rsidRPr="002F64ED" w:rsidRDefault="007D6A45" w:rsidP="007D6A45">
            <w:pPr>
              <w:jc w:val="both"/>
              <w:rPr>
                <w:rFonts w:eastAsia="Calibri"/>
                <w:sz w:val="20"/>
              </w:rPr>
            </w:pPr>
          </w:p>
          <w:p w:rsidR="007D6A45" w:rsidRPr="002F64ED" w:rsidRDefault="007D6A45" w:rsidP="007D6A45">
            <w:pPr>
              <w:jc w:val="both"/>
              <w:rPr>
                <w:rFonts w:eastAsia="Calibri"/>
                <w:sz w:val="20"/>
              </w:rPr>
            </w:pPr>
            <w:r w:rsidRPr="002F64ED">
              <w:rPr>
                <w:rFonts w:eastAsia="Calibri"/>
                <w:sz w:val="20"/>
              </w:rPr>
              <w:t>The applicant, Pierre Lévesque, and his accomplice, Mr. </w:t>
            </w:r>
            <w:proofErr w:type="spellStart"/>
            <w:r w:rsidRPr="002F64ED">
              <w:rPr>
                <w:rFonts w:eastAsia="Calibri"/>
                <w:sz w:val="20"/>
              </w:rPr>
              <w:t>Denver</w:t>
            </w:r>
            <w:r w:rsidRPr="002F64ED">
              <w:rPr>
                <w:rFonts w:eastAsia="Calibri"/>
                <w:sz w:val="20"/>
              </w:rPr>
              <w:noBreakHyphen/>
              <w:t>Lambert</w:t>
            </w:r>
            <w:proofErr w:type="spellEnd"/>
            <w:r w:rsidRPr="002F64ED">
              <w:rPr>
                <w:rFonts w:eastAsia="Calibri"/>
                <w:sz w:val="20"/>
              </w:rPr>
              <w:t>, met several times to plan a theft involving weapons that were supposed to be used solely to secure the cooperation of the future victims and facilitate the theft.</w:t>
            </w:r>
          </w:p>
          <w:p w:rsidR="007D6A45" w:rsidRPr="002F64ED" w:rsidRDefault="007D6A45" w:rsidP="007D6A45">
            <w:pPr>
              <w:jc w:val="both"/>
              <w:rPr>
                <w:rFonts w:eastAsia="Calibri"/>
                <w:sz w:val="20"/>
              </w:rPr>
            </w:pPr>
          </w:p>
          <w:p w:rsidR="007D6A45" w:rsidRPr="002F64ED" w:rsidRDefault="007D6A45" w:rsidP="007D6A45">
            <w:pPr>
              <w:jc w:val="both"/>
              <w:rPr>
                <w:rFonts w:eastAsia="Calibri"/>
                <w:sz w:val="20"/>
              </w:rPr>
            </w:pPr>
            <w:r w:rsidRPr="002F64ED">
              <w:rPr>
                <w:rFonts w:eastAsia="Calibri"/>
                <w:sz w:val="20"/>
              </w:rPr>
              <w:t xml:space="preserve">On April 9, 1994, inside a residence in </w:t>
            </w:r>
            <w:proofErr w:type="spellStart"/>
            <w:r w:rsidRPr="002F64ED">
              <w:rPr>
                <w:rFonts w:eastAsia="Calibri"/>
                <w:sz w:val="20"/>
              </w:rPr>
              <w:t>Val</w:t>
            </w:r>
            <w:r w:rsidRPr="002F64ED">
              <w:rPr>
                <w:rFonts w:eastAsia="Calibri"/>
                <w:sz w:val="20"/>
              </w:rPr>
              <w:noBreakHyphen/>
              <w:t>Bélair</w:t>
            </w:r>
            <w:proofErr w:type="spellEnd"/>
            <w:r w:rsidRPr="002F64ED">
              <w:rPr>
                <w:rFonts w:eastAsia="Calibri"/>
                <w:sz w:val="20"/>
              </w:rPr>
              <w:t>, a police officer found the body of 75</w:t>
            </w:r>
            <w:r w:rsidRPr="002F64ED">
              <w:rPr>
                <w:rFonts w:eastAsia="Calibri"/>
                <w:sz w:val="20"/>
              </w:rPr>
              <w:noBreakHyphen/>
              <w:t>year</w:t>
            </w:r>
            <w:r w:rsidRPr="002F64ED">
              <w:rPr>
                <w:rFonts w:eastAsia="Calibri"/>
                <w:sz w:val="20"/>
              </w:rPr>
              <w:noBreakHyphen/>
              <w:t xml:space="preserve">old </w:t>
            </w:r>
            <w:proofErr w:type="spellStart"/>
            <w:r w:rsidRPr="002F64ED">
              <w:rPr>
                <w:rFonts w:eastAsia="Calibri"/>
                <w:sz w:val="20"/>
              </w:rPr>
              <w:t>Béatrice</w:t>
            </w:r>
            <w:proofErr w:type="spellEnd"/>
            <w:r w:rsidRPr="002F64ED">
              <w:rPr>
                <w:rFonts w:eastAsia="Calibri"/>
                <w:sz w:val="20"/>
              </w:rPr>
              <w:t> Lavoie, who was lying in a pool of blood with her feet and hands bound with tape, and 82</w:t>
            </w:r>
            <w:r w:rsidRPr="002F64ED">
              <w:rPr>
                <w:rFonts w:eastAsia="Calibri"/>
                <w:sz w:val="20"/>
              </w:rPr>
              <w:noBreakHyphen/>
              <w:t>year</w:t>
            </w:r>
            <w:r w:rsidRPr="002F64ED">
              <w:rPr>
                <w:rFonts w:eastAsia="Calibri"/>
                <w:sz w:val="20"/>
              </w:rPr>
              <w:noBreakHyphen/>
              <w:t xml:space="preserve">old </w:t>
            </w:r>
            <w:proofErr w:type="spellStart"/>
            <w:r w:rsidRPr="002F64ED">
              <w:rPr>
                <w:rFonts w:eastAsia="Calibri"/>
                <w:sz w:val="20"/>
              </w:rPr>
              <w:t>Maurille</w:t>
            </w:r>
            <w:proofErr w:type="spellEnd"/>
            <w:r w:rsidRPr="002F64ED">
              <w:rPr>
                <w:rFonts w:eastAsia="Calibri"/>
                <w:sz w:val="20"/>
              </w:rPr>
              <w:t xml:space="preserve"> </w:t>
            </w:r>
            <w:proofErr w:type="spellStart"/>
            <w:r w:rsidRPr="002F64ED">
              <w:rPr>
                <w:rFonts w:eastAsia="Calibri"/>
                <w:sz w:val="20"/>
              </w:rPr>
              <w:t>Lepage</w:t>
            </w:r>
            <w:proofErr w:type="spellEnd"/>
            <w:r w:rsidRPr="002F64ED">
              <w:rPr>
                <w:rFonts w:eastAsia="Calibri"/>
                <w:sz w:val="20"/>
              </w:rPr>
              <w:t>, who was lying on the floor tied up the same way as his spouse and who also had tape over his eyes.</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October 30, 2008</w:t>
            </w:r>
          </w:p>
          <w:p w:rsidR="007D6A45" w:rsidRPr="002F64ED" w:rsidRDefault="007D6A45" w:rsidP="007D6A45">
            <w:pPr>
              <w:jc w:val="both"/>
              <w:rPr>
                <w:rFonts w:eastAsia="Calibri"/>
                <w:sz w:val="20"/>
              </w:rPr>
            </w:pPr>
            <w:r w:rsidRPr="002F64ED">
              <w:rPr>
                <w:rFonts w:eastAsia="Calibri"/>
                <w:sz w:val="20"/>
              </w:rPr>
              <w:t>Quebec Superior Court</w:t>
            </w:r>
          </w:p>
          <w:p w:rsidR="007D6A45" w:rsidRPr="002F64ED" w:rsidRDefault="007D6A45" w:rsidP="007D6A45">
            <w:pPr>
              <w:jc w:val="both"/>
              <w:rPr>
                <w:rFonts w:eastAsia="Calibri"/>
                <w:sz w:val="20"/>
              </w:rPr>
            </w:pPr>
            <w:r w:rsidRPr="002F64ED">
              <w:rPr>
                <w:rFonts w:eastAsia="Calibri"/>
                <w:sz w:val="20"/>
              </w:rPr>
              <w:t>(</w:t>
            </w:r>
            <w:proofErr w:type="spellStart"/>
            <w:r w:rsidRPr="002F64ED">
              <w:rPr>
                <w:rFonts w:eastAsia="Calibri"/>
                <w:sz w:val="20"/>
              </w:rPr>
              <w:t>Grenier</w:t>
            </w:r>
            <w:proofErr w:type="spellEnd"/>
            <w:r w:rsidRPr="002F64ED">
              <w:rPr>
                <w:rFonts w:eastAsia="Calibri"/>
                <w:sz w:val="20"/>
              </w:rPr>
              <w:t xml:space="preserve"> J.)</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Guilty verdict returned by jury on charge of first degree murder</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June 7, 2011</w:t>
            </w:r>
          </w:p>
          <w:p w:rsidR="007D6A45" w:rsidRPr="002F64ED" w:rsidRDefault="007D6A45" w:rsidP="007D6A45">
            <w:pPr>
              <w:jc w:val="both"/>
              <w:rPr>
                <w:rFonts w:eastAsia="Calibri"/>
                <w:sz w:val="20"/>
              </w:rPr>
            </w:pPr>
            <w:r w:rsidRPr="002F64ED">
              <w:rPr>
                <w:rFonts w:eastAsia="Calibri"/>
                <w:sz w:val="20"/>
              </w:rPr>
              <w:t>Quebec Court of Appeal (Québec)</w:t>
            </w:r>
          </w:p>
          <w:p w:rsidR="007D6A45" w:rsidRPr="002F64ED" w:rsidRDefault="007D6A45" w:rsidP="007D6A45">
            <w:pPr>
              <w:jc w:val="both"/>
              <w:rPr>
                <w:rFonts w:eastAsia="Calibri"/>
                <w:sz w:val="20"/>
              </w:rPr>
            </w:pPr>
            <w:r w:rsidRPr="002F64ED">
              <w:rPr>
                <w:rFonts w:eastAsia="Calibri"/>
                <w:sz w:val="20"/>
              </w:rPr>
              <w:t xml:space="preserve">(Thibault, </w:t>
            </w:r>
            <w:proofErr w:type="spellStart"/>
            <w:r w:rsidRPr="002F64ED">
              <w:rPr>
                <w:rFonts w:eastAsia="Calibri"/>
                <w:sz w:val="20"/>
              </w:rPr>
              <w:t>Rochette</w:t>
            </w:r>
            <w:proofErr w:type="spellEnd"/>
            <w:r w:rsidRPr="002F64ED">
              <w:rPr>
                <w:rFonts w:eastAsia="Calibri"/>
                <w:sz w:val="20"/>
              </w:rPr>
              <w:t xml:space="preserve"> and </w:t>
            </w:r>
            <w:proofErr w:type="spellStart"/>
            <w:r w:rsidRPr="002F64ED">
              <w:rPr>
                <w:rFonts w:eastAsia="Calibri"/>
                <w:sz w:val="20"/>
              </w:rPr>
              <w:t>Viens</w:t>
            </w:r>
            <w:proofErr w:type="spellEnd"/>
            <w:r w:rsidRPr="002F64ED">
              <w:rPr>
                <w:rFonts w:eastAsia="Calibri"/>
                <w:sz w:val="20"/>
              </w:rPr>
              <w:t xml:space="preserve"> [ad hoc] JJ.A.)</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Appeal dismissed</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lastRenderedPageBreak/>
              <w:t>September 2, 2011</w:t>
            </w:r>
          </w:p>
          <w:p w:rsidR="007D6A45" w:rsidRPr="002F64ED" w:rsidRDefault="007D6A45" w:rsidP="007D6A45">
            <w:pPr>
              <w:jc w:val="both"/>
              <w:rPr>
                <w:rFonts w:eastAsia="Calibri"/>
                <w:sz w:val="20"/>
              </w:rPr>
            </w:pPr>
            <w:r w:rsidRPr="002F64ED">
              <w:rPr>
                <w:rFonts w:eastAsia="Calibri"/>
                <w:sz w:val="20"/>
              </w:rPr>
              <w:t>Supreme Court of Canada</w:t>
            </w: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Application for leave to appeal filed</w:t>
            </w:r>
          </w:p>
          <w:p w:rsidR="007D6A45" w:rsidRPr="002F64ED" w:rsidRDefault="007D6A45" w:rsidP="007D6A45">
            <w:pPr>
              <w:jc w:val="both"/>
              <w:rPr>
                <w:rFonts w:eastAsia="Calibri"/>
                <w:sz w:val="20"/>
              </w:rPr>
            </w:pPr>
          </w:p>
        </w:tc>
      </w:tr>
    </w:tbl>
    <w:p w:rsidR="007E6660" w:rsidRPr="00E35EA0" w:rsidRDefault="007E6660" w:rsidP="007E6660">
      <w:pPr>
        <w:rPr>
          <w:sz w:val="20"/>
          <w:szCs w:val="20"/>
        </w:rPr>
      </w:pPr>
    </w:p>
    <w:p w:rsidR="007E6660" w:rsidRPr="00E35EA0" w:rsidRDefault="00DB7F13" w:rsidP="007E6660">
      <w:pPr>
        <w:rPr>
          <w:sz w:val="20"/>
          <w:szCs w:val="20"/>
        </w:rPr>
      </w:pPr>
      <w:r w:rsidRPr="00DB7F13">
        <w:rPr>
          <w:sz w:val="20"/>
          <w:szCs w:val="20"/>
          <w:lang w:val="fr-CA"/>
        </w:rPr>
        <w:pict>
          <v:rect id="_x0000_i1048" style="width:2in;height:1pt" o:hrpct="0" o:hralign="center" o:hrstd="t" o:hrnoshade="t" o:hr="t" fillcolor="black [3213]" stroked="f"/>
        </w:pict>
      </w:r>
    </w:p>
    <w:p w:rsidR="007E6660" w:rsidRPr="00E35EA0" w:rsidRDefault="007E6660" w:rsidP="007E6660">
      <w:pPr>
        <w:rPr>
          <w:sz w:val="20"/>
          <w:szCs w:val="20"/>
        </w:rPr>
      </w:pPr>
    </w:p>
    <w:p w:rsidR="007E6660" w:rsidRPr="00E35EA0" w:rsidRDefault="007E6660" w:rsidP="007E6660">
      <w:pPr>
        <w:rPr>
          <w:sz w:val="20"/>
          <w:szCs w:val="20"/>
          <w:u w:val="single"/>
          <w:lang w:val="fr-CA"/>
        </w:rPr>
      </w:pPr>
      <w:r w:rsidRPr="00E35EA0">
        <w:rPr>
          <w:sz w:val="20"/>
          <w:szCs w:val="20"/>
          <w:u w:val="single"/>
          <w:lang w:val="fr-CA"/>
        </w:rPr>
        <w:t>RÉSUMÉ DE L’AFFAIRE</w:t>
      </w:r>
    </w:p>
    <w:p w:rsidR="007E6660" w:rsidRPr="00E35EA0" w:rsidRDefault="007E6660" w:rsidP="007E6660">
      <w:pPr>
        <w:keepNext/>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D6A45" w:rsidRPr="00FF4B6E" w:rsidTr="007D6A45">
        <w:tc>
          <w:tcPr>
            <w:tcW w:w="5000" w:type="pct"/>
            <w:gridSpan w:val="3"/>
          </w:tcPr>
          <w:p w:rsidR="007D6A45" w:rsidRDefault="007D6A45" w:rsidP="007D6A45">
            <w:pPr>
              <w:jc w:val="both"/>
              <w:rPr>
                <w:rFonts w:eastAsia="Calibri"/>
                <w:sz w:val="20"/>
                <w:lang w:val="fr-CA"/>
              </w:rPr>
            </w:pPr>
            <w:r w:rsidRPr="002F64ED">
              <w:rPr>
                <w:rFonts w:eastAsia="Calibri"/>
                <w:sz w:val="20"/>
                <w:lang w:val="fr-CA"/>
              </w:rPr>
              <w:t xml:space="preserve">Droit criminel — Directives au jury — La Cour d’appel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erré en minimisant l’impact sur les délibérations du jury et sur les verdicts rendus, de directives supplémentaires inexistantes quant à un élément de la complicité de meurtre selon l’article 21(2) du </w:t>
            </w:r>
            <w:r w:rsidRPr="002F64ED">
              <w:rPr>
                <w:rFonts w:eastAsia="Calibri"/>
                <w:i/>
                <w:sz w:val="20"/>
                <w:lang w:val="fr-CA"/>
              </w:rPr>
              <w:t>Code criminel</w:t>
            </w:r>
            <w:r w:rsidRPr="002F64ED">
              <w:rPr>
                <w:rFonts w:eastAsia="Calibri"/>
                <w:sz w:val="20"/>
                <w:lang w:val="fr-CA"/>
              </w:rPr>
              <w:t xml:space="preserve">, soit la « connaissance », élément par ailleurs clairement visé par la question du jury? — </w:t>
            </w:r>
            <w:r w:rsidRPr="002F64ED">
              <w:rPr>
                <w:rFonts w:eastAsia="Calibri"/>
                <w:i/>
                <w:sz w:val="20"/>
                <w:lang w:val="fr-CA"/>
              </w:rPr>
              <w:t xml:space="preserve">R. c. </w:t>
            </w:r>
            <w:proofErr w:type="spellStart"/>
            <w:r w:rsidRPr="002F64ED">
              <w:rPr>
                <w:rFonts w:eastAsia="Calibri"/>
                <w:i/>
                <w:sz w:val="20"/>
                <w:lang w:val="fr-CA"/>
              </w:rPr>
              <w:t>Naglik</w:t>
            </w:r>
            <w:proofErr w:type="spellEnd"/>
            <w:r w:rsidRPr="002F64ED">
              <w:rPr>
                <w:rFonts w:eastAsia="Calibri"/>
                <w:sz w:val="20"/>
                <w:lang w:val="fr-CA"/>
              </w:rPr>
              <w:t>, [1993] 3 R.C.S. 122.</w:t>
            </w:r>
          </w:p>
          <w:p w:rsidR="007D6A45" w:rsidRPr="002F64ED" w:rsidRDefault="007D6A45" w:rsidP="007D6A45">
            <w:pPr>
              <w:jc w:val="both"/>
              <w:rPr>
                <w:rFonts w:eastAsia="Calibri"/>
                <w:sz w:val="20"/>
                <w:lang w:val="fr-CA"/>
              </w:rPr>
            </w:pPr>
          </w:p>
        </w:tc>
      </w:tr>
      <w:tr w:rsidR="007D6A45" w:rsidRPr="00FF4B6E" w:rsidTr="007D6A45">
        <w:tc>
          <w:tcPr>
            <w:tcW w:w="5000" w:type="pct"/>
            <w:gridSpan w:val="3"/>
          </w:tcPr>
          <w:p w:rsidR="007D6A45" w:rsidRPr="002F64ED" w:rsidRDefault="007D6A45" w:rsidP="007D6A45">
            <w:pPr>
              <w:jc w:val="both"/>
              <w:rPr>
                <w:rFonts w:eastAsia="Calibri"/>
                <w:sz w:val="20"/>
                <w:lang w:val="fr-CA"/>
              </w:rPr>
            </w:pPr>
            <w:r w:rsidRPr="002F64ED">
              <w:rPr>
                <w:rFonts w:eastAsia="Calibri"/>
                <w:sz w:val="20"/>
                <w:lang w:val="fr-CA"/>
              </w:rPr>
              <w:t xml:space="preserve">Il s’agit d’une demande d’autorisation d’appel concernant un verdict de culpabilité rendu par un jury quant à une accusation de meurtre au premier degré. </w:t>
            </w:r>
          </w:p>
          <w:p w:rsidR="007D6A45" w:rsidRPr="002F64ED" w:rsidRDefault="007D6A45" w:rsidP="007D6A45">
            <w:pPr>
              <w:jc w:val="both"/>
              <w:rPr>
                <w:rFonts w:eastAsia="Calibri"/>
                <w:sz w:val="20"/>
                <w:lang w:val="fr-CA"/>
              </w:rPr>
            </w:pPr>
          </w:p>
          <w:p w:rsidR="007D6A45" w:rsidRPr="002F64ED" w:rsidRDefault="007D6A45" w:rsidP="007D6A45">
            <w:pPr>
              <w:jc w:val="both"/>
              <w:rPr>
                <w:rFonts w:eastAsia="Calibri"/>
                <w:sz w:val="20"/>
                <w:lang w:val="fr-CA"/>
              </w:rPr>
            </w:pPr>
            <w:r w:rsidRPr="002F64ED">
              <w:rPr>
                <w:rFonts w:eastAsia="Calibri"/>
                <w:sz w:val="20"/>
                <w:lang w:val="fr-CA"/>
              </w:rPr>
              <w:t xml:space="preserve">Le demandeur, M. Pierre Lévesque, et son complice, </w:t>
            </w:r>
            <w:proofErr w:type="spellStart"/>
            <w:r w:rsidRPr="002F64ED">
              <w:rPr>
                <w:rFonts w:eastAsia="Calibri"/>
                <w:sz w:val="20"/>
                <w:lang w:val="fr-CA"/>
              </w:rPr>
              <w:t>Denver</w:t>
            </w:r>
            <w:r w:rsidRPr="002F64ED">
              <w:rPr>
                <w:rFonts w:eastAsia="Calibri"/>
                <w:sz w:val="20"/>
                <w:lang w:val="fr-CA"/>
              </w:rPr>
              <w:noBreakHyphen/>
              <w:t>Lambert</w:t>
            </w:r>
            <w:proofErr w:type="spellEnd"/>
            <w:r w:rsidRPr="002F64ED">
              <w:rPr>
                <w:rFonts w:eastAsia="Calibri"/>
                <w:sz w:val="20"/>
                <w:lang w:val="fr-CA"/>
              </w:rPr>
              <w:t>, se sont rencontrés à plusieurs reprises afin de planifier un vol qui impliquait des armes qui n’étaient supposés servir qu’à assurer la coopération des futurs victimes et à faciliter le vol.</w:t>
            </w:r>
          </w:p>
          <w:p w:rsidR="007D6A45" w:rsidRPr="002F64ED" w:rsidRDefault="007D6A45" w:rsidP="007D6A45">
            <w:pPr>
              <w:jc w:val="both"/>
              <w:rPr>
                <w:rFonts w:eastAsia="Calibri"/>
                <w:sz w:val="20"/>
                <w:lang w:val="fr-CA"/>
              </w:rPr>
            </w:pPr>
          </w:p>
          <w:p w:rsidR="007D6A45" w:rsidRPr="002F64ED" w:rsidRDefault="007D6A45" w:rsidP="007D6A45">
            <w:pPr>
              <w:jc w:val="both"/>
              <w:rPr>
                <w:rFonts w:eastAsia="Calibri"/>
                <w:sz w:val="20"/>
                <w:lang w:val="fr-CA"/>
              </w:rPr>
            </w:pPr>
            <w:r w:rsidRPr="002F64ED">
              <w:rPr>
                <w:rFonts w:eastAsia="Calibri"/>
                <w:sz w:val="20"/>
                <w:lang w:val="fr-CA"/>
              </w:rPr>
              <w:t xml:space="preserve">Le 9 avril 1994, un policier découvre à l’intérieur d’une résidence de </w:t>
            </w:r>
            <w:proofErr w:type="spellStart"/>
            <w:r w:rsidRPr="002F64ED">
              <w:rPr>
                <w:rFonts w:eastAsia="Calibri"/>
                <w:sz w:val="20"/>
                <w:lang w:val="fr-CA"/>
              </w:rPr>
              <w:t>Val</w:t>
            </w:r>
            <w:r w:rsidRPr="002F64ED">
              <w:rPr>
                <w:rFonts w:eastAsia="Calibri"/>
                <w:sz w:val="20"/>
                <w:lang w:val="fr-CA"/>
              </w:rPr>
              <w:noBreakHyphen/>
              <w:t>Bélair</w:t>
            </w:r>
            <w:proofErr w:type="spellEnd"/>
            <w:r w:rsidRPr="002F64ED">
              <w:rPr>
                <w:rFonts w:eastAsia="Calibri"/>
                <w:sz w:val="20"/>
                <w:lang w:val="fr-CA"/>
              </w:rPr>
              <w:t xml:space="preserve"> le corps de Béatrice Lavoie, 75 ans, pieds et mains liés avec du ruban gommé et gisant dans une mare de sang, ainsi que </w:t>
            </w:r>
            <w:proofErr w:type="spellStart"/>
            <w:r w:rsidRPr="002F64ED">
              <w:rPr>
                <w:rFonts w:eastAsia="Calibri"/>
                <w:sz w:val="20"/>
                <w:lang w:val="fr-CA"/>
              </w:rPr>
              <w:t>Maurille</w:t>
            </w:r>
            <w:proofErr w:type="spellEnd"/>
            <w:r w:rsidRPr="002F64ED">
              <w:rPr>
                <w:rFonts w:eastAsia="Calibri"/>
                <w:sz w:val="20"/>
                <w:lang w:val="fr-CA"/>
              </w:rPr>
              <w:t xml:space="preserve"> Lepage, 82 ans, couché au sol et ligoté de la même façon que sa conjointe, avec en plus du ruban gommé sur les yeux.</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30 octobre 2008</w:t>
            </w:r>
          </w:p>
          <w:p w:rsidR="007D6A45" w:rsidRPr="002F64ED" w:rsidRDefault="007D6A45" w:rsidP="007D6A45">
            <w:pPr>
              <w:jc w:val="both"/>
              <w:rPr>
                <w:rFonts w:eastAsia="Calibri"/>
                <w:sz w:val="20"/>
                <w:lang w:val="fr-CA"/>
              </w:rPr>
            </w:pPr>
            <w:r w:rsidRPr="002F64ED">
              <w:rPr>
                <w:rFonts w:eastAsia="Calibri"/>
                <w:sz w:val="20"/>
                <w:lang w:val="fr-CA"/>
              </w:rPr>
              <w:t>Cour supérieure du Québec</w:t>
            </w:r>
          </w:p>
          <w:p w:rsidR="007D6A45" w:rsidRPr="002F64ED" w:rsidRDefault="007D6A45" w:rsidP="007D6A45">
            <w:pPr>
              <w:jc w:val="both"/>
              <w:rPr>
                <w:rFonts w:eastAsia="Calibri"/>
                <w:sz w:val="20"/>
                <w:lang w:val="fr-CA"/>
              </w:rPr>
            </w:pPr>
            <w:r w:rsidRPr="002F64ED">
              <w:rPr>
                <w:rFonts w:eastAsia="Calibri"/>
                <w:sz w:val="20"/>
                <w:lang w:val="fr-CA"/>
              </w:rPr>
              <w:t>(Le juge Grenier)</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Verdict de culpabilité rendu par un jury sur une accusation de meurtre au premier degré.</w:t>
            </w:r>
          </w:p>
          <w:p w:rsidR="007D6A45" w:rsidRPr="002F64ED" w:rsidRDefault="007D6A45" w:rsidP="007D6A45">
            <w:pPr>
              <w:jc w:val="both"/>
              <w:rPr>
                <w:rFonts w:eastAsia="Calibri"/>
                <w:sz w:val="20"/>
                <w:lang w:val="fr-CA"/>
              </w:rPr>
            </w:pPr>
          </w:p>
        </w:tc>
      </w:tr>
      <w:tr w:rsidR="007D6A45" w:rsidRPr="002F64ED"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7 juin 2011</w:t>
            </w:r>
          </w:p>
          <w:p w:rsidR="007D6A45" w:rsidRPr="002F64ED" w:rsidRDefault="007D6A45" w:rsidP="007D6A45">
            <w:pPr>
              <w:jc w:val="both"/>
              <w:rPr>
                <w:rFonts w:eastAsia="Calibri"/>
                <w:sz w:val="20"/>
                <w:lang w:val="fr-CA"/>
              </w:rPr>
            </w:pPr>
            <w:r w:rsidRPr="002F64ED">
              <w:rPr>
                <w:rFonts w:eastAsia="Calibri"/>
                <w:sz w:val="20"/>
                <w:lang w:val="fr-CA"/>
              </w:rPr>
              <w:t>Cour d’appel du Québec (Québec)</w:t>
            </w:r>
          </w:p>
          <w:p w:rsidR="007D6A45" w:rsidRPr="002F64ED" w:rsidRDefault="007D6A45" w:rsidP="007D6A45">
            <w:pPr>
              <w:jc w:val="both"/>
              <w:rPr>
                <w:rFonts w:eastAsia="Calibri"/>
                <w:sz w:val="20"/>
                <w:lang w:val="fr-CA"/>
              </w:rPr>
            </w:pPr>
            <w:r w:rsidRPr="002F64ED">
              <w:rPr>
                <w:rFonts w:eastAsia="Calibri"/>
                <w:sz w:val="20"/>
                <w:lang w:val="fr-CA"/>
              </w:rPr>
              <w:t>(Les juges Thibault, Rochette et Viens [ad hoc])</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Appel rejeté.</w:t>
            </w:r>
          </w:p>
          <w:p w:rsidR="007D6A45" w:rsidRPr="002F64ED" w:rsidRDefault="007D6A45" w:rsidP="007D6A45">
            <w:pPr>
              <w:jc w:val="both"/>
              <w:rPr>
                <w:rFonts w:eastAsia="Calibri"/>
                <w:sz w:val="20"/>
                <w:lang w:val="fr-CA"/>
              </w:rPr>
            </w:pPr>
          </w:p>
        </w:tc>
      </w:tr>
      <w:tr w:rsidR="007D6A45" w:rsidRPr="002F64ED"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2 septembre 2011</w:t>
            </w:r>
          </w:p>
          <w:p w:rsidR="007D6A45" w:rsidRPr="002F64ED" w:rsidRDefault="007D6A45" w:rsidP="007D6A45">
            <w:pPr>
              <w:jc w:val="both"/>
              <w:rPr>
                <w:rFonts w:eastAsia="Calibri"/>
                <w:sz w:val="20"/>
                <w:lang w:val="fr-CA"/>
              </w:rPr>
            </w:pPr>
            <w:r w:rsidRPr="002F64ED">
              <w:rPr>
                <w:rFonts w:eastAsia="Calibri"/>
                <w:sz w:val="20"/>
                <w:lang w:val="fr-CA"/>
              </w:rPr>
              <w:t>Cour suprême du Canada</w:t>
            </w: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Demande d'autorisation d'appel déposée.</w:t>
            </w:r>
          </w:p>
          <w:p w:rsidR="007D6A45" w:rsidRPr="002F64ED" w:rsidRDefault="007D6A45" w:rsidP="007D6A45">
            <w:pPr>
              <w:jc w:val="both"/>
              <w:rPr>
                <w:rFonts w:eastAsia="Calibri"/>
                <w:sz w:val="20"/>
                <w:lang w:val="fr-CA"/>
              </w:rPr>
            </w:pPr>
          </w:p>
        </w:tc>
      </w:tr>
    </w:tbl>
    <w:p w:rsidR="007E6660" w:rsidRPr="00E35EA0" w:rsidRDefault="007E6660" w:rsidP="007E6660">
      <w:pPr>
        <w:rPr>
          <w:sz w:val="20"/>
          <w:szCs w:val="20"/>
          <w:lang w:val="fr-CA"/>
        </w:rPr>
      </w:pPr>
    </w:p>
    <w:p w:rsidR="007E6660" w:rsidRPr="00E35EA0" w:rsidRDefault="00DB7F13" w:rsidP="007E6660">
      <w:pPr>
        <w:rPr>
          <w:sz w:val="20"/>
          <w:szCs w:val="20"/>
          <w:lang w:val="fr-CA"/>
        </w:rPr>
      </w:pPr>
      <w:r w:rsidRPr="00DB7F13">
        <w:rPr>
          <w:sz w:val="20"/>
          <w:szCs w:val="20"/>
          <w:lang w:val="fr-CA"/>
        </w:rPr>
        <w:pict>
          <v:rect id="_x0000_i1049" style="width:2in;height:1pt" o:hrpct="0" o:hralign="center" o:hrstd="t" o:hrnoshade="t" o:hr="t" fillcolor="black [3213]" stroked="f"/>
        </w:pict>
      </w:r>
    </w:p>
    <w:p w:rsidR="007E6660" w:rsidRDefault="007E6660" w:rsidP="007E6660">
      <w:pPr>
        <w:ind w:left="1440" w:hanging="1440"/>
        <w:rPr>
          <w:b/>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617E3" w:rsidRPr="00FF4B6E" w:rsidTr="007617E3">
        <w:trPr>
          <w:cantSplit/>
        </w:trPr>
        <w:tc>
          <w:tcPr>
            <w:tcW w:w="1458" w:type="dxa"/>
          </w:tcPr>
          <w:p w:rsidR="007617E3" w:rsidRPr="007617E3" w:rsidRDefault="007617E3" w:rsidP="007617E3">
            <w:pPr>
              <w:rPr>
                <w:sz w:val="20"/>
              </w:rPr>
            </w:pPr>
            <w:r w:rsidRPr="007617E3">
              <w:rPr>
                <w:b/>
                <w:sz w:val="20"/>
                <w:lang w:val="fr-CA"/>
              </w:rPr>
              <w:t>34490</w:t>
            </w:r>
          </w:p>
          <w:p w:rsidR="007617E3" w:rsidRPr="007617E3" w:rsidRDefault="007617E3" w:rsidP="007617E3">
            <w:pPr>
              <w:rPr>
                <w:b/>
                <w:sz w:val="20"/>
                <w:lang w:val="fr-CA"/>
              </w:rPr>
            </w:pPr>
          </w:p>
        </w:tc>
        <w:tc>
          <w:tcPr>
            <w:tcW w:w="8118" w:type="dxa"/>
          </w:tcPr>
          <w:p w:rsidR="007617E3" w:rsidRPr="007617E3" w:rsidRDefault="007617E3" w:rsidP="007617E3">
            <w:pPr>
              <w:rPr>
                <w:sz w:val="20"/>
                <w:lang w:val="fr-CA"/>
              </w:rPr>
            </w:pPr>
            <w:r w:rsidRPr="007617E3">
              <w:rPr>
                <w:b/>
                <w:sz w:val="20"/>
                <w:u w:val="single"/>
                <w:lang w:val="fr-CA"/>
              </w:rPr>
              <w:t xml:space="preserve">Constructions </w:t>
            </w:r>
            <w:proofErr w:type="spellStart"/>
            <w:r w:rsidRPr="007617E3">
              <w:rPr>
                <w:b/>
                <w:sz w:val="20"/>
                <w:u w:val="single"/>
                <w:lang w:val="fr-CA"/>
              </w:rPr>
              <w:t>Louisbourg</w:t>
            </w:r>
            <w:proofErr w:type="spellEnd"/>
            <w:r w:rsidRPr="007617E3">
              <w:rPr>
                <w:b/>
                <w:sz w:val="20"/>
                <w:u w:val="single"/>
                <w:lang w:val="fr-CA"/>
              </w:rPr>
              <w:t xml:space="preserve"> </w:t>
            </w:r>
            <w:proofErr w:type="spellStart"/>
            <w:r w:rsidRPr="007617E3">
              <w:rPr>
                <w:b/>
                <w:sz w:val="20"/>
                <w:u w:val="single"/>
                <w:lang w:val="fr-CA"/>
              </w:rPr>
              <w:t>ltée</w:t>
            </w:r>
            <w:proofErr w:type="spellEnd"/>
            <w:r w:rsidRPr="007617E3">
              <w:rPr>
                <w:b/>
                <w:sz w:val="20"/>
                <w:u w:val="single"/>
                <w:lang w:val="fr-CA"/>
              </w:rPr>
              <w:t xml:space="preserve">, Simard-Beaudry Construction </w:t>
            </w:r>
            <w:proofErr w:type="spellStart"/>
            <w:r w:rsidRPr="007617E3">
              <w:rPr>
                <w:b/>
                <w:sz w:val="20"/>
                <w:u w:val="single"/>
                <w:lang w:val="fr-CA"/>
              </w:rPr>
              <w:t>inc</w:t>
            </w:r>
            <w:proofErr w:type="spellEnd"/>
            <w:r w:rsidRPr="007617E3">
              <w:rPr>
                <w:b/>
                <w:sz w:val="20"/>
                <w:u w:val="single"/>
                <w:lang w:val="fr-CA"/>
              </w:rPr>
              <w:t xml:space="preserve">., Antonio </w:t>
            </w:r>
            <w:proofErr w:type="spellStart"/>
            <w:r w:rsidRPr="007617E3">
              <w:rPr>
                <w:b/>
                <w:sz w:val="20"/>
                <w:u w:val="single"/>
                <w:lang w:val="fr-CA"/>
              </w:rPr>
              <w:t>Accurso</w:t>
            </w:r>
            <w:proofErr w:type="spellEnd"/>
            <w:r w:rsidRPr="007617E3">
              <w:rPr>
                <w:b/>
                <w:sz w:val="20"/>
                <w:u w:val="single"/>
                <w:lang w:val="fr-CA"/>
              </w:rPr>
              <w:t xml:space="preserve"> c. Agence du Revenu du Québec, Sylvain Brassard, Amina </w:t>
            </w:r>
            <w:proofErr w:type="spellStart"/>
            <w:r w:rsidRPr="007617E3">
              <w:rPr>
                <w:b/>
                <w:sz w:val="20"/>
                <w:u w:val="single"/>
                <w:lang w:val="fr-CA"/>
              </w:rPr>
              <w:t>Aljiad</w:t>
            </w:r>
            <w:proofErr w:type="spellEnd"/>
            <w:r w:rsidRPr="007617E3">
              <w:rPr>
                <w:b/>
                <w:sz w:val="20"/>
                <w:u w:val="single"/>
                <w:lang w:val="fr-CA"/>
              </w:rPr>
              <w:t>, Sylvie Robichaud, tous en leur qualité d'employés de l'Agence du Revenu du Québec</w:t>
            </w:r>
            <w:r w:rsidRPr="007617E3">
              <w:rPr>
                <w:sz w:val="20"/>
                <w:lang w:val="fr-CA"/>
              </w:rPr>
              <w:t xml:space="preserve"> (</w:t>
            </w:r>
            <w:proofErr w:type="spellStart"/>
            <w:r w:rsidRPr="007617E3">
              <w:rPr>
                <w:sz w:val="20"/>
                <w:lang w:val="fr-CA"/>
              </w:rPr>
              <w:t>Qc</w:t>
            </w:r>
            <w:proofErr w:type="spellEnd"/>
            <w:r w:rsidRPr="007617E3">
              <w:rPr>
                <w:sz w:val="20"/>
                <w:lang w:val="fr-CA"/>
              </w:rPr>
              <w:t>) (Civile) (Autorisation)</w:t>
            </w:r>
          </w:p>
          <w:p w:rsidR="007617E3" w:rsidRPr="007617E3" w:rsidRDefault="007617E3" w:rsidP="007617E3">
            <w:pPr>
              <w:rPr>
                <w:sz w:val="20"/>
                <w:lang w:val="fr-CA"/>
              </w:rPr>
            </w:pPr>
          </w:p>
        </w:tc>
      </w:tr>
      <w:tr w:rsidR="007617E3" w:rsidRPr="00FF4B6E" w:rsidTr="007617E3">
        <w:trPr>
          <w:cantSplit/>
        </w:trPr>
        <w:tc>
          <w:tcPr>
            <w:tcW w:w="1458" w:type="dxa"/>
          </w:tcPr>
          <w:p w:rsidR="007617E3" w:rsidRPr="007617E3" w:rsidRDefault="007617E3" w:rsidP="007617E3">
            <w:pPr>
              <w:rPr>
                <w:sz w:val="20"/>
              </w:rPr>
            </w:pPr>
            <w:r w:rsidRPr="007617E3">
              <w:rPr>
                <w:sz w:val="20"/>
              </w:rPr>
              <w:t>Coram :</w:t>
            </w:r>
          </w:p>
        </w:tc>
        <w:tc>
          <w:tcPr>
            <w:tcW w:w="8118" w:type="dxa"/>
          </w:tcPr>
          <w:p w:rsidR="007617E3" w:rsidRPr="007617E3" w:rsidRDefault="007617E3" w:rsidP="007617E3">
            <w:pPr>
              <w:rPr>
                <w:sz w:val="20"/>
                <w:lang w:val="fr-CA"/>
              </w:rPr>
            </w:pPr>
            <w:r w:rsidRPr="007617E3">
              <w:rPr>
                <w:sz w:val="20"/>
                <w:u w:val="single"/>
                <w:lang w:val="fr-CA"/>
              </w:rPr>
              <w:t xml:space="preserve">Les juges Deschamps, Fish et </w:t>
            </w:r>
            <w:proofErr w:type="spellStart"/>
            <w:r w:rsidRPr="007617E3">
              <w:rPr>
                <w:sz w:val="20"/>
                <w:u w:val="single"/>
                <w:lang w:val="fr-CA"/>
              </w:rPr>
              <w:t>Karakatsanis</w:t>
            </w:r>
            <w:proofErr w:type="spellEnd"/>
          </w:p>
          <w:p w:rsidR="007617E3" w:rsidRPr="007617E3" w:rsidRDefault="007617E3" w:rsidP="007617E3">
            <w:pPr>
              <w:rPr>
                <w:sz w:val="20"/>
                <w:u w:val="single"/>
                <w:lang w:val="fr-CA"/>
              </w:rPr>
            </w:pPr>
          </w:p>
        </w:tc>
      </w:tr>
      <w:tr w:rsidR="007617E3" w:rsidRPr="007617E3" w:rsidTr="007617E3">
        <w:trPr>
          <w:cantSplit/>
        </w:trPr>
        <w:tc>
          <w:tcPr>
            <w:tcW w:w="9576" w:type="dxa"/>
            <w:gridSpan w:val="2"/>
          </w:tcPr>
          <w:p w:rsidR="007617E3" w:rsidRPr="007617E3" w:rsidRDefault="007617E3" w:rsidP="007617E3">
            <w:pPr>
              <w:ind w:firstLine="720"/>
              <w:jc w:val="both"/>
              <w:rPr>
                <w:sz w:val="20"/>
                <w:lang w:val="fr-CA"/>
              </w:rPr>
            </w:pPr>
            <w:r w:rsidRPr="007617E3">
              <w:rPr>
                <w:sz w:val="20"/>
                <w:lang w:val="fr-CA"/>
              </w:rPr>
              <w:t>La demande d’autorisation d’appel de l’arrêt de la Cour d’appel du Québec (Montréal), numéro 500-10-004993-117, 2011 QCCA 1636, daté du 13 septembre 2011, est rejetée avec dépens. La requête visant une ordonnance d’</w:t>
            </w:r>
            <w:proofErr w:type="spellStart"/>
            <w:r w:rsidRPr="007617E3">
              <w:rPr>
                <w:sz w:val="20"/>
                <w:lang w:val="fr-CA"/>
              </w:rPr>
              <w:t>entiercement</w:t>
            </w:r>
            <w:proofErr w:type="spellEnd"/>
            <w:r w:rsidRPr="007617E3">
              <w:rPr>
                <w:sz w:val="20"/>
                <w:lang w:val="fr-CA"/>
              </w:rPr>
              <w:t xml:space="preserve"> provisoire des documents saisis est sans objet.</w:t>
            </w:r>
          </w:p>
          <w:p w:rsidR="007617E3" w:rsidRPr="007617E3" w:rsidRDefault="007617E3" w:rsidP="007617E3">
            <w:pPr>
              <w:jc w:val="both"/>
              <w:rPr>
                <w:sz w:val="20"/>
                <w:lang w:val="fr-CA"/>
              </w:rPr>
            </w:pPr>
          </w:p>
          <w:p w:rsidR="007617E3" w:rsidRPr="007617E3" w:rsidRDefault="007617E3" w:rsidP="007617E3">
            <w:pPr>
              <w:ind w:firstLine="720"/>
              <w:jc w:val="both"/>
              <w:rPr>
                <w:sz w:val="20"/>
              </w:rPr>
            </w:pPr>
            <w:r w:rsidRPr="007617E3">
              <w:rPr>
                <w:sz w:val="20"/>
              </w:rPr>
              <w:t>The application for leave to appeal from the judgment of the Court of Appeal of Quebec (Montréal), Number 500-10-004993-117, 2011 QCCA 1636, dated September 13, 2011, is dismissed with costs. The motion for an interim order impounding the seized documents is moot.</w:t>
            </w:r>
          </w:p>
        </w:tc>
      </w:tr>
    </w:tbl>
    <w:p w:rsidR="007E6660" w:rsidRDefault="007E6660" w:rsidP="007E6660">
      <w:pPr>
        <w:ind w:left="1440" w:hanging="1440"/>
        <w:rPr>
          <w:b/>
          <w:sz w:val="20"/>
          <w:szCs w:val="20"/>
        </w:rPr>
      </w:pPr>
    </w:p>
    <w:p w:rsidR="007E6660" w:rsidRDefault="007E6660" w:rsidP="007E6660">
      <w:pPr>
        <w:rPr>
          <w:sz w:val="20"/>
          <w:szCs w:val="20"/>
          <w:u w:val="single"/>
        </w:rPr>
      </w:pPr>
      <w:r w:rsidRPr="00E35EA0">
        <w:rPr>
          <w:sz w:val="20"/>
          <w:szCs w:val="20"/>
          <w:u w:val="single"/>
        </w:rPr>
        <w:lastRenderedPageBreak/>
        <w:t>CASE SUMMARY</w:t>
      </w:r>
    </w:p>
    <w:p w:rsidR="007E6660" w:rsidRDefault="007E6660" w:rsidP="007E6660">
      <w:pPr>
        <w:rPr>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7D6A45" w:rsidRPr="002F64ED" w:rsidTr="007D6A45">
        <w:tc>
          <w:tcPr>
            <w:tcW w:w="5000" w:type="pct"/>
            <w:gridSpan w:val="3"/>
          </w:tcPr>
          <w:p w:rsidR="007D6A45" w:rsidRPr="002F64ED" w:rsidRDefault="007D6A45" w:rsidP="007D6A45">
            <w:pPr>
              <w:jc w:val="both"/>
              <w:rPr>
                <w:rFonts w:eastAsia="Calibri"/>
                <w:smallCaps/>
                <w:sz w:val="20"/>
              </w:rPr>
            </w:pPr>
            <w:r w:rsidRPr="002F64ED">
              <w:rPr>
                <w:rFonts w:eastAsia="Calibri"/>
                <w:smallCaps/>
                <w:sz w:val="20"/>
              </w:rPr>
              <w:t>(Sealing order)</w:t>
            </w:r>
          </w:p>
          <w:p w:rsidR="007D6A45" w:rsidRPr="002F64ED" w:rsidRDefault="007D6A45" w:rsidP="007D6A45">
            <w:pPr>
              <w:jc w:val="both"/>
              <w:rPr>
                <w:rFonts w:eastAsia="Calibri"/>
                <w:sz w:val="20"/>
              </w:rPr>
            </w:pPr>
          </w:p>
          <w:p w:rsidR="007D6A45" w:rsidRDefault="007D6A45" w:rsidP="007D6A45">
            <w:pPr>
              <w:jc w:val="both"/>
              <w:rPr>
                <w:rFonts w:eastAsia="Calibri"/>
                <w:sz w:val="20"/>
              </w:rPr>
            </w:pPr>
            <w:r w:rsidRPr="002F64ED">
              <w:rPr>
                <w:rFonts w:eastAsia="Calibri"/>
                <w:sz w:val="20"/>
              </w:rPr>
              <w:t xml:space="preserve">Canadian Charter of Rights and Freedoms — Procedure — Interlocutory relief — Documents seized in accordance with tax legislation — Motion for order impounding seized documents dismissed — Documents sealed pending final judgment on motion for </w:t>
            </w:r>
            <w:r w:rsidRPr="002F64ED">
              <w:rPr>
                <w:rFonts w:eastAsia="Calibri"/>
                <w:i/>
                <w:sz w:val="20"/>
              </w:rPr>
              <w:t xml:space="preserve">certiorari </w:t>
            </w:r>
            <w:r w:rsidRPr="002F64ED">
              <w:rPr>
                <w:rFonts w:eastAsia="Calibri"/>
                <w:sz w:val="20"/>
              </w:rPr>
              <w:t xml:space="preserve">with respect to legality of search warrants — Whether Court of Appeal erred in calling Supreme Court of Canada’s holding in </w:t>
            </w:r>
            <w:r w:rsidRPr="002F64ED">
              <w:rPr>
                <w:rFonts w:eastAsia="Calibri"/>
                <w:i/>
                <w:sz w:val="20"/>
              </w:rPr>
              <w:t>143471 Canada Inc. v. Quebec (AG)</w:t>
            </w:r>
            <w:r w:rsidRPr="002F64ED">
              <w:rPr>
                <w:rFonts w:eastAsia="Calibri"/>
                <w:sz w:val="20"/>
              </w:rPr>
              <w:t xml:space="preserve"> into question by stating that irreparable harm must be [</w:t>
            </w:r>
            <w:r w:rsidRPr="002F64ED">
              <w:rPr>
                <w:rFonts w:eastAsia="Calibri"/>
                <w:smallCaps/>
                <w:sz w:val="20"/>
              </w:rPr>
              <w:t>translation</w:t>
            </w:r>
            <w:r w:rsidRPr="002F64ED">
              <w:rPr>
                <w:rFonts w:eastAsia="Calibri"/>
                <w:sz w:val="20"/>
              </w:rPr>
              <w:t xml:space="preserve">] “specific harm” to applicants and confirming that public interest would be better served by application and enforcement of tax legislation — Whether Court of Appeal erred in reducing expectation of privacy by stating that application and enforcement of </w:t>
            </w:r>
            <w:r w:rsidRPr="002F64ED">
              <w:rPr>
                <w:rFonts w:eastAsia="Calibri"/>
                <w:i/>
                <w:sz w:val="20"/>
              </w:rPr>
              <w:t xml:space="preserve">Excise Tax Act </w:t>
            </w:r>
            <w:r w:rsidRPr="002F64ED">
              <w:rPr>
                <w:rFonts w:eastAsia="Calibri"/>
                <w:sz w:val="20"/>
              </w:rPr>
              <w:t>is [</w:t>
            </w:r>
            <w:r w:rsidRPr="002F64ED">
              <w:rPr>
                <w:rFonts w:eastAsia="Calibri"/>
                <w:smallCaps/>
                <w:sz w:val="20"/>
              </w:rPr>
              <w:t>translation</w:t>
            </w:r>
            <w:r w:rsidRPr="002F64ED">
              <w:rPr>
                <w:rFonts w:eastAsia="Calibri"/>
                <w:sz w:val="20"/>
              </w:rPr>
              <w:t xml:space="preserve">] “highly regulated . . . activity” and rejecting application of guarantee against unreasonable search or seizure set out in s. 8 of </w:t>
            </w:r>
            <w:r w:rsidRPr="002F64ED">
              <w:rPr>
                <w:rFonts w:eastAsia="Calibri"/>
                <w:i/>
                <w:sz w:val="20"/>
              </w:rPr>
              <w:t>Canadian Charter</w:t>
            </w:r>
            <w:r w:rsidRPr="002F64ED">
              <w:rPr>
                <w:rFonts w:eastAsia="Calibri"/>
                <w:sz w:val="20"/>
              </w:rPr>
              <w:t xml:space="preserve"> where tax authority investigating possibility of laying criminal charges against taxpayer — Whether Court of Appeal erred in holding that possibility of award of damages in respect of violation of rights guaranteed by </w:t>
            </w:r>
            <w:r w:rsidRPr="002F64ED">
              <w:rPr>
                <w:rFonts w:eastAsia="Calibri"/>
                <w:i/>
                <w:sz w:val="20"/>
              </w:rPr>
              <w:t xml:space="preserve">Canadian Charter </w:t>
            </w:r>
            <w:r w:rsidRPr="002F64ED">
              <w:rPr>
                <w:rFonts w:eastAsia="Calibri"/>
                <w:sz w:val="20"/>
              </w:rPr>
              <w:t xml:space="preserve">would deprive </w:t>
            </w:r>
            <w:r w:rsidRPr="002F64ED">
              <w:rPr>
                <w:rFonts w:eastAsia="Calibri"/>
                <w:i/>
                <w:sz w:val="20"/>
              </w:rPr>
              <w:t xml:space="preserve">Charter </w:t>
            </w:r>
            <w:r w:rsidRPr="002F64ED">
              <w:rPr>
                <w:rFonts w:eastAsia="Calibri"/>
                <w:sz w:val="20"/>
              </w:rPr>
              <w:t>of its preventive function.</w:t>
            </w:r>
          </w:p>
          <w:p w:rsidR="007D6A45" w:rsidRPr="002F64ED" w:rsidRDefault="007D6A45" w:rsidP="007D6A45">
            <w:pPr>
              <w:jc w:val="both"/>
              <w:rPr>
                <w:rFonts w:eastAsia="Calibri"/>
                <w:sz w:val="20"/>
              </w:rPr>
            </w:pPr>
          </w:p>
        </w:tc>
      </w:tr>
      <w:tr w:rsidR="007D6A45" w:rsidRPr="002F64ED" w:rsidTr="007D6A45">
        <w:tc>
          <w:tcPr>
            <w:tcW w:w="5000" w:type="pct"/>
            <w:gridSpan w:val="3"/>
          </w:tcPr>
          <w:p w:rsidR="007D6A45" w:rsidRPr="002F64ED" w:rsidRDefault="007D6A45" w:rsidP="007D6A45">
            <w:pPr>
              <w:jc w:val="both"/>
              <w:rPr>
                <w:rFonts w:eastAsia="Calibri"/>
                <w:sz w:val="20"/>
              </w:rPr>
            </w:pPr>
            <w:r w:rsidRPr="002F64ED">
              <w:rPr>
                <w:rFonts w:eastAsia="Calibri"/>
                <w:sz w:val="20"/>
              </w:rPr>
              <w:t xml:space="preserve">The applicants </w:t>
            </w:r>
            <w:proofErr w:type="spellStart"/>
            <w:r w:rsidRPr="002F64ED">
              <w:rPr>
                <w:rFonts w:eastAsia="Calibri"/>
                <w:sz w:val="20"/>
              </w:rPr>
              <w:t>Louisbourg</w:t>
            </w:r>
            <w:proofErr w:type="spellEnd"/>
            <w:r w:rsidRPr="002F64ED">
              <w:rPr>
                <w:rFonts w:eastAsia="Calibri"/>
                <w:sz w:val="20"/>
              </w:rPr>
              <w:t xml:space="preserve"> Construction Ltd. (</w:t>
            </w:r>
            <w:proofErr w:type="spellStart"/>
            <w:r w:rsidRPr="002F64ED">
              <w:rPr>
                <w:rFonts w:eastAsia="Calibri"/>
                <w:sz w:val="20"/>
              </w:rPr>
              <w:t>Louisbourg</w:t>
            </w:r>
            <w:proofErr w:type="spellEnd"/>
            <w:r w:rsidRPr="002F64ED">
              <w:rPr>
                <w:rFonts w:eastAsia="Calibri"/>
                <w:sz w:val="20"/>
              </w:rPr>
              <w:t xml:space="preserve">) and </w:t>
            </w:r>
            <w:proofErr w:type="spellStart"/>
            <w:r w:rsidRPr="002F64ED">
              <w:rPr>
                <w:rFonts w:eastAsia="Calibri"/>
                <w:sz w:val="20"/>
              </w:rPr>
              <w:t>Simard-Beaudry</w:t>
            </w:r>
            <w:proofErr w:type="spellEnd"/>
            <w:r w:rsidRPr="002F64ED">
              <w:rPr>
                <w:rFonts w:eastAsia="Calibri"/>
                <w:sz w:val="20"/>
              </w:rPr>
              <w:t xml:space="preserve"> Construction Inc. (</w:t>
            </w:r>
            <w:proofErr w:type="spellStart"/>
            <w:r w:rsidRPr="002F64ED">
              <w:rPr>
                <w:rFonts w:eastAsia="Calibri"/>
                <w:sz w:val="20"/>
              </w:rPr>
              <w:t>Simard-Beaudry</w:t>
            </w:r>
            <w:proofErr w:type="spellEnd"/>
            <w:r w:rsidRPr="002F64ED">
              <w:rPr>
                <w:rFonts w:eastAsia="Calibri"/>
                <w:sz w:val="20"/>
              </w:rPr>
              <w:t xml:space="preserve">) made a motion for </w:t>
            </w:r>
            <w:r w:rsidRPr="002F64ED">
              <w:rPr>
                <w:rFonts w:eastAsia="Calibri"/>
                <w:i/>
                <w:sz w:val="20"/>
              </w:rPr>
              <w:t xml:space="preserve">certiorari </w:t>
            </w:r>
            <w:r w:rsidRPr="002F64ED">
              <w:rPr>
                <w:rFonts w:eastAsia="Calibri"/>
                <w:sz w:val="20"/>
              </w:rPr>
              <w:t xml:space="preserve">in which they asked a judge to quash search warrants that had been issued on July 14, 2011 at the request of the </w:t>
            </w:r>
            <w:proofErr w:type="spellStart"/>
            <w:r w:rsidRPr="002F64ED">
              <w:rPr>
                <w:rFonts w:eastAsia="Calibri"/>
                <w:sz w:val="20"/>
              </w:rPr>
              <w:t>Agence</w:t>
            </w:r>
            <w:proofErr w:type="spellEnd"/>
            <w:r w:rsidRPr="002F64ED">
              <w:rPr>
                <w:rFonts w:eastAsia="Calibri"/>
                <w:sz w:val="20"/>
              </w:rPr>
              <w:t xml:space="preserve"> de </w:t>
            </w:r>
            <w:proofErr w:type="spellStart"/>
            <w:r w:rsidRPr="002F64ED">
              <w:rPr>
                <w:rFonts w:eastAsia="Calibri"/>
                <w:sz w:val="20"/>
              </w:rPr>
              <w:t>revenu</w:t>
            </w:r>
            <w:proofErr w:type="spellEnd"/>
            <w:r w:rsidRPr="002F64ED">
              <w:rPr>
                <w:rFonts w:eastAsia="Calibri"/>
                <w:sz w:val="20"/>
              </w:rPr>
              <w:t xml:space="preserve"> du Québec (ARQ).  These warrants authorized the seizure of various documents in the offices of the Canada Revenue Agency (CRA) that the CRA had itself seized in the course of an investigation it had conducted in 2008 and 2009.  </w:t>
            </w:r>
            <w:proofErr w:type="spellStart"/>
            <w:r w:rsidRPr="002F64ED">
              <w:rPr>
                <w:rFonts w:eastAsia="Calibri"/>
                <w:sz w:val="20"/>
              </w:rPr>
              <w:t>Louisbourg</w:t>
            </w:r>
            <w:proofErr w:type="spellEnd"/>
            <w:r w:rsidRPr="002F64ED">
              <w:rPr>
                <w:rFonts w:eastAsia="Calibri"/>
                <w:sz w:val="20"/>
              </w:rPr>
              <w:t xml:space="preserve"> and </w:t>
            </w:r>
            <w:proofErr w:type="spellStart"/>
            <w:r w:rsidRPr="002F64ED">
              <w:rPr>
                <w:rFonts w:eastAsia="Calibri"/>
                <w:sz w:val="20"/>
              </w:rPr>
              <w:t>Simard-Beaudry</w:t>
            </w:r>
            <w:proofErr w:type="spellEnd"/>
            <w:r w:rsidRPr="002F64ED">
              <w:rPr>
                <w:rFonts w:eastAsia="Calibri"/>
                <w:sz w:val="20"/>
              </w:rPr>
              <w:t xml:space="preserve"> had pleaded guilty on December 7, 2010 to the charges brought by the CRA.  </w:t>
            </w:r>
            <w:proofErr w:type="spellStart"/>
            <w:r w:rsidRPr="002F64ED">
              <w:rPr>
                <w:rFonts w:eastAsia="Calibri"/>
                <w:sz w:val="20"/>
              </w:rPr>
              <w:t>Louisbourg</w:t>
            </w:r>
            <w:proofErr w:type="spellEnd"/>
            <w:r w:rsidRPr="002F64ED">
              <w:rPr>
                <w:rFonts w:eastAsia="Calibri"/>
                <w:sz w:val="20"/>
              </w:rPr>
              <w:t xml:space="preserve"> and </w:t>
            </w:r>
            <w:proofErr w:type="spellStart"/>
            <w:r w:rsidRPr="002F64ED">
              <w:rPr>
                <w:rFonts w:eastAsia="Calibri"/>
                <w:sz w:val="20"/>
              </w:rPr>
              <w:t>Simard-Beaudry</w:t>
            </w:r>
            <w:proofErr w:type="spellEnd"/>
            <w:r w:rsidRPr="002F64ED">
              <w:rPr>
                <w:rFonts w:eastAsia="Calibri"/>
                <w:sz w:val="20"/>
              </w:rPr>
              <w:t xml:space="preserve"> also asked the Superior Court to order that the seized documents be impounded to prevent the ARQ’s investigators from consulting them pending the Superior Court’s judgment.</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August 10, 2011</w:t>
            </w:r>
          </w:p>
          <w:p w:rsidR="007D6A45" w:rsidRPr="002F64ED" w:rsidRDefault="007D6A45" w:rsidP="007D6A45">
            <w:pPr>
              <w:jc w:val="both"/>
              <w:rPr>
                <w:rFonts w:eastAsia="Calibri"/>
                <w:sz w:val="20"/>
              </w:rPr>
            </w:pPr>
            <w:r w:rsidRPr="002F64ED">
              <w:rPr>
                <w:rFonts w:eastAsia="Calibri"/>
                <w:sz w:val="20"/>
              </w:rPr>
              <w:t>Quebec Superior Court</w:t>
            </w:r>
          </w:p>
          <w:p w:rsidR="007D6A45" w:rsidRDefault="007D6A45" w:rsidP="007D6A45">
            <w:pPr>
              <w:jc w:val="both"/>
              <w:rPr>
                <w:rFonts w:eastAsia="Calibri"/>
                <w:sz w:val="20"/>
              </w:rPr>
            </w:pPr>
            <w:r w:rsidRPr="002F64ED">
              <w:rPr>
                <w:rFonts w:eastAsia="Calibri"/>
                <w:sz w:val="20"/>
              </w:rPr>
              <w:t>(Bourque J.)</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Motion to impound dismissed; interim impounding order dated August 3, 2011 set aside</w:t>
            </w: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September 13, 2011</w:t>
            </w:r>
          </w:p>
          <w:p w:rsidR="007D6A45" w:rsidRPr="002F64ED" w:rsidRDefault="007D6A45" w:rsidP="007D6A45">
            <w:pPr>
              <w:jc w:val="both"/>
              <w:rPr>
                <w:rFonts w:eastAsia="Calibri"/>
                <w:sz w:val="20"/>
              </w:rPr>
            </w:pPr>
            <w:r w:rsidRPr="002F64ED">
              <w:rPr>
                <w:rFonts w:eastAsia="Calibri"/>
                <w:sz w:val="20"/>
              </w:rPr>
              <w:t>Quebec Court of Appeal (Montréal)</w:t>
            </w:r>
          </w:p>
          <w:p w:rsidR="007D6A45" w:rsidRDefault="007D6A45" w:rsidP="007D6A45">
            <w:pPr>
              <w:jc w:val="both"/>
              <w:rPr>
                <w:rFonts w:eastAsia="Calibri"/>
                <w:sz w:val="20"/>
              </w:rPr>
            </w:pPr>
            <w:r w:rsidRPr="002F64ED">
              <w:rPr>
                <w:rFonts w:eastAsia="Calibri"/>
                <w:sz w:val="20"/>
              </w:rPr>
              <w:t xml:space="preserve">(Doyon, </w:t>
            </w:r>
            <w:proofErr w:type="spellStart"/>
            <w:r w:rsidRPr="002F64ED">
              <w:rPr>
                <w:rFonts w:eastAsia="Calibri"/>
                <w:sz w:val="20"/>
              </w:rPr>
              <w:t>Dufresne</w:t>
            </w:r>
            <w:proofErr w:type="spellEnd"/>
            <w:r w:rsidRPr="002F64ED">
              <w:rPr>
                <w:rFonts w:eastAsia="Calibri"/>
                <w:sz w:val="20"/>
              </w:rPr>
              <w:t xml:space="preserve"> and Wagner JJ.A.)</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Appeal dismissed; motions to dismiss appeal and to impound pending appeal declared to be moot</w:t>
            </w: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October 11, 2011</w:t>
            </w:r>
          </w:p>
          <w:p w:rsidR="007D6A45" w:rsidRDefault="007D6A45" w:rsidP="007D6A45">
            <w:pPr>
              <w:jc w:val="both"/>
              <w:rPr>
                <w:rFonts w:eastAsia="Calibri"/>
                <w:sz w:val="20"/>
              </w:rPr>
            </w:pPr>
            <w:r w:rsidRPr="002F64ED">
              <w:rPr>
                <w:rFonts w:eastAsia="Calibri"/>
                <w:sz w:val="20"/>
              </w:rPr>
              <w:t>Supreme Court of Canada</w:t>
            </w:r>
          </w:p>
          <w:p w:rsidR="007D6A45" w:rsidRPr="002F64ED" w:rsidRDefault="007D6A45" w:rsidP="007D6A45">
            <w:pPr>
              <w:jc w:val="both"/>
              <w:rPr>
                <w:rFonts w:eastAsia="Calibri"/>
                <w:sz w:val="20"/>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Application for leave to appeal filed</w:t>
            </w:r>
          </w:p>
          <w:p w:rsidR="007D6A45" w:rsidRPr="002F64ED" w:rsidRDefault="007D6A45" w:rsidP="007D6A45">
            <w:pPr>
              <w:jc w:val="both"/>
              <w:rPr>
                <w:rFonts w:eastAsia="Calibri"/>
                <w:sz w:val="20"/>
              </w:rPr>
            </w:pPr>
          </w:p>
        </w:tc>
      </w:tr>
      <w:tr w:rsidR="007D6A45" w:rsidRPr="002F64ED" w:rsidTr="007D6A45">
        <w:tc>
          <w:tcPr>
            <w:tcW w:w="2427" w:type="pct"/>
          </w:tcPr>
          <w:p w:rsidR="007D6A45" w:rsidRPr="002F64ED" w:rsidRDefault="007D6A45" w:rsidP="007D6A45">
            <w:pPr>
              <w:jc w:val="both"/>
              <w:rPr>
                <w:rFonts w:eastAsia="Calibri"/>
                <w:sz w:val="20"/>
              </w:rPr>
            </w:pPr>
            <w:r w:rsidRPr="002F64ED">
              <w:rPr>
                <w:rFonts w:eastAsia="Calibri"/>
                <w:sz w:val="20"/>
              </w:rPr>
              <w:t>October 31, 2011</w:t>
            </w:r>
          </w:p>
          <w:p w:rsidR="007D6A45" w:rsidRPr="002F64ED" w:rsidRDefault="007D6A45" w:rsidP="007D6A45">
            <w:pPr>
              <w:jc w:val="both"/>
              <w:rPr>
                <w:rFonts w:eastAsia="Calibri"/>
                <w:sz w:val="20"/>
              </w:rPr>
            </w:pPr>
            <w:r w:rsidRPr="002F64ED">
              <w:rPr>
                <w:rFonts w:eastAsia="Calibri"/>
                <w:sz w:val="20"/>
              </w:rPr>
              <w:t>Supreme Court of Canada</w:t>
            </w: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rPr>
            </w:pPr>
            <w:r w:rsidRPr="002F64ED">
              <w:rPr>
                <w:rFonts w:eastAsia="Calibri"/>
                <w:sz w:val="20"/>
              </w:rPr>
              <w:t>Motion for stay of execution filed.</w:t>
            </w:r>
          </w:p>
        </w:tc>
      </w:tr>
    </w:tbl>
    <w:p w:rsidR="007E6660" w:rsidRPr="00E35EA0" w:rsidRDefault="007E6660" w:rsidP="007E6660">
      <w:pPr>
        <w:rPr>
          <w:sz w:val="20"/>
          <w:szCs w:val="20"/>
        </w:rPr>
      </w:pPr>
    </w:p>
    <w:p w:rsidR="007E6660" w:rsidRPr="00E35EA0" w:rsidRDefault="00DB7F13" w:rsidP="007E6660">
      <w:pPr>
        <w:rPr>
          <w:sz w:val="20"/>
          <w:szCs w:val="20"/>
        </w:rPr>
      </w:pPr>
      <w:r w:rsidRPr="00DB7F13">
        <w:rPr>
          <w:sz w:val="20"/>
          <w:szCs w:val="20"/>
          <w:lang w:val="fr-CA"/>
        </w:rPr>
        <w:pict>
          <v:rect id="_x0000_i1050" style="width:2in;height:1pt" o:hrpct="0" o:hralign="center" o:hrstd="t" o:hrnoshade="t" o:hr="t" fillcolor="black [3213]" stroked="f"/>
        </w:pict>
      </w:r>
    </w:p>
    <w:p w:rsidR="007E6660" w:rsidRPr="00E35EA0" w:rsidRDefault="007E6660" w:rsidP="007E6660">
      <w:pPr>
        <w:rPr>
          <w:sz w:val="20"/>
          <w:szCs w:val="20"/>
        </w:rPr>
      </w:pPr>
    </w:p>
    <w:p w:rsidR="007E6660" w:rsidRPr="00E35EA0" w:rsidRDefault="007E6660" w:rsidP="007E6660">
      <w:pPr>
        <w:rPr>
          <w:sz w:val="20"/>
          <w:szCs w:val="20"/>
          <w:u w:val="single"/>
          <w:lang w:val="fr-CA"/>
        </w:rPr>
      </w:pPr>
      <w:r w:rsidRPr="00E35EA0">
        <w:rPr>
          <w:sz w:val="20"/>
          <w:szCs w:val="20"/>
          <w:u w:val="single"/>
          <w:lang w:val="fr-CA"/>
        </w:rPr>
        <w:t>RÉSUMÉ DE L’AFFAIRE</w:t>
      </w:r>
    </w:p>
    <w:p w:rsidR="007E6660" w:rsidRPr="00E35EA0" w:rsidRDefault="007E6660" w:rsidP="007E6660">
      <w:pPr>
        <w:keepNext/>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D6A45" w:rsidRPr="00FF4B6E" w:rsidTr="007D6A45">
        <w:tc>
          <w:tcPr>
            <w:tcW w:w="5000" w:type="pct"/>
            <w:gridSpan w:val="3"/>
          </w:tcPr>
          <w:p w:rsidR="007D6A45" w:rsidRPr="002F64ED" w:rsidRDefault="007D6A45" w:rsidP="007D6A45">
            <w:pPr>
              <w:jc w:val="both"/>
              <w:rPr>
                <w:rFonts w:eastAsia="Calibri"/>
                <w:smallCaps/>
                <w:sz w:val="20"/>
                <w:lang w:val="fr-CA"/>
              </w:rPr>
            </w:pPr>
            <w:r>
              <w:rPr>
                <w:rFonts w:eastAsia="Calibri"/>
                <w:smallCaps/>
                <w:sz w:val="20"/>
                <w:lang w:val="fr-CA"/>
              </w:rPr>
              <w:t>(</w:t>
            </w:r>
            <w:r w:rsidRPr="002F64ED">
              <w:rPr>
                <w:rFonts w:eastAsia="Calibri"/>
                <w:smallCaps/>
                <w:sz w:val="20"/>
                <w:lang w:val="fr-CA"/>
              </w:rPr>
              <w:t>Ordonnance de mise sous scellés)</w:t>
            </w:r>
          </w:p>
          <w:p w:rsidR="007D6A45" w:rsidRPr="002F64ED" w:rsidRDefault="007D6A45" w:rsidP="007D6A45">
            <w:pPr>
              <w:jc w:val="both"/>
              <w:rPr>
                <w:rFonts w:eastAsia="Calibri"/>
                <w:sz w:val="20"/>
                <w:lang w:val="fr-CA"/>
              </w:rPr>
            </w:pPr>
          </w:p>
          <w:p w:rsidR="007D6A45" w:rsidRDefault="007D6A45" w:rsidP="007D6A45">
            <w:pPr>
              <w:jc w:val="both"/>
              <w:rPr>
                <w:rFonts w:eastAsia="Calibri"/>
                <w:sz w:val="20"/>
                <w:lang w:val="fr-CA"/>
              </w:rPr>
            </w:pPr>
            <w:r w:rsidRPr="002F64ED">
              <w:rPr>
                <w:rFonts w:eastAsia="Calibri"/>
                <w:sz w:val="20"/>
                <w:lang w:val="fr-CA"/>
              </w:rPr>
              <w:t>Charte canadienne des droits et libertés — Procédure — Redressement interlocutoire — Documents saisis conformément aux dispositions d’une loi fiscale — Requête en vue d’obtenir une ordonnance pour l’</w:t>
            </w:r>
            <w:proofErr w:type="spellStart"/>
            <w:r w:rsidRPr="002F64ED">
              <w:rPr>
                <w:rFonts w:eastAsia="Calibri"/>
                <w:sz w:val="20"/>
                <w:lang w:val="fr-CA"/>
              </w:rPr>
              <w:t>entiercement</w:t>
            </w:r>
            <w:proofErr w:type="spellEnd"/>
            <w:r w:rsidRPr="002F64ED">
              <w:rPr>
                <w:rFonts w:eastAsia="Calibri"/>
                <w:sz w:val="20"/>
                <w:lang w:val="fr-CA"/>
              </w:rPr>
              <w:t xml:space="preserve"> des documents saisis rejetée — Documents mis sous scellés jusqu’à ce que jugement final soit rendu sur une requête en </w:t>
            </w:r>
            <w:proofErr w:type="spellStart"/>
            <w:r w:rsidRPr="002F64ED">
              <w:rPr>
                <w:rFonts w:eastAsia="Calibri"/>
                <w:i/>
                <w:sz w:val="20"/>
                <w:lang w:val="fr-CA"/>
              </w:rPr>
              <w:t>certiorari</w:t>
            </w:r>
            <w:proofErr w:type="spellEnd"/>
            <w:r w:rsidRPr="002F64ED">
              <w:rPr>
                <w:rFonts w:eastAsia="Calibri"/>
                <w:i/>
                <w:sz w:val="20"/>
                <w:lang w:val="fr-CA"/>
              </w:rPr>
              <w:t xml:space="preserve"> </w:t>
            </w:r>
            <w:r w:rsidRPr="002F64ED">
              <w:rPr>
                <w:rFonts w:eastAsia="Calibri"/>
                <w:sz w:val="20"/>
                <w:lang w:val="fr-CA"/>
              </w:rPr>
              <w:t>portant sur la légalité des mandats de perquisition</w:t>
            </w:r>
            <w:r w:rsidRPr="002F64ED">
              <w:rPr>
                <w:rFonts w:eastAsia="Calibri"/>
                <w:i/>
                <w:sz w:val="20"/>
                <w:lang w:val="fr-CA"/>
              </w:rPr>
              <w:t xml:space="preserve"> </w:t>
            </w:r>
            <w:r w:rsidRPr="002F64ED">
              <w:rPr>
                <w:rFonts w:eastAsia="Calibri"/>
                <w:sz w:val="20"/>
                <w:lang w:val="fr-CA"/>
              </w:rPr>
              <w:t xml:space="preserve">— La Cour d’appel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erré en remettant en question les enseignements de la Cour suprême du Canada dans l’arrêt </w:t>
            </w:r>
            <w:r w:rsidRPr="002F64ED">
              <w:rPr>
                <w:rFonts w:eastAsia="Calibri"/>
                <w:i/>
                <w:sz w:val="20"/>
                <w:lang w:val="fr-CA"/>
              </w:rPr>
              <w:t xml:space="preserve">143471 Canada </w:t>
            </w:r>
            <w:proofErr w:type="spellStart"/>
            <w:r w:rsidRPr="002F64ED">
              <w:rPr>
                <w:rFonts w:eastAsia="Calibri"/>
                <w:i/>
                <w:sz w:val="20"/>
                <w:lang w:val="fr-CA"/>
              </w:rPr>
              <w:t>inc</w:t>
            </w:r>
            <w:proofErr w:type="spellEnd"/>
            <w:r w:rsidRPr="002F64ED">
              <w:rPr>
                <w:rFonts w:eastAsia="Calibri"/>
                <w:i/>
                <w:sz w:val="20"/>
                <w:lang w:val="fr-CA"/>
              </w:rPr>
              <w:t xml:space="preserve">. c. Québec (PG) </w:t>
            </w:r>
            <w:r w:rsidRPr="002F64ED">
              <w:rPr>
                <w:rFonts w:eastAsia="Calibri"/>
                <w:sz w:val="20"/>
                <w:lang w:val="fr-CA"/>
              </w:rPr>
              <w:t xml:space="preserve">en affirmant que le préjudice irréparable doit constituer un « préjudice particulier » aux demandeurs et en confirmant que l’intérêt public </w:t>
            </w:r>
            <w:r w:rsidRPr="002F64ED">
              <w:rPr>
                <w:rFonts w:eastAsia="Calibri"/>
                <w:sz w:val="20"/>
                <w:lang w:val="fr-CA"/>
              </w:rPr>
              <w:lastRenderedPageBreak/>
              <w:t xml:space="preserve">s’avère mieux servi par l’application et l’exécution des lois fiscales? — La Cour d’appel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erré en réduisant l’attente de vie privée en affirmant que l’application et l’exécution de la </w:t>
            </w:r>
            <w:r w:rsidRPr="002F64ED">
              <w:rPr>
                <w:rFonts w:eastAsia="Calibri"/>
                <w:i/>
                <w:sz w:val="20"/>
                <w:lang w:val="fr-CA"/>
              </w:rPr>
              <w:t xml:space="preserve">Loi sur la taxe d’accise </w:t>
            </w:r>
            <w:r w:rsidRPr="002F64ED">
              <w:rPr>
                <w:rFonts w:eastAsia="Calibri"/>
                <w:sz w:val="20"/>
                <w:lang w:val="fr-CA"/>
              </w:rPr>
              <w:t xml:space="preserve">est une « activité hautement réglementée » et en refusant d’appliquer la garantie contre les fouilles, perquisitions et saisies abusives en vertu de l’article 8 de la </w:t>
            </w:r>
            <w:r w:rsidRPr="002F64ED">
              <w:rPr>
                <w:rFonts w:eastAsia="Calibri"/>
                <w:i/>
                <w:sz w:val="20"/>
                <w:lang w:val="fr-CA"/>
              </w:rPr>
              <w:t>Charte canadienne</w:t>
            </w:r>
            <w:r w:rsidRPr="002F64ED">
              <w:rPr>
                <w:rFonts w:eastAsia="Calibri"/>
                <w:sz w:val="20"/>
                <w:lang w:val="fr-CA"/>
              </w:rPr>
              <w:t xml:space="preserve">, lorsque l’autorité fiscale enquête en vue de porter des accusations criminelles contre le contribuable? — La Cour d’appel </w:t>
            </w:r>
            <w:proofErr w:type="spellStart"/>
            <w:r w:rsidRPr="002F64ED">
              <w:rPr>
                <w:rFonts w:eastAsia="Calibri"/>
                <w:sz w:val="20"/>
                <w:lang w:val="fr-CA"/>
              </w:rPr>
              <w:t>a</w:t>
            </w:r>
            <w:r w:rsidRPr="002F64ED">
              <w:rPr>
                <w:rFonts w:eastAsia="Calibri"/>
                <w:sz w:val="20"/>
                <w:lang w:val="fr-CA"/>
              </w:rPr>
              <w:noBreakHyphen/>
              <w:t>t</w:t>
            </w:r>
            <w:r w:rsidRPr="002F64ED">
              <w:rPr>
                <w:rFonts w:eastAsia="Calibri"/>
                <w:sz w:val="20"/>
                <w:lang w:val="fr-CA"/>
              </w:rPr>
              <w:noBreakHyphen/>
              <w:t>elle</w:t>
            </w:r>
            <w:proofErr w:type="spellEnd"/>
            <w:r w:rsidRPr="002F64ED">
              <w:rPr>
                <w:rFonts w:eastAsia="Calibri"/>
                <w:sz w:val="20"/>
                <w:lang w:val="fr-CA"/>
              </w:rPr>
              <w:t xml:space="preserve"> erré en concluant que la possibilité d’obtenir des </w:t>
            </w:r>
            <w:proofErr w:type="spellStart"/>
            <w:r w:rsidRPr="002F64ED">
              <w:rPr>
                <w:rFonts w:eastAsia="Calibri"/>
                <w:sz w:val="20"/>
                <w:lang w:val="fr-CA"/>
              </w:rPr>
              <w:t>dommages</w:t>
            </w:r>
            <w:r w:rsidRPr="002F64ED">
              <w:rPr>
                <w:rFonts w:eastAsia="Calibri"/>
                <w:sz w:val="20"/>
                <w:lang w:val="fr-CA"/>
              </w:rPr>
              <w:noBreakHyphen/>
              <w:t>intérêts</w:t>
            </w:r>
            <w:proofErr w:type="spellEnd"/>
            <w:r w:rsidRPr="002F64ED">
              <w:rPr>
                <w:rFonts w:eastAsia="Calibri"/>
                <w:sz w:val="20"/>
                <w:lang w:val="fr-CA"/>
              </w:rPr>
              <w:t xml:space="preserve"> en cas de violation des droits garantis par la </w:t>
            </w:r>
            <w:r w:rsidRPr="002F64ED">
              <w:rPr>
                <w:rFonts w:eastAsia="Calibri"/>
                <w:i/>
                <w:sz w:val="20"/>
                <w:lang w:val="fr-CA"/>
              </w:rPr>
              <w:t xml:space="preserve">Charte canadienne </w:t>
            </w:r>
            <w:r w:rsidRPr="002F64ED">
              <w:rPr>
                <w:rFonts w:eastAsia="Calibri"/>
                <w:sz w:val="20"/>
                <w:lang w:val="fr-CA"/>
              </w:rPr>
              <w:t xml:space="preserve">prive </w:t>
            </w:r>
            <w:proofErr w:type="spellStart"/>
            <w:r w:rsidRPr="002F64ED">
              <w:rPr>
                <w:rFonts w:eastAsia="Calibri"/>
                <w:sz w:val="20"/>
                <w:lang w:val="fr-CA"/>
              </w:rPr>
              <w:t>celle</w:t>
            </w:r>
            <w:r w:rsidRPr="002F64ED">
              <w:rPr>
                <w:rFonts w:eastAsia="Calibri"/>
                <w:sz w:val="20"/>
                <w:lang w:val="fr-CA"/>
              </w:rPr>
              <w:noBreakHyphen/>
              <w:t>ci</w:t>
            </w:r>
            <w:proofErr w:type="spellEnd"/>
            <w:r w:rsidRPr="002F64ED">
              <w:rPr>
                <w:rFonts w:eastAsia="Calibri"/>
                <w:sz w:val="20"/>
                <w:lang w:val="fr-CA"/>
              </w:rPr>
              <w:t xml:space="preserve"> de sa fonction préventive?</w:t>
            </w:r>
          </w:p>
          <w:p w:rsidR="007D6A45" w:rsidRPr="002F64ED" w:rsidRDefault="007D6A45" w:rsidP="007D6A45">
            <w:pPr>
              <w:jc w:val="both"/>
              <w:rPr>
                <w:rFonts w:eastAsia="Calibri"/>
                <w:sz w:val="20"/>
                <w:lang w:val="fr-CA"/>
              </w:rPr>
            </w:pPr>
          </w:p>
        </w:tc>
      </w:tr>
      <w:tr w:rsidR="007D6A45" w:rsidRPr="00FF4B6E" w:rsidTr="007D6A45">
        <w:tc>
          <w:tcPr>
            <w:tcW w:w="5000" w:type="pct"/>
            <w:gridSpan w:val="3"/>
          </w:tcPr>
          <w:p w:rsidR="007D6A45" w:rsidRPr="002F64ED" w:rsidRDefault="007D6A45" w:rsidP="007D6A45">
            <w:pPr>
              <w:jc w:val="both"/>
              <w:rPr>
                <w:rFonts w:eastAsia="Calibri"/>
                <w:sz w:val="20"/>
                <w:lang w:val="fr-CA"/>
              </w:rPr>
            </w:pPr>
            <w:r w:rsidRPr="002F64ED">
              <w:rPr>
                <w:rFonts w:eastAsia="Calibri"/>
                <w:sz w:val="20"/>
                <w:lang w:val="fr-CA"/>
              </w:rPr>
              <w:lastRenderedPageBreak/>
              <w:t xml:space="preserve">Les demandeurs, Constructions </w:t>
            </w:r>
            <w:proofErr w:type="spellStart"/>
            <w:r w:rsidRPr="002F64ED">
              <w:rPr>
                <w:rFonts w:eastAsia="Calibri"/>
                <w:sz w:val="20"/>
                <w:lang w:val="fr-CA"/>
              </w:rPr>
              <w:t>Louisbourg</w:t>
            </w:r>
            <w:proofErr w:type="spellEnd"/>
            <w:r w:rsidRPr="002F64ED">
              <w:rPr>
                <w:rFonts w:eastAsia="Calibri"/>
                <w:sz w:val="20"/>
                <w:lang w:val="fr-CA"/>
              </w:rPr>
              <w:t xml:space="preserve"> </w:t>
            </w:r>
            <w:proofErr w:type="spellStart"/>
            <w:r w:rsidRPr="002F64ED">
              <w:rPr>
                <w:rFonts w:eastAsia="Calibri"/>
                <w:sz w:val="20"/>
                <w:lang w:val="fr-CA"/>
              </w:rPr>
              <w:t>Ltée</w:t>
            </w:r>
            <w:proofErr w:type="spellEnd"/>
            <w:r w:rsidRPr="002F64ED">
              <w:rPr>
                <w:rFonts w:eastAsia="Calibri"/>
                <w:sz w:val="20"/>
                <w:lang w:val="fr-CA"/>
              </w:rPr>
              <w:t xml:space="preserve"> (</w:t>
            </w:r>
            <w:proofErr w:type="spellStart"/>
            <w:r w:rsidRPr="002F64ED">
              <w:rPr>
                <w:rFonts w:eastAsia="Calibri"/>
                <w:sz w:val="20"/>
                <w:lang w:val="fr-CA"/>
              </w:rPr>
              <w:t>Louisbourg</w:t>
            </w:r>
            <w:proofErr w:type="spellEnd"/>
            <w:r w:rsidRPr="002F64ED">
              <w:rPr>
                <w:rFonts w:eastAsia="Calibri"/>
                <w:sz w:val="20"/>
                <w:lang w:val="fr-CA"/>
              </w:rPr>
              <w:t xml:space="preserve">) et </w:t>
            </w:r>
            <w:proofErr w:type="spellStart"/>
            <w:r w:rsidRPr="002F64ED">
              <w:rPr>
                <w:rFonts w:eastAsia="Calibri"/>
                <w:sz w:val="20"/>
                <w:lang w:val="fr-CA"/>
              </w:rPr>
              <w:t>Simard</w:t>
            </w:r>
            <w:r w:rsidRPr="002F64ED">
              <w:rPr>
                <w:rFonts w:eastAsia="Calibri"/>
                <w:sz w:val="20"/>
                <w:lang w:val="fr-CA"/>
              </w:rPr>
              <w:noBreakHyphen/>
              <w:t>Beaudry</w:t>
            </w:r>
            <w:proofErr w:type="spellEnd"/>
            <w:r w:rsidRPr="002F64ED">
              <w:rPr>
                <w:rFonts w:eastAsia="Calibri"/>
                <w:sz w:val="20"/>
                <w:lang w:val="fr-CA"/>
              </w:rPr>
              <w:t xml:space="preserve"> Construction Inc. (</w:t>
            </w:r>
            <w:proofErr w:type="spellStart"/>
            <w:r w:rsidRPr="002F64ED">
              <w:rPr>
                <w:rFonts w:eastAsia="Calibri"/>
                <w:sz w:val="20"/>
                <w:lang w:val="fr-CA"/>
              </w:rPr>
              <w:t>Simard</w:t>
            </w:r>
            <w:r w:rsidRPr="002F64ED">
              <w:rPr>
                <w:rFonts w:eastAsia="Calibri"/>
                <w:sz w:val="20"/>
                <w:lang w:val="fr-CA"/>
              </w:rPr>
              <w:noBreakHyphen/>
              <w:t>Beaudry</w:t>
            </w:r>
            <w:proofErr w:type="spellEnd"/>
            <w:r w:rsidRPr="002F64ED">
              <w:rPr>
                <w:rFonts w:eastAsia="Calibri"/>
                <w:sz w:val="20"/>
                <w:lang w:val="fr-CA"/>
              </w:rPr>
              <w:t xml:space="preserve">), ont intenté un recours en </w:t>
            </w:r>
            <w:proofErr w:type="spellStart"/>
            <w:r w:rsidRPr="002F64ED">
              <w:rPr>
                <w:rFonts w:eastAsia="Calibri"/>
                <w:i/>
                <w:sz w:val="20"/>
                <w:lang w:val="fr-CA"/>
              </w:rPr>
              <w:t>certiorari</w:t>
            </w:r>
            <w:proofErr w:type="spellEnd"/>
            <w:r w:rsidRPr="002F64ED">
              <w:rPr>
                <w:rFonts w:eastAsia="Calibri"/>
                <w:i/>
                <w:sz w:val="20"/>
                <w:lang w:val="fr-CA"/>
              </w:rPr>
              <w:t xml:space="preserve"> </w:t>
            </w:r>
            <w:r w:rsidRPr="002F64ED">
              <w:rPr>
                <w:rFonts w:eastAsia="Calibri"/>
                <w:sz w:val="20"/>
                <w:lang w:val="fr-CA"/>
              </w:rPr>
              <w:t xml:space="preserve">par lequel ils demandent l’annulation de mandats de perquisition décernés le 14 juillet 2011 à la demande de l’Agence de revenu du Québec (ARQ). Ces mandats autorisent la saisie de divers documents aux bureaux de l’Agence du revenu du Canada (ARC), documents que l’ARC avaient déjà saisis aux fins de sa propre enquête au cours des années 2008 et 2009.  </w:t>
            </w:r>
            <w:proofErr w:type="spellStart"/>
            <w:r w:rsidRPr="002F64ED">
              <w:rPr>
                <w:rFonts w:eastAsia="Calibri"/>
                <w:sz w:val="20"/>
                <w:lang w:val="fr-CA"/>
              </w:rPr>
              <w:t>Louisbourg</w:t>
            </w:r>
            <w:proofErr w:type="spellEnd"/>
            <w:r w:rsidRPr="002F64ED">
              <w:rPr>
                <w:rFonts w:eastAsia="Calibri"/>
                <w:sz w:val="20"/>
                <w:lang w:val="fr-CA"/>
              </w:rPr>
              <w:t xml:space="preserve"> et </w:t>
            </w:r>
            <w:proofErr w:type="spellStart"/>
            <w:r w:rsidRPr="002F64ED">
              <w:rPr>
                <w:rFonts w:eastAsia="Calibri"/>
                <w:sz w:val="20"/>
                <w:lang w:val="fr-CA"/>
              </w:rPr>
              <w:t>Simard</w:t>
            </w:r>
            <w:r w:rsidRPr="002F64ED">
              <w:rPr>
                <w:rFonts w:eastAsia="Calibri"/>
                <w:sz w:val="20"/>
                <w:lang w:val="fr-CA"/>
              </w:rPr>
              <w:noBreakHyphen/>
              <w:t>Beaudry</w:t>
            </w:r>
            <w:proofErr w:type="spellEnd"/>
            <w:r w:rsidRPr="002F64ED">
              <w:rPr>
                <w:rFonts w:eastAsia="Calibri"/>
                <w:sz w:val="20"/>
                <w:lang w:val="fr-CA"/>
              </w:rPr>
              <w:t xml:space="preserve"> ont plaidé coupable le 7 décembre 2010 aux accusations portées par l’ARC.  </w:t>
            </w:r>
            <w:proofErr w:type="spellStart"/>
            <w:r w:rsidRPr="002F64ED">
              <w:rPr>
                <w:rFonts w:eastAsia="Calibri"/>
                <w:sz w:val="20"/>
                <w:lang w:val="fr-CA"/>
              </w:rPr>
              <w:t>Louisbourg</w:t>
            </w:r>
            <w:proofErr w:type="spellEnd"/>
            <w:r w:rsidRPr="002F64ED">
              <w:rPr>
                <w:rFonts w:eastAsia="Calibri"/>
                <w:sz w:val="20"/>
                <w:lang w:val="fr-CA"/>
              </w:rPr>
              <w:t xml:space="preserve"> et </w:t>
            </w:r>
            <w:proofErr w:type="spellStart"/>
            <w:r w:rsidRPr="002F64ED">
              <w:rPr>
                <w:rFonts w:eastAsia="Calibri"/>
                <w:sz w:val="20"/>
                <w:lang w:val="fr-CA"/>
              </w:rPr>
              <w:t>Simard</w:t>
            </w:r>
            <w:r w:rsidRPr="002F64ED">
              <w:rPr>
                <w:rFonts w:eastAsia="Calibri"/>
                <w:sz w:val="20"/>
                <w:lang w:val="fr-CA"/>
              </w:rPr>
              <w:noBreakHyphen/>
              <w:t>Beaudry</w:t>
            </w:r>
            <w:proofErr w:type="spellEnd"/>
            <w:r w:rsidRPr="002F64ED">
              <w:rPr>
                <w:rFonts w:eastAsia="Calibri"/>
                <w:sz w:val="20"/>
                <w:lang w:val="fr-CA"/>
              </w:rPr>
              <w:t>, ont également demandé à la Cour supérieure d’ordonner l’</w:t>
            </w:r>
            <w:proofErr w:type="spellStart"/>
            <w:r w:rsidRPr="002F64ED">
              <w:rPr>
                <w:rFonts w:eastAsia="Calibri"/>
                <w:sz w:val="20"/>
                <w:lang w:val="fr-CA"/>
              </w:rPr>
              <w:t>entiercement</w:t>
            </w:r>
            <w:proofErr w:type="spellEnd"/>
            <w:r w:rsidRPr="002F64ED">
              <w:rPr>
                <w:rFonts w:eastAsia="Calibri"/>
                <w:sz w:val="20"/>
                <w:lang w:val="fr-CA"/>
              </w:rPr>
              <w:t xml:space="preserve"> des documents saisis afin que les enquêteurs de l’ARQ ne puissent en prendre connaissance jusqu’au jugement de la Cour supérieure.</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10 août 2011</w:t>
            </w:r>
          </w:p>
          <w:p w:rsidR="007D6A45" w:rsidRPr="002F64ED" w:rsidRDefault="007D6A45" w:rsidP="007D6A45">
            <w:pPr>
              <w:jc w:val="both"/>
              <w:rPr>
                <w:rFonts w:eastAsia="Calibri"/>
                <w:sz w:val="20"/>
                <w:lang w:val="fr-CA"/>
              </w:rPr>
            </w:pPr>
            <w:r w:rsidRPr="002F64ED">
              <w:rPr>
                <w:rFonts w:eastAsia="Calibri"/>
                <w:sz w:val="20"/>
                <w:lang w:val="fr-CA"/>
              </w:rPr>
              <w:t>Cour supérieure du Québec</w:t>
            </w:r>
          </w:p>
          <w:p w:rsidR="007D6A45" w:rsidRDefault="007D6A45" w:rsidP="007D6A45">
            <w:pPr>
              <w:jc w:val="both"/>
              <w:rPr>
                <w:rFonts w:eastAsia="Calibri"/>
                <w:sz w:val="20"/>
                <w:lang w:val="fr-CA"/>
              </w:rPr>
            </w:pPr>
            <w:r w:rsidRPr="002F64ED">
              <w:rPr>
                <w:rFonts w:eastAsia="Calibri"/>
                <w:sz w:val="20"/>
                <w:lang w:val="fr-CA"/>
              </w:rPr>
              <w:t xml:space="preserve">(La juge </w:t>
            </w:r>
            <w:proofErr w:type="spellStart"/>
            <w:r w:rsidRPr="002F64ED">
              <w:rPr>
                <w:rFonts w:eastAsia="Calibri"/>
                <w:sz w:val="20"/>
                <w:lang w:val="fr-CA"/>
              </w:rPr>
              <w:t>Bourque</w:t>
            </w:r>
            <w:proofErr w:type="spellEnd"/>
            <w:r w:rsidRPr="002F64ED">
              <w:rPr>
                <w:rFonts w:eastAsia="Calibri"/>
                <w:sz w:val="20"/>
                <w:lang w:val="fr-CA"/>
              </w:rPr>
              <w:t>)</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 xml:space="preserve">Requête en </w:t>
            </w:r>
            <w:proofErr w:type="spellStart"/>
            <w:r w:rsidRPr="002F64ED">
              <w:rPr>
                <w:rFonts w:eastAsia="Calibri"/>
                <w:sz w:val="20"/>
                <w:lang w:val="fr-CA"/>
              </w:rPr>
              <w:t>entiercement</w:t>
            </w:r>
            <w:proofErr w:type="spellEnd"/>
            <w:r w:rsidRPr="002F64ED">
              <w:rPr>
                <w:rFonts w:eastAsia="Calibri"/>
                <w:sz w:val="20"/>
                <w:lang w:val="fr-CA"/>
              </w:rPr>
              <w:t xml:space="preserve"> rejetée; </w:t>
            </w:r>
            <w:proofErr w:type="spellStart"/>
            <w:r w:rsidRPr="002F64ED">
              <w:rPr>
                <w:rFonts w:eastAsia="Calibri"/>
                <w:sz w:val="20"/>
                <w:lang w:val="fr-CA"/>
              </w:rPr>
              <w:t>entiercement</w:t>
            </w:r>
            <w:proofErr w:type="spellEnd"/>
            <w:r w:rsidRPr="002F64ED">
              <w:rPr>
                <w:rFonts w:eastAsia="Calibri"/>
                <w:sz w:val="20"/>
                <w:lang w:val="fr-CA"/>
              </w:rPr>
              <w:t xml:space="preserve"> provisoire prononcé le 3 août 2011 annulée.</w:t>
            </w: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13 septembre 2011</w:t>
            </w:r>
          </w:p>
          <w:p w:rsidR="007D6A45" w:rsidRPr="002F64ED" w:rsidRDefault="007D6A45" w:rsidP="007D6A45">
            <w:pPr>
              <w:jc w:val="both"/>
              <w:rPr>
                <w:rFonts w:eastAsia="Calibri"/>
                <w:sz w:val="20"/>
                <w:lang w:val="fr-CA"/>
              </w:rPr>
            </w:pPr>
            <w:r w:rsidRPr="002F64ED">
              <w:rPr>
                <w:rFonts w:eastAsia="Calibri"/>
                <w:sz w:val="20"/>
                <w:lang w:val="fr-CA"/>
              </w:rPr>
              <w:t>Cour d’appel du Québec (Montréal)</w:t>
            </w:r>
          </w:p>
          <w:p w:rsidR="007D6A45" w:rsidRDefault="007D6A45" w:rsidP="007D6A45">
            <w:pPr>
              <w:jc w:val="both"/>
              <w:rPr>
                <w:rFonts w:eastAsia="Calibri"/>
                <w:sz w:val="20"/>
                <w:lang w:val="fr-CA"/>
              </w:rPr>
            </w:pPr>
            <w:r w:rsidRPr="002F64ED">
              <w:rPr>
                <w:rFonts w:eastAsia="Calibri"/>
                <w:sz w:val="20"/>
                <w:lang w:val="fr-CA"/>
              </w:rPr>
              <w:t>(Les juges Doyon, Dufresne et Wagner)</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 xml:space="preserve">Appel rejeté; requêtes en rejet d’appel et en </w:t>
            </w:r>
            <w:proofErr w:type="spellStart"/>
            <w:r w:rsidRPr="002F64ED">
              <w:rPr>
                <w:rFonts w:eastAsia="Calibri"/>
                <w:sz w:val="20"/>
                <w:lang w:val="fr-CA"/>
              </w:rPr>
              <w:t>entiercement</w:t>
            </w:r>
            <w:proofErr w:type="spellEnd"/>
            <w:r w:rsidRPr="002F64ED">
              <w:rPr>
                <w:rFonts w:eastAsia="Calibri"/>
                <w:sz w:val="20"/>
                <w:lang w:val="fr-CA"/>
              </w:rPr>
              <w:t xml:space="preserve"> pendant l’appel déclarées sans objet.</w:t>
            </w:r>
          </w:p>
        </w:tc>
      </w:tr>
      <w:tr w:rsidR="007D6A45" w:rsidRPr="002F64ED"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11 octobre 2011</w:t>
            </w:r>
          </w:p>
          <w:p w:rsidR="007D6A45" w:rsidRDefault="007D6A45" w:rsidP="007D6A45">
            <w:pPr>
              <w:jc w:val="both"/>
              <w:rPr>
                <w:rFonts w:eastAsia="Calibri"/>
                <w:sz w:val="20"/>
                <w:lang w:val="fr-CA"/>
              </w:rPr>
            </w:pPr>
            <w:r w:rsidRPr="002F64ED">
              <w:rPr>
                <w:rFonts w:eastAsia="Calibri"/>
                <w:sz w:val="20"/>
                <w:lang w:val="fr-CA"/>
              </w:rPr>
              <w:t>Cour suprême du Canada</w:t>
            </w:r>
          </w:p>
          <w:p w:rsidR="007D6A45" w:rsidRPr="002F64ED" w:rsidRDefault="007D6A45" w:rsidP="007D6A45">
            <w:pPr>
              <w:jc w:val="both"/>
              <w:rPr>
                <w:rFonts w:eastAsia="Calibri"/>
                <w:sz w:val="20"/>
                <w:lang w:val="fr-CA"/>
              </w:rPr>
            </w:pP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Demande d'autorisation d'appel déposée</w:t>
            </w:r>
          </w:p>
          <w:p w:rsidR="007D6A45" w:rsidRPr="002F64ED" w:rsidRDefault="007D6A45" w:rsidP="007D6A45">
            <w:pPr>
              <w:jc w:val="both"/>
              <w:rPr>
                <w:rFonts w:eastAsia="Calibri"/>
                <w:sz w:val="20"/>
                <w:lang w:val="fr-CA"/>
              </w:rPr>
            </w:pPr>
          </w:p>
        </w:tc>
      </w:tr>
      <w:tr w:rsidR="007D6A45" w:rsidRPr="00FF4B6E" w:rsidTr="007D6A45">
        <w:tc>
          <w:tcPr>
            <w:tcW w:w="2427" w:type="pct"/>
          </w:tcPr>
          <w:p w:rsidR="007D6A45" w:rsidRPr="002F64ED" w:rsidRDefault="007D6A45" w:rsidP="007D6A45">
            <w:pPr>
              <w:jc w:val="both"/>
              <w:rPr>
                <w:rFonts w:eastAsia="Calibri"/>
                <w:sz w:val="20"/>
                <w:lang w:val="fr-CA"/>
              </w:rPr>
            </w:pPr>
            <w:r w:rsidRPr="002F64ED">
              <w:rPr>
                <w:rFonts w:eastAsia="Calibri"/>
                <w:sz w:val="20"/>
                <w:lang w:val="fr-CA"/>
              </w:rPr>
              <w:t>Le 31 octobre 2011</w:t>
            </w:r>
          </w:p>
          <w:p w:rsidR="007D6A45" w:rsidRPr="002F64ED" w:rsidRDefault="007D6A45" w:rsidP="007D6A45">
            <w:pPr>
              <w:jc w:val="both"/>
              <w:rPr>
                <w:rFonts w:eastAsia="Calibri"/>
                <w:sz w:val="20"/>
                <w:lang w:val="fr-CA"/>
              </w:rPr>
            </w:pPr>
            <w:r w:rsidRPr="002F64ED">
              <w:rPr>
                <w:rFonts w:eastAsia="Calibri"/>
                <w:sz w:val="20"/>
                <w:lang w:val="fr-CA"/>
              </w:rPr>
              <w:t>Cour suprême du Canada</w:t>
            </w:r>
          </w:p>
        </w:tc>
        <w:tc>
          <w:tcPr>
            <w:tcW w:w="243" w:type="pct"/>
          </w:tcPr>
          <w:p w:rsidR="007D6A45" w:rsidRPr="002F64ED" w:rsidRDefault="007D6A45" w:rsidP="007D6A45">
            <w:pPr>
              <w:jc w:val="both"/>
              <w:rPr>
                <w:rFonts w:eastAsia="Calibri"/>
                <w:sz w:val="20"/>
                <w:lang w:val="fr-CA"/>
              </w:rPr>
            </w:pPr>
          </w:p>
        </w:tc>
        <w:tc>
          <w:tcPr>
            <w:tcW w:w="2330" w:type="pct"/>
          </w:tcPr>
          <w:p w:rsidR="007D6A45" w:rsidRPr="002F64ED" w:rsidRDefault="007D6A45" w:rsidP="007D6A45">
            <w:pPr>
              <w:jc w:val="both"/>
              <w:rPr>
                <w:rFonts w:eastAsia="Calibri"/>
                <w:sz w:val="20"/>
                <w:lang w:val="fr-CA"/>
              </w:rPr>
            </w:pPr>
            <w:r w:rsidRPr="002F64ED">
              <w:rPr>
                <w:rFonts w:eastAsia="Calibri"/>
                <w:sz w:val="20"/>
                <w:lang w:val="fr-CA"/>
              </w:rPr>
              <w:t>Requête en sursis d’exécution déposée.</w:t>
            </w:r>
          </w:p>
        </w:tc>
      </w:tr>
    </w:tbl>
    <w:p w:rsidR="007E6660" w:rsidRPr="00DB021A" w:rsidRDefault="007E6660" w:rsidP="007E6660">
      <w:pPr>
        <w:rPr>
          <w:sz w:val="20"/>
          <w:szCs w:val="20"/>
          <w:lang w:val="fr-CA"/>
        </w:rPr>
      </w:pPr>
    </w:p>
    <w:p w:rsidR="007E6660" w:rsidRPr="00DB021A" w:rsidRDefault="00DB7F13" w:rsidP="007E6660">
      <w:pPr>
        <w:rPr>
          <w:sz w:val="20"/>
          <w:szCs w:val="20"/>
          <w:lang w:val="fr-CA"/>
        </w:rPr>
      </w:pPr>
      <w:r w:rsidRPr="00DB7F13">
        <w:rPr>
          <w:sz w:val="20"/>
          <w:szCs w:val="20"/>
          <w:lang w:val="fr-CA"/>
        </w:rPr>
        <w:pict>
          <v:rect id="_x0000_i1051" style="width:2in;height:1pt" o:hrpct="0" o:hralign="center" o:hrstd="t" o:hrnoshade="t" o:hr="t" fillcolor="black [3213]" stroked="f"/>
        </w:pict>
      </w:r>
    </w:p>
    <w:p w:rsidR="00890FEB" w:rsidRPr="00DB021A"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861016" w:rsidRDefault="00890FEB" w:rsidP="00890FEB">
      <w:pPr>
        <w:rPr>
          <w:rFonts w:cs="Times New Roman"/>
          <w:sz w:val="20"/>
          <w:szCs w:val="20"/>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01.12.2011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   DESCHAMPS J. / LA JUGE DESCHAMPS</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61016" w:rsidRPr="00861016" w:rsidTr="00861016">
        <w:tc>
          <w:tcPr>
            <w:tcW w:w="4338" w:type="dxa"/>
            <w:gridSpan w:val="2"/>
          </w:tcPr>
          <w:p w:rsidR="00861016" w:rsidRPr="00861016" w:rsidRDefault="00861016" w:rsidP="00861016">
            <w:pPr>
              <w:rPr>
                <w:rFonts w:cs="Times New Roman"/>
                <w:b/>
                <w:sz w:val="20"/>
                <w:szCs w:val="20"/>
              </w:rPr>
            </w:pPr>
            <w:r w:rsidRPr="00861016">
              <w:rPr>
                <w:rFonts w:cs="Times New Roman"/>
                <w:b/>
                <w:sz w:val="20"/>
                <w:szCs w:val="20"/>
              </w:rPr>
              <w:t>Motions for leave to intervene</w:t>
            </w:r>
            <w:r w:rsidRPr="00861016">
              <w:rPr>
                <w:rFonts w:cs="Times New Roman"/>
                <w:sz w:val="20"/>
                <w:szCs w:val="20"/>
              </w:rPr>
              <w:t xml:space="preserve">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p>
        </w:tc>
        <w:tc>
          <w:tcPr>
            <w:tcW w:w="1170" w:type="dxa"/>
          </w:tcPr>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b/>
                <w:sz w:val="20"/>
                <w:szCs w:val="20"/>
              </w:rPr>
            </w:pPr>
            <w:r w:rsidRPr="00861016">
              <w:rPr>
                <w:rFonts w:cs="Times New Roman"/>
                <w:b/>
                <w:bCs/>
                <w:sz w:val="20"/>
                <w:szCs w:val="20"/>
                <w:lang w:val="fr-CA"/>
              </w:rPr>
              <w:t>Requêtes en autorisation d’intervenir</w:t>
            </w:r>
            <w:r w:rsidRPr="00861016">
              <w:rPr>
                <w:rFonts w:cs="Times New Roman"/>
                <w:sz w:val="20"/>
                <w:szCs w:val="20"/>
              </w:rPr>
              <w:t xml:space="preserve">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p>
        </w:tc>
      </w:tr>
      <w:tr w:rsidR="00861016" w:rsidRPr="00861016" w:rsidTr="00861016">
        <w:tc>
          <w:tcPr>
            <w:tcW w:w="1368" w:type="dxa"/>
          </w:tcPr>
          <w:p w:rsidR="00861016" w:rsidRPr="00861016" w:rsidRDefault="00861016" w:rsidP="00861016">
            <w:pPr>
              <w:rPr>
                <w:rFonts w:cs="Times New Roman"/>
                <w:sz w:val="20"/>
                <w:szCs w:val="20"/>
              </w:rPr>
            </w:pPr>
            <w:r w:rsidRPr="00861016">
              <w:rPr>
                <w:rFonts w:cs="Times New Roman"/>
                <w:sz w:val="20"/>
                <w:szCs w:val="20"/>
              </w:rPr>
              <w:t>BY / PAR</w:t>
            </w:r>
          </w:p>
        </w:tc>
        <w:tc>
          <w:tcPr>
            <w:tcW w:w="2970" w:type="dxa"/>
          </w:tcPr>
          <w:p w:rsidR="00861016" w:rsidRPr="00861016" w:rsidRDefault="00861016" w:rsidP="00861016">
            <w:pPr>
              <w:rPr>
                <w:rFonts w:cs="Times New Roman"/>
                <w:sz w:val="20"/>
                <w:szCs w:val="20"/>
              </w:rPr>
            </w:pPr>
            <w:r w:rsidRPr="00861016">
              <w:rPr>
                <w:rFonts w:cs="Times New Roman"/>
                <w:sz w:val="20"/>
                <w:szCs w:val="20"/>
              </w:rPr>
              <w:t>Attorney General of Ontario</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Attorney General of Alberta</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r w:rsidRPr="00861016">
              <w:rPr>
                <w:rFonts w:cs="Times New Roman"/>
                <w:sz w:val="20"/>
                <w:szCs w:val="20"/>
              </w:rPr>
              <w:t>IN / DANS :</w:t>
            </w:r>
          </w:p>
        </w:tc>
        <w:tc>
          <w:tcPr>
            <w:tcW w:w="2970" w:type="dxa"/>
          </w:tcPr>
          <w:p w:rsidR="00861016" w:rsidRPr="00861016" w:rsidRDefault="00861016" w:rsidP="00861016">
            <w:pPr>
              <w:rPr>
                <w:rFonts w:cs="Times New Roman"/>
                <w:sz w:val="20"/>
                <w:szCs w:val="20"/>
              </w:rPr>
            </w:pPr>
            <w:r w:rsidRPr="00861016">
              <w:rPr>
                <w:rFonts w:cs="Times New Roman"/>
                <w:sz w:val="20"/>
                <w:szCs w:val="20"/>
              </w:rPr>
              <w:t xml:space="preserve">Brendan David </w:t>
            </w:r>
            <w:proofErr w:type="spellStart"/>
            <w:r w:rsidRPr="00861016">
              <w:rPr>
                <w:rFonts w:cs="Times New Roman"/>
                <w:sz w:val="20"/>
                <w:szCs w:val="20"/>
              </w:rPr>
              <w:t>Aucoin</w:t>
            </w:r>
            <w:proofErr w:type="spellEnd"/>
          </w:p>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ab/>
              <w:t>v. (34349)</w:t>
            </w:r>
          </w:p>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jc w:val="both"/>
              <w:rPr>
                <w:rFonts w:cs="Times New Roman"/>
                <w:sz w:val="20"/>
                <w:szCs w:val="20"/>
              </w:rPr>
            </w:pPr>
            <w:r w:rsidRPr="00861016">
              <w:rPr>
                <w:rFonts w:cs="Times New Roman"/>
                <w:sz w:val="20"/>
                <w:szCs w:val="20"/>
              </w:rPr>
              <w:t>Her Majesty the Queen (Crim.) (N.S.)</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bl>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b/>
          <w:sz w:val="20"/>
          <w:szCs w:val="20"/>
          <w:lang w:val="fr-CA"/>
        </w:rPr>
      </w:pPr>
      <w:r w:rsidRPr="00861016">
        <w:rPr>
          <w:rFonts w:cs="Times New Roman"/>
          <w:b/>
          <w:sz w:val="20"/>
          <w:szCs w:val="20"/>
          <w:lang w:val="fr-CA"/>
        </w:rPr>
        <w:t>ALLOWED IN PART /</w:t>
      </w:r>
      <w:r w:rsidRPr="00861016">
        <w:rPr>
          <w:rFonts w:cs="Times New Roman"/>
          <w:sz w:val="20"/>
          <w:szCs w:val="20"/>
          <w:lang w:val="fr-CA"/>
        </w:rPr>
        <w:t xml:space="preserve"> </w:t>
      </w:r>
      <w:r w:rsidRPr="00861016">
        <w:rPr>
          <w:rFonts w:cs="Times New Roman"/>
          <w:b/>
          <w:sz w:val="20"/>
          <w:szCs w:val="20"/>
          <w:lang w:val="fr-CA"/>
        </w:rPr>
        <w:t xml:space="preserve">ACCUEILLI EN PARTIE </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spacing w:line="233" w:lineRule="auto"/>
        <w:jc w:val="both"/>
        <w:rPr>
          <w:rFonts w:cs="Times New Roman"/>
          <w:sz w:val="20"/>
          <w:szCs w:val="20"/>
        </w:rPr>
      </w:pPr>
      <w:r w:rsidRPr="00861016">
        <w:rPr>
          <w:rFonts w:cs="Times New Roman"/>
          <w:b/>
          <w:bCs/>
          <w:sz w:val="20"/>
          <w:szCs w:val="20"/>
        </w:rPr>
        <w:t xml:space="preserve">UPON APPLICATIONS </w:t>
      </w:r>
      <w:r w:rsidRPr="00861016">
        <w:rPr>
          <w:rFonts w:cs="Times New Roman"/>
          <w:sz w:val="20"/>
          <w:szCs w:val="20"/>
        </w:rPr>
        <w:t>by the Attorney General of Ontario and the Attorney General of Alberta for leave to intervene in the above appeal;</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b/>
          <w:bCs/>
          <w:sz w:val="20"/>
          <w:szCs w:val="20"/>
        </w:rPr>
        <w:t>AND THE MATERIAL FILED</w:t>
      </w:r>
      <w:r w:rsidRPr="00861016">
        <w:rPr>
          <w:rFonts w:cs="Times New Roman"/>
          <w:sz w:val="20"/>
          <w:szCs w:val="20"/>
        </w:rPr>
        <w:t xml:space="preserve"> having been read;</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b/>
          <w:bCs/>
          <w:sz w:val="20"/>
          <w:szCs w:val="20"/>
        </w:rPr>
        <w:t>IT IS HEREBY ORDERED THAT:</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sz w:val="20"/>
          <w:szCs w:val="20"/>
        </w:rPr>
        <w:t>The motion for leave to intervene by the Attorney General of Ontario is granted and the said intervener shall be entitled to serve and file a factum not to exceed 10 pages in length.</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sz w:val="20"/>
          <w:szCs w:val="20"/>
        </w:rPr>
        <w:t>The request to present oral argument is deferred to a date following receipt and consideration of the written arguments of the parties and the intervener.</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sz w:val="20"/>
          <w:szCs w:val="20"/>
        </w:rPr>
        <w:t>The intervener shall not be entitled to raise new issues or to adduce further evidence or otherwise to supplement the record of the parties.</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sz w:val="20"/>
          <w:szCs w:val="20"/>
        </w:rPr>
        <w:t>Pursuant to Rule 59(1</w:t>
      </w:r>
      <w:proofErr w:type="gramStart"/>
      <w:r w:rsidRPr="00861016">
        <w:rPr>
          <w:rFonts w:cs="Times New Roman"/>
          <w:sz w:val="20"/>
          <w:szCs w:val="20"/>
        </w:rPr>
        <w:t>)(</w:t>
      </w:r>
      <w:proofErr w:type="gramEnd"/>
      <w:r w:rsidRPr="00861016">
        <w:rPr>
          <w:rFonts w:cs="Times New Roman"/>
          <w:i/>
          <w:iCs/>
          <w:sz w:val="20"/>
          <w:szCs w:val="20"/>
        </w:rPr>
        <w:t>a</w:t>
      </w:r>
      <w:r w:rsidRPr="00861016">
        <w:rPr>
          <w:rFonts w:cs="Times New Roman"/>
          <w:sz w:val="20"/>
          <w:szCs w:val="20"/>
        </w:rPr>
        <w:t xml:space="preserve">) of the </w:t>
      </w:r>
      <w:r w:rsidRPr="00861016">
        <w:rPr>
          <w:rFonts w:cs="Times New Roman"/>
          <w:i/>
          <w:iCs/>
          <w:sz w:val="20"/>
          <w:szCs w:val="20"/>
        </w:rPr>
        <w:t>Rules of the Supreme Court of Canada</w:t>
      </w:r>
      <w:r w:rsidRPr="00861016">
        <w:rPr>
          <w:rFonts w:cs="Times New Roman"/>
          <w:sz w:val="20"/>
          <w:szCs w:val="20"/>
        </w:rPr>
        <w:t>, the intervener shall pay to the appellant and respondent any additional disbursements occasioned to the appellant and respondent by its intervention.</w:t>
      </w:r>
    </w:p>
    <w:p w:rsidR="00861016" w:rsidRPr="00861016" w:rsidRDefault="00861016" w:rsidP="00861016">
      <w:pPr>
        <w:spacing w:line="233" w:lineRule="auto"/>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The motion for leave to intervene by the Attorney General of Alberta is dismissed.</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spacing w:line="233" w:lineRule="auto"/>
        <w:jc w:val="both"/>
        <w:rPr>
          <w:rFonts w:cs="Times New Roman"/>
          <w:sz w:val="20"/>
          <w:szCs w:val="20"/>
          <w:lang w:val="fr-CA"/>
        </w:rPr>
      </w:pPr>
      <w:r w:rsidRPr="00861016">
        <w:rPr>
          <w:rFonts w:cs="Times New Roman"/>
          <w:b/>
          <w:bCs/>
          <w:sz w:val="20"/>
          <w:szCs w:val="20"/>
          <w:lang w:val="fr-CA"/>
        </w:rPr>
        <w:t xml:space="preserve">À LA SUITE DES DEMANDES </w:t>
      </w:r>
      <w:r w:rsidRPr="00861016">
        <w:rPr>
          <w:rFonts w:cs="Times New Roman"/>
          <w:bCs/>
          <w:sz w:val="20"/>
          <w:szCs w:val="20"/>
          <w:lang w:val="fr-CA"/>
        </w:rPr>
        <w:t xml:space="preserve">présentées par le procureur général de l’Ontario et le procureur général de l’Alberta en vue d’intervenir dans l’appel; </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b/>
          <w:bCs/>
          <w:sz w:val="20"/>
          <w:szCs w:val="20"/>
          <w:lang w:val="fr-CA"/>
        </w:rPr>
        <w:t xml:space="preserve">ET APRÈS EXAMEN </w:t>
      </w:r>
      <w:r w:rsidRPr="00861016">
        <w:rPr>
          <w:rFonts w:cs="Times New Roman"/>
          <w:bCs/>
          <w:sz w:val="20"/>
          <w:szCs w:val="20"/>
          <w:lang w:val="fr-CA"/>
        </w:rPr>
        <w:t xml:space="preserve">des documents déposés, </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b/>
          <w:bCs/>
          <w:sz w:val="20"/>
          <w:szCs w:val="20"/>
          <w:lang w:val="fr-CA"/>
        </w:rPr>
        <w:t xml:space="preserve">IL EST ORDONNÉ CE QUI SUIT : </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sz w:val="20"/>
          <w:szCs w:val="20"/>
          <w:lang w:val="fr-CA"/>
        </w:rPr>
        <w:t xml:space="preserve">La demande d’autorisation d’intervenir du procureur général de l’Ontario est accueillie et cet intervenant pourra signifier et déposer un mémoire d’au plus dix (10) pages. </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sz w:val="20"/>
          <w:szCs w:val="20"/>
          <w:lang w:val="fr-CA"/>
        </w:rPr>
        <w:t>La décision sur la demande en vue de présenter une plaidoirie orale sera rendue après réception et examen des arguments écrits des parties et de l’intervenant.</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sz w:val="20"/>
          <w:szCs w:val="20"/>
          <w:lang w:val="fr-CA"/>
        </w:rPr>
        <w:lastRenderedPageBreak/>
        <w:t>L’intervenant n’a pas le droit de soulever de nouvelles questions, de produire d’autres éléments de preuve ni de compléter de quelque autre façon le dossier des parties.</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sz w:val="20"/>
          <w:szCs w:val="20"/>
          <w:lang w:val="fr-CA"/>
        </w:rPr>
        <w:t>Conformément à l’alinéa 59(1)</w:t>
      </w:r>
      <w:r w:rsidRPr="00861016">
        <w:rPr>
          <w:rFonts w:cs="Times New Roman"/>
          <w:i/>
          <w:sz w:val="20"/>
          <w:szCs w:val="20"/>
          <w:lang w:val="fr-CA"/>
        </w:rPr>
        <w:t>a</w:t>
      </w:r>
      <w:r w:rsidRPr="00861016">
        <w:rPr>
          <w:rFonts w:cs="Times New Roman"/>
          <w:sz w:val="20"/>
          <w:szCs w:val="20"/>
          <w:lang w:val="fr-CA"/>
        </w:rPr>
        <w:t xml:space="preserve">) des </w:t>
      </w:r>
      <w:r w:rsidRPr="00861016">
        <w:rPr>
          <w:rFonts w:cs="Times New Roman"/>
          <w:i/>
          <w:sz w:val="20"/>
          <w:szCs w:val="20"/>
          <w:lang w:val="fr-CA"/>
        </w:rPr>
        <w:t>Règles de la Cour suprême du Canada</w:t>
      </w:r>
      <w:r w:rsidRPr="00861016">
        <w:rPr>
          <w:rFonts w:cs="Times New Roman"/>
          <w:sz w:val="20"/>
          <w:szCs w:val="20"/>
          <w:lang w:val="fr-CA"/>
        </w:rPr>
        <w:t xml:space="preserve">, l’intervenant paiera à l’appelant et à l’intimée tous débours supplémentaires résultant de son intervention. </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sz w:val="20"/>
          <w:szCs w:val="20"/>
          <w:lang w:val="fr-CA"/>
        </w:rPr>
        <w:t xml:space="preserve">La requête en autorisation d’intervenir du procureur général de l’Alberta est rejetée. </w:t>
      </w:r>
    </w:p>
    <w:p w:rsidR="00861016" w:rsidRPr="00861016" w:rsidRDefault="00861016" w:rsidP="00861016">
      <w:pPr>
        <w:spacing w:line="233" w:lineRule="auto"/>
        <w:jc w:val="both"/>
        <w:rPr>
          <w:rFonts w:cs="Times New Roman"/>
          <w:sz w:val="20"/>
          <w:szCs w:val="20"/>
          <w:lang w:val="fr-CA"/>
        </w:rPr>
      </w:pPr>
    </w:p>
    <w:p w:rsidR="00861016" w:rsidRPr="00861016" w:rsidRDefault="00DB7F13" w:rsidP="00861016">
      <w:pPr>
        <w:tabs>
          <w:tab w:val="left" w:pos="-1440"/>
          <w:tab w:val="left" w:pos="-720"/>
        </w:tabs>
        <w:jc w:val="both"/>
        <w:rPr>
          <w:rFonts w:cs="Times New Roman"/>
          <w:sz w:val="20"/>
          <w:szCs w:val="20"/>
          <w:lang w:val="fr-CA"/>
        </w:rPr>
      </w:pPr>
      <w:r w:rsidRPr="00DB7F13">
        <w:rPr>
          <w:rFonts w:cs="Times New Roman"/>
          <w:sz w:val="20"/>
          <w:szCs w:val="20"/>
          <w:lang w:val="fr-CA"/>
        </w:rPr>
        <w:pict>
          <v:rect id="_x0000_i1054" style="width:2in;height:1pt" o:hrpct="0" o:hralign="center" o:hrstd="t" o:hrnoshade="t" o:hr="t" fillcolor="black [3213]" stroked="f"/>
        </w:pic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05.12.2011</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THE REGISTRAR / LE REGISTRAIRE </w:t>
      </w:r>
    </w:p>
    <w:p w:rsidR="00861016" w:rsidRPr="00861016" w:rsidRDefault="00861016" w:rsidP="00861016">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61016" w:rsidRPr="00FF4B6E" w:rsidTr="00861016">
        <w:tc>
          <w:tcPr>
            <w:tcW w:w="4338" w:type="dxa"/>
          </w:tcPr>
          <w:p w:rsidR="00861016" w:rsidRPr="00861016" w:rsidRDefault="00861016" w:rsidP="00861016">
            <w:pPr>
              <w:rPr>
                <w:rFonts w:cs="Times New Roman"/>
                <w:b/>
                <w:sz w:val="20"/>
                <w:szCs w:val="20"/>
              </w:rPr>
            </w:pPr>
            <w:r w:rsidRPr="00861016">
              <w:rPr>
                <w:rFonts w:cs="Times New Roman"/>
                <w:b/>
                <w:sz w:val="20"/>
                <w:szCs w:val="20"/>
              </w:rPr>
              <w:t>Motion to seal</w:t>
            </w:r>
            <w:r w:rsidRPr="00861016">
              <w:rPr>
                <w:rFonts w:cs="Times New Roman"/>
                <w:sz w:val="20"/>
                <w:szCs w:val="20"/>
              </w:rPr>
              <w:t xml:space="preserve">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p>
        </w:tc>
        <w:tc>
          <w:tcPr>
            <w:tcW w:w="1170" w:type="dxa"/>
          </w:tcPr>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lang w:val="fr-CA"/>
              </w:rPr>
            </w:pPr>
            <w:r w:rsidRPr="00861016">
              <w:rPr>
                <w:rFonts w:cs="Times New Roman"/>
                <w:b/>
                <w:bCs/>
                <w:sz w:val="20"/>
                <w:szCs w:val="20"/>
                <w:lang w:val="fr-CA"/>
              </w:rPr>
              <w:t>Requête visant la mise sous scellés de documents</w:t>
            </w:r>
            <w:r w:rsidRPr="00861016">
              <w:rPr>
                <w:rFonts w:cs="Times New Roman"/>
                <w:sz w:val="20"/>
                <w:szCs w:val="20"/>
                <w:lang w:val="fr-CA"/>
              </w:rPr>
              <w:t xml:space="preserve"> </w:t>
            </w:r>
          </w:p>
          <w:p w:rsidR="00861016" w:rsidRPr="00861016" w:rsidRDefault="00DB7F13" w:rsidP="00861016">
            <w:pPr>
              <w:rPr>
                <w:rFonts w:cs="Times New Roman"/>
                <w:b/>
                <w:sz w:val="20"/>
                <w:szCs w:val="20"/>
                <w:lang w:val="fr-CA"/>
              </w:rPr>
            </w:pPr>
            <w:r w:rsidRPr="00861016">
              <w:rPr>
                <w:rFonts w:cs="Times New Roman"/>
                <w:sz w:val="20"/>
                <w:szCs w:val="20"/>
              </w:rPr>
              <w:fldChar w:fldCharType="begin"/>
            </w:r>
            <w:r w:rsidR="00861016" w:rsidRPr="00861016">
              <w:rPr>
                <w:rFonts w:cs="Times New Roman"/>
                <w:sz w:val="20"/>
                <w:szCs w:val="20"/>
                <w:lang w:val="fr-CA"/>
              </w:rPr>
              <w:instrText xml:space="preserve"> SEQ CHAPTER \h \r 1</w:instrText>
            </w:r>
            <w:r w:rsidRPr="00861016">
              <w:rPr>
                <w:rFonts w:cs="Times New Roman"/>
                <w:sz w:val="20"/>
                <w:szCs w:val="20"/>
              </w:rPr>
              <w:fldChar w:fldCharType="end"/>
            </w:r>
          </w:p>
        </w:tc>
      </w:tr>
      <w:tr w:rsidR="00861016" w:rsidRPr="00861016" w:rsidTr="00861016">
        <w:tc>
          <w:tcPr>
            <w:tcW w:w="4338" w:type="dxa"/>
          </w:tcPr>
          <w:p w:rsidR="00861016" w:rsidRPr="00861016" w:rsidRDefault="00861016" w:rsidP="00861016">
            <w:pPr>
              <w:tabs>
                <w:tab w:val="left" w:pos="-1440"/>
                <w:tab w:val="left" w:pos="-720"/>
              </w:tabs>
              <w:jc w:val="both"/>
              <w:rPr>
                <w:rFonts w:cs="Times New Roman"/>
                <w:sz w:val="20"/>
                <w:szCs w:val="20"/>
                <w:lang w:val="fr-CA"/>
              </w:rPr>
            </w:pPr>
            <w:proofErr w:type="spellStart"/>
            <w:r w:rsidRPr="00861016">
              <w:rPr>
                <w:rFonts w:cs="Times New Roman"/>
                <w:sz w:val="20"/>
                <w:szCs w:val="20"/>
                <w:lang w:val="fr-CA"/>
              </w:rPr>
              <w:t>Eagle</w:t>
            </w:r>
            <w:proofErr w:type="spellEnd"/>
            <w:r w:rsidRPr="00861016">
              <w:rPr>
                <w:rFonts w:cs="Times New Roman"/>
                <w:sz w:val="20"/>
                <w:szCs w:val="20"/>
                <w:lang w:val="fr-CA"/>
              </w:rPr>
              <w:t xml:space="preserve"> Globe Management Ltd. </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ab/>
              <w:t>v. (34504)</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Bombardier Inc. (Que.)</w:t>
            </w:r>
          </w:p>
        </w:tc>
        <w:tc>
          <w:tcPr>
            <w:tcW w:w="1170" w:type="dxa"/>
          </w:tcPr>
          <w:p w:rsidR="00861016" w:rsidRPr="00861016" w:rsidRDefault="00861016" w:rsidP="00861016">
            <w:pPr>
              <w:tabs>
                <w:tab w:val="left" w:pos="-1440"/>
                <w:tab w:val="left" w:pos="-720"/>
              </w:tabs>
              <w:jc w:val="both"/>
              <w:rPr>
                <w:rFonts w:cs="Times New Roman"/>
                <w:sz w:val="20"/>
                <w:szCs w:val="20"/>
                <w:lang w:val="fr-CA"/>
              </w:rPr>
            </w:pPr>
          </w:p>
        </w:tc>
        <w:tc>
          <w:tcPr>
            <w:tcW w:w="4327" w:type="dxa"/>
          </w:tcPr>
          <w:p w:rsidR="00861016" w:rsidRPr="00861016" w:rsidRDefault="00861016" w:rsidP="00861016">
            <w:pPr>
              <w:tabs>
                <w:tab w:val="left" w:pos="-1440"/>
                <w:tab w:val="left" w:pos="-720"/>
              </w:tabs>
              <w:jc w:val="both"/>
              <w:rPr>
                <w:rFonts w:cs="Times New Roman"/>
                <w:sz w:val="20"/>
                <w:szCs w:val="20"/>
                <w:lang w:val="fr-CA"/>
              </w:rPr>
            </w:pPr>
          </w:p>
        </w:tc>
      </w:tr>
    </w:tbl>
    <w:p w:rsidR="00861016" w:rsidRPr="00861016" w:rsidRDefault="00861016" w:rsidP="00861016">
      <w:pPr>
        <w:rPr>
          <w:rFonts w:cs="Times New Roman"/>
          <w:sz w:val="20"/>
          <w:szCs w:val="20"/>
          <w:lang w:val="fr-CA"/>
        </w:rPr>
      </w:pPr>
    </w:p>
    <w:p w:rsidR="00861016" w:rsidRPr="00861016" w:rsidRDefault="00861016" w:rsidP="00861016">
      <w:pPr>
        <w:tabs>
          <w:tab w:val="left" w:pos="-1440"/>
          <w:tab w:val="left" w:pos="-720"/>
        </w:tabs>
        <w:jc w:val="both"/>
        <w:rPr>
          <w:rFonts w:cs="Times New Roman"/>
          <w:b/>
          <w:sz w:val="20"/>
          <w:szCs w:val="20"/>
        </w:rPr>
      </w:pPr>
      <w:r w:rsidRPr="00861016">
        <w:rPr>
          <w:rFonts w:cs="Times New Roman"/>
          <w:b/>
          <w:sz w:val="20"/>
          <w:szCs w:val="20"/>
        </w:rPr>
        <w:t>GRANTED / ACCORDÉE</w:t>
      </w:r>
    </w:p>
    <w:p w:rsidR="00861016" w:rsidRPr="00861016" w:rsidRDefault="00861016" w:rsidP="00861016">
      <w:pPr>
        <w:rPr>
          <w:rFonts w:cs="Times New Roman"/>
          <w:sz w:val="20"/>
          <w:szCs w:val="20"/>
        </w:rPr>
      </w:pPr>
    </w:p>
    <w:p w:rsidR="00861016" w:rsidRPr="00861016" w:rsidRDefault="00861016" w:rsidP="00861016">
      <w:pPr>
        <w:widowControl w:val="0"/>
        <w:jc w:val="both"/>
        <w:rPr>
          <w:rFonts w:cs="Times New Roman"/>
          <w:sz w:val="20"/>
          <w:szCs w:val="20"/>
        </w:rPr>
      </w:pPr>
      <w:r w:rsidRPr="00861016">
        <w:rPr>
          <w:rFonts w:cs="Times New Roman"/>
          <w:b/>
          <w:sz w:val="20"/>
          <w:szCs w:val="20"/>
        </w:rPr>
        <w:t>UPON APPLICATION</w:t>
      </w:r>
      <w:r w:rsidRPr="00861016">
        <w:rPr>
          <w:rFonts w:cs="Times New Roman"/>
          <w:sz w:val="20"/>
          <w:szCs w:val="20"/>
        </w:rPr>
        <w:t xml:space="preserve"> by the applicant for an order for the filing of sealed documents;</w:t>
      </w:r>
    </w:p>
    <w:p w:rsidR="00861016" w:rsidRPr="00861016" w:rsidRDefault="00861016" w:rsidP="00861016">
      <w:pPr>
        <w:widowControl w:val="0"/>
        <w:jc w:val="both"/>
        <w:rPr>
          <w:rFonts w:cs="Times New Roman"/>
          <w:sz w:val="20"/>
          <w:szCs w:val="20"/>
        </w:rPr>
      </w:pPr>
    </w:p>
    <w:p w:rsidR="00861016" w:rsidRPr="00861016" w:rsidRDefault="00861016" w:rsidP="00861016">
      <w:pPr>
        <w:widowControl w:val="0"/>
        <w:jc w:val="both"/>
        <w:rPr>
          <w:rFonts w:cs="Times New Roman"/>
          <w:sz w:val="20"/>
          <w:szCs w:val="20"/>
        </w:rPr>
      </w:pPr>
      <w:r w:rsidRPr="00861016">
        <w:rPr>
          <w:rFonts w:cs="Times New Roman"/>
          <w:b/>
          <w:sz w:val="20"/>
          <w:szCs w:val="20"/>
        </w:rPr>
        <w:t>AND THE MATERIAL FILED</w:t>
      </w:r>
      <w:r w:rsidRPr="00861016">
        <w:rPr>
          <w:rFonts w:cs="Times New Roman"/>
          <w:sz w:val="20"/>
          <w:szCs w:val="20"/>
        </w:rPr>
        <w:t xml:space="preserve"> having been read;</w:t>
      </w:r>
    </w:p>
    <w:p w:rsidR="00861016" w:rsidRPr="00861016" w:rsidRDefault="00861016" w:rsidP="00861016">
      <w:pPr>
        <w:widowControl w:val="0"/>
        <w:jc w:val="both"/>
        <w:rPr>
          <w:rFonts w:cs="Times New Roman"/>
          <w:sz w:val="20"/>
          <w:szCs w:val="20"/>
        </w:rPr>
      </w:pPr>
    </w:p>
    <w:p w:rsidR="00861016" w:rsidRPr="00861016" w:rsidRDefault="00861016" w:rsidP="00861016">
      <w:pPr>
        <w:widowControl w:val="0"/>
        <w:jc w:val="both"/>
        <w:rPr>
          <w:rFonts w:cs="Times New Roman"/>
          <w:sz w:val="20"/>
          <w:szCs w:val="20"/>
        </w:rPr>
      </w:pPr>
      <w:r w:rsidRPr="00861016">
        <w:rPr>
          <w:rFonts w:cs="Times New Roman"/>
          <w:b/>
          <w:sz w:val="20"/>
          <w:szCs w:val="20"/>
        </w:rPr>
        <w:t>IT IS HEREBY ORDERED THAT:</w:t>
      </w:r>
    </w:p>
    <w:p w:rsidR="00861016" w:rsidRPr="00861016" w:rsidRDefault="00861016" w:rsidP="00861016">
      <w:pPr>
        <w:widowControl w:val="0"/>
        <w:jc w:val="both"/>
        <w:rPr>
          <w:rFonts w:cs="Times New Roman"/>
          <w:sz w:val="20"/>
          <w:szCs w:val="20"/>
        </w:rPr>
      </w:pPr>
    </w:p>
    <w:p w:rsidR="00861016" w:rsidRPr="00861016" w:rsidRDefault="00861016" w:rsidP="00861016">
      <w:pPr>
        <w:widowControl w:val="0"/>
        <w:ind w:left="720" w:hanging="720"/>
        <w:jc w:val="both"/>
        <w:rPr>
          <w:rFonts w:cs="Times New Roman"/>
          <w:sz w:val="20"/>
          <w:szCs w:val="20"/>
        </w:rPr>
      </w:pPr>
      <w:r w:rsidRPr="00861016">
        <w:rPr>
          <w:rFonts w:cs="Times New Roman"/>
          <w:sz w:val="20"/>
          <w:szCs w:val="20"/>
        </w:rPr>
        <w:t>1)</w:t>
      </w:r>
      <w:r w:rsidRPr="00861016">
        <w:rPr>
          <w:rFonts w:cs="Times New Roman"/>
          <w:sz w:val="20"/>
          <w:szCs w:val="20"/>
        </w:rPr>
        <w:tab/>
        <w:t>The motion is granted.</w:t>
      </w:r>
    </w:p>
    <w:p w:rsidR="00861016" w:rsidRPr="00861016" w:rsidRDefault="00861016" w:rsidP="00861016">
      <w:pPr>
        <w:pStyle w:val="Level1"/>
        <w:jc w:val="both"/>
      </w:pPr>
    </w:p>
    <w:p w:rsidR="00861016" w:rsidRPr="00861016" w:rsidRDefault="00861016" w:rsidP="00861016">
      <w:pPr>
        <w:pStyle w:val="Level1"/>
        <w:ind w:left="720" w:hanging="720"/>
        <w:jc w:val="both"/>
      </w:pPr>
      <w:r w:rsidRPr="00861016">
        <w:t>2)</w:t>
      </w:r>
      <w:r w:rsidRPr="00861016">
        <w:tab/>
        <w:t>The sealed documents will only be made available to members of this Court, Court staff, counsel and agents for the parties, and other persons as the parties may, in writing, agree.</w:t>
      </w:r>
    </w:p>
    <w:p w:rsidR="00861016" w:rsidRPr="00861016" w:rsidRDefault="00861016" w:rsidP="00861016">
      <w:pPr>
        <w:pStyle w:val="Level1"/>
        <w:jc w:val="both"/>
      </w:pPr>
    </w:p>
    <w:p w:rsidR="00861016" w:rsidRPr="00861016" w:rsidRDefault="00861016" w:rsidP="00861016">
      <w:pPr>
        <w:pStyle w:val="Level1"/>
        <w:jc w:val="both"/>
      </w:pPr>
    </w:p>
    <w:p w:rsidR="00861016" w:rsidRPr="00861016" w:rsidRDefault="00861016" w:rsidP="00861016">
      <w:pPr>
        <w:jc w:val="both"/>
        <w:rPr>
          <w:rFonts w:cs="Times New Roman"/>
          <w:sz w:val="20"/>
          <w:szCs w:val="20"/>
        </w:rPr>
      </w:pPr>
    </w:p>
    <w:p w:rsidR="00861016" w:rsidRPr="00861016" w:rsidRDefault="00861016" w:rsidP="00861016">
      <w:pPr>
        <w:jc w:val="both"/>
        <w:rPr>
          <w:rFonts w:cs="Times New Roman"/>
          <w:sz w:val="20"/>
          <w:szCs w:val="20"/>
          <w:lang w:val="fr-CA"/>
        </w:rPr>
      </w:pPr>
      <w:r w:rsidRPr="00861016">
        <w:rPr>
          <w:rFonts w:cs="Times New Roman"/>
          <w:b/>
          <w:sz w:val="20"/>
          <w:szCs w:val="20"/>
          <w:lang w:val="fr-CA"/>
        </w:rPr>
        <w:t>À LA SUITE D’UNE REQUÊTE</w:t>
      </w:r>
      <w:r w:rsidRPr="00861016">
        <w:rPr>
          <w:rFonts w:cs="Times New Roman"/>
          <w:sz w:val="20"/>
          <w:szCs w:val="20"/>
          <w:lang w:val="fr-CA"/>
        </w:rPr>
        <w:t xml:space="preserve"> présentée par la demanderesse visant à obtenir une ordonnance de mise sous scellés; </w:t>
      </w:r>
    </w:p>
    <w:p w:rsidR="00861016" w:rsidRPr="00861016" w:rsidRDefault="00861016" w:rsidP="00861016">
      <w:pPr>
        <w:jc w:val="both"/>
        <w:rPr>
          <w:rFonts w:cs="Times New Roman"/>
          <w:sz w:val="20"/>
          <w:szCs w:val="20"/>
          <w:lang w:val="fr-CA"/>
        </w:rPr>
      </w:pPr>
    </w:p>
    <w:p w:rsidR="00861016" w:rsidRPr="00861016" w:rsidRDefault="00861016" w:rsidP="00861016">
      <w:pPr>
        <w:jc w:val="both"/>
        <w:rPr>
          <w:rFonts w:cs="Times New Roman"/>
          <w:sz w:val="20"/>
          <w:szCs w:val="20"/>
          <w:lang w:val="fr-CA"/>
        </w:rPr>
      </w:pPr>
      <w:r w:rsidRPr="00861016">
        <w:rPr>
          <w:rFonts w:cs="Times New Roman"/>
          <w:b/>
          <w:sz w:val="20"/>
          <w:szCs w:val="20"/>
          <w:lang w:val="fr-CA"/>
        </w:rPr>
        <w:t>CONSIDÉRANT</w:t>
      </w:r>
      <w:r w:rsidRPr="00861016">
        <w:rPr>
          <w:rFonts w:cs="Times New Roman"/>
          <w:sz w:val="20"/>
          <w:szCs w:val="20"/>
          <w:lang w:val="fr-CA"/>
        </w:rPr>
        <w:t xml:space="preserve"> les documents déposés, </w:t>
      </w:r>
    </w:p>
    <w:p w:rsidR="00861016" w:rsidRPr="00861016" w:rsidRDefault="00861016" w:rsidP="00861016">
      <w:pPr>
        <w:jc w:val="both"/>
        <w:rPr>
          <w:rFonts w:cs="Times New Roman"/>
          <w:sz w:val="20"/>
          <w:szCs w:val="20"/>
          <w:lang w:val="fr-CA"/>
        </w:rPr>
      </w:pPr>
    </w:p>
    <w:p w:rsidR="00861016" w:rsidRPr="00861016" w:rsidRDefault="00861016" w:rsidP="00861016">
      <w:pPr>
        <w:jc w:val="both"/>
        <w:rPr>
          <w:rFonts w:cs="Times New Roman"/>
          <w:sz w:val="20"/>
          <w:szCs w:val="20"/>
          <w:lang w:val="fr-CA"/>
        </w:rPr>
      </w:pPr>
      <w:r w:rsidRPr="00861016">
        <w:rPr>
          <w:rFonts w:cs="Times New Roman"/>
          <w:b/>
          <w:sz w:val="20"/>
          <w:szCs w:val="20"/>
          <w:lang w:val="fr-CA"/>
        </w:rPr>
        <w:t>IL EST ORDONNÉ CE QUI SUIT</w:t>
      </w:r>
      <w:r w:rsidRPr="00861016">
        <w:rPr>
          <w:rFonts w:cs="Times New Roman"/>
          <w:sz w:val="20"/>
          <w:szCs w:val="20"/>
          <w:lang w:val="fr-CA"/>
        </w:rPr>
        <w:t xml:space="preserve"> </w:t>
      </w:r>
      <w:r w:rsidRPr="00861016">
        <w:rPr>
          <w:rFonts w:cs="Times New Roman"/>
          <w:b/>
          <w:sz w:val="20"/>
          <w:szCs w:val="20"/>
          <w:lang w:val="fr-CA"/>
        </w:rPr>
        <w:t>:</w:t>
      </w:r>
      <w:r w:rsidRPr="00861016">
        <w:rPr>
          <w:rFonts w:cs="Times New Roman"/>
          <w:sz w:val="20"/>
          <w:szCs w:val="20"/>
          <w:lang w:val="fr-CA"/>
        </w:rPr>
        <w:t xml:space="preserve"> </w:t>
      </w:r>
    </w:p>
    <w:p w:rsidR="00861016" w:rsidRPr="00861016" w:rsidRDefault="00861016" w:rsidP="00861016">
      <w:pPr>
        <w:jc w:val="both"/>
        <w:rPr>
          <w:rFonts w:cs="Times New Roman"/>
          <w:sz w:val="20"/>
          <w:szCs w:val="20"/>
          <w:lang w:val="fr-CA"/>
        </w:rPr>
      </w:pPr>
    </w:p>
    <w:p w:rsidR="00861016" w:rsidRPr="00861016" w:rsidRDefault="00861016" w:rsidP="00861016">
      <w:pPr>
        <w:jc w:val="both"/>
        <w:rPr>
          <w:rFonts w:cs="Times New Roman"/>
          <w:sz w:val="20"/>
          <w:szCs w:val="20"/>
          <w:lang w:val="fr-CA"/>
        </w:rPr>
      </w:pPr>
      <w:r w:rsidRPr="00861016">
        <w:rPr>
          <w:rFonts w:cs="Times New Roman"/>
          <w:sz w:val="20"/>
          <w:szCs w:val="20"/>
          <w:lang w:val="fr-CA"/>
        </w:rPr>
        <w:t>1)</w:t>
      </w:r>
      <w:r w:rsidRPr="00861016">
        <w:rPr>
          <w:rFonts w:cs="Times New Roman"/>
          <w:sz w:val="20"/>
          <w:szCs w:val="20"/>
          <w:lang w:val="fr-CA"/>
        </w:rPr>
        <w:tab/>
        <w:t xml:space="preserve">La requête est accordée. </w:t>
      </w:r>
    </w:p>
    <w:p w:rsidR="00861016" w:rsidRPr="00861016" w:rsidRDefault="00861016" w:rsidP="00861016">
      <w:pPr>
        <w:jc w:val="both"/>
        <w:rPr>
          <w:rFonts w:cs="Times New Roman"/>
          <w:sz w:val="20"/>
          <w:szCs w:val="20"/>
          <w:lang w:val="fr-CA"/>
        </w:rPr>
      </w:pPr>
    </w:p>
    <w:p w:rsidR="00861016" w:rsidRPr="00861016" w:rsidRDefault="00861016" w:rsidP="00861016">
      <w:pPr>
        <w:ind w:left="720" w:hanging="720"/>
        <w:jc w:val="both"/>
        <w:rPr>
          <w:rFonts w:cs="Times New Roman"/>
          <w:sz w:val="20"/>
          <w:szCs w:val="20"/>
          <w:lang w:val="fr-CA"/>
        </w:rPr>
      </w:pPr>
      <w:r w:rsidRPr="00861016">
        <w:rPr>
          <w:rFonts w:cs="Times New Roman"/>
          <w:sz w:val="20"/>
          <w:szCs w:val="20"/>
          <w:lang w:val="fr-CA"/>
        </w:rPr>
        <w:t>2)</w:t>
      </w:r>
      <w:r w:rsidRPr="00861016">
        <w:rPr>
          <w:rFonts w:cs="Times New Roman"/>
          <w:sz w:val="20"/>
          <w:szCs w:val="20"/>
          <w:lang w:val="fr-CA"/>
        </w:rPr>
        <w:tab/>
        <w:t>Seuls les avocats des parties, leurs correspondants, les juges et le personnel de la Cour et les personnes désignées par un accord écrit des parties ou par une ordonnance de la Cour pourront consulter la version non épurée mise sous scellés des documents.</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spacing w:line="-19" w:lineRule="auto"/>
        <w:jc w:val="both"/>
        <w:rPr>
          <w:rFonts w:cs="Times New Roman"/>
          <w:sz w:val="20"/>
          <w:szCs w:val="20"/>
          <w:lang w:val="fr-CA"/>
        </w:rPr>
      </w:pPr>
    </w:p>
    <w:p w:rsidR="00861016" w:rsidRPr="00861016" w:rsidRDefault="00DB7F13" w:rsidP="00861016">
      <w:pPr>
        <w:tabs>
          <w:tab w:val="left" w:pos="-1440"/>
          <w:tab w:val="left" w:pos="-720"/>
        </w:tabs>
        <w:jc w:val="both"/>
        <w:rPr>
          <w:rFonts w:cs="Times New Roman"/>
          <w:sz w:val="20"/>
          <w:szCs w:val="20"/>
        </w:rPr>
      </w:pPr>
      <w:r w:rsidRPr="00DB7F13">
        <w:rPr>
          <w:rFonts w:cs="Times New Roman"/>
          <w:sz w:val="20"/>
          <w:szCs w:val="20"/>
          <w:lang w:val="fr-CA"/>
        </w:rPr>
        <w:pict>
          <v:rect id="_x0000_i1055" style="width:2in;height:1pt" o:hrpct="0" o:hralign="center" o:hrstd="t" o:hrnoshade="t" o:hr="t" fillcolor="black [3213]" stroked="f"/>
        </w:pict>
      </w:r>
    </w:p>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lang w:val="fr-CA"/>
        </w:rPr>
      </w:pPr>
      <w:r w:rsidRPr="00861016">
        <w:rPr>
          <w:rFonts w:cs="Times New Roman"/>
          <w:sz w:val="20"/>
          <w:szCs w:val="20"/>
          <w:lang w:val="fr-CA"/>
        </w:rPr>
        <w:br w:type="page"/>
      </w: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lastRenderedPageBreak/>
        <w:t>05.12.2011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   LEBEL J. / LE JUGE LEBEL </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61016" w:rsidRPr="00861016" w:rsidTr="00861016">
        <w:tc>
          <w:tcPr>
            <w:tcW w:w="4338" w:type="dxa"/>
          </w:tcPr>
          <w:p w:rsidR="00861016" w:rsidRPr="00861016" w:rsidRDefault="00861016" w:rsidP="00861016">
            <w:pPr>
              <w:tabs>
                <w:tab w:val="left" w:pos="-1440"/>
                <w:tab w:val="left" w:pos="-720"/>
              </w:tabs>
              <w:jc w:val="both"/>
              <w:rPr>
                <w:rFonts w:cs="Times New Roman"/>
                <w:b/>
                <w:sz w:val="20"/>
                <w:szCs w:val="20"/>
              </w:rPr>
            </w:pPr>
            <w:r w:rsidRPr="00861016">
              <w:rPr>
                <w:rFonts w:cs="Times New Roman"/>
                <w:b/>
                <w:sz w:val="20"/>
                <w:szCs w:val="20"/>
              </w:rPr>
              <w:t>M</w:t>
            </w:r>
            <w:r w:rsidR="00DB7F13" w:rsidRPr="00861016">
              <w:rPr>
                <w:rFonts w:cs="Times New Roman"/>
                <w:b/>
                <w:sz w:val="20"/>
                <w:szCs w:val="20"/>
              </w:rPr>
              <w:fldChar w:fldCharType="begin"/>
            </w:r>
            <w:r w:rsidRPr="00861016">
              <w:rPr>
                <w:rFonts w:cs="Times New Roman"/>
                <w:b/>
                <w:sz w:val="20"/>
                <w:szCs w:val="20"/>
              </w:rPr>
              <w:instrText xml:space="preserve"> SEQ CHAPTER \h \r 1</w:instrText>
            </w:r>
            <w:r w:rsidR="00DB7F13" w:rsidRPr="00861016">
              <w:rPr>
                <w:rFonts w:cs="Times New Roman"/>
                <w:b/>
                <w:sz w:val="20"/>
                <w:szCs w:val="20"/>
              </w:rPr>
              <w:fldChar w:fldCharType="end"/>
            </w:r>
            <w:r w:rsidRPr="00861016">
              <w:rPr>
                <w:rFonts w:cs="Times New Roman"/>
                <w:b/>
                <w:sz w:val="20"/>
                <w:szCs w:val="20"/>
              </w:rPr>
              <w:t>otion to strike out</w:t>
            </w:r>
          </w:p>
        </w:tc>
        <w:tc>
          <w:tcPr>
            <w:tcW w:w="1170" w:type="dxa"/>
          </w:tcPr>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tc>
        <w:tc>
          <w:tcPr>
            <w:tcW w:w="4327" w:type="dxa"/>
          </w:tcPr>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b/>
                <w:bCs/>
                <w:sz w:val="20"/>
                <w:szCs w:val="20"/>
                <w:lang w:val="fr-CA"/>
              </w:rPr>
              <w:t>Requête en radiation</w:t>
            </w:r>
          </w:p>
        </w:tc>
      </w:tr>
      <w:tr w:rsidR="00861016" w:rsidRPr="00861016" w:rsidTr="00861016">
        <w:tc>
          <w:tcPr>
            <w:tcW w:w="4338" w:type="dxa"/>
          </w:tcPr>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 xml:space="preserve">Halifax Regional Municipality </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ab/>
              <w:t>v. (33876)</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Her Majesty the Queen in Right of Canada, as represented by the Minister of Public Works and Government Services (F.C.)</w:t>
            </w:r>
          </w:p>
        </w:tc>
        <w:tc>
          <w:tcPr>
            <w:tcW w:w="1170" w:type="dxa"/>
          </w:tcPr>
          <w:p w:rsidR="00861016" w:rsidRPr="00861016" w:rsidRDefault="00861016" w:rsidP="00861016">
            <w:pPr>
              <w:tabs>
                <w:tab w:val="left" w:pos="-1440"/>
                <w:tab w:val="left" w:pos="-720"/>
              </w:tabs>
              <w:jc w:val="both"/>
              <w:rPr>
                <w:rFonts w:cs="Times New Roman"/>
                <w:sz w:val="20"/>
                <w:szCs w:val="20"/>
              </w:rPr>
            </w:pPr>
          </w:p>
        </w:tc>
        <w:tc>
          <w:tcPr>
            <w:tcW w:w="4327" w:type="dxa"/>
          </w:tcPr>
          <w:p w:rsidR="00861016" w:rsidRPr="00861016" w:rsidRDefault="00861016" w:rsidP="00861016">
            <w:pPr>
              <w:tabs>
                <w:tab w:val="left" w:pos="-1440"/>
                <w:tab w:val="left" w:pos="-720"/>
              </w:tabs>
              <w:jc w:val="both"/>
              <w:rPr>
                <w:rFonts w:cs="Times New Roman"/>
                <w:sz w:val="20"/>
                <w:szCs w:val="20"/>
              </w:rPr>
            </w:pPr>
          </w:p>
        </w:tc>
      </w:tr>
    </w:tbl>
    <w:p w:rsidR="00861016" w:rsidRPr="00861016" w:rsidRDefault="00861016" w:rsidP="00861016">
      <w:pPr>
        <w:pStyle w:val="ListParagraph"/>
        <w:ind w:left="0"/>
        <w:rPr>
          <w:rFonts w:cs="Times New Roman"/>
          <w:b/>
          <w:sz w:val="20"/>
          <w:szCs w:val="20"/>
          <w:lang w:val="en-US"/>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b/>
          <w:sz w:val="20"/>
          <w:szCs w:val="20"/>
        </w:rPr>
        <w:t>DISMISSED / REJETÉE</w:t>
      </w:r>
    </w:p>
    <w:p w:rsidR="00861016" w:rsidRPr="00861016" w:rsidRDefault="00861016" w:rsidP="00861016">
      <w:pPr>
        <w:pStyle w:val="ListParagraph"/>
        <w:ind w:left="0"/>
        <w:rPr>
          <w:rFonts w:cs="Times New Roman"/>
          <w:b/>
          <w:sz w:val="20"/>
          <w:szCs w:val="20"/>
          <w:lang w:val="en-US"/>
        </w:rPr>
      </w:pPr>
    </w:p>
    <w:p w:rsidR="00861016" w:rsidRPr="00861016" w:rsidRDefault="00861016" w:rsidP="00861016">
      <w:pPr>
        <w:pStyle w:val="ListParagraph"/>
        <w:ind w:left="0"/>
        <w:rPr>
          <w:rFonts w:cs="Times New Roman"/>
          <w:sz w:val="20"/>
          <w:szCs w:val="20"/>
          <w:lang w:val="en-US"/>
        </w:rPr>
      </w:pPr>
      <w:r w:rsidRPr="00861016">
        <w:rPr>
          <w:rFonts w:cs="Times New Roman"/>
          <w:b/>
          <w:sz w:val="20"/>
          <w:szCs w:val="20"/>
          <w:lang w:val="en-US"/>
        </w:rPr>
        <w:t>UPON APPLICATION</w:t>
      </w:r>
      <w:r w:rsidRPr="00861016">
        <w:rPr>
          <w:rFonts w:cs="Times New Roman"/>
          <w:sz w:val="20"/>
          <w:szCs w:val="20"/>
          <w:lang w:val="en-US"/>
        </w:rPr>
        <w:t xml:space="preserve"> by the respondent, Her Majesty the Queen in Right of Canada, for an order striking out the documents inserted at tab  7 to 10 of the book of authorities as well as paragraphs 10, 14, 28 and 31(a) from the factum of the intervener, the City of Quebec;</w:t>
      </w:r>
    </w:p>
    <w:p w:rsidR="00861016" w:rsidRPr="00861016" w:rsidRDefault="00861016" w:rsidP="00861016">
      <w:pPr>
        <w:pStyle w:val="ListParagraph"/>
        <w:ind w:left="0"/>
        <w:rPr>
          <w:rFonts w:cs="Times New Roman"/>
          <w:sz w:val="20"/>
          <w:szCs w:val="20"/>
          <w:lang w:val="en-US"/>
        </w:rPr>
      </w:pPr>
    </w:p>
    <w:p w:rsidR="00861016" w:rsidRPr="00861016" w:rsidRDefault="00861016" w:rsidP="00861016">
      <w:pPr>
        <w:pStyle w:val="ListParagraph"/>
        <w:ind w:left="0"/>
        <w:rPr>
          <w:rFonts w:cs="Times New Roman"/>
          <w:b/>
          <w:sz w:val="20"/>
          <w:szCs w:val="20"/>
          <w:lang w:val="en-US"/>
        </w:rPr>
      </w:pPr>
      <w:r w:rsidRPr="00861016">
        <w:rPr>
          <w:rFonts w:cs="Times New Roman"/>
          <w:b/>
          <w:sz w:val="20"/>
          <w:szCs w:val="20"/>
          <w:lang w:val="en-US"/>
        </w:rPr>
        <w:t>IT IS HEREBY ORDERED THAT:</w:t>
      </w:r>
    </w:p>
    <w:p w:rsidR="00861016" w:rsidRPr="00861016" w:rsidRDefault="00861016" w:rsidP="00861016">
      <w:pPr>
        <w:pStyle w:val="ListParagraph"/>
        <w:ind w:left="0"/>
        <w:rPr>
          <w:rFonts w:cs="Times New Roman"/>
          <w:sz w:val="20"/>
          <w:szCs w:val="20"/>
          <w:lang w:val="en-US"/>
        </w:rPr>
      </w:pPr>
    </w:p>
    <w:p w:rsidR="00861016" w:rsidRPr="00861016" w:rsidRDefault="00861016" w:rsidP="00861016">
      <w:pPr>
        <w:pStyle w:val="ListParagraph"/>
        <w:numPr>
          <w:ilvl w:val="0"/>
          <w:numId w:val="3"/>
        </w:numPr>
        <w:contextualSpacing w:val="0"/>
        <w:rPr>
          <w:rFonts w:cs="Times New Roman"/>
          <w:sz w:val="20"/>
          <w:szCs w:val="20"/>
          <w:lang w:val="en-US"/>
        </w:rPr>
      </w:pPr>
      <w:r w:rsidRPr="00861016">
        <w:rPr>
          <w:rFonts w:cs="Times New Roman"/>
          <w:sz w:val="20"/>
          <w:szCs w:val="20"/>
          <w:lang w:val="en-US"/>
        </w:rPr>
        <w:t>The motion is dismissed without costs.</w:t>
      </w:r>
    </w:p>
    <w:p w:rsidR="00861016" w:rsidRPr="00861016" w:rsidRDefault="00861016" w:rsidP="00861016">
      <w:pPr>
        <w:pStyle w:val="ListParagraph"/>
        <w:ind w:left="0"/>
        <w:jc w:val="both"/>
        <w:rPr>
          <w:rFonts w:cs="Times New Roman"/>
          <w:b/>
          <w:sz w:val="20"/>
          <w:szCs w:val="20"/>
          <w:lang w:val="en-US"/>
        </w:rPr>
      </w:pPr>
    </w:p>
    <w:p w:rsidR="00861016" w:rsidRPr="00861016" w:rsidRDefault="00861016" w:rsidP="00861016">
      <w:pPr>
        <w:pStyle w:val="ListParagraph"/>
        <w:ind w:left="0"/>
        <w:jc w:val="both"/>
        <w:rPr>
          <w:rFonts w:cs="Times New Roman"/>
          <w:b/>
          <w:sz w:val="20"/>
          <w:szCs w:val="20"/>
          <w:lang w:val="en-US"/>
        </w:rPr>
      </w:pPr>
    </w:p>
    <w:p w:rsidR="00861016" w:rsidRPr="00861016" w:rsidRDefault="00861016" w:rsidP="00861016">
      <w:pPr>
        <w:pStyle w:val="ListParagraph"/>
        <w:ind w:left="0"/>
        <w:jc w:val="both"/>
        <w:rPr>
          <w:rFonts w:cs="Times New Roman"/>
          <w:b/>
          <w:sz w:val="20"/>
          <w:szCs w:val="20"/>
          <w:lang w:val="en-US"/>
        </w:rPr>
      </w:pPr>
    </w:p>
    <w:p w:rsidR="00861016" w:rsidRPr="00861016" w:rsidRDefault="00861016" w:rsidP="00861016">
      <w:pPr>
        <w:pStyle w:val="ListParagraph"/>
        <w:ind w:left="0"/>
        <w:jc w:val="both"/>
        <w:rPr>
          <w:rFonts w:cs="Times New Roman"/>
          <w:sz w:val="20"/>
          <w:szCs w:val="20"/>
          <w:lang w:val="fr-CA"/>
        </w:rPr>
      </w:pPr>
      <w:r w:rsidRPr="00861016">
        <w:rPr>
          <w:rFonts w:cs="Times New Roman"/>
          <w:b/>
          <w:sz w:val="20"/>
          <w:szCs w:val="20"/>
          <w:lang w:val="fr-CA"/>
        </w:rPr>
        <w:t xml:space="preserve">À LA SUITE D’UNE REQUÊTE </w:t>
      </w:r>
      <w:r w:rsidRPr="00861016">
        <w:rPr>
          <w:rFonts w:cs="Times New Roman"/>
          <w:sz w:val="20"/>
          <w:szCs w:val="20"/>
          <w:lang w:val="fr-CA"/>
        </w:rPr>
        <w:t>de l’intimée, Sa Majesté la Reine du chef du Canada, en radiation des documents insérés aux onglets 7 à 10 du recueil de sources et des paragraphes 10, 14, 28 et 31(a) du mémoire de l’intervenante, Ville de Québec;</w:t>
      </w:r>
    </w:p>
    <w:p w:rsidR="00861016" w:rsidRPr="00861016" w:rsidRDefault="00861016" w:rsidP="00861016">
      <w:pPr>
        <w:widowControl w:val="0"/>
        <w:rPr>
          <w:rFonts w:cs="Times New Roman"/>
          <w:sz w:val="20"/>
          <w:szCs w:val="20"/>
          <w:lang w:val="fr-CA"/>
        </w:rPr>
      </w:pPr>
    </w:p>
    <w:p w:rsidR="00861016" w:rsidRPr="00861016" w:rsidRDefault="00861016" w:rsidP="00861016">
      <w:pPr>
        <w:widowControl w:val="0"/>
        <w:rPr>
          <w:rFonts w:cs="Times New Roman"/>
          <w:sz w:val="20"/>
          <w:szCs w:val="20"/>
          <w:lang w:val="fr-CA"/>
        </w:rPr>
      </w:pPr>
      <w:r w:rsidRPr="00861016">
        <w:rPr>
          <w:rFonts w:cs="Times New Roman"/>
          <w:b/>
          <w:sz w:val="20"/>
          <w:szCs w:val="20"/>
          <w:lang w:val="fr-CA"/>
        </w:rPr>
        <w:t>IL EST PAR LA PRÉSENTE ORDONNÉ CE QUI SUIT :</w:t>
      </w:r>
    </w:p>
    <w:p w:rsidR="00861016" w:rsidRPr="00861016" w:rsidRDefault="00861016" w:rsidP="00861016">
      <w:pPr>
        <w:pStyle w:val="ListParagraph"/>
        <w:ind w:left="0"/>
        <w:rPr>
          <w:rFonts w:cs="Times New Roman"/>
          <w:sz w:val="20"/>
          <w:szCs w:val="20"/>
          <w:lang w:val="fr-CA"/>
        </w:rPr>
      </w:pPr>
    </w:p>
    <w:p w:rsidR="00861016" w:rsidRPr="00861016" w:rsidRDefault="00861016" w:rsidP="00861016">
      <w:pPr>
        <w:pStyle w:val="ListParagraph"/>
        <w:numPr>
          <w:ilvl w:val="0"/>
          <w:numId w:val="4"/>
        </w:numPr>
        <w:contextualSpacing w:val="0"/>
        <w:rPr>
          <w:rFonts w:cs="Times New Roman"/>
          <w:sz w:val="20"/>
          <w:szCs w:val="20"/>
          <w:lang w:val="fr-CA"/>
        </w:rPr>
      </w:pPr>
      <w:r w:rsidRPr="00861016">
        <w:rPr>
          <w:rFonts w:cs="Times New Roman"/>
          <w:sz w:val="20"/>
          <w:szCs w:val="20"/>
          <w:lang w:val="fr-CA"/>
        </w:rPr>
        <w:t>La requête est rejetée sans dépens.</w:t>
      </w:r>
    </w:p>
    <w:p w:rsidR="00861016" w:rsidRPr="00861016" w:rsidRDefault="00861016" w:rsidP="00861016">
      <w:pPr>
        <w:pStyle w:val="ListParagraph"/>
        <w:ind w:left="0"/>
        <w:jc w:val="both"/>
        <w:rPr>
          <w:rFonts w:cs="Times New Roman"/>
          <w:sz w:val="20"/>
          <w:szCs w:val="20"/>
          <w:lang w:val="fr-CA"/>
        </w:rPr>
      </w:pPr>
    </w:p>
    <w:p w:rsidR="00861016" w:rsidRPr="00861016" w:rsidRDefault="00DB7F13" w:rsidP="00861016">
      <w:pPr>
        <w:tabs>
          <w:tab w:val="left" w:pos="-1440"/>
          <w:tab w:val="left" w:pos="-720"/>
        </w:tabs>
        <w:jc w:val="both"/>
        <w:rPr>
          <w:rFonts w:cs="Times New Roman"/>
          <w:sz w:val="20"/>
          <w:szCs w:val="20"/>
          <w:lang w:val="fr-CA"/>
        </w:rPr>
      </w:pPr>
      <w:r w:rsidRPr="00DB7F13">
        <w:rPr>
          <w:rFonts w:cs="Times New Roman"/>
          <w:sz w:val="20"/>
          <w:szCs w:val="20"/>
          <w:lang w:val="fr-CA"/>
        </w:rPr>
        <w:pict>
          <v:rect id="_x0000_i1056" style="width:2in;height:1pt" o:hrpct="0" o:hralign="center" o:hrstd="t" o:hrnoshade="t" o:hr="t" fillcolor="black [3213]" stroked="f"/>
        </w:pic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06.12.2011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   DESCHAMPS J. / LA JUGE DESCHAMPS</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61016" w:rsidRPr="00FF4B6E" w:rsidTr="00861016">
        <w:tc>
          <w:tcPr>
            <w:tcW w:w="4338" w:type="dxa"/>
          </w:tcPr>
          <w:p w:rsidR="00861016" w:rsidRPr="00861016" w:rsidRDefault="00DB7F13" w:rsidP="00861016">
            <w:pPr>
              <w:tabs>
                <w:tab w:val="left" w:pos="-1440"/>
                <w:tab w:val="left" w:pos="-720"/>
              </w:tabs>
              <w:jc w:val="both"/>
              <w:rPr>
                <w:rFonts w:cs="Times New Roman"/>
                <w:b/>
                <w:sz w:val="20"/>
                <w:szCs w:val="20"/>
              </w:rPr>
            </w:pPr>
            <w:r w:rsidRPr="00861016">
              <w:rPr>
                <w:rFonts w:cs="Times New Roman"/>
                <w:sz w:val="20"/>
                <w:szCs w:val="20"/>
              </w:rPr>
              <w:fldChar w:fldCharType="begin"/>
            </w:r>
            <w:r w:rsidR="00861016" w:rsidRPr="00861016">
              <w:rPr>
                <w:rFonts w:cs="Times New Roman"/>
                <w:sz w:val="20"/>
                <w:szCs w:val="20"/>
              </w:rPr>
              <w:instrText xml:space="preserve"> SEQ CHAPTER \h \r 1</w:instrText>
            </w:r>
            <w:r w:rsidRPr="00861016">
              <w:rPr>
                <w:rFonts w:cs="Times New Roman"/>
                <w:sz w:val="20"/>
                <w:szCs w:val="20"/>
              </w:rPr>
              <w:fldChar w:fldCharType="end"/>
            </w:r>
            <w:r w:rsidRPr="00861016">
              <w:rPr>
                <w:rFonts w:cs="Times New Roman"/>
                <w:sz w:val="20"/>
                <w:szCs w:val="20"/>
              </w:rPr>
              <w:fldChar w:fldCharType="begin"/>
            </w:r>
            <w:r w:rsidR="00861016" w:rsidRPr="00861016">
              <w:rPr>
                <w:rFonts w:cs="Times New Roman"/>
                <w:sz w:val="20"/>
                <w:szCs w:val="20"/>
              </w:rPr>
              <w:instrText xml:space="preserve"> SEQ CHAPTER \h \r 1</w:instrText>
            </w:r>
            <w:r w:rsidRPr="00861016">
              <w:rPr>
                <w:rFonts w:cs="Times New Roman"/>
                <w:sz w:val="20"/>
                <w:szCs w:val="20"/>
              </w:rPr>
              <w:fldChar w:fldCharType="end"/>
            </w:r>
            <w:r w:rsidR="00861016" w:rsidRPr="00861016">
              <w:rPr>
                <w:rFonts w:cs="Times New Roman"/>
                <w:b/>
                <w:bCs/>
                <w:sz w:val="20"/>
                <w:szCs w:val="20"/>
              </w:rPr>
              <w:t>Motion to file a reply factum on appeal</w:t>
            </w:r>
          </w:p>
        </w:tc>
        <w:tc>
          <w:tcPr>
            <w:tcW w:w="1170" w:type="dxa"/>
          </w:tcPr>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tc>
        <w:tc>
          <w:tcPr>
            <w:tcW w:w="4327" w:type="dxa"/>
          </w:tcPr>
          <w:p w:rsidR="00861016" w:rsidRPr="00861016" w:rsidRDefault="00DB7F13" w:rsidP="00861016">
            <w:pPr>
              <w:tabs>
                <w:tab w:val="left" w:pos="-1440"/>
                <w:tab w:val="left" w:pos="-720"/>
              </w:tabs>
              <w:jc w:val="both"/>
              <w:rPr>
                <w:rFonts w:cs="Times New Roman"/>
                <w:sz w:val="20"/>
                <w:szCs w:val="20"/>
                <w:lang w:val="fr-CA"/>
              </w:rPr>
            </w:pPr>
            <w:r w:rsidRPr="00861016">
              <w:rPr>
                <w:rFonts w:cs="Times New Roman"/>
                <w:sz w:val="20"/>
                <w:szCs w:val="20"/>
              </w:rPr>
              <w:fldChar w:fldCharType="begin"/>
            </w:r>
            <w:r w:rsidR="00861016" w:rsidRPr="00861016">
              <w:rPr>
                <w:rFonts w:cs="Times New Roman"/>
                <w:sz w:val="20"/>
                <w:szCs w:val="20"/>
                <w:lang w:val="fr-CA"/>
              </w:rPr>
              <w:instrText xml:space="preserve"> SEQ CHAPTER \h \r 1</w:instrText>
            </w:r>
            <w:r w:rsidRPr="00861016">
              <w:rPr>
                <w:rFonts w:cs="Times New Roman"/>
                <w:sz w:val="20"/>
                <w:szCs w:val="20"/>
              </w:rPr>
              <w:fldChar w:fldCharType="end"/>
            </w:r>
            <w:r w:rsidR="00861016" w:rsidRPr="00861016">
              <w:rPr>
                <w:rFonts w:cs="Times New Roman"/>
                <w:b/>
                <w:bCs/>
                <w:sz w:val="20"/>
                <w:szCs w:val="20"/>
                <w:lang w:val="fr-CA"/>
              </w:rPr>
              <w:t>Requête en vue de déposer un mémoire en réplique concernant l’appel</w:t>
            </w:r>
            <w:r w:rsidRPr="00861016">
              <w:rPr>
                <w:rFonts w:cs="Times New Roman"/>
                <w:sz w:val="20"/>
                <w:szCs w:val="20"/>
              </w:rPr>
              <w:fldChar w:fldCharType="begin"/>
            </w:r>
            <w:r w:rsidR="00861016" w:rsidRPr="00861016">
              <w:rPr>
                <w:rFonts w:cs="Times New Roman"/>
                <w:sz w:val="20"/>
                <w:szCs w:val="20"/>
                <w:lang w:val="fr-CA"/>
              </w:rPr>
              <w:instrText xml:space="preserve"> SEQ CHAPTER \h \r 1</w:instrText>
            </w:r>
            <w:r w:rsidRPr="00861016">
              <w:rPr>
                <w:rFonts w:cs="Times New Roman"/>
                <w:sz w:val="20"/>
                <w:szCs w:val="20"/>
              </w:rPr>
              <w:fldChar w:fldCharType="end"/>
            </w:r>
            <w:r w:rsidRPr="00861016">
              <w:rPr>
                <w:rFonts w:cs="Times New Roman"/>
                <w:sz w:val="20"/>
                <w:szCs w:val="20"/>
              </w:rPr>
              <w:fldChar w:fldCharType="begin"/>
            </w:r>
            <w:r w:rsidR="00861016" w:rsidRPr="00861016">
              <w:rPr>
                <w:rFonts w:cs="Times New Roman"/>
                <w:sz w:val="20"/>
                <w:szCs w:val="20"/>
                <w:lang w:val="fr-CA"/>
              </w:rPr>
              <w:instrText xml:space="preserve"> SEQ CHAPTER \h \r 1</w:instrText>
            </w:r>
            <w:r w:rsidRPr="00861016">
              <w:rPr>
                <w:rFonts w:cs="Times New Roman"/>
                <w:sz w:val="20"/>
                <w:szCs w:val="20"/>
              </w:rPr>
              <w:fldChar w:fldCharType="end"/>
            </w:r>
          </w:p>
        </w:tc>
      </w:tr>
      <w:tr w:rsidR="00861016" w:rsidRPr="00861016" w:rsidTr="00861016">
        <w:tc>
          <w:tcPr>
            <w:tcW w:w="4338" w:type="dxa"/>
          </w:tcPr>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 xml:space="preserve">Manitoba Métis </w:t>
            </w:r>
            <w:proofErr w:type="spellStart"/>
            <w:r w:rsidRPr="00861016">
              <w:rPr>
                <w:rFonts w:cs="Times New Roman"/>
                <w:sz w:val="20"/>
                <w:szCs w:val="20"/>
                <w:lang w:val="fr-CA"/>
              </w:rPr>
              <w:t>Federation</w:t>
            </w:r>
            <w:proofErr w:type="spellEnd"/>
            <w:r w:rsidRPr="00861016">
              <w:rPr>
                <w:rFonts w:cs="Times New Roman"/>
                <w:sz w:val="20"/>
                <w:szCs w:val="20"/>
                <w:lang w:val="fr-CA"/>
              </w:rPr>
              <w:t xml:space="preserve"> Inc. et al.</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lang w:val="fr-CA"/>
              </w:rPr>
              <w:tab/>
            </w:r>
            <w:r w:rsidRPr="00861016">
              <w:rPr>
                <w:rFonts w:cs="Times New Roman"/>
                <w:sz w:val="20"/>
                <w:szCs w:val="20"/>
              </w:rPr>
              <w:t>v. (33880)</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Attorney General of Canada et al. (Man.)</w:t>
            </w:r>
          </w:p>
        </w:tc>
        <w:tc>
          <w:tcPr>
            <w:tcW w:w="1170" w:type="dxa"/>
          </w:tcPr>
          <w:p w:rsidR="00861016" w:rsidRPr="00861016" w:rsidRDefault="00861016" w:rsidP="00861016">
            <w:pPr>
              <w:tabs>
                <w:tab w:val="left" w:pos="-1440"/>
                <w:tab w:val="left" w:pos="-720"/>
              </w:tabs>
              <w:jc w:val="both"/>
              <w:rPr>
                <w:rFonts w:cs="Times New Roman"/>
                <w:sz w:val="20"/>
                <w:szCs w:val="20"/>
              </w:rPr>
            </w:pPr>
          </w:p>
        </w:tc>
        <w:tc>
          <w:tcPr>
            <w:tcW w:w="4327" w:type="dxa"/>
          </w:tcPr>
          <w:p w:rsidR="00861016" w:rsidRPr="00861016" w:rsidRDefault="00861016" w:rsidP="00861016">
            <w:pPr>
              <w:tabs>
                <w:tab w:val="left" w:pos="-1440"/>
                <w:tab w:val="left" w:pos="-720"/>
              </w:tabs>
              <w:jc w:val="both"/>
              <w:rPr>
                <w:rFonts w:cs="Times New Roman"/>
                <w:sz w:val="20"/>
                <w:szCs w:val="20"/>
              </w:rPr>
            </w:pPr>
          </w:p>
        </w:tc>
      </w:tr>
    </w:tbl>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b/>
          <w:sz w:val="20"/>
          <w:szCs w:val="20"/>
        </w:rPr>
      </w:pPr>
      <w:r w:rsidRPr="00861016">
        <w:rPr>
          <w:rFonts w:cs="Times New Roman"/>
          <w:b/>
          <w:sz w:val="20"/>
          <w:szCs w:val="20"/>
        </w:rPr>
        <w:t>DISMISSED / REJETÉE</w:t>
      </w:r>
    </w:p>
    <w:p w:rsidR="00861016" w:rsidRPr="00861016" w:rsidRDefault="00861016" w:rsidP="00861016">
      <w:pPr>
        <w:tabs>
          <w:tab w:val="left" w:pos="-1440"/>
          <w:tab w:val="left" w:pos="-720"/>
        </w:tabs>
        <w:jc w:val="both"/>
        <w:rPr>
          <w:rFonts w:cs="Times New Roman"/>
          <w:b/>
          <w:sz w:val="20"/>
          <w:szCs w:val="20"/>
        </w:rPr>
      </w:pPr>
    </w:p>
    <w:p w:rsidR="00861016" w:rsidRPr="00861016" w:rsidRDefault="00861016" w:rsidP="00861016">
      <w:pPr>
        <w:rPr>
          <w:rFonts w:cs="Times New Roman"/>
          <w:sz w:val="20"/>
          <w:szCs w:val="20"/>
        </w:rPr>
      </w:pPr>
      <w:r w:rsidRPr="00861016">
        <w:rPr>
          <w:rFonts w:cs="Times New Roman"/>
          <w:b/>
          <w:bCs/>
          <w:sz w:val="20"/>
          <w:szCs w:val="20"/>
        </w:rPr>
        <w:t>UPON APPLICATION</w:t>
      </w:r>
      <w:r w:rsidRPr="00861016">
        <w:rPr>
          <w:rFonts w:cs="Times New Roman"/>
          <w:sz w:val="20"/>
          <w:szCs w:val="20"/>
        </w:rPr>
        <w:t xml:space="preserve"> by the appellants for an order permitting the filing of a reply factum to the factums of the respondents;</w:t>
      </w:r>
    </w:p>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r w:rsidRPr="00861016">
        <w:rPr>
          <w:rFonts w:cs="Times New Roman"/>
          <w:b/>
          <w:bCs/>
          <w:sz w:val="20"/>
          <w:szCs w:val="20"/>
        </w:rPr>
        <w:lastRenderedPageBreak/>
        <w:t>AND THE MATERIAL FILED</w:t>
      </w:r>
      <w:r w:rsidRPr="00861016">
        <w:rPr>
          <w:rFonts w:cs="Times New Roman"/>
          <w:sz w:val="20"/>
          <w:szCs w:val="20"/>
        </w:rPr>
        <w:t xml:space="preserve"> having been read;</w:t>
      </w:r>
    </w:p>
    <w:p w:rsidR="00861016" w:rsidRPr="00861016" w:rsidRDefault="00861016" w:rsidP="00861016">
      <w:pPr>
        <w:rPr>
          <w:rFonts w:cs="Times New Roman"/>
          <w:sz w:val="20"/>
          <w:szCs w:val="20"/>
        </w:rPr>
      </w:pPr>
    </w:p>
    <w:p w:rsidR="00861016" w:rsidRPr="00861016" w:rsidRDefault="00861016" w:rsidP="00861016">
      <w:pPr>
        <w:rPr>
          <w:rFonts w:cs="Times New Roman"/>
          <w:b/>
          <w:bCs/>
          <w:sz w:val="20"/>
          <w:szCs w:val="20"/>
        </w:rPr>
      </w:pPr>
      <w:r w:rsidRPr="00861016">
        <w:rPr>
          <w:rFonts w:cs="Times New Roman"/>
          <w:b/>
          <w:bCs/>
          <w:sz w:val="20"/>
          <w:szCs w:val="20"/>
        </w:rPr>
        <w:t>IT IS HEREBY ORDERED THAT:</w:t>
      </w:r>
    </w:p>
    <w:p w:rsidR="00861016" w:rsidRPr="00861016" w:rsidRDefault="00861016" w:rsidP="00861016">
      <w:pPr>
        <w:rPr>
          <w:rFonts w:cs="Times New Roman"/>
          <w:b/>
          <w:bCs/>
          <w:sz w:val="20"/>
          <w:szCs w:val="20"/>
        </w:rPr>
      </w:pPr>
    </w:p>
    <w:p w:rsidR="00861016" w:rsidRPr="00861016" w:rsidRDefault="00861016" w:rsidP="00861016">
      <w:pPr>
        <w:rPr>
          <w:rFonts w:cs="Times New Roman"/>
          <w:sz w:val="20"/>
          <w:szCs w:val="20"/>
          <w:lang w:val="fr-CA"/>
        </w:rPr>
      </w:pPr>
      <w:r w:rsidRPr="00861016">
        <w:rPr>
          <w:rFonts w:cs="Times New Roman"/>
          <w:sz w:val="20"/>
          <w:szCs w:val="20"/>
          <w:lang w:val="fr-CA"/>
        </w:rPr>
        <w:t xml:space="preserve">The motion </w:t>
      </w:r>
      <w:proofErr w:type="spellStart"/>
      <w:r w:rsidRPr="00861016">
        <w:rPr>
          <w:rFonts w:cs="Times New Roman"/>
          <w:sz w:val="20"/>
          <w:szCs w:val="20"/>
          <w:lang w:val="fr-CA"/>
        </w:rPr>
        <w:t>is</w:t>
      </w:r>
      <w:proofErr w:type="spellEnd"/>
      <w:r w:rsidRPr="00861016">
        <w:rPr>
          <w:rFonts w:cs="Times New Roman"/>
          <w:sz w:val="20"/>
          <w:szCs w:val="20"/>
          <w:lang w:val="fr-CA"/>
        </w:rPr>
        <w:t xml:space="preserve"> </w:t>
      </w:r>
      <w:proofErr w:type="spellStart"/>
      <w:r w:rsidRPr="00861016">
        <w:rPr>
          <w:rFonts w:cs="Times New Roman"/>
          <w:sz w:val="20"/>
          <w:szCs w:val="20"/>
          <w:lang w:val="fr-CA"/>
        </w:rPr>
        <w:t>dismissed</w:t>
      </w:r>
      <w:proofErr w:type="spellEnd"/>
      <w:r w:rsidRPr="00861016">
        <w:rPr>
          <w:rFonts w:cs="Times New Roman"/>
          <w:sz w:val="20"/>
          <w:szCs w:val="20"/>
          <w:lang w:val="fr-CA"/>
        </w:rPr>
        <w:t>.</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rPr>
          <w:rFonts w:cs="Times New Roman"/>
          <w:sz w:val="20"/>
          <w:szCs w:val="20"/>
          <w:lang w:val="fr-CA"/>
        </w:rPr>
      </w:pPr>
      <w:r w:rsidRPr="00861016">
        <w:rPr>
          <w:rFonts w:cs="Times New Roman"/>
          <w:b/>
          <w:bCs/>
          <w:sz w:val="20"/>
          <w:szCs w:val="20"/>
          <w:lang w:val="fr-CA"/>
        </w:rPr>
        <w:t xml:space="preserve">À LA SUITE DE LA DEMANDE </w:t>
      </w:r>
      <w:r w:rsidRPr="00861016">
        <w:rPr>
          <w:rFonts w:cs="Times New Roman"/>
          <w:bCs/>
          <w:sz w:val="20"/>
          <w:szCs w:val="20"/>
          <w:lang w:val="fr-CA"/>
        </w:rPr>
        <w:t>présentée</w:t>
      </w:r>
      <w:r w:rsidRPr="00861016">
        <w:rPr>
          <w:rFonts w:cs="Times New Roman"/>
          <w:b/>
          <w:bCs/>
          <w:sz w:val="20"/>
          <w:szCs w:val="20"/>
          <w:lang w:val="fr-CA"/>
        </w:rPr>
        <w:t xml:space="preserve"> </w:t>
      </w:r>
      <w:r w:rsidRPr="00861016">
        <w:rPr>
          <w:rFonts w:cs="Times New Roman"/>
          <w:bCs/>
          <w:sz w:val="20"/>
          <w:szCs w:val="20"/>
          <w:lang w:val="fr-CA"/>
        </w:rPr>
        <w:t xml:space="preserve">par les appelants en vue de déposer un mémoire en réplique aux mémoires des intimés;  </w:t>
      </w:r>
    </w:p>
    <w:p w:rsidR="00861016" w:rsidRPr="00861016" w:rsidRDefault="00861016" w:rsidP="00861016">
      <w:pPr>
        <w:rPr>
          <w:rFonts w:cs="Times New Roman"/>
          <w:sz w:val="20"/>
          <w:szCs w:val="20"/>
          <w:lang w:val="fr-CA"/>
        </w:rPr>
      </w:pPr>
    </w:p>
    <w:p w:rsidR="00861016" w:rsidRPr="00861016" w:rsidRDefault="00861016" w:rsidP="00861016">
      <w:pPr>
        <w:rPr>
          <w:rFonts w:cs="Times New Roman"/>
          <w:sz w:val="20"/>
          <w:szCs w:val="20"/>
          <w:lang w:val="fr-CA"/>
        </w:rPr>
      </w:pPr>
      <w:r w:rsidRPr="00861016">
        <w:rPr>
          <w:rFonts w:cs="Times New Roman"/>
          <w:b/>
          <w:bCs/>
          <w:sz w:val="20"/>
          <w:szCs w:val="20"/>
          <w:lang w:val="fr-CA"/>
        </w:rPr>
        <w:t xml:space="preserve">ET APRÈS EXAMEN </w:t>
      </w:r>
      <w:r w:rsidRPr="00861016">
        <w:rPr>
          <w:rFonts w:cs="Times New Roman"/>
          <w:bCs/>
          <w:sz w:val="20"/>
          <w:szCs w:val="20"/>
          <w:lang w:val="fr-CA"/>
        </w:rPr>
        <w:t>des documents déposés,</w:t>
      </w:r>
    </w:p>
    <w:p w:rsidR="00861016" w:rsidRPr="00861016" w:rsidRDefault="00861016" w:rsidP="00861016">
      <w:pPr>
        <w:rPr>
          <w:rFonts w:cs="Times New Roman"/>
          <w:sz w:val="20"/>
          <w:szCs w:val="20"/>
          <w:lang w:val="fr-CA"/>
        </w:rPr>
      </w:pPr>
    </w:p>
    <w:p w:rsidR="00861016" w:rsidRPr="00861016" w:rsidRDefault="00861016" w:rsidP="00861016">
      <w:pPr>
        <w:rPr>
          <w:rFonts w:cs="Times New Roman"/>
          <w:b/>
          <w:bCs/>
          <w:sz w:val="20"/>
          <w:szCs w:val="20"/>
          <w:lang w:val="fr-CA"/>
        </w:rPr>
      </w:pPr>
      <w:r w:rsidRPr="00861016">
        <w:rPr>
          <w:rFonts w:cs="Times New Roman"/>
          <w:b/>
          <w:bCs/>
          <w:sz w:val="20"/>
          <w:szCs w:val="20"/>
          <w:lang w:val="fr-CA"/>
        </w:rPr>
        <w:t xml:space="preserve">IL EST ORDONNÉ CE QUI SUIT : </w:t>
      </w:r>
    </w:p>
    <w:p w:rsidR="00861016" w:rsidRPr="00861016" w:rsidRDefault="00861016" w:rsidP="00861016">
      <w:pPr>
        <w:rPr>
          <w:rFonts w:cs="Times New Roman"/>
          <w:b/>
          <w:bCs/>
          <w:sz w:val="20"/>
          <w:szCs w:val="20"/>
          <w:lang w:val="fr-CA"/>
        </w:rPr>
      </w:pPr>
    </w:p>
    <w:p w:rsidR="00861016" w:rsidRPr="00861016" w:rsidRDefault="00861016" w:rsidP="00861016">
      <w:pPr>
        <w:rPr>
          <w:rFonts w:cs="Times New Roman"/>
          <w:sz w:val="20"/>
          <w:szCs w:val="20"/>
          <w:lang w:val="fr-CA"/>
        </w:rPr>
      </w:pPr>
      <w:r w:rsidRPr="00861016">
        <w:rPr>
          <w:rFonts w:cs="Times New Roman"/>
          <w:sz w:val="20"/>
          <w:szCs w:val="20"/>
          <w:lang w:val="fr-CA"/>
        </w:rPr>
        <w:t>La requête est rejetée.</w:t>
      </w:r>
    </w:p>
    <w:p w:rsidR="00861016" w:rsidRPr="00861016" w:rsidRDefault="00861016" w:rsidP="00861016">
      <w:pPr>
        <w:tabs>
          <w:tab w:val="left" w:pos="-1440"/>
          <w:tab w:val="left" w:pos="-720"/>
        </w:tabs>
        <w:jc w:val="both"/>
        <w:rPr>
          <w:rFonts w:cs="Times New Roman"/>
          <w:sz w:val="20"/>
          <w:szCs w:val="20"/>
        </w:rPr>
      </w:pPr>
    </w:p>
    <w:p w:rsidR="00861016" w:rsidRPr="00861016" w:rsidRDefault="00DB7F13" w:rsidP="00861016">
      <w:pPr>
        <w:tabs>
          <w:tab w:val="left" w:pos="-1440"/>
          <w:tab w:val="left" w:pos="-720"/>
        </w:tabs>
        <w:jc w:val="both"/>
        <w:rPr>
          <w:rFonts w:cs="Times New Roman"/>
          <w:sz w:val="20"/>
          <w:szCs w:val="20"/>
        </w:rPr>
      </w:pPr>
      <w:r w:rsidRPr="00DB7F13">
        <w:rPr>
          <w:rFonts w:cs="Times New Roman"/>
          <w:sz w:val="20"/>
          <w:szCs w:val="20"/>
          <w:lang w:val="fr-CA"/>
        </w:rPr>
        <w:pict>
          <v:rect id="_x0000_i1057" style="width:2in;height:1pt" o:hrpct="0" o:hralign="center" o:hrstd="t" o:hrnoshade="t" o:hr="t" fillcolor="black [3213]" stroked="f"/>
        </w:pict>
      </w:r>
    </w:p>
    <w:p w:rsidR="00861016" w:rsidRPr="00861016" w:rsidRDefault="00861016" w:rsidP="00861016">
      <w:pPr>
        <w:rPr>
          <w:rFonts w:cs="Times New Roman"/>
          <w:sz w:val="20"/>
          <w:szCs w:val="20"/>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08.12.2011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   ROTHSTEIN J. / LE JUGE ROTHSTEIN</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861016" w:rsidRPr="00FF4B6E" w:rsidTr="00861016">
        <w:tc>
          <w:tcPr>
            <w:tcW w:w="4338" w:type="dxa"/>
            <w:gridSpan w:val="2"/>
          </w:tcPr>
          <w:p w:rsidR="00861016" w:rsidRPr="00861016" w:rsidRDefault="00861016" w:rsidP="00861016">
            <w:pPr>
              <w:rPr>
                <w:rFonts w:cs="Times New Roman"/>
                <w:b/>
                <w:sz w:val="20"/>
                <w:szCs w:val="20"/>
              </w:rPr>
            </w:pPr>
            <w:r w:rsidRPr="00861016">
              <w:rPr>
                <w:rFonts w:cs="Times New Roman"/>
                <w:b/>
                <w:sz w:val="20"/>
                <w:szCs w:val="20"/>
              </w:rPr>
              <w:t xml:space="preserve">Order on interventions with respect to oral argument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p>
        </w:tc>
        <w:tc>
          <w:tcPr>
            <w:tcW w:w="1170" w:type="dxa"/>
          </w:tcPr>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b/>
                <w:sz w:val="20"/>
                <w:szCs w:val="20"/>
                <w:lang w:val="fr-CA"/>
              </w:rPr>
            </w:pPr>
            <w:r w:rsidRPr="00861016">
              <w:rPr>
                <w:rFonts w:cs="Times New Roman"/>
                <w:b/>
                <w:sz w:val="20"/>
                <w:szCs w:val="20"/>
                <w:lang w:val="fr-CA"/>
              </w:rPr>
              <w:t>Ordonnance relative à la présentation d’une plaidoirie orale par les intervenants</w:t>
            </w:r>
            <w:r w:rsidRPr="00861016">
              <w:rPr>
                <w:rFonts w:cs="Times New Roman"/>
                <w:sz w:val="20"/>
                <w:szCs w:val="20"/>
                <w:lang w:val="fr-CA"/>
              </w:rPr>
              <w:t xml:space="preserve"> </w:t>
            </w:r>
            <w:r w:rsidR="00DB7F13" w:rsidRPr="00861016">
              <w:rPr>
                <w:rFonts w:cs="Times New Roman"/>
                <w:sz w:val="20"/>
                <w:szCs w:val="20"/>
              </w:rPr>
              <w:fldChar w:fldCharType="begin"/>
            </w:r>
            <w:r w:rsidRPr="00861016">
              <w:rPr>
                <w:rFonts w:cs="Times New Roman"/>
                <w:sz w:val="20"/>
                <w:szCs w:val="20"/>
                <w:lang w:val="fr-CA"/>
              </w:rPr>
              <w:instrText xml:space="preserve"> SEQ CHAPTER \h \r 1</w:instrText>
            </w:r>
            <w:r w:rsidR="00DB7F13" w:rsidRPr="00861016">
              <w:rPr>
                <w:rFonts w:cs="Times New Roman"/>
                <w:sz w:val="20"/>
                <w:szCs w:val="20"/>
              </w:rPr>
              <w:fldChar w:fldCharType="end"/>
            </w:r>
          </w:p>
        </w:tc>
      </w:tr>
      <w:tr w:rsidR="00861016" w:rsidRPr="00861016" w:rsidTr="00861016">
        <w:tc>
          <w:tcPr>
            <w:tcW w:w="1368" w:type="dxa"/>
          </w:tcPr>
          <w:p w:rsidR="00861016" w:rsidRPr="00861016" w:rsidRDefault="00861016" w:rsidP="00861016">
            <w:pPr>
              <w:rPr>
                <w:rFonts w:cs="Times New Roman"/>
                <w:sz w:val="20"/>
                <w:szCs w:val="20"/>
              </w:rPr>
            </w:pPr>
            <w:r w:rsidRPr="00861016">
              <w:rPr>
                <w:rFonts w:cs="Times New Roman"/>
                <w:sz w:val="20"/>
                <w:szCs w:val="20"/>
              </w:rPr>
              <w:t>RE:</w:t>
            </w:r>
          </w:p>
        </w:tc>
        <w:tc>
          <w:tcPr>
            <w:tcW w:w="2970" w:type="dxa"/>
          </w:tcPr>
          <w:p w:rsidR="00861016" w:rsidRPr="00861016" w:rsidRDefault="00861016" w:rsidP="00861016">
            <w:pPr>
              <w:rPr>
                <w:rFonts w:cs="Times New Roman"/>
                <w:sz w:val="20"/>
                <w:szCs w:val="20"/>
              </w:rPr>
            </w:pPr>
            <w:r w:rsidRPr="00861016">
              <w:rPr>
                <w:rFonts w:cs="Times New Roman"/>
                <w:sz w:val="20"/>
                <w:szCs w:val="20"/>
              </w:rPr>
              <w:t>Urban Alliance on Race Relations;</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Criminal Lawyers Association (Ontario);</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British Columbia Civil Liberties Association;</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Canadian Police Association;</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Attorney General of Ontario;</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Canadian Civil Liberties Association</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r w:rsidRPr="00861016">
              <w:rPr>
                <w:rFonts w:cs="Times New Roman"/>
                <w:sz w:val="20"/>
                <w:szCs w:val="20"/>
              </w:rPr>
              <w:t>IN / DANS :</w:t>
            </w:r>
          </w:p>
        </w:tc>
        <w:tc>
          <w:tcPr>
            <w:tcW w:w="2970" w:type="dxa"/>
          </w:tcPr>
          <w:p w:rsidR="00861016" w:rsidRPr="00861016" w:rsidRDefault="00861016" w:rsidP="00861016">
            <w:pPr>
              <w:rPr>
                <w:rFonts w:cs="Times New Roman"/>
                <w:sz w:val="20"/>
                <w:szCs w:val="20"/>
              </w:rPr>
            </w:pPr>
            <w:r w:rsidRPr="00861016">
              <w:rPr>
                <w:rFonts w:cs="Times New Roman"/>
                <w:sz w:val="20"/>
                <w:szCs w:val="20"/>
              </w:rPr>
              <w:t xml:space="preserve">Wayne </w:t>
            </w:r>
            <w:proofErr w:type="spellStart"/>
            <w:r w:rsidRPr="00861016">
              <w:rPr>
                <w:rFonts w:cs="Times New Roman"/>
                <w:sz w:val="20"/>
                <w:szCs w:val="20"/>
              </w:rPr>
              <w:t>Penner</w:t>
            </w:r>
            <w:proofErr w:type="spellEnd"/>
            <w:r w:rsidRPr="00861016">
              <w:rPr>
                <w:rFonts w:cs="Times New Roman"/>
                <w:sz w:val="20"/>
                <w:szCs w:val="20"/>
              </w:rPr>
              <w:t xml:space="preserve"> </w:t>
            </w:r>
          </w:p>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rPr>
                <w:rFonts w:cs="Times New Roman"/>
                <w:sz w:val="20"/>
                <w:szCs w:val="20"/>
              </w:rPr>
            </w:pPr>
            <w:r w:rsidRPr="00861016">
              <w:rPr>
                <w:rFonts w:cs="Times New Roman"/>
                <w:sz w:val="20"/>
                <w:szCs w:val="20"/>
              </w:rPr>
              <w:tab/>
              <w:t>v. (33959)</w:t>
            </w:r>
          </w:p>
          <w:p w:rsidR="00861016" w:rsidRPr="00861016" w:rsidRDefault="00861016" w:rsidP="00861016">
            <w:pPr>
              <w:rPr>
                <w:rFonts w:cs="Times New Roman"/>
                <w:sz w:val="20"/>
                <w:szCs w:val="20"/>
              </w:rPr>
            </w:pP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r w:rsidR="00861016" w:rsidRPr="00861016" w:rsidTr="00861016">
        <w:tc>
          <w:tcPr>
            <w:tcW w:w="1368" w:type="dxa"/>
          </w:tcPr>
          <w:p w:rsidR="00861016" w:rsidRPr="00861016" w:rsidRDefault="00861016" w:rsidP="00861016">
            <w:pPr>
              <w:rPr>
                <w:rFonts w:cs="Times New Roman"/>
                <w:sz w:val="20"/>
                <w:szCs w:val="20"/>
              </w:rPr>
            </w:pPr>
          </w:p>
        </w:tc>
        <w:tc>
          <w:tcPr>
            <w:tcW w:w="2970" w:type="dxa"/>
          </w:tcPr>
          <w:p w:rsidR="00861016" w:rsidRPr="00861016" w:rsidRDefault="00861016" w:rsidP="00861016">
            <w:pPr>
              <w:jc w:val="both"/>
              <w:rPr>
                <w:rFonts w:cs="Times New Roman"/>
                <w:sz w:val="20"/>
                <w:szCs w:val="20"/>
              </w:rPr>
            </w:pPr>
            <w:r w:rsidRPr="00861016">
              <w:rPr>
                <w:rFonts w:cs="Times New Roman"/>
                <w:sz w:val="20"/>
                <w:szCs w:val="20"/>
              </w:rPr>
              <w:t>Regional Municipality of Niagara Regional Police Services Board et al. (Ont.)</w:t>
            </w:r>
          </w:p>
        </w:tc>
        <w:tc>
          <w:tcPr>
            <w:tcW w:w="1170" w:type="dxa"/>
          </w:tcPr>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sz w:val="20"/>
                <w:szCs w:val="20"/>
              </w:rPr>
            </w:pPr>
          </w:p>
        </w:tc>
      </w:tr>
    </w:tbl>
    <w:p w:rsidR="00861016" w:rsidRPr="00861016" w:rsidRDefault="00861016" w:rsidP="00861016">
      <w:pPr>
        <w:tabs>
          <w:tab w:val="left" w:pos="-1440"/>
          <w:tab w:val="left" w:pos="-720"/>
        </w:tabs>
        <w:jc w:val="both"/>
        <w:rPr>
          <w:rFonts w:cs="Times New Roman"/>
          <w:sz w:val="20"/>
          <w:szCs w:val="20"/>
        </w:rPr>
      </w:pPr>
    </w:p>
    <w:p w:rsidR="00861016" w:rsidRPr="00861016" w:rsidRDefault="00DB7F13" w:rsidP="00861016">
      <w:pPr>
        <w:jc w:val="both"/>
        <w:rPr>
          <w:rFonts w:cs="Times New Roman"/>
          <w:sz w:val="20"/>
          <w:szCs w:val="20"/>
        </w:rPr>
      </w:pPr>
      <w:r w:rsidRPr="00861016">
        <w:rPr>
          <w:rFonts w:cs="Times New Roman"/>
          <w:sz w:val="20"/>
          <w:szCs w:val="20"/>
        </w:rPr>
        <w:fldChar w:fldCharType="begin"/>
      </w:r>
      <w:r w:rsidR="00861016" w:rsidRPr="00861016">
        <w:rPr>
          <w:rFonts w:cs="Times New Roman"/>
          <w:sz w:val="20"/>
          <w:szCs w:val="20"/>
        </w:rPr>
        <w:instrText xml:space="preserve"> SEQ CHAPTER \h \r 1</w:instrText>
      </w:r>
      <w:r w:rsidRPr="00861016">
        <w:rPr>
          <w:rFonts w:cs="Times New Roman"/>
          <w:sz w:val="20"/>
          <w:szCs w:val="20"/>
        </w:rPr>
        <w:fldChar w:fldCharType="end"/>
      </w:r>
      <w:r w:rsidR="00861016" w:rsidRPr="00861016">
        <w:rPr>
          <w:rFonts w:cs="Times New Roman"/>
          <w:b/>
          <w:bCs/>
          <w:sz w:val="20"/>
          <w:szCs w:val="20"/>
        </w:rPr>
        <w:t>FURTHER TO THE ORDER</w:t>
      </w:r>
      <w:r w:rsidR="00861016" w:rsidRPr="00861016">
        <w:rPr>
          <w:rFonts w:cs="Times New Roman"/>
          <w:sz w:val="20"/>
          <w:szCs w:val="20"/>
        </w:rPr>
        <w:t xml:space="preserve"> dated October 7, 2011, granting leave to intervene to the Urban Alliance on Race Relations, the Criminal Lawyers Association (Ontario), the British Columbia Civil Liberties Association, the Canadian Police Association the Attorney General of Ontario and the Canadian Civil Liberties Association;</w:t>
      </w:r>
    </w:p>
    <w:p w:rsidR="00861016" w:rsidRPr="00861016" w:rsidRDefault="00861016" w:rsidP="00861016">
      <w:pPr>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b/>
          <w:bCs/>
          <w:sz w:val="20"/>
          <w:szCs w:val="20"/>
        </w:rPr>
        <w:t xml:space="preserve">IT IS HEREBY FURTHER ORDERED THAT </w:t>
      </w:r>
      <w:r w:rsidRPr="00861016">
        <w:rPr>
          <w:rFonts w:cs="Times New Roman"/>
          <w:sz w:val="20"/>
          <w:szCs w:val="20"/>
        </w:rPr>
        <w:t xml:space="preserve">the interveners are </w:t>
      </w:r>
      <w:proofErr w:type="gramStart"/>
      <w:r w:rsidRPr="00861016">
        <w:rPr>
          <w:rFonts w:cs="Times New Roman"/>
          <w:sz w:val="20"/>
          <w:szCs w:val="20"/>
        </w:rPr>
        <w:t>each granted permission</w:t>
      </w:r>
      <w:proofErr w:type="gramEnd"/>
      <w:r w:rsidRPr="00861016">
        <w:rPr>
          <w:rFonts w:cs="Times New Roman"/>
          <w:sz w:val="20"/>
          <w:szCs w:val="20"/>
        </w:rPr>
        <w:t xml:space="preserve"> to present oral argument not exceeding ten (10) minutes at the hearing of this appeal.</w:t>
      </w:r>
    </w:p>
    <w:p w:rsidR="00861016" w:rsidRPr="00861016" w:rsidRDefault="00861016" w:rsidP="00861016">
      <w:pPr>
        <w:spacing w:line="233" w:lineRule="auto"/>
        <w:jc w:val="both"/>
        <w:rPr>
          <w:rFonts w:cs="Times New Roman"/>
          <w:sz w:val="20"/>
          <w:szCs w:val="20"/>
        </w:rPr>
      </w:pPr>
    </w:p>
    <w:p w:rsidR="00861016" w:rsidRPr="00861016" w:rsidRDefault="00861016" w:rsidP="00861016">
      <w:pPr>
        <w:spacing w:line="233" w:lineRule="auto"/>
        <w:jc w:val="both"/>
        <w:rPr>
          <w:rFonts w:cs="Times New Roman"/>
          <w:sz w:val="20"/>
          <w:szCs w:val="20"/>
        </w:rPr>
      </w:pPr>
      <w:r w:rsidRPr="00861016">
        <w:rPr>
          <w:rFonts w:cs="Times New Roman"/>
          <w:b/>
          <w:sz w:val="20"/>
          <w:szCs w:val="20"/>
        </w:rPr>
        <w:t>THE INTERVENERS ARE ORDERED</w:t>
      </w:r>
      <w:r w:rsidRPr="00861016">
        <w:rPr>
          <w:rFonts w:cs="Times New Roman"/>
          <w:sz w:val="20"/>
          <w:szCs w:val="20"/>
        </w:rPr>
        <w:t>, contrary to some comments in certain factums, to restrict their oral presentations to legal issues before the Court and refrain from commenting on the outcome or appropriate disposition of the appeal.</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jc w:val="both"/>
        <w:rPr>
          <w:rFonts w:cs="Times New Roman"/>
          <w:sz w:val="20"/>
          <w:szCs w:val="20"/>
          <w:lang w:val="fr-CA"/>
        </w:rPr>
      </w:pPr>
      <w:r w:rsidRPr="00861016">
        <w:rPr>
          <w:rFonts w:cs="Times New Roman"/>
          <w:b/>
          <w:sz w:val="20"/>
          <w:szCs w:val="20"/>
          <w:lang w:val="fr-CA"/>
        </w:rPr>
        <w:t>À LA SUITE DE L’ORDONNANCE</w:t>
      </w:r>
      <w:r w:rsidRPr="00861016">
        <w:rPr>
          <w:rFonts w:cs="Times New Roman"/>
          <w:sz w:val="20"/>
          <w:szCs w:val="20"/>
          <w:lang w:val="fr-CA"/>
        </w:rPr>
        <w:t xml:space="preserve"> datée du 7 octobre 2011, autorisant </w:t>
      </w:r>
      <w:r w:rsidRPr="00861016">
        <w:rPr>
          <w:rFonts w:cs="Times New Roman"/>
          <w:bCs/>
          <w:sz w:val="20"/>
          <w:szCs w:val="20"/>
          <w:lang w:val="fr-CA"/>
        </w:rPr>
        <w:t xml:space="preserve">l’Alliance urbaine sur les relations interraciales, </w:t>
      </w:r>
      <w:r w:rsidRPr="00861016">
        <w:rPr>
          <w:rFonts w:cs="Times New Roman"/>
          <w:sz w:val="20"/>
          <w:szCs w:val="20"/>
          <w:lang w:val="fr-CA"/>
        </w:rPr>
        <w:t xml:space="preserve">la </w:t>
      </w:r>
      <w:proofErr w:type="spellStart"/>
      <w:r w:rsidRPr="00861016">
        <w:rPr>
          <w:rFonts w:cs="Times New Roman"/>
          <w:sz w:val="20"/>
          <w:szCs w:val="20"/>
          <w:lang w:val="fr-CA"/>
        </w:rPr>
        <w:t>Criminal</w:t>
      </w:r>
      <w:proofErr w:type="spellEnd"/>
      <w:r w:rsidRPr="00861016">
        <w:rPr>
          <w:rFonts w:cs="Times New Roman"/>
          <w:sz w:val="20"/>
          <w:szCs w:val="20"/>
          <w:lang w:val="fr-CA"/>
        </w:rPr>
        <w:t xml:space="preserve"> </w:t>
      </w:r>
      <w:proofErr w:type="spellStart"/>
      <w:r w:rsidRPr="00861016">
        <w:rPr>
          <w:rFonts w:cs="Times New Roman"/>
          <w:sz w:val="20"/>
          <w:szCs w:val="20"/>
          <w:lang w:val="fr-CA"/>
        </w:rPr>
        <w:t>Lawyers</w:t>
      </w:r>
      <w:proofErr w:type="spellEnd"/>
      <w:r w:rsidRPr="00861016">
        <w:rPr>
          <w:rFonts w:cs="Times New Roman"/>
          <w:sz w:val="20"/>
          <w:szCs w:val="20"/>
          <w:lang w:val="fr-CA"/>
        </w:rPr>
        <w:t xml:space="preserve"> Association (Ontario), l’Association des libertés civiles de la Colombie-Britannique, l’Association canadienne des policiers, </w:t>
      </w:r>
      <w:r w:rsidRPr="00861016">
        <w:rPr>
          <w:rFonts w:cs="Times New Roman"/>
          <w:bCs/>
          <w:sz w:val="20"/>
          <w:szCs w:val="20"/>
          <w:lang w:val="fr-CA"/>
        </w:rPr>
        <w:t>le procureur général de l’</w:t>
      </w:r>
      <w:r w:rsidRPr="00861016">
        <w:rPr>
          <w:rFonts w:cs="Times New Roman"/>
          <w:sz w:val="20"/>
          <w:szCs w:val="20"/>
          <w:lang w:val="fr-CA"/>
        </w:rPr>
        <w:t>Ontario et l’Association canadienne des libertés civiles à intervenir;</w:t>
      </w:r>
    </w:p>
    <w:p w:rsidR="00861016" w:rsidRPr="00861016" w:rsidRDefault="00861016" w:rsidP="00861016">
      <w:pPr>
        <w:jc w:val="both"/>
        <w:rPr>
          <w:rFonts w:cs="Times New Roman"/>
          <w:sz w:val="20"/>
          <w:szCs w:val="20"/>
          <w:lang w:val="fr-CA"/>
        </w:rPr>
      </w:pPr>
    </w:p>
    <w:p w:rsidR="00861016" w:rsidRPr="00861016" w:rsidRDefault="00861016" w:rsidP="00861016">
      <w:pPr>
        <w:spacing w:line="233" w:lineRule="auto"/>
        <w:jc w:val="both"/>
        <w:rPr>
          <w:rFonts w:cs="Times New Roman"/>
          <w:sz w:val="20"/>
          <w:szCs w:val="20"/>
          <w:lang w:val="fr-CA"/>
        </w:rPr>
      </w:pPr>
      <w:r w:rsidRPr="00861016">
        <w:rPr>
          <w:rFonts w:cs="Times New Roman"/>
          <w:b/>
          <w:bCs/>
          <w:sz w:val="20"/>
          <w:szCs w:val="20"/>
          <w:lang w:val="fr-CA"/>
        </w:rPr>
        <w:t xml:space="preserve">IL EST EN OUTRE ORDONNÉ QUE </w:t>
      </w:r>
      <w:r w:rsidRPr="00861016">
        <w:rPr>
          <w:rFonts w:cs="Times New Roman"/>
          <w:sz w:val="20"/>
          <w:szCs w:val="20"/>
          <w:lang w:val="fr-CA"/>
        </w:rPr>
        <w:t>les intervenants pourront présenter chacun une plaidoirie orale d’au plus dix (10) minutes lors de l’audition de l’appel.</w:t>
      </w:r>
    </w:p>
    <w:p w:rsidR="00861016" w:rsidRPr="00861016" w:rsidRDefault="00861016" w:rsidP="00861016">
      <w:pPr>
        <w:spacing w:line="233" w:lineRule="auto"/>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b/>
          <w:sz w:val="20"/>
          <w:szCs w:val="20"/>
          <w:lang w:val="fr-CA"/>
        </w:rPr>
        <w:t>IL EST ORDONNÉ AUX INTERVENANTS</w:t>
      </w:r>
      <w:r w:rsidRPr="00861016">
        <w:rPr>
          <w:rFonts w:cs="Times New Roman"/>
          <w:sz w:val="20"/>
          <w:szCs w:val="20"/>
          <w:lang w:val="fr-CA"/>
        </w:rPr>
        <w:t xml:space="preserve"> de limiter leurs observations orales aux questions de droit soumises à la Cour et de s’abstenir de toute remarque sur l’issue de l’appel ou sur le jugement qui devrait être rendu, contrairement à certains commentaires faits dans certains mémoires.</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DB7F13" w:rsidP="00861016">
      <w:pPr>
        <w:tabs>
          <w:tab w:val="left" w:pos="-1440"/>
          <w:tab w:val="left" w:pos="-720"/>
        </w:tabs>
        <w:jc w:val="both"/>
        <w:rPr>
          <w:rFonts w:cs="Times New Roman"/>
          <w:sz w:val="20"/>
          <w:szCs w:val="20"/>
        </w:rPr>
      </w:pPr>
      <w:r w:rsidRPr="00DB7F13">
        <w:rPr>
          <w:rFonts w:cs="Times New Roman"/>
          <w:sz w:val="20"/>
          <w:szCs w:val="20"/>
          <w:lang w:val="fr-CA"/>
        </w:rPr>
        <w:pict>
          <v:rect id="_x0000_i1058" style="width:2in;height:1pt" o:hrpct="0" o:hralign="center" o:hrstd="t" o:hrnoshade="t" o:hr="t" fillcolor="black [3213]" stroked="f"/>
        </w:pic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07.12.2011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THE REGISTRAR / LE REGISTRAIRE </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61016" w:rsidRPr="00FF4B6E" w:rsidTr="00861016">
        <w:tc>
          <w:tcPr>
            <w:tcW w:w="4338" w:type="dxa"/>
          </w:tcPr>
          <w:p w:rsidR="00861016" w:rsidRPr="00861016" w:rsidRDefault="00861016" w:rsidP="00861016">
            <w:pPr>
              <w:rPr>
                <w:rFonts w:cs="Times New Roman"/>
                <w:b/>
                <w:bCs/>
                <w:sz w:val="20"/>
                <w:szCs w:val="20"/>
              </w:rPr>
            </w:pPr>
            <w:r w:rsidRPr="00861016">
              <w:rPr>
                <w:rFonts w:cs="Times New Roman"/>
                <w:b/>
                <w:bCs/>
                <w:sz w:val="20"/>
                <w:szCs w:val="20"/>
              </w:rPr>
              <w:t xml:space="preserve">Motion to extend time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r w:rsidRPr="00861016">
              <w:rPr>
                <w:rFonts w:cs="Times New Roman"/>
                <w:b/>
                <w:bCs/>
                <w:sz w:val="20"/>
                <w:szCs w:val="20"/>
              </w:rPr>
              <w:t xml:space="preserve">to serve and file the appellant’s record, </w:t>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r w:rsidR="00DB7F13" w:rsidRPr="00861016">
              <w:rPr>
                <w:rFonts w:cs="Times New Roman"/>
                <w:sz w:val="20"/>
                <w:szCs w:val="20"/>
              </w:rPr>
              <w:fldChar w:fldCharType="begin"/>
            </w:r>
            <w:r w:rsidRPr="00861016">
              <w:rPr>
                <w:rFonts w:cs="Times New Roman"/>
                <w:sz w:val="20"/>
                <w:szCs w:val="20"/>
              </w:rPr>
              <w:instrText xml:space="preserve"> SEQ CHAPTER \h \r 1</w:instrText>
            </w:r>
            <w:r w:rsidR="00DB7F13" w:rsidRPr="00861016">
              <w:rPr>
                <w:rFonts w:cs="Times New Roman"/>
                <w:sz w:val="20"/>
                <w:szCs w:val="20"/>
              </w:rPr>
              <w:fldChar w:fldCharType="end"/>
            </w:r>
            <w:r w:rsidRPr="00861016">
              <w:rPr>
                <w:rFonts w:cs="Times New Roman"/>
                <w:b/>
                <w:bCs/>
                <w:sz w:val="20"/>
                <w:szCs w:val="20"/>
              </w:rPr>
              <w:t>factum and book of authorities to November 23, 2011</w:t>
            </w:r>
          </w:p>
          <w:p w:rsidR="00861016" w:rsidRPr="00861016" w:rsidRDefault="00DB7F13" w:rsidP="00861016">
            <w:pPr>
              <w:rPr>
                <w:rFonts w:cs="Times New Roman"/>
                <w:b/>
                <w:sz w:val="20"/>
                <w:szCs w:val="20"/>
              </w:rPr>
            </w:pPr>
            <w:r w:rsidRPr="00861016">
              <w:rPr>
                <w:rFonts w:cs="Times New Roman"/>
                <w:b/>
                <w:sz w:val="20"/>
                <w:szCs w:val="20"/>
              </w:rPr>
              <w:fldChar w:fldCharType="begin"/>
            </w:r>
            <w:r w:rsidR="00861016" w:rsidRPr="00861016">
              <w:rPr>
                <w:rFonts w:cs="Times New Roman"/>
                <w:b/>
                <w:sz w:val="20"/>
                <w:szCs w:val="20"/>
              </w:rPr>
              <w:instrText xml:space="preserve"> SEQ CHAPTER \h \r 1</w:instrText>
            </w:r>
            <w:r w:rsidRPr="00861016">
              <w:rPr>
                <w:rFonts w:cs="Times New Roman"/>
                <w:b/>
                <w:sz w:val="20"/>
                <w:szCs w:val="20"/>
              </w:rPr>
              <w:fldChar w:fldCharType="end"/>
            </w:r>
          </w:p>
        </w:tc>
        <w:tc>
          <w:tcPr>
            <w:tcW w:w="1170" w:type="dxa"/>
          </w:tcPr>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b/>
                <w:bCs/>
                <w:sz w:val="20"/>
                <w:szCs w:val="20"/>
                <w:lang w:val="fr-CA"/>
              </w:rPr>
            </w:pPr>
            <w:r w:rsidRPr="00861016">
              <w:rPr>
                <w:rFonts w:cs="Times New Roman"/>
                <w:b/>
                <w:bCs/>
                <w:sz w:val="20"/>
                <w:szCs w:val="20"/>
                <w:lang w:val="fr-CA"/>
              </w:rPr>
              <w:t xml:space="preserve">Requête en prorogation du délai </w:t>
            </w:r>
            <w:r w:rsidR="00DB7F13" w:rsidRPr="00861016">
              <w:rPr>
                <w:rFonts w:cs="Times New Roman"/>
                <w:sz w:val="20"/>
                <w:szCs w:val="20"/>
              </w:rPr>
              <w:fldChar w:fldCharType="begin"/>
            </w:r>
            <w:r w:rsidRPr="00861016">
              <w:rPr>
                <w:rFonts w:cs="Times New Roman"/>
                <w:sz w:val="20"/>
                <w:szCs w:val="20"/>
                <w:lang w:val="fr-CA"/>
              </w:rPr>
              <w:instrText xml:space="preserve"> SEQ CHAPTER \h \r 1</w:instrText>
            </w:r>
            <w:r w:rsidR="00DB7F13" w:rsidRPr="00861016">
              <w:rPr>
                <w:rFonts w:cs="Times New Roman"/>
                <w:sz w:val="20"/>
                <w:szCs w:val="20"/>
              </w:rPr>
              <w:fldChar w:fldCharType="end"/>
            </w:r>
            <w:r w:rsidRPr="00861016">
              <w:rPr>
                <w:rFonts w:cs="Times New Roman"/>
                <w:b/>
                <w:bCs/>
                <w:sz w:val="20"/>
                <w:szCs w:val="20"/>
                <w:lang w:val="fr-CA"/>
              </w:rPr>
              <w:t xml:space="preserve">de signification et de dépôt </w:t>
            </w:r>
            <w:proofErr w:type="gramStart"/>
            <w:r w:rsidRPr="00861016">
              <w:rPr>
                <w:rFonts w:cs="Times New Roman"/>
                <w:b/>
                <w:bCs/>
                <w:sz w:val="20"/>
                <w:szCs w:val="20"/>
                <w:lang w:val="fr-CA"/>
              </w:rPr>
              <w:t>des</w:t>
            </w:r>
            <w:r w:rsidR="00DB7F13" w:rsidRPr="00861016">
              <w:rPr>
                <w:rFonts w:cs="Times New Roman"/>
                <w:sz w:val="20"/>
                <w:szCs w:val="20"/>
              </w:rPr>
              <w:fldChar w:fldCharType="begin"/>
            </w:r>
            <w:r w:rsidRPr="00861016">
              <w:rPr>
                <w:rFonts w:cs="Times New Roman"/>
                <w:sz w:val="20"/>
                <w:szCs w:val="20"/>
                <w:lang w:val="fr-CA"/>
              </w:rPr>
              <w:instrText xml:space="preserve"> SEQ CHAPTER \h \r 1</w:instrText>
            </w:r>
            <w:r w:rsidR="00DB7F13" w:rsidRPr="00861016">
              <w:rPr>
                <w:rFonts w:cs="Times New Roman"/>
                <w:sz w:val="20"/>
                <w:szCs w:val="20"/>
              </w:rPr>
              <w:fldChar w:fldCharType="end"/>
            </w:r>
            <w:r w:rsidRPr="00861016">
              <w:rPr>
                <w:rFonts w:cs="Times New Roman"/>
                <w:b/>
                <w:bCs/>
                <w:sz w:val="20"/>
                <w:szCs w:val="20"/>
                <w:lang w:val="fr-CA"/>
              </w:rPr>
              <w:t xml:space="preserve"> dossier</w:t>
            </w:r>
            <w:proofErr w:type="gramEnd"/>
            <w:r w:rsidRPr="00861016">
              <w:rPr>
                <w:rFonts w:cs="Times New Roman"/>
                <w:b/>
                <w:bCs/>
                <w:sz w:val="20"/>
                <w:szCs w:val="20"/>
                <w:lang w:val="fr-CA"/>
              </w:rPr>
              <w:t xml:space="preserve">, </w:t>
            </w:r>
            <w:r w:rsidR="00DB7F13" w:rsidRPr="00861016">
              <w:rPr>
                <w:rFonts w:cs="Times New Roman"/>
                <w:sz w:val="20"/>
                <w:szCs w:val="20"/>
              </w:rPr>
              <w:fldChar w:fldCharType="begin"/>
            </w:r>
            <w:r w:rsidRPr="00861016">
              <w:rPr>
                <w:rFonts w:cs="Times New Roman"/>
                <w:sz w:val="20"/>
                <w:szCs w:val="20"/>
                <w:lang w:val="fr-CA"/>
              </w:rPr>
              <w:instrText xml:space="preserve"> SEQ CHAPTER \h \r 1</w:instrText>
            </w:r>
            <w:r w:rsidR="00DB7F13" w:rsidRPr="00861016">
              <w:rPr>
                <w:rFonts w:cs="Times New Roman"/>
                <w:sz w:val="20"/>
                <w:szCs w:val="20"/>
              </w:rPr>
              <w:fldChar w:fldCharType="end"/>
            </w:r>
            <w:r w:rsidR="00DB7F13" w:rsidRPr="00861016">
              <w:rPr>
                <w:rFonts w:cs="Times New Roman"/>
                <w:sz w:val="20"/>
                <w:szCs w:val="20"/>
              </w:rPr>
              <w:fldChar w:fldCharType="begin"/>
            </w:r>
            <w:r w:rsidRPr="00861016">
              <w:rPr>
                <w:rFonts w:cs="Times New Roman"/>
                <w:sz w:val="20"/>
                <w:szCs w:val="20"/>
                <w:lang w:val="fr-CA"/>
              </w:rPr>
              <w:instrText xml:space="preserve"> SEQ CHAPTER \h \r 1</w:instrText>
            </w:r>
            <w:r w:rsidR="00DB7F13" w:rsidRPr="00861016">
              <w:rPr>
                <w:rFonts w:cs="Times New Roman"/>
                <w:sz w:val="20"/>
                <w:szCs w:val="20"/>
              </w:rPr>
              <w:fldChar w:fldCharType="end"/>
            </w:r>
            <w:r w:rsidRPr="00861016">
              <w:rPr>
                <w:rFonts w:cs="Times New Roman"/>
                <w:b/>
                <w:bCs/>
                <w:sz w:val="20"/>
                <w:szCs w:val="20"/>
                <w:lang w:val="fr-CA"/>
              </w:rPr>
              <w:t>mémoire et recueil de sources de l’appelant jusqu’au 23 novembre 2011</w:t>
            </w:r>
          </w:p>
          <w:p w:rsidR="00861016" w:rsidRPr="00861016" w:rsidRDefault="00DB7F13" w:rsidP="00861016">
            <w:pPr>
              <w:rPr>
                <w:rFonts w:cs="Times New Roman"/>
                <w:b/>
                <w:sz w:val="20"/>
                <w:szCs w:val="20"/>
                <w:lang w:val="fr-CA"/>
              </w:rPr>
            </w:pPr>
            <w:r w:rsidRPr="00861016">
              <w:rPr>
                <w:rFonts w:cs="Times New Roman"/>
                <w:b/>
                <w:sz w:val="20"/>
                <w:szCs w:val="20"/>
              </w:rPr>
              <w:fldChar w:fldCharType="begin"/>
            </w:r>
            <w:r w:rsidR="00861016" w:rsidRPr="00861016">
              <w:rPr>
                <w:rFonts w:cs="Times New Roman"/>
                <w:b/>
                <w:sz w:val="20"/>
                <w:szCs w:val="20"/>
                <w:lang w:val="fr-CA"/>
              </w:rPr>
              <w:instrText xml:space="preserve"> SEQ CHAPTER \h \r 1</w:instrText>
            </w:r>
            <w:r w:rsidRPr="00861016">
              <w:rPr>
                <w:rFonts w:cs="Times New Roman"/>
                <w:b/>
                <w:sz w:val="20"/>
                <w:szCs w:val="20"/>
              </w:rPr>
              <w:fldChar w:fldCharType="end"/>
            </w:r>
          </w:p>
        </w:tc>
      </w:tr>
      <w:tr w:rsidR="00861016" w:rsidRPr="00861016" w:rsidTr="00861016">
        <w:tc>
          <w:tcPr>
            <w:tcW w:w="4338" w:type="dxa"/>
          </w:tcPr>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 xml:space="preserve">James Peter </w:t>
            </w:r>
            <w:proofErr w:type="spellStart"/>
            <w:r w:rsidRPr="00861016">
              <w:rPr>
                <w:rFonts w:cs="Times New Roman"/>
                <w:sz w:val="20"/>
                <w:szCs w:val="20"/>
              </w:rPr>
              <w:t>Emms</w:t>
            </w:r>
            <w:proofErr w:type="spellEnd"/>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ab/>
              <w:t>v. (34087)</w: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rPr>
            </w:pPr>
            <w:r w:rsidRPr="00861016">
              <w:rPr>
                <w:rFonts w:cs="Times New Roman"/>
                <w:sz w:val="20"/>
                <w:szCs w:val="20"/>
              </w:rPr>
              <w:t>Her Majesty the Queen (Crim.) (Ont.)</w:t>
            </w:r>
          </w:p>
        </w:tc>
        <w:tc>
          <w:tcPr>
            <w:tcW w:w="1170" w:type="dxa"/>
          </w:tcPr>
          <w:p w:rsidR="00861016" w:rsidRPr="00861016" w:rsidRDefault="00861016" w:rsidP="00861016">
            <w:pPr>
              <w:tabs>
                <w:tab w:val="left" w:pos="-1440"/>
                <w:tab w:val="left" w:pos="-720"/>
              </w:tabs>
              <w:jc w:val="both"/>
              <w:rPr>
                <w:rFonts w:cs="Times New Roman"/>
                <w:sz w:val="20"/>
                <w:szCs w:val="20"/>
              </w:rPr>
            </w:pPr>
          </w:p>
        </w:tc>
        <w:tc>
          <w:tcPr>
            <w:tcW w:w="4327" w:type="dxa"/>
          </w:tcPr>
          <w:p w:rsidR="00861016" w:rsidRPr="00861016" w:rsidRDefault="00861016" w:rsidP="00861016">
            <w:pPr>
              <w:tabs>
                <w:tab w:val="left" w:pos="-1440"/>
                <w:tab w:val="left" w:pos="-720"/>
              </w:tabs>
              <w:jc w:val="both"/>
              <w:rPr>
                <w:rFonts w:cs="Times New Roman"/>
                <w:sz w:val="20"/>
                <w:szCs w:val="20"/>
              </w:rPr>
            </w:pPr>
          </w:p>
        </w:tc>
      </w:tr>
    </w:tbl>
    <w:p w:rsidR="00861016" w:rsidRPr="00861016" w:rsidRDefault="00861016" w:rsidP="00861016">
      <w:pPr>
        <w:rPr>
          <w:rFonts w:cs="Times New Roman"/>
          <w:sz w:val="20"/>
          <w:szCs w:val="20"/>
        </w:rPr>
      </w:pPr>
    </w:p>
    <w:p w:rsidR="00861016" w:rsidRPr="00861016" w:rsidRDefault="00861016" w:rsidP="00861016">
      <w:pPr>
        <w:tabs>
          <w:tab w:val="left" w:pos="-1440"/>
          <w:tab w:val="left" w:pos="-720"/>
        </w:tabs>
        <w:jc w:val="both"/>
        <w:rPr>
          <w:rFonts w:cs="Times New Roman"/>
          <w:b/>
          <w:sz w:val="20"/>
          <w:szCs w:val="20"/>
        </w:rPr>
      </w:pPr>
      <w:r w:rsidRPr="00861016">
        <w:rPr>
          <w:rFonts w:cs="Times New Roman"/>
          <w:b/>
          <w:sz w:val="20"/>
          <w:szCs w:val="20"/>
        </w:rPr>
        <w:t>GRANTED / ACCORDÉE</w:t>
      </w:r>
    </w:p>
    <w:p w:rsidR="00861016" w:rsidRPr="00861016" w:rsidRDefault="00861016" w:rsidP="00861016">
      <w:pPr>
        <w:rPr>
          <w:rFonts w:cs="Times New Roman"/>
          <w:sz w:val="20"/>
          <w:szCs w:val="20"/>
        </w:rPr>
      </w:pPr>
    </w:p>
    <w:p w:rsidR="00861016" w:rsidRPr="00861016" w:rsidRDefault="00DB7F13" w:rsidP="00861016">
      <w:pPr>
        <w:tabs>
          <w:tab w:val="left" w:pos="-1440"/>
          <w:tab w:val="left" w:pos="-720"/>
        </w:tabs>
        <w:jc w:val="both"/>
        <w:rPr>
          <w:rFonts w:cs="Times New Roman"/>
          <w:sz w:val="20"/>
          <w:szCs w:val="20"/>
          <w:lang w:val="fr-CA"/>
        </w:rPr>
      </w:pPr>
      <w:r w:rsidRPr="00DB7F13">
        <w:rPr>
          <w:rFonts w:cs="Times New Roman"/>
          <w:sz w:val="20"/>
          <w:szCs w:val="20"/>
          <w:lang w:val="fr-CA"/>
        </w:rPr>
        <w:pict>
          <v:rect id="_x0000_i1059" style="width:2in;height:1pt" o:hrpct="0" o:hralign="center" o:hrstd="t" o:hrnoshade="t" o:hr="t" fillcolor="black [3213]" stroked="f"/>
        </w:pict>
      </w:r>
    </w:p>
    <w:p w:rsidR="00861016" w:rsidRPr="00861016" w:rsidRDefault="00861016" w:rsidP="00861016">
      <w:pPr>
        <w:tabs>
          <w:tab w:val="left" w:pos="-1440"/>
          <w:tab w:val="left" w:pos="-720"/>
        </w:tabs>
        <w:jc w:val="both"/>
        <w:rPr>
          <w:rFonts w:cs="Times New Roman"/>
          <w:sz w:val="20"/>
          <w:szCs w:val="20"/>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05.12.2011</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jc w:val="both"/>
        <w:rPr>
          <w:rFonts w:cs="Times New Roman"/>
          <w:sz w:val="20"/>
          <w:szCs w:val="20"/>
          <w:lang w:val="fr-CA"/>
        </w:rPr>
      </w:pPr>
      <w:proofErr w:type="spellStart"/>
      <w:r w:rsidRPr="00861016">
        <w:rPr>
          <w:rFonts w:cs="Times New Roman"/>
          <w:sz w:val="20"/>
          <w:szCs w:val="20"/>
          <w:lang w:val="fr-CA"/>
        </w:rPr>
        <w:t>Before</w:t>
      </w:r>
      <w:proofErr w:type="spellEnd"/>
      <w:r w:rsidRPr="00861016">
        <w:rPr>
          <w:rFonts w:cs="Times New Roman"/>
          <w:sz w:val="20"/>
          <w:szCs w:val="20"/>
          <w:lang w:val="fr-CA"/>
        </w:rPr>
        <w:t xml:space="preserve"> / Devant:   THE REGISTRAR / LE REGISTRAIRE </w:t>
      </w:r>
    </w:p>
    <w:p w:rsidR="00861016" w:rsidRPr="00861016" w:rsidRDefault="00861016" w:rsidP="00861016">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861016" w:rsidRPr="00FF4B6E" w:rsidTr="00861016">
        <w:tc>
          <w:tcPr>
            <w:tcW w:w="4338" w:type="dxa"/>
          </w:tcPr>
          <w:p w:rsidR="00861016" w:rsidRPr="00861016" w:rsidRDefault="00861016" w:rsidP="00861016">
            <w:pPr>
              <w:rPr>
                <w:rFonts w:cs="Times New Roman"/>
                <w:b/>
                <w:sz w:val="20"/>
                <w:szCs w:val="20"/>
              </w:rPr>
            </w:pPr>
            <w:r w:rsidRPr="00861016">
              <w:rPr>
                <w:rFonts w:cs="Times New Roman"/>
                <w:b/>
                <w:bCs/>
                <w:sz w:val="20"/>
                <w:szCs w:val="20"/>
              </w:rPr>
              <w:t>Motion to extend the time to serve and file the respondent’s response to November 8, 2011</w:t>
            </w:r>
            <w:r w:rsidR="00DB7F13" w:rsidRPr="00861016">
              <w:rPr>
                <w:rFonts w:cs="Times New Roman"/>
                <w:b/>
                <w:sz w:val="20"/>
                <w:szCs w:val="20"/>
              </w:rPr>
              <w:fldChar w:fldCharType="begin"/>
            </w:r>
            <w:r w:rsidRPr="00861016">
              <w:rPr>
                <w:rFonts w:cs="Times New Roman"/>
                <w:b/>
                <w:sz w:val="20"/>
                <w:szCs w:val="20"/>
              </w:rPr>
              <w:instrText xml:space="preserve"> SEQ CHAPTER \h \r 1</w:instrText>
            </w:r>
            <w:r w:rsidR="00DB7F13" w:rsidRPr="00861016">
              <w:rPr>
                <w:rFonts w:cs="Times New Roman"/>
                <w:b/>
                <w:sz w:val="20"/>
                <w:szCs w:val="20"/>
              </w:rPr>
              <w:fldChar w:fldCharType="end"/>
            </w:r>
          </w:p>
        </w:tc>
        <w:tc>
          <w:tcPr>
            <w:tcW w:w="1170" w:type="dxa"/>
          </w:tcPr>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p w:rsidR="00861016" w:rsidRPr="00861016" w:rsidRDefault="00861016" w:rsidP="00861016">
            <w:pPr>
              <w:rPr>
                <w:rFonts w:cs="Times New Roman"/>
                <w:sz w:val="20"/>
                <w:szCs w:val="20"/>
              </w:rPr>
            </w:pPr>
          </w:p>
        </w:tc>
        <w:tc>
          <w:tcPr>
            <w:tcW w:w="4327" w:type="dxa"/>
          </w:tcPr>
          <w:p w:rsidR="00861016" w:rsidRPr="00861016" w:rsidRDefault="00861016" w:rsidP="00861016">
            <w:pPr>
              <w:rPr>
                <w:rFonts w:cs="Times New Roman"/>
                <w:b/>
                <w:sz w:val="20"/>
                <w:szCs w:val="20"/>
                <w:lang w:val="fr-CA"/>
              </w:rPr>
            </w:pPr>
            <w:r w:rsidRPr="00861016">
              <w:rPr>
                <w:rFonts w:cs="Times New Roman"/>
                <w:b/>
                <w:bCs/>
                <w:sz w:val="20"/>
                <w:szCs w:val="20"/>
                <w:lang w:val="fr-CA"/>
              </w:rPr>
              <w:t>Requête en prorogation du délai de signification et de dépôt de la réponse de l’intimée jusqu’au 8 novembre 2011</w:t>
            </w:r>
            <w:r w:rsidR="00DB7F13" w:rsidRPr="00861016">
              <w:rPr>
                <w:rFonts w:cs="Times New Roman"/>
                <w:b/>
                <w:sz w:val="20"/>
                <w:szCs w:val="20"/>
              </w:rPr>
              <w:fldChar w:fldCharType="begin"/>
            </w:r>
            <w:r w:rsidRPr="00861016">
              <w:rPr>
                <w:rFonts w:cs="Times New Roman"/>
                <w:b/>
                <w:sz w:val="20"/>
                <w:szCs w:val="20"/>
                <w:lang w:val="fr-CA"/>
              </w:rPr>
              <w:instrText xml:space="preserve"> SEQ CHAPTER \h \r 1</w:instrText>
            </w:r>
            <w:r w:rsidR="00DB7F13" w:rsidRPr="00861016">
              <w:rPr>
                <w:rFonts w:cs="Times New Roman"/>
                <w:b/>
                <w:sz w:val="20"/>
                <w:szCs w:val="20"/>
              </w:rPr>
              <w:fldChar w:fldCharType="end"/>
            </w:r>
          </w:p>
          <w:p w:rsidR="00861016" w:rsidRPr="00861016" w:rsidRDefault="00861016" w:rsidP="00861016">
            <w:pPr>
              <w:rPr>
                <w:rFonts w:cs="Times New Roman"/>
                <w:b/>
                <w:bCs/>
                <w:sz w:val="20"/>
                <w:szCs w:val="20"/>
                <w:lang w:val="fr-CA"/>
              </w:rPr>
            </w:pPr>
          </w:p>
        </w:tc>
      </w:tr>
      <w:tr w:rsidR="00861016" w:rsidRPr="00861016" w:rsidTr="00861016">
        <w:tc>
          <w:tcPr>
            <w:tcW w:w="4338" w:type="dxa"/>
          </w:tcPr>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Guy Young</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ab/>
              <w:t>c. (34194)</w:t>
            </w:r>
          </w:p>
          <w:p w:rsidR="00861016" w:rsidRPr="00861016" w:rsidRDefault="00861016" w:rsidP="00861016">
            <w:pPr>
              <w:tabs>
                <w:tab w:val="left" w:pos="-1440"/>
                <w:tab w:val="left" w:pos="-720"/>
              </w:tabs>
              <w:jc w:val="both"/>
              <w:rPr>
                <w:rFonts w:cs="Times New Roman"/>
                <w:sz w:val="20"/>
                <w:szCs w:val="20"/>
                <w:lang w:val="fr-CA"/>
              </w:rPr>
            </w:pPr>
          </w:p>
          <w:p w:rsidR="00861016" w:rsidRPr="00861016" w:rsidRDefault="00861016" w:rsidP="00861016">
            <w:pPr>
              <w:tabs>
                <w:tab w:val="left" w:pos="-1440"/>
                <w:tab w:val="left" w:pos="-720"/>
              </w:tabs>
              <w:jc w:val="both"/>
              <w:rPr>
                <w:rFonts w:cs="Times New Roman"/>
                <w:sz w:val="20"/>
                <w:szCs w:val="20"/>
                <w:lang w:val="fr-CA"/>
              </w:rPr>
            </w:pPr>
            <w:r w:rsidRPr="00861016">
              <w:rPr>
                <w:rFonts w:cs="Times New Roman"/>
                <w:sz w:val="20"/>
                <w:szCs w:val="20"/>
                <w:lang w:val="fr-CA"/>
              </w:rPr>
              <w:t>Sa Majesté la Reine (</w:t>
            </w:r>
            <w:proofErr w:type="spellStart"/>
            <w:r w:rsidRPr="00861016">
              <w:rPr>
                <w:rFonts w:cs="Times New Roman"/>
                <w:sz w:val="20"/>
                <w:szCs w:val="20"/>
                <w:lang w:val="fr-CA"/>
              </w:rPr>
              <w:t>Crim</w:t>
            </w:r>
            <w:proofErr w:type="spellEnd"/>
            <w:r w:rsidRPr="00861016">
              <w:rPr>
                <w:rFonts w:cs="Times New Roman"/>
                <w:sz w:val="20"/>
                <w:szCs w:val="20"/>
                <w:lang w:val="fr-CA"/>
              </w:rPr>
              <w:t>.) (Ont.)</w:t>
            </w:r>
          </w:p>
        </w:tc>
        <w:tc>
          <w:tcPr>
            <w:tcW w:w="1170" w:type="dxa"/>
          </w:tcPr>
          <w:p w:rsidR="00861016" w:rsidRPr="00861016" w:rsidRDefault="00861016" w:rsidP="00861016">
            <w:pPr>
              <w:tabs>
                <w:tab w:val="left" w:pos="-1440"/>
                <w:tab w:val="left" w:pos="-720"/>
              </w:tabs>
              <w:jc w:val="both"/>
              <w:rPr>
                <w:rFonts w:cs="Times New Roman"/>
                <w:sz w:val="20"/>
                <w:szCs w:val="20"/>
                <w:lang w:val="fr-CA"/>
              </w:rPr>
            </w:pPr>
          </w:p>
        </w:tc>
        <w:tc>
          <w:tcPr>
            <w:tcW w:w="4327" w:type="dxa"/>
          </w:tcPr>
          <w:p w:rsidR="00861016" w:rsidRPr="00861016" w:rsidRDefault="00861016" w:rsidP="00861016">
            <w:pPr>
              <w:tabs>
                <w:tab w:val="left" w:pos="-1440"/>
                <w:tab w:val="left" w:pos="-720"/>
              </w:tabs>
              <w:jc w:val="both"/>
              <w:rPr>
                <w:rFonts w:cs="Times New Roman"/>
                <w:sz w:val="20"/>
                <w:szCs w:val="20"/>
                <w:lang w:val="fr-CA"/>
              </w:rPr>
            </w:pPr>
          </w:p>
        </w:tc>
      </w:tr>
    </w:tbl>
    <w:p w:rsidR="00861016" w:rsidRPr="00861016" w:rsidRDefault="00861016" w:rsidP="00861016">
      <w:pPr>
        <w:rPr>
          <w:rFonts w:cs="Times New Roman"/>
          <w:sz w:val="20"/>
          <w:szCs w:val="20"/>
          <w:lang w:val="fr-CA"/>
        </w:rPr>
      </w:pPr>
    </w:p>
    <w:p w:rsidR="00861016" w:rsidRPr="000D0033" w:rsidRDefault="00861016" w:rsidP="00861016">
      <w:pPr>
        <w:tabs>
          <w:tab w:val="left" w:pos="-1440"/>
          <w:tab w:val="left" w:pos="-720"/>
        </w:tabs>
        <w:jc w:val="both"/>
        <w:rPr>
          <w:rFonts w:cs="Times New Roman"/>
          <w:b/>
          <w:sz w:val="20"/>
          <w:szCs w:val="20"/>
        </w:rPr>
      </w:pPr>
      <w:r w:rsidRPr="000D0033">
        <w:rPr>
          <w:rFonts w:cs="Times New Roman"/>
          <w:b/>
          <w:sz w:val="20"/>
          <w:szCs w:val="20"/>
        </w:rPr>
        <w:t>GRANTED / ACCORDÉE</w:t>
      </w:r>
    </w:p>
    <w:p w:rsidR="00861016" w:rsidRPr="000D0033" w:rsidRDefault="00861016" w:rsidP="00861016">
      <w:pPr>
        <w:rPr>
          <w:rFonts w:cs="Times New Roman"/>
          <w:sz w:val="20"/>
          <w:szCs w:val="20"/>
        </w:rPr>
      </w:pPr>
    </w:p>
    <w:p w:rsidR="0056602A" w:rsidRPr="000D0033" w:rsidRDefault="0056602A" w:rsidP="0056602A">
      <w:pPr>
        <w:tabs>
          <w:tab w:val="left" w:pos="-1440"/>
          <w:tab w:val="left" w:pos="-720"/>
        </w:tabs>
        <w:spacing w:line="-19" w:lineRule="auto"/>
        <w:jc w:val="both"/>
        <w:rPr>
          <w:rFonts w:eastAsia="Times New Roman" w:cs="Times New Roman"/>
          <w:sz w:val="20"/>
          <w:szCs w:val="20"/>
          <w:lang w:val="fr-CA" w:eastAsia="en-CA"/>
        </w:rPr>
      </w:pPr>
    </w:p>
    <w:p w:rsidR="0056602A" w:rsidRPr="000D0033" w:rsidRDefault="0056602A" w:rsidP="0056602A">
      <w:pPr>
        <w:tabs>
          <w:tab w:val="left" w:pos="-1440"/>
          <w:tab w:val="left" w:pos="-720"/>
        </w:tabs>
        <w:spacing w:line="-19" w:lineRule="auto"/>
        <w:jc w:val="both"/>
        <w:rPr>
          <w:rFonts w:eastAsia="Times New Roman" w:cs="Times New Roman"/>
          <w:sz w:val="20"/>
          <w:szCs w:val="20"/>
          <w:lang w:eastAsia="en-CA"/>
        </w:rPr>
      </w:pPr>
    </w:p>
    <w:p w:rsidR="00890FEB" w:rsidRDefault="00DB7F13" w:rsidP="0056602A">
      <w:pPr>
        <w:tabs>
          <w:tab w:val="left" w:pos="-1440"/>
          <w:tab w:val="left" w:pos="-720"/>
        </w:tabs>
        <w:jc w:val="both"/>
        <w:rPr>
          <w:rFonts w:eastAsia="Times New Roman" w:cs="Times New Roman"/>
          <w:sz w:val="20"/>
          <w:szCs w:val="20"/>
          <w:lang w:val="fr-CA" w:eastAsia="en-CA"/>
        </w:rPr>
      </w:pPr>
      <w:r w:rsidRPr="00DB7F13">
        <w:rPr>
          <w:rFonts w:eastAsia="Times New Roman" w:cs="Times New Roman"/>
          <w:sz w:val="20"/>
          <w:szCs w:val="20"/>
          <w:lang w:val="fr-CA" w:eastAsia="en-CA"/>
        </w:rPr>
        <w:pict>
          <v:rect id="_x0000_i1060" style="width:2in;height:1pt" o:hrpct="0" o:hralign="center" o:hrstd="t" o:hrnoshade="t" o:hr="t" fillcolor="black [3213]" stroked="f"/>
        </w:pict>
      </w:r>
    </w:p>
    <w:p w:rsidR="00C77DA1" w:rsidRPr="000D0033" w:rsidRDefault="00C77DA1" w:rsidP="0056602A">
      <w:pPr>
        <w:tabs>
          <w:tab w:val="left" w:pos="-1440"/>
          <w:tab w:val="left" w:pos="-720"/>
        </w:tabs>
        <w:jc w:val="both"/>
        <w:rPr>
          <w:sz w:val="20"/>
          <w:szCs w:val="20"/>
          <w:lang w:val="fr-CA"/>
        </w:rPr>
      </w:pPr>
    </w:p>
    <w:p w:rsidR="00831CA9" w:rsidRPr="000D0033" w:rsidRDefault="00831CA9" w:rsidP="00831CA9">
      <w:pPr>
        <w:jc w:val="both"/>
        <w:rPr>
          <w:sz w:val="20"/>
          <w:szCs w:val="20"/>
          <w:lang w:val="fr-CA"/>
        </w:rPr>
        <w:sectPr w:rsidR="00831CA9" w:rsidRPr="000D0033"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p w:rsidR="00831CA9" w:rsidRPr="000D0033" w:rsidRDefault="00831CA9" w:rsidP="00831CA9">
      <w:pPr>
        <w:tabs>
          <w:tab w:val="left" w:pos="-1440"/>
          <w:tab w:val="left" w:pos="-720"/>
        </w:tabs>
        <w:jc w:val="both"/>
        <w:rPr>
          <w:sz w:val="20"/>
          <w:szCs w:val="20"/>
        </w:r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F4B6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9E4FBB" w:rsidRDefault="0010587F" w:rsidP="003B3977">
            <w:pPr>
              <w:rPr>
                <w:sz w:val="20"/>
                <w:szCs w:val="20"/>
                <w:lang w:val="fr-CA"/>
              </w:rPr>
            </w:pPr>
            <w:r w:rsidRPr="009E4FBB">
              <w:rPr>
                <w:sz w:val="20"/>
                <w:szCs w:val="20"/>
                <w:lang w:val="fr-CA"/>
              </w:rPr>
              <w:t>0</w:t>
            </w:r>
            <w:r w:rsidR="009E4FBB" w:rsidRPr="009E4FBB">
              <w:rPr>
                <w:sz w:val="20"/>
                <w:szCs w:val="20"/>
                <w:lang w:val="fr-CA"/>
              </w:rPr>
              <w:t>9</w:t>
            </w:r>
            <w:r w:rsidRPr="009E4FBB">
              <w:rPr>
                <w:sz w:val="20"/>
                <w:szCs w:val="20"/>
                <w:lang w:val="fr-CA"/>
              </w:rPr>
              <w:t>.1</w:t>
            </w:r>
            <w:r w:rsidR="009E4FBB" w:rsidRPr="009E4FBB">
              <w:rPr>
                <w:sz w:val="20"/>
                <w:szCs w:val="20"/>
                <w:lang w:val="fr-CA"/>
              </w:rPr>
              <w:t>2</w:t>
            </w:r>
            <w:r w:rsidRPr="009E4FBB">
              <w:rPr>
                <w:sz w:val="20"/>
                <w:szCs w:val="20"/>
                <w:lang w:val="fr-CA"/>
              </w:rPr>
              <w:t>.201</w:t>
            </w:r>
            <w:r w:rsidR="009E4FBB" w:rsidRPr="009E4FBB">
              <w:rPr>
                <w:sz w:val="20"/>
                <w:szCs w:val="20"/>
                <w:lang w:val="fr-CA"/>
              </w:rPr>
              <w:t>1</w:t>
            </w:r>
          </w:p>
          <w:p w:rsidR="0010587F" w:rsidRPr="009E4FBB" w:rsidRDefault="0010587F" w:rsidP="003B3977">
            <w:pPr>
              <w:rPr>
                <w:sz w:val="20"/>
                <w:szCs w:val="20"/>
                <w:lang w:val="fr-CA"/>
              </w:rPr>
            </w:pPr>
          </w:p>
          <w:p w:rsidR="0010587F" w:rsidRPr="009E4FBB" w:rsidRDefault="009E4FBB" w:rsidP="003B3977">
            <w:pPr>
              <w:rPr>
                <w:b/>
                <w:sz w:val="20"/>
                <w:szCs w:val="20"/>
                <w:lang w:val="fr-CA"/>
              </w:rPr>
            </w:pPr>
            <w:r w:rsidRPr="009E4FBB">
              <w:rPr>
                <w:b/>
                <w:sz w:val="20"/>
                <w:szCs w:val="20"/>
                <w:lang w:val="fr-CA"/>
              </w:rPr>
              <w:t xml:space="preserve">Sun </w:t>
            </w:r>
            <w:proofErr w:type="spellStart"/>
            <w:r w:rsidRPr="009E4FBB">
              <w:rPr>
                <w:b/>
                <w:sz w:val="20"/>
                <w:szCs w:val="20"/>
                <w:lang w:val="fr-CA"/>
              </w:rPr>
              <w:t>Indalex</w:t>
            </w:r>
            <w:proofErr w:type="spellEnd"/>
            <w:r w:rsidRPr="009E4FBB">
              <w:rPr>
                <w:b/>
                <w:sz w:val="20"/>
                <w:szCs w:val="20"/>
                <w:lang w:val="fr-CA"/>
              </w:rPr>
              <w:t xml:space="preserve"> Finance, LLC et al.</w:t>
            </w:r>
          </w:p>
          <w:p w:rsidR="009E4FBB" w:rsidRPr="009E4FBB" w:rsidRDefault="009E4FBB" w:rsidP="003B3977">
            <w:pPr>
              <w:rPr>
                <w:b/>
                <w:sz w:val="20"/>
                <w:szCs w:val="20"/>
                <w:lang w:val="fr-CA"/>
              </w:rPr>
            </w:pPr>
          </w:p>
          <w:p w:rsidR="0010587F" w:rsidRPr="003B3977" w:rsidRDefault="0010587F" w:rsidP="003B3977">
            <w:pPr>
              <w:rPr>
                <w:b/>
                <w:sz w:val="20"/>
                <w:szCs w:val="20"/>
              </w:rPr>
            </w:pPr>
            <w:r w:rsidRPr="009E4FBB">
              <w:rPr>
                <w:b/>
                <w:sz w:val="20"/>
                <w:szCs w:val="20"/>
                <w:lang w:val="fr-CA"/>
              </w:rPr>
              <w:tab/>
            </w:r>
            <w:r w:rsidRPr="003B3977">
              <w:rPr>
                <w:b/>
                <w:sz w:val="20"/>
                <w:szCs w:val="20"/>
              </w:rPr>
              <w:t>v. (3</w:t>
            </w:r>
            <w:r w:rsidR="009E4FBB">
              <w:rPr>
                <w:b/>
                <w:sz w:val="20"/>
                <w:szCs w:val="20"/>
              </w:rPr>
              <w:t>4308</w:t>
            </w:r>
            <w:r w:rsidRPr="003B3977">
              <w:rPr>
                <w:b/>
                <w:sz w:val="20"/>
                <w:szCs w:val="20"/>
              </w:rPr>
              <w:t>)</w:t>
            </w:r>
          </w:p>
          <w:p w:rsidR="0010587F" w:rsidRPr="003B3977" w:rsidRDefault="0010587F" w:rsidP="003B3977">
            <w:pPr>
              <w:rPr>
                <w:b/>
                <w:sz w:val="20"/>
                <w:szCs w:val="20"/>
              </w:rPr>
            </w:pPr>
          </w:p>
          <w:p w:rsidR="0010587F" w:rsidRPr="003B3977" w:rsidRDefault="009E4FBB" w:rsidP="003B3977">
            <w:pPr>
              <w:rPr>
                <w:b/>
                <w:sz w:val="20"/>
                <w:szCs w:val="20"/>
              </w:rPr>
            </w:pPr>
            <w:r w:rsidRPr="009E4FBB">
              <w:rPr>
                <w:b/>
                <w:sz w:val="20"/>
                <w:szCs w:val="20"/>
              </w:rPr>
              <w:t xml:space="preserve">United Steelworkers </w:t>
            </w:r>
            <w:r>
              <w:rPr>
                <w:b/>
                <w:sz w:val="20"/>
                <w:szCs w:val="20"/>
              </w:rPr>
              <w:t xml:space="preserve">et al. </w:t>
            </w:r>
            <w:r w:rsidR="0010587F" w:rsidRPr="003B3977">
              <w:rPr>
                <w:b/>
                <w:sz w:val="20"/>
                <w:szCs w:val="20"/>
              </w:rPr>
              <w:t>(</w:t>
            </w:r>
            <w:r>
              <w:rPr>
                <w:b/>
                <w:sz w:val="20"/>
                <w:szCs w:val="20"/>
              </w:rPr>
              <w:t>Ont.</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E4FBB">
              <w:rPr>
                <w:sz w:val="20"/>
                <w:szCs w:val="20"/>
              </w:rPr>
              <w:t>By Leave</w:t>
            </w:r>
            <w:r w:rsidRPr="003B3977">
              <w:rPr>
                <w:sz w:val="20"/>
                <w:szCs w:val="20"/>
              </w:rPr>
              <w:t>)</w:t>
            </w:r>
          </w:p>
          <w:p w:rsidR="0010587F" w:rsidRPr="003B3977" w:rsidRDefault="0010587F" w:rsidP="003B3977">
            <w:pPr>
              <w:rPr>
                <w:sz w:val="20"/>
                <w:szCs w:val="20"/>
              </w:rPr>
            </w:pPr>
          </w:p>
          <w:p w:rsidR="0010587F" w:rsidRPr="009E4FBB" w:rsidRDefault="00DB7F13" w:rsidP="003B3977">
            <w:pPr>
              <w:rPr>
                <w:sz w:val="20"/>
                <w:szCs w:val="20"/>
                <w:lang w:val="en-US"/>
              </w:rPr>
            </w:pPr>
            <w:r w:rsidRPr="00DB7F13">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F4B6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E461BB" w:rsidRDefault="00E461BB" w:rsidP="00E461BB">
      <w:pPr>
        <w:widowControl w:val="0"/>
        <w:rPr>
          <w:sz w:val="20"/>
          <w:szCs w:val="20"/>
        </w:rPr>
      </w:pPr>
      <w:r>
        <w:rPr>
          <w:sz w:val="20"/>
          <w:szCs w:val="20"/>
        </w:rPr>
        <w:t>09.12.2011</w:t>
      </w:r>
    </w:p>
    <w:p w:rsidR="00E461BB" w:rsidRDefault="00E461BB" w:rsidP="00E461BB">
      <w:pPr>
        <w:widowControl w:val="0"/>
        <w:rPr>
          <w:sz w:val="20"/>
          <w:szCs w:val="20"/>
        </w:rPr>
      </w:pPr>
    </w:p>
    <w:p w:rsidR="00E461BB" w:rsidRPr="00215330" w:rsidRDefault="00E461BB" w:rsidP="00E461BB">
      <w:pPr>
        <w:widowControl w:val="0"/>
        <w:rPr>
          <w:sz w:val="20"/>
          <w:szCs w:val="20"/>
        </w:rPr>
      </w:pPr>
      <w:r w:rsidRPr="00215330">
        <w:rPr>
          <w:sz w:val="20"/>
          <w:szCs w:val="20"/>
        </w:rPr>
        <w:t xml:space="preserve">Coram: </w:t>
      </w:r>
      <w:proofErr w:type="spellStart"/>
      <w:r w:rsidRPr="00215330">
        <w:rPr>
          <w:sz w:val="20"/>
          <w:szCs w:val="20"/>
          <w:u w:val="single"/>
          <w:lang w:val="en-US"/>
        </w:rPr>
        <w:t>McLachlin</w:t>
      </w:r>
      <w:proofErr w:type="spellEnd"/>
      <w:r w:rsidRPr="00215330">
        <w:rPr>
          <w:sz w:val="20"/>
          <w:szCs w:val="20"/>
          <w:u w:val="single"/>
          <w:lang w:val="en-US"/>
        </w:rPr>
        <w:t xml:space="preserve"> C.J. and </w:t>
      </w:r>
      <w:proofErr w:type="spellStart"/>
      <w:r w:rsidRPr="00215330">
        <w:rPr>
          <w:sz w:val="20"/>
          <w:szCs w:val="20"/>
          <w:u w:val="single"/>
          <w:lang w:val="en-US"/>
        </w:rPr>
        <w:t>LeBel</w:t>
      </w:r>
      <w:proofErr w:type="spellEnd"/>
      <w:r w:rsidRPr="00215330">
        <w:rPr>
          <w:sz w:val="20"/>
          <w:szCs w:val="20"/>
          <w:u w:val="single"/>
          <w:lang w:val="en-US"/>
        </w:rPr>
        <w:t xml:space="preserve">, </w:t>
      </w:r>
      <w:proofErr w:type="spellStart"/>
      <w:r w:rsidRPr="00215330">
        <w:rPr>
          <w:sz w:val="20"/>
          <w:szCs w:val="20"/>
          <w:u w:val="single"/>
          <w:lang w:val="en-US"/>
        </w:rPr>
        <w:t>Deschamps</w:t>
      </w:r>
      <w:proofErr w:type="spellEnd"/>
      <w:r w:rsidRPr="00215330">
        <w:rPr>
          <w:sz w:val="20"/>
          <w:szCs w:val="20"/>
          <w:u w:val="single"/>
          <w:lang w:val="en-US"/>
        </w:rPr>
        <w:t xml:space="preserve">, Fish, </w:t>
      </w:r>
      <w:proofErr w:type="spellStart"/>
      <w:r w:rsidRPr="00215330">
        <w:rPr>
          <w:sz w:val="20"/>
          <w:szCs w:val="20"/>
          <w:u w:val="single"/>
          <w:lang w:val="en-US"/>
        </w:rPr>
        <w:t>Abella</w:t>
      </w:r>
      <w:proofErr w:type="spellEnd"/>
      <w:r w:rsidRPr="00215330">
        <w:rPr>
          <w:sz w:val="20"/>
          <w:szCs w:val="20"/>
          <w:u w:val="single"/>
          <w:lang w:val="en-US"/>
        </w:rPr>
        <w:t xml:space="preserve">, Rothstein, Cromwell, </w:t>
      </w:r>
      <w:proofErr w:type="spellStart"/>
      <w:r w:rsidRPr="00215330">
        <w:rPr>
          <w:sz w:val="20"/>
          <w:szCs w:val="20"/>
          <w:u w:val="single"/>
          <w:lang w:val="en-US"/>
        </w:rPr>
        <w:t>Moldaver</w:t>
      </w:r>
      <w:proofErr w:type="spellEnd"/>
      <w:r w:rsidRPr="00215330">
        <w:rPr>
          <w:sz w:val="20"/>
          <w:szCs w:val="20"/>
          <w:u w:val="single"/>
          <w:lang w:val="en-US"/>
        </w:rPr>
        <w:t xml:space="preserve"> and </w:t>
      </w:r>
      <w:proofErr w:type="spellStart"/>
      <w:r w:rsidRPr="00215330">
        <w:rPr>
          <w:sz w:val="20"/>
          <w:szCs w:val="20"/>
          <w:u w:val="single"/>
          <w:lang w:val="en-US"/>
        </w:rPr>
        <w:t>Karakatsanis</w:t>
      </w:r>
      <w:proofErr w:type="spellEnd"/>
      <w:r w:rsidRPr="00215330">
        <w:rPr>
          <w:sz w:val="20"/>
          <w:szCs w:val="20"/>
          <w:u w:val="single"/>
          <w:lang w:val="en-US"/>
        </w:rPr>
        <w:t xml:space="preserve"> JJ.</w:t>
      </w:r>
    </w:p>
    <w:p w:rsidR="00E461BB"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Default="00E461BB" w:rsidP="00CC2C3E">
            <w:pPr>
              <w:rPr>
                <w:rFonts w:eastAsia="Calibri" w:cs="Times New Roman"/>
                <w:b/>
                <w:sz w:val="20"/>
                <w:szCs w:val="24"/>
              </w:rPr>
            </w:pPr>
            <w:r w:rsidRPr="00D472EC">
              <w:rPr>
                <w:rFonts w:eastAsia="Calibri" w:cs="Times New Roman"/>
                <w:b/>
                <w:sz w:val="20"/>
                <w:szCs w:val="24"/>
              </w:rPr>
              <w:t xml:space="preserve">Larry Wayne Jesse </w:t>
            </w:r>
          </w:p>
          <w:p w:rsidR="00E461BB" w:rsidRPr="0039793E" w:rsidRDefault="00E461BB" w:rsidP="00CC2C3E">
            <w:pPr>
              <w:rPr>
                <w:rStyle w:val="SCCSsocChar"/>
                <w:b/>
                <w:i w:val="0"/>
              </w:rPr>
            </w:pPr>
          </w:p>
          <w:p w:rsidR="00E461BB" w:rsidRPr="0039793E" w:rsidRDefault="00E461BB" w:rsidP="00CC2C3E">
            <w:pPr>
              <w:widowControl w:val="0"/>
              <w:tabs>
                <w:tab w:val="left" w:pos="736"/>
              </w:tabs>
              <w:jc w:val="both"/>
              <w:rPr>
                <w:b/>
                <w:sz w:val="20"/>
                <w:szCs w:val="20"/>
                <w:lang w:val="en-US"/>
              </w:rPr>
            </w:pPr>
            <w:r w:rsidRPr="0039793E">
              <w:rPr>
                <w:b/>
                <w:sz w:val="20"/>
                <w:szCs w:val="20"/>
                <w:lang w:val="en-US"/>
              </w:rPr>
              <w:tab/>
              <w:t xml:space="preserve">v. </w:t>
            </w:r>
            <w:r w:rsidRPr="00D472EC">
              <w:rPr>
                <w:rFonts w:eastAsia="Calibri" w:cs="Times New Roman"/>
                <w:b/>
                <w:sz w:val="20"/>
                <w:szCs w:val="24"/>
              </w:rPr>
              <w:t>(33694)</w:t>
            </w:r>
          </w:p>
          <w:p w:rsidR="00E461BB" w:rsidRPr="0039793E" w:rsidRDefault="00E461BB" w:rsidP="00CC2C3E">
            <w:pPr>
              <w:rPr>
                <w:rStyle w:val="SCCSsocChar"/>
                <w:b/>
                <w:i w:val="0"/>
              </w:rPr>
            </w:pPr>
          </w:p>
          <w:p w:rsidR="00E461BB" w:rsidRPr="00660A94" w:rsidRDefault="00E461BB" w:rsidP="00CC2C3E">
            <w:pPr>
              <w:widowControl w:val="0"/>
              <w:jc w:val="both"/>
              <w:rPr>
                <w:sz w:val="20"/>
                <w:szCs w:val="20"/>
                <w:lang w:val="en-US"/>
              </w:rPr>
            </w:pPr>
            <w:r w:rsidRPr="00D472EC">
              <w:rPr>
                <w:rFonts w:eastAsia="Calibri" w:cs="Times New Roman"/>
                <w:b/>
                <w:sz w:val="20"/>
                <w:szCs w:val="24"/>
              </w:rPr>
              <w:t>Her Majesty the Queen (B.C.) (Criminal) (By Leave)</w:t>
            </w:r>
          </w:p>
        </w:tc>
        <w:tc>
          <w:tcPr>
            <w:tcW w:w="720" w:type="dxa"/>
            <w:tcMar>
              <w:left w:w="0" w:type="dxa"/>
              <w:right w:w="0" w:type="dxa"/>
            </w:tcMar>
          </w:tcPr>
          <w:p w:rsidR="00E461BB" w:rsidRPr="00660A94" w:rsidRDefault="00E461BB" w:rsidP="00CC2C3E">
            <w:pPr>
              <w:widowControl w:val="0"/>
              <w:jc w:val="center"/>
              <w:rPr>
                <w:sz w:val="20"/>
                <w:szCs w:val="20"/>
                <w:lang w:val="en-US"/>
              </w:rPr>
            </w:pPr>
          </w:p>
        </w:tc>
        <w:tc>
          <w:tcPr>
            <w:tcW w:w="4380" w:type="dxa"/>
            <w:tcMar>
              <w:left w:w="0" w:type="dxa"/>
              <w:right w:w="0" w:type="dxa"/>
            </w:tcMar>
          </w:tcPr>
          <w:p w:rsidR="00E461BB" w:rsidRDefault="006E076F" w:rsidP="006E076F">
            <w:pPr>
              <w:widowControl w:val="0"/>
              <w:jc w:val="both"/>
              <w:rPr>
                <w:sz w:val="20"/>
                <w:szCs w:val="20"/>
              </w:rPr>
            </w:pPr>
            <w:r w:rsidRPr="006E076F">
              <w:rPr>
                <w:sz w:val="20"/>
                <w:szCs w:val="20"/>
                <w:lang w:val="en-US"/>
              </w:rPr>
              <w:t>Gil D. McKinnon, Q.C. and</w:t>
            </w:r>
            <w:r>
              <w:rPr>
                <w:sz w:val="20"/>
                <w:szCs w:val="20"/>
                <w:lang w:val="en-US"/>
              </w:rPr>
              <w:t xml:space="preserve"> </w:t>
            </w:r>
            <w:r w:rsidRPr="006E076F">
              <w:rPr>
                <w:sz w:val="20"/>
                <w:szCs w:val="20"/>
              </w:rPr>
              <w:t>Gregory S. Pun</w:t>
            </w:r>
            <w:r>
              <w:rPr>
                <w:sz w:val="20"/>
                <w:szCs w:val="20"/>
              </w:rPr>
              <w:t xml:space="preserve"> f</w:t>
            </w:r>
            <w:r w:rsidRPr="006E076F">
              <w:rPr>
                <w:sz w:val="20"/>
                <w:szCs w:val="20"/>
              </w:rPr>
              <w:t xml:space="preserve">or the </w:t>
            </w:r>
            <w:r>
              <w:rPr>
                <w:sz w:val="20"/>
                <w:szCs w:val="20"/>
              </w:rPr>
              <w:t>a</w:t>
            </w:r>
            <w:r w:rsidRPr="006E076F">
              <w:rPr>
                <w:sz w:val="20"/>
                <w:szCs w:val="20"/>
              </w:rPr>
              <w:t>ppellant</w:t>
            </w:r>
            <w:r>
              <w:rPr>
                <w:sz w:val="20"/>
                <w:szCs w:val="20"/>
              </w:rPr>
              <w:t>.</w:t>
            </w:r>
          </w:p>
          <w:p w:rsidR="006E076F" w:rsidRDefault="006E076F" w:rsidP="006E076F">
            <w:pPr>
              <w:widowControl w:val="0"/>
              <w:jc w:val="both"/>
              <w:rPr>
                <w:sz w:val="20"/>
                <w:szCs w:val="20"/>
              </w:rPr>
            </w:pPr>
          </w:p>
          <w:p w:rsidR="006E076F" w:rsidRDefault="006E076F" w:rsidP="006E076F">
            <w:pPr>
              <w:widowControl w:val="0"/>
              <w:jc w:val="both"/>
              <w:rPr>
                <w:sz w:val="20"/>
                <w:szCs w:val="20"/>
              </w:rPr>
            </w:pPr>
            <w:r w:rsidRPr="006E076F">
              <w:rPr>
                <w:sz w:val="20"/>
                <w:szCs w:val="20"/>
              </w:rPr>
              <w:t>Jennifer Du</w:t>
            </w:r>
            <w:r>
              <w:rPr>
                <w:sz w:val="20"/>
                <w:szCs w:val="20"/>
              </w:rPr>
              <w:t xml:space="preserve">ncan and </w:t>
            </w:r>
            <w:r w:rsidRPr="006E076F">
              <w:rPr>
                <w:sz w:val="20"/>
                <w:szCs w:val="20"/>
              </w:rPr>
              <w:t>Elizabeth Campbell</w:t>
            </w:r>
            <w:r>
              <w:rPr>
                <w:sz w:val="20"/>
                <w:szCs w:val="20"/>
              </w:rPr>
              <w:t xml:space="preserve"> f</w:t>
            </w:r>
            <w:r w:rsidRPr="006E076F">
              <w:rPr>
                <w:sz w:val="20"/>
                <w:szCs w:val="20"/>
              </w:rPr>
              <w:t xml:space="preserve">or the </w:t>
            </w:r>
            <w:r>
              <w:rPr>
                <w:sz w:val="20"/>
                <w:szCs w:val="20"/>
              </w:rPr>
              <w:t>r</w:t>
            </w:r>
            <w:r w:rsidRPr="006E076F">
              <w:rPr>
                <w:sz w:val="20"/>
                <w:szCs w:val="20"/>
              </w:rPr>
              <w:t>espondent</w:t>
            </w:r>
            <w:r>
              <w:rPr>
                <w:sz w:val="20"/>
                <w:szCs w:val="20"/>
              </w:rPr>
              <w:t>.</w:t>
            </w:r>
          </w:p>
          <w:p w:rsidR="006E076F" w:rsidRPr="00C50A5C" w:rsidRDefault="006E076F" w:rsidP="00CC2C3E">
            <w:pPr>
              <w:widowControl w:val="0"/>
              <w:jc w:val="both"/>
              <w:rPr>
                <w:sz w:val="20"/>
                <w:szCs w:val="20"/>
              </w:rPr>
            </w:pPr>
          </w:p>
        </w:tc>
      </w:tr>
    </w:tbl>
    <w:p w:rsidR="00E461BB" w:rsidRDefault="00E461BB" w:rsidP="00E461BB">
      <w:pPr>
        <w:widowControl w:val="0"/>
      </w:pPr>
    </w:p>
    <w:p w:rsidR="00E461BB" w:rsidRPr="00215330" w:rsidRDefault="00E461BB" w:rsidP="00E461BB">
      <w:pPr>
        <w:widowControl w:val="0"/>
        <w:rPr>
          <w:sz w:val="20"/>
          <w:szCs w:val="20"/>
        </w:rPr>
      </w:pPr>
      <w:r w:rsidRPr="00215330">
        <w:rPr>
          <w:b/>
          <w:sz w:val="20"/>
          <w:szCs w:val="20"/>
        </w:rPr>
        <w:t xml:space="preserve">RESERVED / </w:t>
      </w:r>
      <w:r w:rsidRPr="00215330">
        <w:rPr>
          <w:b/>
          <w:sz w:val="20"/>
          <w:szCs w:val="20"/>
          <w:lang w:val="fr-CA"/>
        </w:rPr>
        <w:t>EN DÉLIBÉRÉ</w:t>
      </w:r>
    </w:p>
    <w:p w:rsidR="00E461BB"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C1697B" w:rsidRDefault="00E461BB" w:rsidP="00CC2C3E">
            <w:pPr>
              <w:widowControl w:val="0"/>
              <w:jc w:val="both"/>
              <w:rPr>
                <w:b/>
                <w:sz w:val="20"/>
                <w:szCs w:val="20"/>
              </w:rPr>
            </w:pPr>
          </w:p>
          <w:p w:rsidR="00E461BB" w:rsidRPr="00875564" w:rsidRDefault="00E461BB" w:rsidP="00CC2C3E">
            <w:pPr>
              <w:widowControl w:val="0"/>
              <w:jc w:val="both"/>
              <w:rPr>
                <w:rFonts w:eastAsia="Calibri" w:cs="Times New Roman"/>
                <w:sz w:val="20"/>
                <w:szCs w:val="20"/>
              </w:rPr>
            </w:pPr>
            <w:r w:rsidRPr="00875564">
              <w:rPr>
                <w:rFonts w:eastAsia="Calibri" w:cs="Times New Roman"/>
                <w:sz w:val="20"/>
                <w:szCs w:val="20"/>
              </w:rPr>
              <w:t>(</w:t>
            </w:r>
            <w:r w:rsidRPr="00AC2EFF">
              <w:rPr>
                <w:rFonts w:eastAsia="Calibri" w:cs="Times New Roman"/>
                <w:smallCaps/>
                <w:sz w:val="20"/>
                <w:szCs w:val="20"/>
              </w:rPr>
              <w:t>Publication Ban in Case</w:t>
            </w:r>
            <w:r w:rsidRPr="00875564">
              <w:rPr>
                <w:rFonts w:eastAsia="Calibri" w:cs="Times New Roman"/>
                <w:sz w:val="20"/>
                <w:szCs w:val="20"/>
              </w:rPr>
              <w:t>)</w:t>
            </w:r>
          </w:p>
          <w:p w:rsidR="00E461BB" w:rsidRPr="00875564" w:rsidRDefault="00E461BB" w:rsidP="00CC2C3E">
            <w:pPr>
              <w:widowControl w:val="0"/>
              <w:jc w:val="both"/>
              <w:rPr>
                <w:rFonts w:eastAsia="Calibri" w:cs="Times New Roman"/>
                <w:sz w:val="20"/>
                <w:szCs w:val="20"/>
              </w:rPr>
            </w:pPr>
          </w:p>
          <w:p w:rsidR="00E461BB" w:rsidRPr="00C1697B" w:rsidRDefault="00E461BB" w:rsidP="00CC2C3E">
            <w:pPr>
              <w:widowControl w:val="0"/>
              <w:jc w:val="both"/>
              <w:rPr>
                <w:b/>
                <w:sz w:val="20"/>
                <w:szCs w:val="20"/>
              </w:rPr>
            </w:pPr>
            <w:r w:rsidRPr="00875564">
              <w:rPr>
                <w:rFonts w:eastAsia="Calibri" w:cs="Times New Roman"/>
                <w:sz w:val="20"/>
                <w:szCs w:val="20"/>
              </w:rPr>
              <w:t xml:space="preserve">Criminal law </w:t>
            </w:r>
            <w:r w:rsidRPr="00875564">
              <w:rPr>
                <w:rFonts w:eastAsia="Calibri" w:cs="Times New Roman"/>
                <w:sz w:val="20"/>
                <w:szCs w:val="20"/>
              </w:rPr>
              <w:noBreakHyphen/>
              <w:t xml:space="preserve"> Evidence </w:t>
            </w:r>
            <w:r w:rsidRPr="00875564">
              <w:rPr>
                <w:rFonts w:eastAsia="Calibri" w:cs="Times New Roman"/>
                <w:sz w:val="20"/>
                <w:szCs w:val="20"/>
              </w:rPr>
              <w:noBreakHyphen/>
              <w:t xml:space="preserve"> Similar fact evidence </w:t>
            </w:r>
            <w:r w:rsidRPr="00875564">
              <w:rPr>
                <w:rFonts w:eastAsia="Calibri" w:cs="Times New Roman"/>
                <w:sz w:val="20"/>
                <w:szCs w:val="20"/>
              </w:rPr>
              <w:noBreakHyphen/>
              <w:t xml:space="preserve"> </w:t>
            </w:r>
            <w:proofErr w:type="spellStart"/>
            <w:r w:rsidRPr="00875564">
              <w:rPr>
                <w:rFonts w:eastAsia="Calibri" w:cs="Times New Roman"/>
                <w:i/>
                <w:sz w:val="20"/>
                <w:szCs w:val="20"/>
              </w:rPr>
              <w:t>Voir</w:t>
            </w:r>
            <w:proofErr w:type="spellEnd"/>
            <w:r w:rsidRPr="00875564">
              <w:rPr>
                <w:rFonts w:eastAsia="Calibri" w:cs="Times New Roman"/>
                <w:i/>
                <w:sz w:val="20"/>
                <w:szCs w:val="20"/>
              </w:rPr>
              <w:t xml:space="preserve"> dire</w:t>
            </w:r>
            <w:r w:rsidRPr="00875564">
              <w:rPr>
                <w:rFonts w:eastAsia="Calibri" w:cs="Times New Roman"/>
                <w:sz w:val="20"/>
                <w:szCs w:val="20"/>
              </w:rPr>
              <w:t xml:space="preserve"> </w:t>
            </w:r>
            <w:r w:rsidRPr="00875564">
              <w:rPr>
                <w:rFonts w:eastAsia="Calibri" w:cs="Times New Roman"/>
                <w:sz w:val="20"/>
                <w:szCs w:val="20"/>
              </w:rPr>
              <w:noBreakHyphen/>
              <w:t xml:space="preserve"> Admissibility </w:t>
            </w:r>
            <w:r w:rsidRPr="00875564">
              <w:rPr>
                <w:rFonts w:eastAsia="Calibri" w:cs="Times New Roman"/>
                <w:sz w:val="20"/>
                <w:szCs w:val="20"/>
              </w:rPr>
              <w:noBreakHyphen/>
              <w:t xml:space="preserve"> At the admissibility stage of a similar fact inquiry on a trial of sexual assault, does the Crown have the right to file an </w:t>
            </w:r>
            <w:proofErr w:type="spellStart"/>
            <w:r w:rsidRPr="00875564">
              <w:rPr>
                <w:rFonts w:eastAsia="Calibri" w:cs="Times New Roman"/>
                <w:sz w:val="20"/>
                <w:szCs w:val="20"/>
              </w:rPr>
              <w:t>accused’s</w:t>
            </w:r>
            <w:proofErr w:type="spellEnd"/>
            <w:r w:rsidRPr="00875564">
              <w:rPr>
                <w:rFonts w:eastAsia="Calibri" w:cs="Times New Roman"/>
                <w:sz w:val="20"/>
                <w:szCs w:val="20"/>
              </w:rPr>
              <w:t xml:space="preserve"> prior conviction of sexual assault to establish the evidentiary link between the accused and the prior conduct? </w:t>
            </w:r>
            <w:r w:rsidRPr="00875564">
              <w:rPr>
                <w:rFonts w:eastAsia="Calibri" w:cs="Times New Roman"/>
                <w:sz w:val="20"/>
                <w:szCs w:val="20"/>
              </w:rPr>
              <w:noBreakHyphen/>
              <w:t xml:space="preserve"> At the same stage, does an accused have the right to challenge the validity of his prior conviction? </w:t>
            </w:r>
            <w:r w:rsidRPr="00875564">
              <w:rPr>
                <w:rFonts w:eastAsia="Calibri" w:cs="Times New Roman"/>
                <w:sz w:val="20"/>
                <w:szCs w:val="20"/>
              </w:rPr>
              <w:noBreakHyphen/>
              <w:t xml:space="preserve"> Alternatively, do the doctrines of issue </w:t>
            </w:r>
            <w:proofErr w:type="spellStart"/>
            <w:r w:rsidRPr="00875564">
              <w:rPr>
                <w:rFonts w:eastAsia="Calibri" w:cs="Times New Roman"/>
                <w:sz w:val="20"/>
                <w:szCs w:val="20"/>
              </w:rPr>
              <w:t>estoppel</w:t>
            </w:r>
            <w:proofErr w:type="spellEnd"/>
            <w:r w:rsidRPr="00875564">
              <w:rPr>
                <w:rFonts w:eastAsia="Calibri" w:cs="Times New Roman"/>
                <w:sz w:val="20"/>
                <w:szCs w:val="20"/>
              </w:rPr>
              <w:t xml:space="preserve"> and abuse of process trump an </w:t>
            </w:r>
            <w:proofErr w:type="spellStart"/>
            <w:r w:rsidRPr="00875564">
              <w:rPr>
                <w:rFonts w:eastAsia="Calibri" w:cs="Times New Roman"/>
                <w:sz w:val="20"/>
                <w:szCs w:val="20"/>
              </w:rPr>
              <w:t>accused’s</w:t>
            </w:r>
            <w:proofErr w:type="spellEnd"/>
            <w:r w:rsidRPr="00875564">
              <w:rPr>
                <w:rFonts w:eastAsia="Calibri" w:cs="Times New Roman"/>
                <w:sz w:val="20"/>
                <w:szCs w:val="20"/>
              </w:rPr>
              <w:t xml:space="preserve"> constitutional rights to make full answer and defence and to be presumed innocent?</w:t>
            </w:r>
          </w:p>
        </w:tc>
        <w:tc>
          <w:tcPr>
            <w:tcW w:w="720" w:type="dxa"/>
            <w:tcMar>
              <w:left w:w="0" w:type="dxa"/>
              <w:right w:w="0" w:type="dxa"/>
            </w:tcMar>
          </w:tcPr>
          <w:p w:rsidR="00E461BB" w:rsidRPr="00C1697B" w:rsidRDefault="00E461BB" w:rsidP="00CC2C3E">
            <w:pPr>
              <w:widowControl w:val="0"/>
              <w:jc w:val="center"/>
              <w:rPr>
                <w:sz w:val="20"/>
                <w:szCs w:val="20"/>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875564" w:rsidRDefault="00E461BB" w:rsidP="00CC2C3E">
            <w:pPr>
              <w:widowControl w:val="0"/>
              <w:jc w:val="both"/>
              <w:rPr>
                <w:rFonts w:eastAsia="Calibri" w:cs="Times New Roman"/>
                <w:smallCaps/>
                <w:sz w:val="20"/>
                <w:szCs w:val="20"/>
                <w:lang w:val="fr-CA"/>
              </w:rPr>
            </w:pPr>
            <w:r w:rsidRPr="00875564">
              <w:rPr>
                <w:rFonts w:eastAsia="Calibri" w:cs="Times New Roman"/>
                <w:smallCaps/>
                <w:sz w:val="20"/>
                <w:szCs w:val="20"/>
                <w:lang w:val="fr-CA"/>
              </w:rPr>
              <w:t xml:space="preserve">(Ordonnance de </w:t>
            </w:r>
            <w:proofErr w:type="spellStart"/>
            <w:r w:rsidRPr="00875564">
              <w:rPr>
                <w:rFonts w:eastAsia="Calibri" w:cs="Times New Roman"/>
                <w:smallCaps/>
                <w:sz w:val="20"/>
                <w:szCs w:val="20"/>
                <w:lang w:val="fr-CA"/>
              </w:rPr>
              <w:t>non</w:t>
            </w:r>
            <w:r w:rsidRPr="00875564">
              <w:rPr>
                <w:rFonts w:eastAsia="Calibri" w:cs="Times New Roman"/>
                <w:smallCaps/>
                <w:sz w:val="20"/>
                <w:szCs w:val="20"/>
                <w:lang w:val="fr-CA"/>
              </w:rPr>
              <w:noBreakHyphen/>
              <w:t>publication</w:t>
            </w:r>
            <w:proofErr w:type="spellEnd"/>
            <w:r w:rsidRPr="00875564">
              <w:rPr>
                <w:rFonts w:eastAsia="Calibri" w:cs="Times New Roman"/>
                <w:smallCaps/>
                <w:sz w:val="20"/>
                <w:szCs w:val="20"/>
                <w:lang w:val="fr-CA"/>
              </w:rPr>
              <w:t xml:space="preserve"> dans le dossier)</w:t>
            </w:r>
          </w:p>
          <w:p w:rsidR="00E461BB" w:rsidRPr="00875564" w:rsidRDefault="00E461BB" w:rsidP="00CC2C3E">
            <w:pPr>
              <w:widowControl w:val="0"/>
              <w:jc w:val="both"/>
              <w:rPr>
                <w:rFonts w:eastAsia="Calibri" w:cs="Times New Roman"/>
                <w:sz w:val="20"/>
                <w:szCs w:val="20"/>
                <w:lang w:val="fr-CA"/>
              </w:rPr>
            </w:pPr>
          </w:p>
          <w:p w:rsidR="00E461BB" w:rsidRPr="00C1697B" w:rsidRDefault="00E461BB" w:rsidP="00CC2C3E">
            <w:pPr>
              <w:widowControl w:val="0"/>
              <w:jc w:val="both"/>
              <w:rPr>
                <w:sz w:val="20"/>
                <w:szCs w:val="20"/>
                <w:lang w:val="fr-CA"/>
              </w:rPr>
            </w:pPr>
            <w:r w:rsidRPr="00875564">
              <w:rPr>
                <w:rFonts w:eastAsia="Calibri" w:cs="Times New Roman"/>
                <w:sz w:val="20"/>
                <w:szCs w:val="20"/>
                <w:lang w:val="fr-CA"/>
              </w:rPr>
              <w:t xml:space="preserve">Droit criminel </w:t>
            </w:r>
            <w:r w:rsidRPr="00875564">
              <w:rPr>
                <w:rFonts w:eastAsia="Calibri" w:cs="Times New Roman"/>
                <w:sz w:val="20"/>
                <w:szCs w:val="20"/>
                <w:lang w:val="fr-CA"/>
              </w:rPr>
              <w:noBreakHyphen/>
              <w:t xml:space="preserve"> Preuve </w:t>
            </w:r>
            <w:r w:rsidRPr="00875564">
              <w:rPr>
                <w:rFonts w:eastAsia="Calibri" w:cs="Times New Roman"/>
                <w:sz w:val="20"/>
                <w:szCs w:val="20"/>
                <w:lang w:val="fr-CA"/>
              </w:rPr>
              <w:noBreakHyphen/>
              <w:t xml:space="preserve"> Preuve de faits similaires </w:t>
            </w:r>
            <w:r w:rsidRPr="00875564">
              <w:rPr>
                <w:rFonts w:eastAsia="Calibri" w:cs="Times New Roman"/>
                <w:sz w:val="20"/>
                <w:szCs w:val="20"/>
                <w:lang w:val="fr-CA"/>
              </w:rPr>
              <w:noBreakHyphen/>
              <w:t xml:space="preserve"> </w:t>
            </w:r>
            <w:proofErr w:type="spellStart"/>
            <w:r w:rsidRPr="00875564">
              <w:rPr>
                <w:rFonts w:eastAsia="Calibri" w:cs="Times New Roman"/>
                <w:sz w:val="20"/>
                <w:szCs w:val="20"/>
                <w:lang w:val="fr-CA"/>
              </w:rPr>
              <w:t>Voir</w:t>
            </w:r>
            <w:r w:rsidRPr="00875564">
              <w:rPr>
                <w:rFonts w:eastAsia="Calibri" w:cs="Times New Roman"/>
                <w:sz w:val="20"/>
                <w:szCs w:val="20"/>
                <w:lang w:val="fr-CA"/>
              </w:rPr>
              <w:noBreakHyphen/>
              <w:t>dire</w:t>
            </w:r>
            <w:proofErr w:type="spellEnd"/>
            <w:r w:rsidRPr="00875564">
              <w:rPr>
                <w:rFonts w:eastAsia="Calibri" w:cs="Times New Roman"/>
                <w:sz w:val="20"/>
                <w:szCs w:val="20"/>
                <w:lang w:val="fr-CA"/>
              </w:rPr>
              <w:t xml:space="preserve"> </w:t>
            </w:r>
            <w:r w:rsidRPr="00875564">
              <w:rPr>
                <w:rFonts w:eastAsia="Calibri" w:cs="Times New Roman"/>
                <w:sz w:val="20"/>
                <w:szCs w:val="20"/>
                <w:lang w:val="fr-CA"/>
              </w:rPr>
              <w:noBreakHyphen/>
              <w:t xml:space="preserve"> Admissibilité </w:t>
            </w:r>
            <w:r w:rsidRPr="00875564">
              <w:rPr>
                <w:rFonts w:eastAsia="Calibri" w:cs="Times New Roman"/>
                <w:sz w:val="20"/>
                <w:szCs w:val="20"/>
                <w:lang w:val="fr-CA"/>
              </w:rPr>
              <w:noBreakHyphen/>
              <w:t xml:space="preserve"> Au stade de l’admissibilité d’une enquête portant sur les faits similaires à un procès pour agression sexuelle, le ministère public </w:t>
            </w:r>
            <w:proofErr w:type="spellStart"/>
            <w:r w:rsidRPr="00875564">
              <w:rPr>
                <w:rFonts w:eastAsia="Calibri" w:cs="Times New Roman"/>
                <w:sz w:val="20"/>
                <w:szCs w:val="20"/>
                <w:lang w:val="fr-CA"/>
              </w:rPr>
              <w:t>a</w:t>
            </w:r>
            <w:r w:rsidRPr="00875564">
              <w:rPr>
                <w:rFonts w:eastAsia="Calibri" w:cs="Times New Roman"/>
                <w:sz w:val="20"/>
                <w:szCs w:val="20"/>
                <w:lang w:val="fr-CA"/>
              </w:rPr>
              <w:noBreakHyphen/>
              <w:t>t</w:t>
            </w:r>
            <w:r w:rsidRPr="00875564">
              <w:rPr>
                <w:rFonts w:eastAsia="Calibri" w:cs="Times New Roman"/>
                <w:sz w:val="20"/>
                <w:szCs w:val="20"/>
                <w:lang w:val="fr-CA"/>
              </w:rPr>
              <w:noBreakHyphen/>
              <w:t>il</w:t>
            </w:r>
            <w:proofErr w:type="spellEnd"/>
            <w:r w:rsidRPr="00875564">
              <w:rPr>
                <w:rFonts w:eastAsia="Calibri" w:cs="Times New Roman"/>
                <w:sz w:val="20"/>
                <w:szCs w:val="20"/>
                <w:lang w:val="fr-CA"/>
              </w:rPr>
              <w:t xml:space="preserve"> le droit de déposer la condamnation antérieure d’un accusé pour agression sexuelle pour établir le lien probant entre l’accusé et la conduite antérieure? </w:t>
            </w:r>
            <w:r w:rsidRPr="00875564">
              <w:rPr>
                <w:rFonts w:eastAsia="Calibri" w:cs="Times New Roman"/>
                <w:sz w:val="20"/>
                <w:szCs w:val="20"/>
                <w:lang w:val="fr-CA"/>
              </w:rPr>
              <w:noBreakHyphen/>
              <w:t xml:space="preserve"> Au même stade, l’accusé </w:t>
            </w:r>
            <w:proofErr w:type="spellStart"/>
            <w:r w:rsidRPr="00875564">
              <w:rPr>
                <w:rFonts w:eastAsia="Calibri" w:cs="Times New Roman"/>
                <w:sz w:val="20"/>
                <w:szCs w:val="20"/>
                <w:lang w:val="fr-CA"/>
              </w:rPr>
              <w:t>a</w:t>
            </w:r>
            <w:r w:rsidRPr="00875564">
              <w:rPr>
                <w:rFonts w:eastAsia="Calibri" w:cs="Times New Roman"/>
                <w:sz w:val="20"/>
                <w:szCs w:val="20"/>
                <w:lang w:val="fr-CA"/>
              </w:rPr>
              <w:noBreakHyphen/>
              <w:t>t</w:t>
            </w:r>
            <w:r w:rsidRPr="00875564">
              <w:rPr>
                <w:rFonts w:eastAsia="Calibri" w:cs="Times New Roman"/>
                <w:sz w:val="20"/>
                <w:szCs w:val="20"/>
                <w:lang w:val="fr-CA"/>
              </w:rPr>
              <w:noBreakHyphen/>
              <w:t>il</w:t>
            </w:r>
            <w:proofErr w:type="spellEnd"/>
            <w:r w:rsidRPr="00875564">
              <w:rPr>
                <w:rFonts w:eastAsia="Calibri" w:cs="Times New Roman"/>
                <w:sz w:val="20"/>
                <w:szCs w:val="20"/>
                <w:lang w:val="fr-CA"/>
              </w:rPr>
              <w:t xml:space="preserve"> le droit de contester la validité de sa condamnation antérieure? </w:t>
            </w:r>
            <w:r w:rsidRPr="00875564">
              <w:rPr>
                <w:rFonts w:eastAsia="Calibri" w:cs="Times New Roman"/>
                <w:sz w:val="20"/>
                <w:szCs w:val="20"/>
                <w:lang w:val="fr-CA"/>
              </w:rPr>
              <w:noBreakHyphen/>
              <w:t xml:space="preserve"> À titre subsidiaire, les principes de </w:t>
            </w:r>
            <w:proofErr w:type="spellStart"/>
            <w:r w:rsidRPr="00875564">
              <w:rPr>
                <w:rFonts w:eastAsia="Calibri" w:cs="Times New Roman"/>
                <w:sz w:val="20"/>
                <w:szCs w:val="20"/>
                <w:lang w:val="fr-CA"/>
              </w:rPr>
              <w:t>préclusion</w:t>
            </w:r>
            <w:proofErr w:type="spellEnd"/>
            <w:r w:rsidRPr="00875564">
              <w:rPr>
                <w:rFonts w:eastAsia="Calibri" w:cs="Times New Roman"/>
                <w:sz w:val="20"/>
                <w:szCs w:val="20"/>
                <w:lang w:val="fr-CA"/>
              </w:rPr>
              <w:t xml:space="preserve"> découlant d’une question déjà tranchée et d’abus de procédure l’</w:t>
            </w:r>
            <w:proofErr w:type="spellStart"/>
            <w:r w:rsidRPr="00875564">
              <w:rPr>
                <w:rFonts w:eastAsia="Calibri" w:cs="Times New Roman"/>
                <w:sz w:val="20"/>
                <w:szCs w:val="20"/>
                <w:lang w:val="fr-CA"/>
              </w:rPr>
              <w:t>emportent</w:t>
            </w:r>
            <w:r w:rsidRPr="00875564">
              <w:rPr>
                <w:rFonts w:eastAsia="Calibri" w:cs="Times New Roman"/>
                <w:sz w:val="20"/>
                <w:szCs w:val="20"/>
                <w:lang w:val="fr-CA"/>
              </w:rPr>
              <w:noBreakHyphen/>
              <w:t>ils</w:t>
            </w:r>
            <w:proofErr w:type="spellEnd"/>
            <w:r w:rsidRPr="00875564">
              <w:rPr>
                <w:rFonts w:eastAsia="Calibri" w:cs="Times New Roman"/>
                <w:sz w:val="20"/>
                <w:szCs w:val="20"/>
                <w:lang w:val="fr-CA"/>
              </w:rPr>
              <w:t xml:space="preserve"> sur les droits d’un accusé de présenter une défense pleine et entière et d’être présumé innocent?</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rPr>
      </w:pPr>
      <w:r w:rsidRPr="00DB7F13">
        <w:rPr>
          <w:sz w:val="20"/>
          <w:szCs w:val="20"/>
          <w:lang w:val="fr-CA"/>
        </w:rPr>
        <w:pict>
          <v:rect id="_x0000_i1066" style="width:2in;height:1pt" o:hrpct="0" o:hralign="center" o:hrstd="t" o:hrnoshade="t" o:hr="t" fillcolor="black [3213]" stroked="f"/>
        </w:pict>
      </w:r>
      <w:r w:rsidR="00E461BB">
        <w:rPr>
          <w:sz w:val="20"/>
          <w:szCs w:val="20"/>
        </w:rPr>
        <w:t>12.12.2011</w:t>
      </w:r>
    </w:p>
    <w:p w:rsidR="00E461BB" w:rsidRPr="003C1C05" w:rsidRDefault="00E461BB" w:rsidP="00E461BB">
      <w:pPr>
        <w:widowControl w:val="0"/>
        <w:rPr>
          <w:sz w:val="20"/>
          <w:szCs w:val="20"/>
        </w:rPr>
      </w:pPr>
    </w:p>
    <w:p w:rsidR="00E461BB" w:rsidRPr="003C1C05" w:rsidRDefault="00E461BB" w:rsidP="00E461BB">
      <w:pPr>
        <w:widowControl w:val="0"/>
        <w:rPr>
          <w:sz w:val="20"/>
          <w:szCs w:val="20"/>
        </w:rPr>
      </w:pPr>
      <w:r w:rsidRPr="003C1C05">
        <w:rPr>
          <w:sz w:val="20"/>
          <w:szCs w:val="20"/>
        </w:rPr>
        <w:t xml:space="preserve">Coram: </w:t>
      </w:r>
      <w:proofErr w:type="spellStart"/>
      <w:r w:rsidRPr="003C1C05">
        <w:rPr>
          <w:sz w:val="20"/>
          <w:szCs w:val="20"/>
          <w:u w:val="single"/>
          <w:lang w:val="en-US"/>
        </w:rPr>
        <w:t>McLachlin</w:t>
      </w:r>
      <w:proofErr w:type="spellEnd"/>
      <w:r w:rsidRPr="003C1C05">
        <w:rPr>
          <w:sz w:val="20"/>
          <w:szCs w:val="20"/>
          <w:u w:val="single"/>
          <w:lang w:val="en-US"/>
        </w:rPr>
        <w:t xml:space="preserve"> C.J. and </w:t>
      </w:r>
      <w:proofErr w:type="spellStart"/>
      <w:r w:rsidRPr="003C1C05">
        <w:rPr>
          <w:sz w:val="20"/>
          <w:szCs w:val="20"/>
          <w:u w:val="single"/>
          <w:lang w:val="en-US"/>
        </w:rPr>
        <w:t>LeBel</w:t>
      </w:r>
      <w:proofErr w:type="spellEnd"/>
      <w:r w:rsidRPr="003C1C05">
        <w:rPr>
          <w:sz w:val="20"/>
          <w:szCs w:val="20"/>
          <w:u w:val="single"/>
          <w:lang w:val="en-US"/>
        </w:rPr>
        <w:t xml:space="preserve">, </w:t>
      </w:r>
      <w:proofErr w:type="spellStart"/>
      <w:r w:rsidRPr="003C1C05">
        <w:rPr>
          <w:sz w:val="20"/>
          <w:szCs w:val="20"/>
          <w:u w:val="single"/>
          <w:lang w:val="en-US"/>
        </w:rPr>
        <w:t>Deschamps</w:t>
      </w:r>
      <w:proofErr w:type="spellEnd"/>
      <w:r w:rsidRPr="003C1C05">
        <w:rPr>
          <w:sz w:val="20"/>
          <w:szCs w:val="20"/>
          <w:u w:val="single"/>
          <w:lang w:val="en-US"/>
        </w:rPr>
        <w:t xml:space="preserve">, Fish, </w:t>
      </w:r>
      <w:proofErr w:type="spellStart"/>
      <w:r w:rsidRPr="003C1C05">
        <w:rPr>
          <w:sz w:val="20"/>
          <w:szCs w:val="20"/>
          <w:u w:val="single"/>
          <w:lang w:val="en-US"/>
        </w:rPr>
        <w:t>Abella</w:t>
      </w:r>
      <w:proofErr w:type="spellEnd"/>
      <w:r w:rsidRPr="003C1C05">
        <w:rPr>
          <w:sz w:val="20"/>
          <w:szCs w:val="20"/>
          <w:u w:val="single"/>
          <w:lang w:val="en-US"/>
        </w:rPr>
        <w:t xml:space="preserve">, Rothstein, Cromwell, </w:t>
      </w:r>
      <w:proofErr w:type="spellStart"/>
      <w:r w:rsidRPr="003C1C05">
        <w:rPr>
          <w:sz w:val="20"/>
          <w:szCs w:val="20"/>
          <w:u w:val="single"/>
          <w:lang w:val="en-US"/>
        </w:rPr>
        <w:t>Moldaver</w:t>
      </w:r>
      <w:proofErr w:type="spellEnd"/>
      <w:r w:rsidRPr="003C1C05">
        <w:rPr>
          <w:sz w:val="20"/>
          <w:szCs w:val="20"/>
          <w:u w:val="single"/>
          <w:lang w:val="en-US"/>
        </w:rPr>
        <w:t xml:space="preserve"> and </w:t>
      </w:r>
      <w:proofErr w:type="spellStart"/>
      <w:r w:rsidRPr="003C1C05">
        <w:rPr>
          <w:sz w:val="20"/>
          <w:szCs w:val="20"/>
          <w:u w:val="single"/>
          <w:lang w:val="en-US"/>
        </w:rPr>
        <w:t>Karakatsanis</w:t>
      </w:r>
      <w:proofErr w:type="spellEnd"/>
      <w:r w:rsidRPr="003C1C05">
        <w:rPr>
          <w:sz w:val="20"/>
          <w:szCs w:val="20"/>
          <w:u w:val="single"/>
          <w:lang w:val="en-US"/>
        </w:rPr>
        <w:t xml:space="preserve"> JJ.</w:t>
      </w:r>
    </w:p>
    <w:p w:rsidR="00E461BB" w:rsidRPr="003C1C05"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Default="00E461BB" w:rsidP="00CC2C3E">
            <w:pPr>
              <w:rPr>
                <w:rFonts w:eastAsia="Calibri" w:cs="Times New Roman"/>
                <w:b/>
                <w:sz w:val="20"/>
                <w:szCs w:val="24"/>
              </w:rPr>
            </w:pPr>
            <w:r w:rsidRPr="00AC2EFF">
              <w:rPr>
                <w:rFonts w:eastAsia="Calibri" w:cs="Times New Roman"/>
                <w:b/>
                <w:sz w:val="20"/>
                <w:szCs w:val="24"/>
              </w:rPr>
              <w:t xml:space="preserve">Halifax Regional Municipality </w:t>
            </w:r>
          </w:p>
          <w:p w:rsidR="00E461BB" w:rsidRPr="0039793E" w:rsidRDefault="00E461BB" w:rsidP="00CC2C3E">
            <w:pPr>
              <w:rPr>
                <w:rStyle w:val="SCCSsocChar"/>
                <w:b/>
                <w:i w:val="0"/>
              </w:rPr>
            </w:pPr>
          </w:p>
          <w:p w:rsidR="00E461BB" w:rsidRPr="0039793E" w:rsidRDefault="00E461BB" w:rsidP="00CC2C3E">
            <w:pPr>
              <w:widowControl w:val="0"/>
              <w:tabs>
                <w:tab w:val="left" w:pos="736"/>
              </w:tabs>
              <w:jc w:val="both"/>
              <w:rPr>
                <w:b/>
                <w:sz w:val="20"/>
                <w:szCs w:val="20"/>
                <w:lang w:val="en-US"/>
              </w:rPr>
            </w:pPr>
            <w:r w:rsidRPr="0039793E">
              <w:rPr>
                <w:b/>
                <w:sz w:val="20"/>
                <w:szCs w:val="20"/>
                <w:lang w:val="en-US"/>
              </w:rPr>
              <w:tab/>
              <w:t xml:space="preserve">v. </w:t>
            </w:r>
            <w:r w:rsidRPr="00AC2EFF">
              <w:rPr>
                <w:rFonts w:eastAsia="Calibri" w:cs="Times New Roman"/>
                <w:b/>
                <w:sz w:val="20"/>
                <w:szCs w:val="24"/>
              </w:rPr>
              <w:t>(33876)</w:t>
            </w:r>
          </w:p>
          <w:p w:rsidR="00E461BB" w:rsidRPr="0039793E" w:rsidRDefault="00E461BB" w:rsidP="00CC2C3E">
            <w:pPr>
              <w:rPr>
                <w:rStyle w:val="SCCSsocChar"/>
                <w:b/>
                <w:i w:val="0"/>
              </w:rPr>
            </w:pPr>
          </w:p>
          <w:p w:rsidR="00E461BB" w:rsidRPr="00660A94" w:rsidRDefault="00E461BB" w:rsidP="00CC2C3E">
            <w:pPr>
              <w:widowControl w:val="0"/>
              <w:jc w:val="both"/>
              <w:rPr>
                <w:sz w:val="20"/>
                <w:szCs w:val="20"/>
                <w:lang w:val="en-US"/>
              </w:rPr>
            </w:pPr>
            <w:r w:rsidRPr="00AC2EFF">
              <w:rPr>
                <w:rFonts w:eastAsia="Calibri" w:cs="Times New Roman"/>
                <w:b/>
                <w:sz w:val="20"/>
                <w:szCs w:val="24"/>
              </w:rPr>
              <w:t>Her Majesty the Queen in Right of Canada, as represented by the Minister of Public Works and Government Services (F.C.) (Civil) (By Leave)</w:t>
            </w:r>
          </w:p>
        </w:tc>
        <w:tc>
          <w:tcPr>
            <w:tcW w:w="720" w:type="dxa"/>
            <w:tcMar>
              <w:left w:w="0" w:type="dxa"/>
              <w:right w:w="0" w:type="dxa"/>
            </w:tcMar>
          </w:tcPr>
          <w:p w:rsidR="00E461BB" w:rsidRPr="00660A94" w:rsidRDefault="00E461BB" w:rsidP="00CC2C3E">
            <w:pPr>
              <w:widowControl w:val="0"/>
              <w:jc w:val="center"/>
              <w:rPr>
                <w:sz w:val="20"/>
                <w:szCs w:val="20"/>
                <w:lang w:val="en-US"/>
              </w:rPr>
            </w:pPr>
          </w:p>
        </w:tc>
        <w:tc>
          <w:tcPr>
            <w:tcW w:w="4380" w:type="dxa"/>
            <w:tcMar>
              <w:left w:w="0" w:type="dxa"/>
              <w:right w:w="0" w:type="dxa"/>
            </w:tcMar>
          </w:tcPr>
          <w:p w:rsidR="00E461BB" w:rsidRDefault="003C1C05" w:rsidP="003C1C05">
            <w:pPr>
              <w:widowControl w:val="0"/>
              <w:jc w:val="both"/>
              <w:rPr>
                <w:sz w:val="20"/>
                <w:szCs w:val="20"/>
              </w:rPr>
            </w:pPr>
            <w:r w:rsidRPr="003C1C05">
              <w:rPr>
                <w:sz w:val="20"/>
                <w:szCs w:val="20"/>
              </w:rPr>
              <w:t>Daniel M. Campbell, Q.C.</w:t>
            </w:r>
            <w:r>
              <w:rPr>
                <w:sz w:val="20"/>
                <w:szCs w:val="20"/>
              </w:rPr>
              <w:t xml:space="preserve"> and </w:t>
            </w:r>
            <w:r w:rsidRPr="003C1C05">
              <w:rPr>
                <w:sz w:val="20"/>
                <w:szCs w:val="20"/>
              </w:rPr>
              <w:t>Joseph F. Burke</w:t>
            </w:r>
            <w:r>
              <w:rPr>
                <w:sz w:val="20"/>
                <w:szCs w:val="20"/>
              </w:rPr>
              <w:t xml:space="preserve"> f</w:t>
            </w:r>
            <w:r w:rsidRPr="003C1C05">
              <w:rPr>
                <w:sz w:val="20"/>
                <w:szCs w:val="20"/>
              </w:rPr>
              <w:t xml:space="preserve">or the </w:t>
            </w:r>
            <w:r>
              <w:rPr>
                <w:sz w:val="20"/>
                <w:szCs w:val="20"/>
              </w:rPr>
              <w:t>a</w:t>
            </w:r>
            <w:r w:rsidRPr="003C1C05">
              <w:rPr>
                <w:sz w:val="20"/>
                <w:szCs w:val="20"/>
              </w:rPr>
              <w:t>ppellant</w:t>
            </w:r>
            <w:r>
              <w:rPr>
                <w:sz w:val="20"/>
                <w:szCs w:val="20"/>
              </w:rPr>
              <w:t>.</w:t>
            </w:r>
          </w:p>
          <w:p w:rsidR="003C1C05" w:rsidRDefault="003C1C05" w:rsidP="003C1C05">
            <w:pPr>
              <w:widowControl w:val="0"/>
              <w:jc w:val="both"/>
              <w:rPr>
                <w:sz w:val="20"/>
                <w:szCs w:val="20"/>
              </w:rPr>
            </w:pPr>
          </w:p>
          <w:p w:rsidR="003C1C05" w:rsidRDefault="003C1C05" w:rsidP="003C1C05">
            <w:pPr>
              <w:widowControl w:val="0"/>
              <w:jc w:val="both"/>
              <w:rPr>
                <w:sz w:val="20"/>
                <w:szCs w:val="20"/>
              </w:rPr>
            </w:pPr>
            <w:proofErr w:type="spellStart"/>
            <w:r w:rsidRPr="003C1C05">
              <w:rPr>
                <w:sz w:val="20"/>
                <w:szCs w:val="20"/>
              </w:rPr>
              <w:t>Ginette</w:t>
            </w:r>
            <w:proofErr w:type="spellEnd"/>
            <w:r w:rsidRPr="003C1C05">
              <w:rPr>
                <w:sz w:val="20"/>
                <w:szCs w:val="20"/>
              </w:rPr>
              <w:t xml:space="preserve"> </w:t>
            </w:r>
            <w:proofErr w:type="spellStart"/>
            <w:r w:rsidRPr="003C1C05">
              <w:rPr>
                <w:sz w:val="20"/>
                <w:szCs w:val="20"/>
              </w:rPr>
              <w:t>Gobeil</w:t>
            </w:r>
            <w:proofErr w:type="spellEnd"/>
            <w:r>
              <w:rPr>
                <w:sz w:val="20"/>
                <w:szCs w:val="20"/>
              </w:rPr>
              <w:t xml:space="preserve"> and </w:t>
            </w:r>
            <w:r w:rsidRPr="003C1C05">
              <w:rPr>
                <w:sz w:val="20"/>
                <w:szCs w:val="20"/>
              </w:rPr>
              <w:t>René LeBlanc</w:t>
            </w:r>
            <w:r>
              <w:rPr>
                <w:sz w:val="20"/>
                <w:szCs w:val="20"/>
              </w:rPr>
              <w:t xml:space="preserve"> f</w:t>
            </w:r>
            <w:r w:rsidRPr="003C1C05">
              <w:rPr>
                <w:sz w:val="20"/>
                <w:szCs w:val="20"/>
              </w:rPr>
              <w:t xml:space="preserve">or the </w:t>
            </w:r>
            <w:r>
              <w:rPr>
                <w:sz w:val="20"/>
                <w:szCs w:val="20"/>
              </w:rPr>
              <w:t>r</w:t>
            </w:r>
            <w:r w:rsidRPr="003C1C05">
              <w:rPr>
                <w:sz w:val="20"/>
                <w:szCs w:val="20"/>
              </w:rPr>
              <w:t>espondent</w:t>
            </w:r>
            <w:r>
              <w:rPr>
                <w:sz w:val="20"/>
                <w:szCs w:val="20"/>
              </w:rPr>
              <w:t>.</w:t>
            </w:r>
          </w:p>
          <w:p w:rsidR="003C1C05" w:rsidRDefault="003C1C05" w:rsidP="003C1C05">
            <w:pPr>
              <w:widowControl w:val="0"/>
              <w:jc w:val="both"/>
              <w:rPr>
                <w:sz w:val="20"/>
                <w:szCs w:val="20"/>
              </w:rPr>
            </w:pPr>
          </w:p>
          <w:p w:rsidR="003C1C05" w:rsidRDefault="003C1C05" w:rsidP="003C1C05">
            <w:pPr>
              <w:widowControl w:val="0"/>
              <w:jc w:val="both"/>
              <w:rPr>
                <w:sz w:val="20"/>
                <w:szCs w:val="20"/>
              </w:rPr>
            </w:pPr>
            <w:r w:rsidRPr="003C1C05">
              <w:rPr>
                <w:sz w:val="20"/>
                <w:szCs w:val="20"/>
              </w:rPr>
              <w:t>Marie-France Major</w:t>
            </w:r>
            <w:r>
              <w:rPr>
                <w:sz w:val="20"/>
                <w:szCs w:val="20"/>
              </w:rPr>
              <w:t xml:space="preserve"> f</w:t>
            </w:r>
            <w:r w:rsidRPr="003C1C05">
              <w:rPr>
                <w:sz w:val="20"/>
                <w:szCs w:val="20"/>
              </w:rPr>
              <w:t xml:space="preserve">or the </w:t>
            </w:r>
            <w:r>
              <w:rPr>
                <w:sz w:val="20"/>
                <w:szCs w:val="20"/>
              </w:rPr>
              <w:t>i</w:t>
            </w:r>
            <w:r w:rsidRPr="003C1C05">
              <w:rPr>
                <w:sz w:val="20"/>
                <w:szCs w:val="20"/>
              </w:rPr>
              <w:t>ntervener</w:t>
            </w:r>
            <w:r>
              <w:rPr>
                <w:sz w:val="20"/>
                <w:szCs w:val="20"/>
              </w:rPr>
              <w:t xml:space="preserve"> </w:t>
            </w:r>
            <w:r w:rsidRPr="003C1C05">
              <w:rPr>
                <w:sz w:val="20"/>
                <w:szCs w:val="20"/>
              </w:rPr>
              <w:t>Federation of Canadian Municipalities</w:t>
            </w:r>
            <w:r>
              <w:rPr>
                <w:sz w:val="20"/>
                <w:szCs w:val="20"/>
              </w:rPr>
              <w:t>.</w:t>
            </w:r>
          </w:p>
          <w:p w:rsidR="003C1C05" w:rsidRDefault="003C1C05" w:rsidP="003C1C05">
            <w:pPr>
              <w:widowControl w:val="0"/>
              <w:jc w:val="both"/>
              <w:rPr>
                <w:sz w:val="20"/>
                <w:szCs w:val="20"/>
              </w:rPr>
            </w:pPr>
          </w:p>
          <w:p w:rsidR="003C1C05" w:rsidRDefault="003C1C05" w:rsidP="003C1C05">
            <w:pPr>
              <w:widowControl w:val="0"/>
              <w:jc w:val="both"/>
              <w:rPr>
                <w:sz w:val="20"/>
                <w:szCs w:val="20"/>
              </w:rPr>
            </w:pPr>
            <w:r w:rsidRPr="003C1C05">
              <w:rPr>
                <w:sz w:val="20"/>
                <w:szCs w:val="20"/>
              </w:rPr>
              <w:t>Diana W. Dimmer</w:t>
            </w:r>
            <w:r>
              <w:rPr>
                <w:sz w:val="20"/>
                <w:szCs w:val="20"/>
              </w:rPr>
              <w:t xml:space="preserve"> and </w:t>
            </w:r>
            <w:r w:rsidRPr="003C1C05">
              <w:rPr>
                <w:sz w:val="20"/>
                <w:szCs w:val="20"/>
              </w:rPr>
              <w:t>Angus S. MacKay</w:t>
            </w:r>
            <w:r>
              <w:rPr>
                <w:sz w:val="20"/>
                <w:szCs w:val="20"/>
              </w:rPr>
              <w:t xml:space="preserve"> f</w:t>
            </w:r>
            <w:r w:rsidRPr="003C1C05">
              <w:rPr>
                <w:sz w:val="20"/>
                <w:szCs w:val="20"/>
              </w:rPr>
              <w:t xml:space="preserve">or the </w:t>
            </w:r>
            <w:r>
              <w:rPr>
                <w:sz w:val="20"/>
                <w:szCs w:val="20"/>
              </w:rPr>
              <w:t>i</w:t>
            </w:r>
            <w:r w:rsidRPr="003C1C05">
              <w:rPr>
                <w:sz w:val="20"/>
                <w:szCs w:val="20"/>
              </w:rPr>
              <w:t>ntervener</w:t>
            </w:r>
            <w:r>
              <w:rPr>
                <w:sz w:val="20"/>
                <w:szCs w:val="20"/>
              </w:rPr>
              <w:t xml:space="preserve"> </w:t>
            </w:r>
            <w:r w:rsidRPr="003C1C05">
              <w:rPr>
                <w:sz w:val="20"/>
                <w:szCs w:val="20"/>
              </w:rPr>
              <w:t>City of Toronto</w:t>
            </w:r>
            <w:r>
              <w:rPr>
                <w:sz w:val="20"/>
                <w:szCs w:val="20"/>
              </w:rPr>
              <w:t>.</w:t>
            </w:r>
          </w:p>
          <w:p w:rsidR="003C1C05" w:rsidRDefault="003C1C05" w:rsidP="003C1C05">
            <w:pPr>
              <w:widowControl w:val="0"/>
              <w:jc w:val="both"/>
              <w:rPr>
                <w:sz w:val="20"/>
                <w:szCs w:val="20"/>
              </w:rPr>
            </w:pPr>
          </w:p>
          <w:p w:rsidR="000E033A" w:rsidRPr="000E033A" w:rsidRDefault="000E033A" w:rsidP="000E033A">
            <w:pPr>
              <w:widowControl w:val="0"/>
              <w:jc w:val="both"/>
              <w:rPr>
                <w:sz w:val="20"/>
                <w:szCs w:val="20"/>
                <w:lang w:val="fr-CA"/>
              </w:rPr>
            </w:pPr>
            <w:r w:rsidRPr="000E033A">
              <w:rPr>
                <w:sz w:val="20"/>
                <w:szCs w:val="20"/>
                <w:lang w:val="fr-CA"/>
              </w:rPr>
              <w:t>Richard Grondin</w:t>
            </w:r>
            <w:r>
              <w:rPr>
                <w:sz w:val="20"/>
                <w:szCs w:val="20"/>
                <w:lang w:val="fr-CA"/>
              </w:rPr>
              <w:t xml:space="preserve"> et </w:t>
            </w:r>
            <w:r w:rsidRPr="000E033A">
              <w:rPr>
                <w:sz w:val="20"/>
                <w:szCs w:val="20"/>
                <w:lang w:val="fr-CA"/>
              </w:rPr>
              <w:t>Éric Boisvert</w:t>
            </w:r>
            <w:r>
              <w:rPr>
                <w:sz w:val="20"/>
                <w:szCs w:val="20"/>
                <w:lang w:val="fr-CA"/>
              </w:rPr>
              <w:t xml:space="preserve"> p</w:t>
            </w:r>
            <w:r w:rsidRPr="000E033A">
              <w:rPr>
                <w:sz w:val="20"/>
                <w:szCs w:val="20"/>
                <w:lang w:val="fr-CA"/>
              </w:rPr>
              <w:t>our l’intervenante</w:t>
            </w:r>
          </w:p>
          <w:p w:rsidR="003C1C05" w:rsidRDefault="000E033A" w:rsidP="000E033A">
            <w:pPr>
              <w:widowControl w:val="0"/>
              <w:jc w:val="both"/>
              <w:rPr>
                <w:sz w:val="20"/>
                <w:szCs w:val="20"/>
              </w:rPr>
            </w:pPr>
            <w:r w:rsidRPr="000E033A">
              <w:rPr>
                <w:sz w:val="20"/>
                <w:szCs w:val="20"/>
              </w:rPr>
              <w:t>Ville de Québec</w:t>
            </w:r>
            <w:r>
              <w:rPr>
                <w:sz w:val="20"/>
                <w:szCs w:val="20"/>
              </w:rPr>
              <w:t>.</w:t>
            </w:r>
          </w:p>
          <w:p w:rsidR="000E033A" w:rsidRDefault="000E033A" w:rsidP="000E033A">
            <w:pPr>
              <w:widowControl w:val="0"/>
              <w:jc w:val="both"/>
              <w:rPr>
                <w:sz w:val="20"/>
                <w:szCs w:val="20"/>
              </w:rPr>
            </w:pPr>
          </w:p>
          <w:p w:rsidR="003C1C05" w:rsidRPr="003C1C05" w:rsidRDefault="000E033A" w:rsidP="000E033A">
            <w:pPr>
              <w:widowControl w:val="0"/>
              <w:jc w:val="both"/>
              <w:rPr>
                <w:sz w:val="20"/>
                <w:szCs w:val="20"/>
              </w:rPr>
            </w:pPr>
            <w:r w:rsidRPr="000E033A">
              <w:rPr>
                <w:sz w:val="20"/>
                <w:szCs w:val="20"/>
              </w:rPr>
              <w:t>Harley J. Harris</w:t>
            </w:r>
            <w:r>
              <w:rPr>
                <w:sz w:val="20"/>
                <w:szCs w:val="20"/>
              </w:rPr>
              <w:t xml:space="preserve"> and </w:t>
            </w:r>
            <w:r w:rsidRPr="000E033A">
              <w:rPr>
                <w:sz w:val="20"/>
                <w:szCs w:val="20"/>
              </w:rPr>
              <w:t>Michael F. Robson</w:t>
            </w:r>
            <w:r>
              <w:rPr>
                <w:sz w:val="20"/>
                <w:szCs w:val="20"/>
              </w:rPr>
              <w:t xml:space="preserve"> f</w:t>
            </w:r>
            <w:r w:rsidRPr="000E033A">
              <w:rPr>
                <w:sz w:val="20"/>
                <w:szCs w:val="20"/>
              </w:rPr>
              <w:t xml:space="preserve">or the </w:t>
            </w:r>
            <w:r>
              <w:rPr>
                <w:sz w:val="20"/>
                <w:szCs w:val="20"/>
              </w:rPr>
              <w:lastRenderedPageBreak/>
              <w:t>i</w:t>
            </w:r>
            <w:r w:rsidRPr="000E033A">
              <w:rPr>
                <w:sz w:val="20"/>
                <w:szCs w:val="20"/>
              </w:rPr>
              <w:t>ntervener</w:t>
            </w:r>
            <w:r>
              <w:rPr>
                <w:sz w:val="20"/>
                <w:szCs w:val="20"/>
              </w:rPr>
              <w:t xml:space="preserve"> </w:t>
            </w:r>
            <w:r w:rsidRPr="000E033A">
              <w:rPr>
                <w:sz w:val="20"/>
                <w:szCs w:val="20"/>
              </w:rPr>
              <w:t>Association of Canadian Port Authorities</w:t>
            </w:r>
            <w:r>
              <w:rPr>
                <w:sz w:val="20"/>
                <w:szCs w:val="20"/>
              </w:rPr>
              <w:t>.</w:t>
            </w:r>
          </w:p>
        </w:tc>
      </w:tr>
    </w:tbl>
    <w:p w:rsidR="00E461BB" w:rsidRPr="000E033A" w:rsidRDefault="00E461BB" w:rsidP="00E461BB">
      <w:pPr>
        <w:widowControl w:val="0"/>
      </w:pPr>
    </w:p>
    <w:p w:rsidR="00E461BB" w:rsidRPr="000E033A" w:rsidRDefault="00E461BB" w:rsidP="00E461BB">
      <w:pPr>
        <w:widowControl w:val="0"/>
        <w:rPr>
          <w:sz w:val="20"/>
          <w:szCs w:val="20"/>
        </w:rPr>
      </w:pPr>
      <w:r w:rsidRPr="000E033A">
        <w:rPr>
          <w:b/>
          <w:sz w:val="20"/>
          <w:szCs w:val="20"/>
        </w:rPr>
        <w:t xml:space="preserve">RESERVED / </w:t>
      </w:r>
      <w:r w:rsidRPr="000E033A">
        <w:rPr>
          <w:b/>
          <w:sz w:val="20"/>
          <w:szCs w:val="20"/>
          <w:lang w:val="fr-CA"/>
        </w:rPr>
        <w:t>EN DÉLIBÉRÉ</w:t>
      </w:r>
    </w:p>
    <w:p w:rsidR="00E461BB"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C1697B" w:rsidRDefault="00E461BB" w:rsidP="00CC2C3E">
            <w:pPr>
              <w:widowControl w:val="0"/>
              <w:jc w:val="both"/>
              <w:rPr>
                <w:b/>
                <w:sz w:val="20"/>
                <w:szCs w:val="20"/>
              </w:rPr>
            </w:pPr>
          </w:p>
          <w:p w:rsidR="00E461BB" w:rsidRDefault="00E461BB" w:rsidP="00CC2C3E">
            <w:pPr>
              <w:widowControl w:val="0"/>
              <w:jc w:val="both"/>
              <w:rPr>
                <w:rFonts w:eastAsia="Calibri" w:cs="Times New Roman"/>
                <w:sz w:val="20"/>
                <w:szCs w:val="20"/>
              </w:rPr>
            </w:pPr>
            <w:r w:rsidRPr="00AC2EFF">
              <w:rPr>
                <w:rFonts w:eastAsia="Calibri" w:cs="Times New Roman"/>
                <w:sz w:val="20"/>
                <w:szCs w:val="20"/>
              </w:rPr>
              <w:t xml:space="preserve">Administrative law </w:t>
            </w:r>
            <w:r w:rsidRPr="00AC2EFF">
              <w:rPr>
                <w:rFonts w:eastAsia="Calibri" w:cs="Times New Roman"/>
                <w:sz w:val="20"/>
                <w:szCs w:val="20"/>
              </w:rPr>
              <w:noBreakHyphen/>
              <w:t xml:space="preserve"> Judicial review </w:t>
            </w:r>
            <w:r w:rsidRPr="00AC2EFF">
              <w:rPr>
                <w:rFonts w:eastAsia="Calibri" w:cs="Times New Roman"/>
                <w:sz w:val="20"/>
                <w:szCs w:val="20"/>
              </w:rPr>
              <w:noBreakHyphen/>
              <w:t xml:space="preserve"> Municipal law </w:t>
            </w:r>
            <w:r w:rsidRPr="00AC2EFF">
              <w:rPr>
                <w:rFonts w:eastAsia="Calibri" w:cs="Times New Roman"/>
                <w:sz w:val="20"/>
                <w:szCs w:val="20"/>
              </w:rPr>
              <w:noBreakHyphen/>
              <w:t xml:space="preserve"> Taxation </w:t>
            </w:r>
            <w:r w:rsidRPr="00AC2EFF">
              <w:rPr>
                <w:rFonts w:eastAsia="Calibri" w:cs="Times New Roman"/>
                <w:sz w:val="20"/>
                <w:szCs w:val="20"/>
              </w:rPr>
              <w:noBreakHyphen/>
              <w:t xml:space="preserve"> Real property tax </w:t>
            </w:r>
            <w:r w:rsidRPr="00AC2EFF">
              <w:rPr>
                <w:rFonts w:eastAsia="Calibri" w:cs="Times New Roman"/>
                <w:sz w:val="20"/>
                <w:szCs w:val="20"/>
              </w:rPr>
              <w:noBreakHyphen/>
              <w:t xml:space="preserve"> Payments made by Federal Crown in lieu of real property tax </w:t>
            </w:r>
            <w:r w:rsidRPr="00AC2EFF">
              <w:rPr>
                <w:rFonts w:eastAsia="Calibri" w:cs="Times New Roman"/>
                <w:sz w:val="20"/>
                <w:szCs w:val="20"/>
              </w:rPr>
              <w:noBreakHyphen/>
              <w:t xml:space="preserve"> Assessed value of Halifax Citadel </w:t>
            </w:r>
            <w:r w:rsidRPr="00AC2EFF">
              <w:rPr>
                <w:rFonts w:eastAsia="Calibri" w:cs="Times New Roman"/>
                <w:sz w:val="20"/>
                <w:szCs w:val="20"/>
              </w:rPr>
              <w:noBreakHyphen/>
              <w:t xml:space="preserve"> What is the proper scope of the Minister’s discretion in forming an opinion of the value of federal property for the purposes of the </w:t>
            </w:r>
            <w:r w:rsidRPr="00AC2EFF">
              <w:rPr>
                <w:rFonts w:eastAsia="Calibri" w:cs="Times New Roman"/>
                <w:i/>
                <w:sz w:val="20"/>
                <w:szCs w:val="20"/>
              </w:rPr>
              <w:t>Payments in Lieu of Taxes Act</w:t>
            </w:r>
            <w:r w:rsidRPr="00AC2EFF">
              <w:rPr>
                <w:rFonts w:eastAsia="Calibri" w:cs="Times New Roman"/>
                <w:sz w:val="20"/>
                <w:szCs w:val="20"/>
              </w:rPr>
              <w:t>, R.S.C. 1985, c. M</w:t>
            </w:r>
            <w:r w:rsidRPr="00AC2EFF">
              <w:rPr>
                <w:rFonts w:eastAsia="Calibri" w:cs="Times New Roman"/>
                <w:sz w:val="20"/>
                <w:szCs w:val="20"/>
              </w:rPr>
              <w:noBreakHyphen/>
              <w:t xml:space="preserve">13 </w:t>
            </w:r>
            <w:r w:rsidRPr="00AC2EFF">
              <w:rPr>
                <w:rFonts w:eastAsia="Calibri" w:cs="Times New Roman"/>
                <w:sz w:val="20"/>
                <w:szCs w:val="20"/>
              </w:rPr>
              <w:noBreakHyphen/>
              <w:t xml:space="preserve"> Did the Federal Court of Appeal err in concluding that the Minister is unconstrained by the assessed value of the property determined by the assessment authority? </w:t>
            </w:r>
            <w:r w:rsidRPr="00AC2EFF">
              <w:rPr>
                <w:rFonts w:eastAsia="Calibri" w:cs="Times New Roman"/>
                <w:sz w:val="20"/>
                <w:szCs w:val="20"/>
              </w:rPr>
              <w:noBreakHyphen/>
              <w:t xml:space="preserve"> Did the Federal Court of Appeal err in holding that the Minister’s determination of the property value of the lands on the Halifax Citadel, and in particular, those portions upon which are located ineligible improvements, met the standard of reasonableness defined by this Court?</w:t>
            </w:r>
          </w:p>
          <w:p w:rsidR="00E461BB" w:rsidRPr="00AC2EFF" w:rsidRDefault="00E461BB" w:rsidP="00CC2C3E">
            <w:pPr>
              <w:widowControl w:val="0"/>
              <w:jc w:val="both"/>
              <w:rPr>
                <w:rFonts w:eastAsia="Calibri" w:cs="Times New Roman"/>
                <w:sz w:val="20"/>
                <w:szCs w:val="20"/>
              </w:rPr>
            </w:pPr>
          </w:p>
        </w:tc>
        <w:tc>
          <w:tcPr>
            <w:tcW w:w="720" w:type="dxa"/>
            <w:tcMar>
              <w:left w:w="0" w:type="dxa"/>
              <w:right w:w="0" w:type="dxa"/>
            </w:tcMar>
          </w:tcPr>
          <w:p w:rsidR="00E461BB" w:rsidRPr="00C1697B" w:rsidRDefault="00E461BB" w:rsidP="00CC2C3E">
            <w:pPr>
              <w:widowControl w:val="0"/>
              <w:jc w:val="center"/>
              <w:rPr>
                <w:sz w:val="20"/>
                <w:szCs w:val="20"/>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C1697B" w:rsidRDefault="00E461BB" w:rsidP="000E033A">
            <w:pPr>
              <w:jc w:val="both"/>
              <w:rPr>
                <w:sz w:val="20"/>
                <w:szCs w:val="20"/>
                <w:lang w:val="fr-CA"/>
              </w:rPr>
            </w:pPr>
            <w:r w:rsidRPr="00AC2EFF">
              <w:rPr>
                <w:rFonts w:eastAsia="Calibri" w:cs="Times New Roman"/>
                <w:sz w:val="20"/>
                <w:szCs w:val="20"/>
                <w:lang w:val="fr-CA"/>
              </w:rPr>
              <w:t xml:space="preserve">Droit administratif </w:t>
            </w:r>
            <w:r w:rsidRPr="00AC2EFF">
              <w:rPr>
                <w:rFonts w:eastAsia="Calibri" w:cs="Times New Roman"/>
                <w:sz w:val="20"/>
                <w:szCs w:val="20"/>
                <w:lang w:val="fr-CA"/>
              </w:rPr>
              <w:noBreakHyphen/>
              <w:t xml:space="preserve"> Contrôle judiciaire </w:t>
            </w:r>
            <w:r w:rsidRPr="00AC2EFF">
              <w:rPr>
                <w:rFonts w:eastAsia="Calibri" w:cs="Times New Roman"/>
                <w:sz w:val="20"/>
                <w:szCs w:val="20"/>
                <w:lang w:val="fr-CA"/>
              </w:rPr>
              <w:noBreakHyphen/>
              <w:t xml:space="preserve"> Droit municipal </w:t>
            </w:r>
            <w:r w:rsidRPr="00AC2EFF">
              <w:rPr>
                <w:rFonts w:eastAsia="Calibri" w:cs="Times New Roman"/>
                <w:sz w:val="20"/>
                <w:szCs w:val="20"/>
                <w:lang w:val="fr-CA"/>
              </w:rPr>
              <w:noBreakHyphen/>
              <w:t xml:space="preserve"> Fiscalité </w:t>
            </w:r>
            <w:r w:rsidRPr="00AC2EFF">
              <w:rPr>
                <w:rFonts w:eastAsia="Calibri" w:cs="Times New Roman"/>
                <w:sz w:val="20"/>
                <w:szCs w:val="20"/>
                <w:lang w:val="fr-CA"/>
              </w:rPr>
              <w:noBreakHyphen/>
              <w:t xml:space="preserve"> Impôt foncier </w:t>
            </w:r>
            <w:r w:rsidRPr="00AC2EFF">
              <w:rPr>
                <w:rFonts w:eastAsia="Calibri" w:cs="Times New Roman"/>
                <w:sz w:val="20"/>
                <w:szCs w:val="20"/>
                <w:lang w:val="fr-CA"/>
              </w:rPr>
              <w:noBreakHyphen/>
              <w:t xml:space="preserve"> Paiements faits par l’État fédéral en remplacement de l’impôt foncier </w:t>
            </w:r>
            <w:r w:rsidRPr="00AC2EFF">
              <w:rPr>
                <w:rFonts w:eastAsia="Calibri" w:cs="Times New Roman"/>
                <w:sz w:val="20"/>
                <w:szCs w:val="20"/>
                <w:lang w:val="fr-CA"/>
              </w:rPr>
              <w:noBreakHyphen/>
              <w:t xml:space="preserve"> Valeur imposable de la citadelle de Halifax </w:t>
            </w:r>
            <w:r w:rsidRPr="00AC2EFF">
              <w:rPr>
                <w:rFonts w:eastAsia="Calibri" w:cs="Times New Roman"/>
                <w:sz w:val="20"/>
                <w:szCs w:val="20"/>
                <w:lang w:val="fr-CA"/>
              </w:rPr>
              <w:noBreakHyphen/>
              <w:t xml:space="preserve"> Quelle est la portée du pouvoir discrétionnaire du ministre lorsqu’il apprécie la valeur d’une propriété fédérale aux fins de la </w:t>
            </w:r>
            <w:r w:rsidRPr="00AC2EFF">
              <w:rPr>
                <w:rFonts w:eastAsia="Calibri" w:cs="Times New Roman"/>
                <w:i/>
                <w:iCs/>
                <w:sz w:val="20"/>
                <w:szCs w:val="20"/>
                <w:lang w:val="fr-CA"/>
              </w:rPr>
              <w:t>Loi sur les paiements versés en remplacement d’impôts</w:t>
            </w:r>
            <w:r w:rsidRPr="00AC2EFF">
              <w:rPr>
                <w:rFonts w:eastAsia="Calibri" w:cs="Times New Roman"/>
                <w:sz w:val="20"/>
                <w:szCs w:val="20"/>
                <w:lang w:val="fr-CA"/>
              </w:rPr>
              <w:t>, L.R.C. 1985, ch. M</w:t>
            </w:r>
            <w:r w:rsidRPr="00AC2EFF">
              <w:rPr>
                <w:rFonts w:eastAsia="Calibri" w:cs="Times New Roman"/>
                <w:sz w:val="20"/>
                <w:szCs w:val="20"/>
                <w:lang w:val="fr-CA"/>
              </w:rPr>
              <w:noBreakHyphen/>
              <w:t xml:space="preserve">13? </w:t>
            </w:r>
            <w:r w:rsidRPr="00AC2EFF">
              <w:rPr>
                <w:rFonts w:eastAsia="Calibri" w:cs="Times New Roman"/>
                <w:sz w:val="20"/>
                <w:szCs w:val="20"/>
                <w:lang w:val="fr-CA"/>
              </w:rPr>
              <w:noBreakHyphen/>
              <w:t xml:space="preserve"> La Cour d’appel </w:t>
            </w:r>
            <w:proofErr w:type="gramStart"/>
            <w:r w:rsidRPr="00AC2EFF">
              <w:rPr>
                <w:rFonts w:eastAsia="Calibri" w:cs="Times New Roman"/>
                <w:sz w:val="20"/>
                <w:szCs w:val="20"/>
                <w:lang w:val="fr-CA"/>
              </w:rPr>
              <w:t>fédérale</w:t>
            </w:r>
            <w:proofErr w:type="gramEnd"/>
            <w:r w:rsidRPr="00AC2EFF">
              <w:rPr>
                <w:rFonts w:eastAsia="Calibri" w:cs="Times New Roman"/>
                <w:sz w:val="20"/>
                <w:szCs w:val="20"/>
                <w:lang w:val="fr-CA"/>
              </w:rPr>
              <w:t xml:space="preserve"> </w:t>
            </w:r>
            <w:proofErr w:type="spellStart"/>
            <w:r w:rsidRPr="00AC2EFF">
              <w:rPr>
                <w:rFonts w:eastAsia="Calibri" w:cs="Times New Roman"/>
                <w:sz w:val="20"/>
                <w:szCs w:val="20"/>
                <w:lang w:val="fr-CA"/>
              </w:rPr>
              <w:t>a</w:t>
            </w:r>
            <w:r w:rsidRPr="00AC2EFF">
              <w:rPr>
                <w:rFonts w:eastAsia="Calibri" w:cs="Times New Roman"/>
                <w:sz w:val="20"/>
                <w:szCs w:val="20"/>
                <w:lang w:val="fr-CA"/>
              </w:rPr>
              <w:noBreakHyphen/>
              <w:t>t</w:t>
            </w:r>
            <w:r w:rsidRPr="00AC2EFF">
              <w:rPr>
                <w:rFonts w:eastAsia="Calibri" w:cs="Times New Roman"/>
                <w:sz w:val="20"/>
                <w:szCs w:val="20"/>
                <w:lang w:val="fr-CA"/>
              </w:rPr>
              <w:noBreakHyphen/>
              <w:t>elle</w:t>
            </w:r>
            <w:proofErr w:type="spellEnd"/>
            <w:r w:rsidRPr="00AC2EFF">
              <w:rPr>
                <w:rFonts w:eastAsia="Calibri" w:cs="Times New Roman"/>
                <w:sz w:val="20"/>
                <w:szCs w:val="20"/>
                <w:lang w:val="fr-CA"/>
              </w:rPr>
              <w:t xml:space="preserve"> eu tort de conclure que le ministre n’était pas lié par la valeur imposable de la propriété, déterminée par l’autorité évaluatrice? </w:t>
            </w:r>
            <w:r w:rsidRPr="00AC2EFF">
              <w:rPr>
                <w:rFonts w:eastAsia="Calibri" w:cs="Times New Roman"/>
                <w:sz w:val="20"/>
                <w:szCs w:val="20"/>
                <w:lang w:val="fr-CA"/>
              </w:rPr>
              <w:noBreakHyphen/>
              <w:t xml:space="preserve"> La Cour d’appel fédérale </w:t>
            </w:r>
            <w:proofErr w:type="spellStart"/>
            <w:r w:rsidRPr="00AC2EFF">
              <w:rPr>
                <w:rFonts w:eastAsia="Calibri" w:cs="Times New Roman"/>
                <w:sz w:val="20"/>
                <w:szCs w:val="20"/>
                <w:lang w:val="fr-CA"/>
              </w:rPr>
              <w:t>a</w:t>
            </w:r>
            <w:r w:rsidRPr="00AC2EFF">
              <w:rPr>
                <w:rFonts w:eastAsia="Calibri" w:cs="Times New Roman"/>
                <w:sz w:val="20"/>
                <w:szCs w:val="20"/>
                <w:lang w:val="fr-CA"/>
              </w:rPr>
              <w:noBreakHyphen/>
              <w:t>t</w:t>
            </w:r>
            <w:r w:rsidRPr="00AC2EFF">
              <w:rPr>
                <w:rFonts w:eastAsia="Calibri" w:cs="Times New Roman"/>
                <w:sz w:val="20"/>
                <w:szCs w:val="20"/>
                <w:lang w:val="fr-CA"/>
              </w:rPr>
              <w:noBreakHyphen/>
              <w:t>elle</w:t>
            </w:r>
            <w:proofErr w:type="spellEnd"/>
            <w:r w:rsidRPr="00AC2EFF">
              <w:rPr>
                <w:rFonts w:eastAsia="Calibri" w:cs="Times New Roman"/>
                <w:sz w:val="20"/>
                <w:szCs w:val="20"/>
                <w:lang w:val="fr-CA"/>
              </w:rPr>
              <w:t xml:space="preserve"> eu tort de statuer que la détermination par le ministre de la valeur foncière des terrains de la citadelle de Halifax, et en particulier ces parties sur lesquelles sont situées des améliorations non admissibles, satisfaisait à la norme de la décision raisonnable définie par cette Cour?</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lang w:val="fr-CA"/>
        </w:rPr>
      </w:pPr>
      <w:r w:rsidRPr="00DB7F13">
        <w:rPr>
          <w:sz w:val="20"/>
          <w:szCs w:val="20"/>
          <w:lang w:val="fr-CA"/>
        </w:rPr>
        <w:pict>
          <v:rect id="_x0000_i1067" style="width:2in;height:1pt" o:hrpct="0" o:hralign="center" o:hrstd="t" o:hrnoshade="t" o:hr="t" fillcolor="black [3213]" stroked="f"/>
        </w:pict>
      </w:r>
    </w:p>
    <w:p w:rsidR="00E461BB" w:rsidRDefault="00E461BB" w:rsidP="00E461BB">
      <w:pPr>
        <w:widowControl w:val="0"/>
        <w:rPr>
          <w:sz w:val="20"/>
          <w:szCs w:val="20"/>
        </w:rPr>
      </w:pPr>
    </w:p>
    <w:p w:rsidR="00E461BB" w:rsidRDefault="00E461BB" w:rsidP="00E461BB">
      <w:pPr>
        <w:widowControl w:val="0"/>
        <w:rPr>
          <w:sz w:val="20"/>
          <w:szCs w:val="20"/>
        </w:rPr>
      </w:pPr>
      <w:r>
        <w:rPr>
          <w:sz w:val="20"/>
          <w:szCs w:val="20"/>
        </w:rPr>
        <w:t>13.12.2011</w:t>
      </w:r>
    </w:p>
    <w:p w:rsidR="00E461BB" w:rsidRPr="00BD6B5E" w:rsidRDefault="00E461BB" w:rsidP="00E461BB">
      <w:pPr>
        <w:widowControl w:val="0"/>
        <w:rPr>
          <w:sz w:val="20"/>
          <w:szCs w:val="20"/>
        </w:rPr>
      </w:pPr>
    </w:p>
    <w:p w:rsidR="00E461BB" w:rsidRPr="00BD6B5E" w:rsidRDefault="00E461BB" w:rsidP="00E461BB">
      <w:pPr>
        <w:widowControl w:val="0"/>
        <w:rPr>
          <w:sz w:val="20"/>
          <w:szCs w:val="20"/>
        </w:rPr>
      </w:pPr>
      <w:r w:rsidRPr="00BD6B5E">
        <w:rPr>
          <w:sz w:val="20"/>
          <w:szCs w:val="20"/>
        </w:rPr>
        <w:t xml:space="preserve">Coram: </w:t>
      </w:r>
      <w:proofErr w:type="spellStart"/>
      <w:r w:rsidRPr="00BD6B5E">
        <w:rPr>
          <w:sz w:val="20"/>
          <w:szCs w:val="20"/>
          <w:u w:val="single"/>
          <w:lang w:val="en-US"/>
        </w:rPr>
        <w:t>McLachlin</w:t>
      </w:r>
      <w:proofErr w:type="spellEnd"/>
      <w:r w:rsidRPr="00BD6B5E">
        <w:rPr>
          <w:sz w:val="20"/>
          <w:szCs w:val="20"/>
          <w:u w:val="single"/>
          <w:lang w:val="en-US"/>
        </w:rPr>
        <w:t xml:space="preserve"> C.J. and </w:t>
      </w:r>
      <w:proofErr w:type="spellStart"/>
      <w:r w:rsidRPr="00BD6B5E">
        <w:rPr>
          <w:sz w:val="20"/>
          <w:szCs w:val="20"/>
          <w:u w:val="single"/>
          <w:lang w:val="en-US"/>
        </w:rPr>
        <w:t>LeBel</w:t>
      </w:r>
      <w:proofErr w:type="spellEnd"/>
      <w:r w:rsidRPr="00BD6B5E">
        <w:rPr>
          <w:sz w:val="20"/>
          <w:szCs w:val="20"/>
          <w:u w:val="single"/>
          <w:lang w:val="en-US"/>
        </w:rPr>
        <w:t xml:space="preserve">, </w:t>
      </w:r>
      <w:proofErr w:type="spellStart"/>
      <w:r w:rsidRPr="00BD6B5E">
        <w:rPr>
          <w:sz w:val="20"/>
          <w:szCs w:val="20"/>
          <w:u w:val="single"/>
          <w:lang w:val="en-US"/>
        </w:rPr>
        <w:t>Deschamps</w:t>
      </w:r>
      <w:proofErr w:type="spellEnd"/>
      <w:r w:rsidRPr="00BD6B5E">
        <w:rPr>
          <w:sz w:val="20"/>
          <w:szCs w:val="20"/>
          <w:u w:val="single"/>
          <w:lang w:val="en-US"/>
        </w:rPr>
        <w:t xml:space="preserve">, Fish, </w:t>
      </w:r>
      <w:proofErr w:type="spellStart"/>
      <w:r w:rsidRPr="00BD6B5E">
        <w:rPr>
          <w:sz w:val="20"/>
          <w:szCs w:val="20"/>
          <w:u w:val="single"/>
          <w:lang w:val="en-US"/>
        </w:rPr>
        <w:t>Abella</w:t>
      </w:r>
      <w:proofErr w:type="spellEnd"/>
      <w:r w:rsidRPr="00BD6B5E">
        <w:rPr>
          <w:sz w:val="20"/>
          <w:szCs w:val="20"/>
          <w:u w:val="single"/>
          <w:lang w:val="en-US"/>
        </w:rPr>
        <w:t xml:space="preserve">, Rothstein, Cromwell, </w:t>
      </w:r>
      <w:proofErr w:type="spellStart"/>
      <w:r w:rsidRPr="00BD6B5E">
        <w:rPr>
          <w:sz w:val="20"/>
          <w:szCs w:val="20"/>
          <w:u w:val="single"/>
          <w:lang w:val="en-US"/>
        </w:rPr>
        <w:t>Moldaver</w:t>
      </w:r>
      <w:proofErr w:type="spellEnd"/>
      <w:r w:rsidRPr="00BD6B5E">
        <w:rPr>
          <w:sz w:val="20"/>
          <w:szCs w:val="20"/>
          <w:u w:val="single"/>
          <w:lang w:val="en-US"/>
        </w:rPr>
        <w:t xml:space="preserve"> and </w:t>
      </w:r>
      <w:proofErr w:type="spellStart"/>
      <w:r w:rsidRPr="00BD6B5E">
        <w:rPr>
          <w:sz w:val="20"/>
          <w:szCs w:val="20"/>
          <w:u w:val="single"/>
          <w:lang w:val="en-US"/>
        </w:rPr>
        <w:t>Karakatsanis</w:t>
      </w:r>
      <w:proofErr w:type="spellEnd"/>
      <w:r w:rsidRPr="00BD6B5E">
        <w:rPr>
          <w:sz w:val="20"/>
          <w:szCs w:val="20"/>
          <w:u w:val="single"/>
          <w:lang w:val="en-US"/>
        </w:rPr>
        <w:t xml:space="preserve"> JJ.</w:t>
      </w:r>
    </w:p>
    <w:p w:rsidR="00E461BB" w:rsidRPr="00BD6B5E"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Pr="009F0F14" w:rsidRDefault="00E461BB" w:rsidP="00CC2C3E">
            <w:pPr>
              <w:rPr>
                <w:rStyle w:val="SCCSsocChar"/>
                <w:b/>
                <w:i w:val="0"/>
                <w:lang w:val="fr-CA"/>
              </w:rPr>
            </w:pPr>
            <w:r w:rsidRPr="009F0F14">
              <w:rPr>
                <w:rStyle w:val="SCCSsocChar"/>
                <w:b/>
                <w:i w:val="0"/>
                <w:lang w:val="fr-CA"/>
              </w:rPr>
              <w:t xml:space="preserve">Manitoba Métis </w:t>
            </w:r>
            <w:proofErr w:type="spellStart"/>
            <w:r w:rsidRPr="009F0F14">
              <w:rPr>
                <w:rStyle w:val="SCCSsocChar"/>
                <w:b/>
                <w:i w:val="0"/>
                <w:lang w:val="fr-CA"/>
              </w:rPr>
              <w:t>Federation</w:t>
            </w:r>
            <w:proofErr w:type="spellEnd"/>
            <w:r w:rsidRPr="009F0F14">
              <w:rPr>
                <w:rStyle w:val="SCCSsocChar"/>
                <w:b/>
                <w:i w:val="0"/>
                <w:lang w:val="fr-CA"/>
              </w:rPr>
              <w:t xml:space="preserve"> Inc. et al. </w:t>
            </w:r>
          </w:p>
          <w:p w:rsidR="00E461BB" w:rsidRPr="009F0F14" w:rsidRDefault="00E461BB" w:rsidP="00CC2C3E">
            <w:pPr>
              <w:rPr>
                <w:lang w:val="fr-CA"/>
              </w:rPr>
            </w:pPr>
          </w:p>
          <w:p w:rsidR="00E461BB" w:rsidRPr="009F0F14" w:rsidRDefault="00E461BB" w:rsidP="00CC2C3E">
            <w:pPr>
              <w:widowControl w:val="0"/>
              <w:tabs>
                <w:tab w:val="left" w:pos="736"/>
              </w:tabs>
              <w:jc w:val="both"/>
              <w:rPr>
                <w:b/>
                <w:sz w:val="20"/>
                <w:szCs w:val="20"/>
                <w:lang w:val="en-US"/>
              </w:rPr>
            </w:pPr>
            <w:r w:rsidRPr="009F0F14">
              <w:rPr>
                <w:b/>
                <w:sz w:val="20"/>
                <w:szCs w:val="20"/>
                <w:lang w:val="fr-CA"/>
              </w:rPr>
              <w:tab/>
            </w:r>
            <w:r w:rsidRPr="009F0F14">
              <w:rPr>
                <w:b/>
                <w:sz w:val="20"/>
                <w:szCs w:val="20"/>
                <w:lang w:val="en-US"/>
              </w:rPr>
              <w:t xml:space="preserve">v. </w:t>
            </w:r>
            <w:r w:rsidRPr="009F0F14">
              <w:rPr>
                <w:b/>
                <w:sz w:val="20"/>
                <w:szCs w:val="20"/>
              </w:rPr>
              <w:t>(33880)</w:t>
            </w:r>
          </w:p>
          <w:p w:rsidR="00E461BB" w:rsidRPr="009F0F14" w:rsidRDefault="00E461BB" w:rsidP="00CC2C3E">
            <w:pPr>
              <w:rPr>
                <w:rStyle w:val="SCCSsocChar"/>
                <w:b/>
                <w:i w:val="0"/>
              </w:rPr>
            </w:pPr>
          </w:p>
          <w:p w:rsidR="00E461BB" w:rsidRPr="009F0F14" w:rsidRDefault="00E461BB" w:rsidP="00CC2C3E">
            <w:pPr>
              <w:rPr>
                <w:b/>
                <w:sz w:val="20"/>
                <w:szCs w:val="20"/>
              </w:rPr>
            </w:pPr>
            <w:r w:rsidRPr="009F0F14">
              <w:rPr>
                <w:rStyle w:val="SCCSsocChar"/>
                <w:b/>
                <w:i w:val="0"/>
              </w:rPr>
              <w:t>Attorney General of Canada et al.</w:t>
            </w:r>
            <w:r w:rsidRPr="009F0F14">
              <w:rPr>
                <w:b/>
                <w:sz w:val="20"/>
                <w:szCs w:val="20"/>
              </w:rPr>
              <w:t xml:space="preserve"> (Man.) (Civil) (By Leave) </w:t>
            </w:r>
          </w:p>
          <w:p w:rsidR="00E461BB" w:rsidRPr="00660A94" w:rsidRDefault="00E461BB" w:rsidP="00CC2C3E">
            <w:pPr>
              <w:widowControl w:val="0"/>
              <w:jc w:val="both"/>
              <w:rPr>
                <w:sz w:val="20"/>
                <w:szCs w:val="20"/>
                <w:lang w:val="en-US"/>
              </w:rPr>
            </w:pPr>
          </w:p>
        </w:tc>
        <w:tc>
          <w:tcPr>
            <w:tcW w:w="720" w:type="dxa"/>
            <w:tcMar>
              <w:left w:w="0" w:type="dxa"/>
              <w:right w:w="0" w:type="dxa"/>
            </w:tcMar>
          </w:tcPr>
          <w:p w:rsidR="00E461BB" w:rsidRPr="00660A94" w:rsidRDefault="00E461BB" w:rsidP="00CC2C3E">
            <w:pPr>
              <w:widowControl w:val="0"/>
              <w:jc w:val="center"/>
              <w:rPr>
                <w:sz w:val="20"/>
                <w:szCs w:val="20"/>
                <w:lang w:val="en-US"/>
              </w:rPr>
            </w:pPr>
          </w:p>
        </w:tc>
        <w:tc>
          <w:tcPr>
            <w:tcW w:w="4380" w:type="dxa"/>
            <w:tcMar>
              <w:left w:w="0" w:type="dxa"/>
              <w:right w:w="0" w:type="dxa"/>
            </w:tcMar>
          </w:tcPr>
          <w:p w:rsidR="00062C2A" w:rsidRDefault="00062C2A" w:rsidP="00062C2A">
            <w:pPr>
              <w:widowControl w:val="0"/>
              <w:jc w:val="both"/>
              <w:rPr>
                <w:sz w:val="20"/>
                <w:szCs w:val="20"/>
              </w:rPr>
            </w:pPr>
            <w:r w:rsidRPr="00062C2A">
              <w:rPr>
                <w:sz w:val="20"/>
                <w:szCs w:val="20"/>
              </w:rPr>
              <w:t>Thomas R. Berger, Q.C.</w:t>
            </w:r>
            <w:r>
              <w:rPr>
                <w:sz w:val="20"/>
                <w:szCs w:val="20"/>
              </w:rPr>
              <w:t xml:space="preserve">, </w:t>
            </w:r>
            <w:r w:rsidRPr="00062C2A">
              <w:rPr>
                <w:sz w:val="20"/>
                <w:szCs w:val="20"/>
              </w:rPr>
              <w:t>Jim Aldridge</w:t>
            </w:r>
            <w:r>
              <w:rPr>
                <w:sz w:val="20"/>
                <w:szCs w:val="20"/>
              </w:rPr>
              <w:t xml:space="preserve">, </w:t>
            </w:r>
            <w:r w:rsidRPr="00062C2A">
              <w:rPr>
                <w:sz w:val="20"/>
                <w:szCs w:val="20"/>
              </w:rPr>
              <w:t xml:space="preserve">Harley </w:t>
            </w:r>
            <w:proofErr w:type="spellStart"/>
            <w:r w:rsidRPr="00062C2A">
              <w:rPr>
                <w:sz w:val="20"/>
                <w:szCs w:val="20"/>
              </w:rPr>
              <w:t>Schachter</w:t>
            </w:r>
            <w:proofErr w:type="spellEnd"/>
            <w:r>
              <w:rPr>
                <w:sz w:val="20"/>
                <w:szCs w:val="20"/>
              </w:rPr>
              <w:t xml:space="preserve"> and </w:t>
            </w:r>
            <w:proofErr w:type="spellStart"/>
            <w:r w:rsidRPr="00062C2A">
              <w:rPr>
                <w:sz w:val="20"/>
                <w:szCs w:val="20"/>
              </w:rPr>
              <w:t>Guylaine</w:t>
            </w:r>
            <w:proofErr w:type="spellEnd"/>
            <w:r w:rsidRPr="00062C2A">
              <w:rPr>
                <w:sz w:val="20"/>
                <w:szCs w:val="20"/>
              </w:rPr>
              <w:t xml:space="preserve"> </w:t>
            </w:r>
            <w:proofErr w:type="spellStart"/>
            <w:r w:rsidRPr="00062C2A">
              <w:rPr>
                <w:sz w:val="20"/>
                <w:szCs w:val="20"/>
              </w:rPr>
              <w:t>Grenier</w:t>
            </w:r>
            <w:proofErr w:type="spellEnd"/>
            <w:r>
              <w:rPr>
                <w:sz w:val="20"/>
                <w:szCs w:val="20"/>
              </w:rPr>
              <w:t xml:space="preserve"> for the appellants.</w:t>
            </w:r>
          </w:p>
          <w:p w:rsidR="00062C2A" w:rsidRDefault="00062C2A" w:rsidP="00062C2A">
            <w:pPr>
              <w:widowControl w:val="0"/>
              <w:jc w:val="both"/>
              <w:rPr>
                <w:sz w:val="20"/>
                <w:szCs w:val="20"/>
              </w:rPr>
            </w:pPr>
          </w:p>
          <w:p w:rsidR="00062C2A" w:rsidRDefault="00062C2A" w:rsidP="00062C2A">
            <w:pPr>
              <w:widowControl w:val="0"/>
              <w:jc w:val="both"/>
              <w:rPr>
                <w:sz w:val="20"/>
                <w:szCs w:val="20"/>
              </w:rPr>
            </w:pPr>
            <w:r w:rsidRPr="00CD36A1">
              <w:rPr>
                <w:sz w:val="20"/>
                <w:szCs w:val="20"/>
                <w:lang w:val="en-US"/>
              </w:rPr>
              <w:t xml:space="preserve">Mark </w:t>
            </w:r>
            <w:proofErr w:type="spellStart"/>
            <w:r w:rsidRPr="00CD36A1">
              <w:rPr>
                <w:sz w:val="20"/>
                <w:szCs w:val="20"/>
                <w:lang w:val="en-US"/>
              </w:rPr>
              <w:t>Kindrachuk</w:t>
            </w:r>
            <w:proofErr w:type="spellEnd"/>
            <w:r w:rsidRPr="00CD36A1">
              <w:rPr>
                <w:sz w:val="20"/>
                <w:szCs w:val="20"/>
                <w:lang w:val="en-US"/>
              </w:rPr>
              <w:t xml:space="preserve">, Q.C., </w:t>
            </w:r>
            <w:proofErr w:type="spellStart"/>
            <w:r w:rsidRPr="00CD36A1">
              <w:rPr>
                <w:sz w:val="20"/>
                <w:szCs w:val="20"/>
                <w:lang w:val="en-US"/>
              </w:rPr>
              <w:t>Sharlene</w:t>
            </w:r>
            <w:proofErr w:type="spellEnd"/>
            <w:r w:rsidRPr="00CD36A1">
              <w:rPr>
                <w:sz w:val="20"/>
                <w:szCs w:val="20"/>
                <w:lang w:val="en-US"/>
              </w:rPr>
              <w:t xml:space="preserve"> </w:t>
            </w:r>
            <w:proofErr w:type="spellStart"/>
            <w:r w:rsidRPr="00CD36A1">
              <w:rPr>
                <w:sz w:val="20"/>
                <w:szCs w:val="20"/>
                <w:lang w:val="en-US"/>
              </w:rPr>
              <w:t>Telles</w:t>
            </w:r>
            <w:proofErr w:type="spellEnd"/>
            <w:r w:rsidRPr="00CD36A1">
              <w:rPr>
                <w:sz w:val="20"/>
                <w:szCs w:val="20"/>
                <w:lang w:val="en-US"/>
              </w:rPr>
              <w:t>-Langdon</w:t>
            </w:r>
            <w:r w:rsidR="00CD36A1" w:rsidRPr="00CD36A1">
              <w:rPr>
                <w:sz w:val="20"/>
                <w:szCs w:val="20"/>
                <w:lang w:val="en-US"/>
              </w:rPr>
              <w:t xml:space="preserve"> and</w:t>
            </w:r>
            <w:r w:rsidRPr="00CD36A1">
              <w:rPr>
                <w:sz w:val="20"/>
                <w:szCs w:val="20"/>
                <w:lang w:val="en-US"/>
              </w:rPr>
              <w:t xml:space="preserve"> </w:t>
            </w:r>
            <w:r w:rsidRPr="00062C2A">
              <w:rPr>
                <w:sz w:val="20"/>
                <w:szCs w:val="20"/>
              </w:rPr>
              <w:t>Mitchell Taylor, Q.C.</w:t>
            </w:r>
            <w:r>
              <w:t xml:space="preserve"> </w:t>
            </w:r>
            <w:r w:rsidR="00CD36A1">
              <w:t>f</w:t>
            </w:r>
            <w:r w:rsidRPr="00062C2A">
              <w:rPr>
                <w:sz w:val="20"/>
                <w:szCs w:val="20"/>
              </w:rPr>
              <w:t xml:space="preserve">or the </w:t>
            </w:r>
            <w:r w:rsidR="00CD36A1">
              <w:rPr>
                <w:sz w:val="20"/>
                <w:szCs w:val="20"/>
              </w:rPr>
              <w:t>r</w:t>
            </w:r>
            <w:r w:rsidRPr="00062C2A">
              <w:rPr>
                <w:sz w:val="20"/>
                <w:szCs w:val="20"/>
              </w:rPr>
              <w:t>espondent</w:t>
            </w:r>
            <w:r w:rsidR="00CD36A1">
              <w:rPr>
                <w:sz w:val="20"/>
                <w:szCs w:val="20"/>
              </w:rPr>
              <w:t xml:space="preserve"> </w:t>
            </w:r>
            <w:r w:rsidRPr="00062C2A">
              <w:rPr>
                <w:sz w:val="20"/>
                <w:szCs w:val="20"/>
              </w:rPr>
              <w:t>Attorney General of Canada</w:t>
            </w:r>
            <w:r w:rsidR="00CD36A1">
              <w:rPr>
                <w:sz w:val="20"/>
                <w:szCs w:val="20"/>
              </w:rPr>
              <w:t>.</w:t>
            </w:r>
          </w:p>
          <w:p w:rsidR="00062C2A" w:rsidRPr="00062C2A" w:rsidRDefault="00062C2A" w:rsidP="00062C2A">
            <w:pPr>
              <w:widowControl w:val="0"/>
              <w:jc w:val="both"/>
              <w:rPr>
                <w:sz w:val="20"/>
                <w:szCs w:val="20"/>
              </w:rPr>
            </w:pPr>
          </w:p>
          <w:p w:rsidR="00062C2A" w:rsidRDefault="00062C2A" w:rsidP="00062C2A">
            <w:pPr>
              <w:widowControl w:val="0"/>
              <w:jc w:val="both"/>
              <w:rPr>
                <w:sz w:val="20"/>
                <w:szCs w:val="20"/>
              </w:rPr>
            </w:pPr>
            <w:r w:rsidRPr="00062C2A">
              <w:rPr>
                <w:sz w:val="20"/>
                <w:szCs w:val="20"/>
              </w:rPr>
              <w:t xml:space="preserve">Heather </w:t>
            </w:r>
            <w:proofErr w:type="spellStart"/>
            <w:r w:rsidRPr="00062C2A">
              <w:rPr>
                <w:sz w:val="20"/>
                <w:szCs w:val="20"/>
              </w:rPr>
              <w:t>Leonoff</w:t>
            </w:r>
            <w:proofErr w:type="spellEnd"/>
            <w:r w:rsidRPr="00062C2A">
              <w:rPr>
                <w:sz w:val="20"/>
                <w:szCs w:val="20"/>
              </w:rPr>
              <w:t>, Q.C.</w:t>
            </w:r>
            <w:r w:rsidR="00CD36A1">
              <w:rPr>
                <w:sz w:val="20"/>
                <w:szCs w:val="20"/>
              </w:rPr>
              <w:t xml:space="preserve"> and </w:t>
            </w:r>
            <w:r w:rsidRPr="00062C2A">
              <w:rPr>
                <w:sz w:val="20"/>
                <w:szCs w:val="20"/>
              </w:rPr>
              <w:t>Michael Conner</w:t>
            </w:r>
            <w:r w:rsidR="00CD36A1">
              <w:rPr>
                <w:sz w:val="20"/>
                <w:szCs w:val="20"/>
              </w:rPr>
              <w:t xml:space="preserve"> f</w:t>
            </w:r>
            <w:r w:rsidRPr="00062C2A">
              <w:rPr>
                <w:sz w:val="20"/>
                <w:szCs w:val="20"/>
              </w:rPr>
              <w:t xml:space="preserve">or the </w:t>
            </w:r>
            <w:r w:rsidR="00CD36A1">
              <w:rPr>
                <w:sz w:val="20"/>
                <w:szCs w:val="20"/>
              </w:rPr>
              <w:t>r</w:t>
            </w:r>
            <w:r w:rsidRPr="00062C2A">
              <w:rPr>
                <w:sz w:val="20"/>
                <w:szCs w:val="20"/>
              </w:rPr>
              <w:t>espondent</w:t>
            </w:r>
            <w:r w:rsidR="00CD36A1">
              <w:rPr>
                <w:sz w:val="20"/>
                <w:szCs w:val="20"/>
              </w:rPr>
              <w:t xml:space="preserve"> </w:t>
            </w:r>
            <w:r w:rsidRPr="00062C2A">
              <w:rPr>
                <w:sz w:val="20"/>
                <w:szCs w:val="20"/>
              </w:rPr>
              <w:t>Attorney General of Manitoba</w:t>
            </w:r>
            <w:r w:rsidR="00CD36A1">
              <w:rPr>
                <w:sz w:val="20"/>
                <w:szCs w:val="20"/>
              </w:rPr>
              <w:t>.</w:t>
            </w:r>
          </w:p>
          <w:p w:rsidR="00CD36A1" w:rsidRDefault="00CD36A1" w:rsidP="00062C2A">
            <w:pPr>
              <w:widowControl w:val="0"/>
              <w:jc w:val="both"/>
              <w:rPr>
                <w:sz w:val="20"/>
                <w:szCs w:val="20"/>
              </w:rPr>
            </w:pPr>
          </w:p>
          <w:p w:rsidR="00CD36A1" w:rsidRDefault="00CD36A1" w:rsidP="00CD36A1">
            <w:pPr>
              <w:widowControl w:val="0"/>
              <w:jc w:val="both"/>
              <w:rPr>
                <w:sz w:val="20"/>
                <w:szCs w:val="20"/>
              </w:rPr>
            </w:pPr>
            <w:r w:rsidRPr="00CD36A1">
              <w:rPr>
                <w:sz w:val="20"/>
                <w:szCs w:val="20"/>
              </w:rPr>
              <w:t xml:space="preserve">Jean </w:t>
            </w:r>
            <w:proofErr w:type="spellStart"/>
            <w:r w:rsidRPr="00CD36A1">
              <w:rPr>
                <w:sz w:val="20"/>
                <w:szCs w:val="20"/>
              </w:rPr>
              <w:t>Teillet</w:t>
            </w:r>
            <w:proofErr w:type="spellEnd"/>
            <w:r>
              <w:rPr>
                <w:sz w:val="20"/>
                <w:szCs w:val="20"/>
              </w:rPr>
              <w:t xml:space="preserve"> and </w:t>
            </w:r>
            <w:r w:rsidRPr="00CD36A1">
              <w:rPr>
                <w:sz w:val="20"/>
                <w:szCs w:val="20"/>
              </w:rPr>
              <w:t xml:space="preserve">Arthur </w:t>
            </w:r>
            <w:proofErr w:type="spellStart"/>
            <w:r w:rsidRPr="00CD36A1">
              <w:rPr>
                <w:sz w:val="20"/>
                <w:szCs w:val="20"/>
              </w:rPr>
              <w:t>Pape</w:t>
            </w:r>
            <w:proofErr w:type="spellEnd"/>
            <w:r>
              <w:rPr>
                <w:sz w:val="20"/>
                <w:szCs w:val="20"/>
              </w:rPr>
              <w:t xml:space="preserve"> f</w:t>
            </w:r>
            <w:r w:rsidRPr="00CD36A1">
              <w:rPr>
                <w:sz w:val="20"/>
                <w:szCs w:val="20"/>
              </w:rPr>
              <w:t xml:space="preserve">or the </w:t>
            </w:r>
            <w:r w:rsidR="006C2D13">
              <w:rPr>
                <w:sz w:val="20"/>
                <w:szCs w:val="20"/>
              </w:rPr>
              <w:t>i</w:t>
            </w:r>
            <w:r w:rsidR="006C2D13" w:rsidRPr="00CD36A1">
              <w:rPr>
                <w:sz w:val="20"/>
                <w:szCs w:val="20"/>
              </w:rPr>
              <w:t>ntervener</w:t>
            </w:r>
            <w:r w:rsidR="006C2D13">
              <w:rPr>
                <w:sz w:val="20"/>
                <w:szCs w:val="20"/>
              </w:rPr>
              <w:t xml:space="preserve"> </w:t>
            </w:r>
            <w:r w:rsidRPr="00CD36A1">
              <w:rPr>
                <w:sz w:val="20"/>
                <w:szCs w:val="20"/>
              </w:rPr>
              <w:t>Métis Nation of Ontario</w:t>
            </w:r>
            <w:r>
              <w:rPr>
                <w:sz w:val="20"/>
                <w:szCs w:val="20"/>
              </w:rPr>
              <w:t>.</w:t>
            </w:r>
          </w:p>
          <w:p w:rsidR="00CD36A1" w:rsidRPr="00CD36A1" w:rsidRDefault="00CD36A1" w:rsidP="00CD36A1">
            <w:pPr>
              <w:widowControl w:val="0"/>
              <w:jc w:val="both"/>
              <w:rPr>
                <w:sz w:val="20"/>
                <w:szCs w:val="20"/>
              </w:rPr>
            </w:pPr>
          </w:p>
          <w:p w:rsidR="00CD36A1" w:rsidRDefault="00CD36A1" w:rsidP="00CD36A1">
            <w:pPr>
              <w:widowControl w:val="0"/>
              <w:jc w:val="both"/>
              <w:rPr>
                <w:sz w:val="20"/>
                <w:szCs w:val="20"/>
              </w:rPr>
            </w:pPr>
            <w:r>
              <w:rPr>
                <w:sz w:val="20"/>
                <w:szCs w:val="20"/>
              </w:rPr>
              <w:t>Jason Taylor Madden f</w:t>
            </w:r>
            <w:r w:rsidRPr="00CD36A1">
              <w:rPr>
                <w:sz w:val="20"/>
                <w:szCs w:val="20"/>
              </w:rPr>
              <w:t xml:space="preserve">or the </w:t>
            </w:r>
            <w:r w:rsidR="006C2D13">
              <w:rPr>
                <w:sz w:val="20"/>
                <w:szCs w:val="20"/>
              </w:rPr>
              <w:t>i</w:t>
            </w:r>
            <w:r w:rsidR="006C2D13" w:rsidRPr="00CD36A1">
              <w:rPr>
                <w:sz w:val="20"/>
                <w:szCs w:val="20"/>
              </w:rPr>
              <w:t>ntervener</w:t>
            </w:r>
            <w:r w:rsidR="006C2D13">
              <w:rPr>
                <w:sz w:val="20"/>
                <w:szCs w:val="20"/>
              </w:rPr>
              <w:t xml:space="preserve"> </w:t>
            </w:r>
            <w:r w:rsidRPr="00CD36A1">
              <w:rPr>
                <w:sz w:val="20"/>
                <w:szCs w:val="20"/>
              </w:rPr>
              <w:t>Métis Nation of Alberta</w:t>
            </w:r>
            <w:r>
              <w:rPr>
                <w:sz w:val="20"/>
                <w:szCs w:val="20"/>
              </w:rPr>
              <w:t>.</w:t>
            </w:r>
          </w:p>
          <w:p w:rsidR="00CD36A1" w:rsidRPr="00CD36A1" w:rsidRDefault="00CD36A1" w:rsidP="00CD36A1">
            <w:pPr>
              <w:widowControl w:val="0"/>
              <w:jc w:val="both"/>
              <w:rPr>
                <w:sz w:val="20"/>
                <w:szCs w:val="20"/>
              </w:rPr>
            </w:pPr>
          </w:p>
          <w:p w:rsidR="00CD36A1" w:rsidRPr="00062C2A" w:rsidRDefault="00CD36A1" w:rsidP="00CD36A1">
            <w:pPr>
              <w:widowControl w:val="0"/>
              <w:jc w:val="both"/>
              <w:rPr>
                <w:sz w:val="20"/>
                <w:szCs w:val="20"/>
              </w:rPr>
            </w:pPr>
            <w:r w:rsidRPr="00CD36A1">
              <w:rPr>
                <w:sz w:val="20"/>
                <w:szCs w:val="20"/>
              </w:rPr>
              <w:t xml:space="preserve">P. Mitch </w:t>
            </w:r>
            <w:proofErr w:type="spellStart"/>
            <w:r w:rsidRPr="00CD36A1">
              <w:rPr>
                <w:sz w:val="20"/>
                <w:szCs w:val="20"/>
              </w:rPr>
              <w:t>McAdam</w:t>
            </w:r>
            <w:proofErr w:type="spellEnd"/>
            <w:r w:rsidR="006C2D13">
              <w:rPr>
                <w:sz w:val="20"/>
                <w:szCs w:val="20"/>
              </w:rPr>
              <w:t xml:space="preserve"> f</w:t>
            </w:r>
            <w:r w:rsidRPr="00CD36A1">
              <w:rPr>
                <w:sz w:val="20"/>
                <w:szCs w:val="20"/>
              </w:rPr>
              <w:t xml:space="preserve">or the </w:t>
            </w:r>
            <w:r w:rsidR="006C2D13">
              <w:rPr>
                <w:sz w:val="20"/>
                <w:szCs w:val="20"/>
              </w:rPr>
              <w:t>i</w:t>
            </w:r>
            <w:r w:rsidRPr="00CD36A1">
              <w:rPr>
                <w:sz w:val="20"/>
                <w:szCs w:val="20"/>
              </w:rPr>
              <w:t>ntervener</w:t>
            </w:r>
            <w:r w:rsidR="006C2D13">
              <w:rPr>
                <w:sz w:val="20"/>
                <w:szCs w:val="20"/>
              </w:rPr>
              <w:t xml:space="preserve"> </w:t>
            </w:r>
            <w:r w:rsidRPr="00CD36A1">
              <w:rPr>
                <w:sz w:val="20"/>
                <w:szCs w:val="20"/>
              </w:rPr>
              <w:t>Attorney General of Saskatchewan</w:t>
            </w:r>
            <w:r w:rsidR="006C2D13">
              <w:rPr>
                <w:sz w:val="20"/>
                <w:szCs w:val="20"/>
              </w:rPr>
              <w:t>.</w:t>
            </w:r>
          </w:p>
          <w:p w:rsidR="00062C2A" w:rsidRPr="00062C2A" w:rsidRDefault="00062C2A" w:rsidP="00CC2C3E">
            <w:pPr>
              <w:widowControl w:val="0"/>
              <w:jc w:val="both"/>
              <w:rPr>
                <w:sz w:val="20"/>
                <w:szCs w:val="20"/>
              </w:rPr>
            </w:pPr>
          </w:p>
          <w:p w:rsidR="00A55552" w:rsidRDefault="006C2D13" w:rsidP="00A55552">
            <w:pPr>
              <w:widowControl w:val="0"/>
              <w:jc w:val="both"/>
              <w:rPr>
                <w:sz w:val="20"/>
                <w:szCs w:val="20"/>
              </w:rPr>
            </w:pPr>
            <w:r>
              <w:rPr>
                <w:sz w:val="20"/>
                <w:szCs w:val="20"/>
              </w:rPr>
              <w:t>Written submission only by</w:t>
            </w:r>
            <w:r w:rsidR="00A55552">
              <w:rPr>
                <w:sz w:val="20"/>
                <w:szCs w:val="20"/>
              </w:rPr>
              <w:t xml:space="preserve"> </w:t>
            </w:r>
            <w:r w:rsidR="00A55552" w:rsidRPr="00A55552">
              <w:rPr>
                <w:sz w:val="20"/>
                <w:szCs w:val="20"/>
              </w:rPr>
              <w:t xml:space="preserve">Clement </w:t>
            </w:r>
            <w:proofErr w:type="spellStart"/>
            <w:r w:rsidR="00A55552" w:rsidRPr="00A55552">
              <w:rPr>
                <w:sz w:val="20"/>
                <w:szCs w:val="20"/>
              </w:rPr>
              <w:t>Chartier</w:t>
            </w:r>
            <w:proofErr w:type="spellEnd"/>
            <w:r w:rsidR="00A55552" w:rsidRPr="00A55552">
              <w:rPr>
                <w:sz w:val="20"/>
                <w:szCs w:val="20"/>
              </w:rPr>
              <w:t>, Q.C.</w:t>
            </w:r>
            <w:r w:rsidR="00A55552">
              <w:rPr>
                <w:sz w:val="20"/>
                <w:szCs w:val="20"/>
              </w:rPr>
              <w:t xml:space="preserve"> and </w:t>
            </w:r>
            <w:r w:rsidR="00A55552" w:rsidRPr="00A55552">
              <w:rPr>
                <w:sz w:val="20"/>
                <w:szCs w:val="20"/>
              </w:rPr>
              <w:t xml:space="preserve">Marc </w:t>
            </w:r>
            <w:proofErr w:type="spellStart"/>
            <w:r w:rsidR="00A55552" w:rsidRPr="00A55552">
              <w:rPr>
                <w:sz w:val="20"/>
                <w:szCs w:val="20"/>
              </w:rPr>
              <w:t>Leclair</w:t>
            </w:r>
            <w:proofErr w:type="spellEnd"/>
            <w:r w:rsidR="00A55552">
              <w:rPr>
                <w:sz w:val="20"/>
                <w:szCs w:val="20"/>
              </w:rPr>
              <w:t xml:space="preserve"> f</w:t>
            </w:r>
            <w:r w:rsidR="00A55552" w:rsidRPr="00A55552">
              <w:rPr>
                <w:sz w:val="20"/>
                <w:szCs w:val="20"/>
              </w:rPr>
              <w:t xml:space="preserve">or the </w:t>
            </w:r>
            <w:r w:rsidR="0090140A">
              <w:rPr>
                <w:sz w:val="20"/>
                <w:szCs w:val="20"/>
              </w:rPr>
              <w:t>i</w:t>
            </w:r>
            <w:r w:rsidR="00A55552" w:rsidRPr="00A55552">
              <w:rPr>
                <w:sz w:val="20"/>
                <w:szCs w:val="20"/>
              </w:rPr>
              <w:t>ntervener</w:t>
            </w:r>
            <w:r w:rsidR="00A55552">
              <w:rPr>
                <w:sz w:val="20"/>
                <w:szCs w:val="20"/>
              </w:rPr>
              <w:t xml:space="preserve"> </w:t>
            </w:r>
            <w:r w:rsidR="00A55552" w:rsidRPr="00A55552">
              <w:rPr>
                <w:sz w:val="20"/>
                <w:szCs w:val="20"/>
              </w:rPr>
              <w:t>Métis National Council</w:t>
            </w:r>
            <w:r w:rsidR="00A55552">
              <w:rPr>
                <w:sz w:val="20"/>
                <w:szCs w:val="20"/>
              </w:rPr>
              <w:t>.</w:t>
            </w:r>
          </w:p>
          <w:p w:rsidR="00A55552" w:rsidRPr="00A55552" w:rsidRDefault="00A55552" w:rsidP="00A55552">
            <w:pPr>
              <w:widowControl w:val="0"/>
              <w:jc w:val="both"/>
              <w:rPr>
                <w:sz w:val="20"/>
                <w:szCs w:val="20"/>
              </w:rPr>
            </w:pPr>
          </w:p>
          <w:p w:rsidR="00A55552" w:rsidRPr="00A55552" w:rsidRDefault="00A55552" w:rsidP="00A55552">
            <w:pPr>
              <w:widowControl w:val="0"/>
              <w:jc w:val="both"/>
              <w:rPr>
                <w:sz w:val="20"/>
                <w:szCs w:val="20"/>
              </w:rPr>
            </w:pPr>
            <w:r>
              <w:rPr>
                <w:sz w:val="20"/>
                <w:szCs w:val="20"/>
              </w:rPr>
              <w:t xml:space="preserve">Written submission only by </w:t>
            </w:r>
            <w:r w:rsidRPr="00A55552">
              <w:rPr>
                <w:sz w:val="20"/>
                <w:szCs w:val="20"/>
              </w:rPr>
              <w:t xml:space="preserve">Jeffrey R. W. </w:t>
            </w:r>
            <w:proofErr w:type="spellStart"/>
            <w:r w:rsidRPr="00A55552">
              <w:rPr>
                <w:sz w:val="20"/>
                <w:szCs w:val="20"/>
              </w:rPr>
              <w:t>Rath</w:t>
            </w:r>
            <w:proofErr w:type="spellEnd"/>
            <w:r>
              <w:rPr>
                <w:sz w:val="20"/>
                <w:szCs w:val="20"/>
              </w:rPr>
              <w:t xml:space="preserve"> f</w:t>
            </w:r>
            <w:r w:rsidRPr="00A55552">
              <w:rPr>
                <w:sz w:val="20"/>
                <w:szCs w:val="20"/>
              </w:rPr>
              <w:t xml:space="preserve">or the </w:t>
            </w:r>
            <w:r>
              <w:rPr>
                <w:sz w:val="20"/>
                <w:szCs w:val="20"/>
              </w:rPr>
              <w:lastRenderedPageBreak/>
              <w:t>i</w:t>
            </w:r>
            <w:r w:rsidRPr="00A55552">
              <w:rPr>
                <w:sz w:val="20"/>
                <w:szCs w:val="20"/>
              </w:rPr>
              <w:t>ntervener</w:t>
            </w:r>
            <w:r>
              <w:rPr>
                <w:sz w:val="20"/>
                <w:szCs w:val="20"/>
              </w:rPr>
              <w:t xml:space="preserve"> </w:t>
            </w:r>
            <w:r w:rsidRPr="00A55552">
              <w:rPr>
                <w:sz w:val="20"/>
                <w:szCs w:val="20"/>
              </w:rPr>
              <w:t>Treaty One First Nation</w:t>
            </w:r>
            <w:r>
              <w:rPr>
                <w:sz w:val="20"/>
                <w:szCs w:val="20"/>
              </w:rPr>
              <w:t>.</w:t>
            </w:r>
          </w:p>
          <w:p w:rsidR="00A55552" w:rsidRPr="00A55552" w:rsidRDefault="00A55552" w:rsidP="00A55552">
            <w:pPr>
              <w:widowControl w:val="0"/>
              <w:jc w:val="both"/>
              <w:rPr>
                <w:sz w:val="20"/>
                <w:szCs w:val="20"/>
              </w:rPr>
            </w:pPr>
          </w:p>
          <w:p w:rsidR="00A55552" w:rsidRDefault="00A55552" w:rsidP="00A55552">
            <w:pPr>
              <w:widowControl w:val="0"/>
              <w:jc w:val="both"/>
              <w:rPr>
                <w:sz w:val="20"/>
                <w:szCs w:val="20"/>
              </w:rPr>
            </w:pPr>
            <w:r>
              <w:rPr>
                <w:sz w:val="20"/>
                <w:szCs w:val="20"/>
              </w:rPr>
              <w:t>Written submission only f</w:t>
            </w:r>
            <w:r w:rsidRPr="00A55552">
              <w:rPr>
                <w:sz w:val="20"/>
                <w:szCs w:val="20"/>
              </w:rPr>
              <w:t xml:space="preserve">or the </w:t>
            </w:r>
            <w:r w:rsidR="0090140A">
              <w:rPr>
                <w:sz w:val="20"/>
                <w:szCs w:val="20"/>
              </w:rPr>
              <w:t>i</w:t>
            </w:r>
            <w:r w:rsidRPr="00A55552">
              <w:rPr>
                <w:sz w:val="20"/>
                <w:szCs w:val="20"/>
              </w:rPr>
              <w:t>ntervener</w:t>
            </w:r>
            <w:r w:rsidR="0090140A">
              <w:rPr>
                <w:sz w:val="20"/>
                <w:szCs w:val="20"/>
              </w:rPr>
              <w:t xml:space="preserve"> </w:t>
            </w:r>
            <w:r w:rsidRPr="00A55552">
              <w:rPr>
                <w:sz w:val="20"/>
                <w:szCs w:val="20"/>
              </w:rPr>
              <w:t>Assembly of First Nations</w:t>
            </w:r>
            <w:r>
              <w:rPr>
                <w:sz w:val="20"/>
                <w:szCs w:val="20"/>
              </w:rPr>
              <w:t>.</w:t>
            </w:r>
          </w:p>
          <w:p w:rsidR="00A55552" w:rsidRPr="00A55552" w:rsidRDefault="00A55552" w:rsidP="00A55552">
            <w:pPr>
              <w:widowControl w:val="0"/>
              <w:jc w:val="both"/>
              <w:rPr>
                <w:sz w:val="20"/>
                <w:szCs w:val="20"/>
              </w:rPr>
            </w:pPr>
          </w:p>
          <w:p w:rsidR="00E461BB" w:rsidRPr="00C50A5C" w:rsidRDefault="00A55552" w:rsidP="0090140A">
            <w:pPr>
              <w:widowControl w:val="0"/>
              <w:jc w:val="both"/>
              <w:rPr>
                <w:sz w:val="20"/>
                <w:szCs w:val="20"/>
              </w:rPr>
            </w:pPr>
            <w:r>
              <w:rPr>
                <w:sz w:val="20"/>
                <w:szCs w:val="20"/>
              </w:rPr>
              <w:t>Written submission only f</w:t>
            </w:r>
            <w:r w:rsidRPr="00A55552">
              <w:rPr>
                <w:sz w:val="20"/>
                <w:szCs w:val="20"/>
              </w:rPr>
              <w:t xml:space="preserve">or the </w:t>
            </w:r>
            <w:r>
              <w:rPr>
                <w:sz w:val="20"/>
                <w:szCs w:val="20"/>
              </w:rPr>
              <w:t>i</w:t>
            </w:r>
            <w:r w:rsidRPr="00A55552">
              <w:rPr>
                <w:sz w:val="20"/>
                <w:szCs w:val="20"/>
              </w:rPr>
              <w:t>ntervene</w:t>
            </w:r>
            <w:r w:rsidR="0090140A">
              <w:rPr>
                <w:sz w:val="20"/>
                <w:szCs w:val="20"/>
              </w:rPr>
              <w:t xml:space="preserve">r </w:t>
            </w:r>
            <w:r w:rsidRPr="00A55552">
              <w:rPr>
                <w:sz w:val="20"/>
                <w:szCs w:val="20"/>
              </w:rPr>
              <w:t>Attorney General of Alberta</w:t>
            </w:r>
            <w:r>
              <w:rPr>
                <w:sz w:val="20"/>
                <w:szCs w:val="20"/>
              </w:rPr>
              <w:t>.</w:t>
            </w:r>
          </w:p>
        </w:tc>
      </w:tr>
    </w:tbl>
    <w:p w:rsidR="00E461BB" w:rsidRPr="00BD6B5E" w:rsidRDefault="00E461BB" w:rsidP="00E461BB">
      <w:pPr>
        <w:widowControl w:val="0"/>
      </w:pPr>
    </w:p>
    <w:p w:rsidR="00E461BB" w:rsidRPr="00BD6B5E" w:rsidRDefault="00E461BB" w:rsidP="00E461BB">
      <w:pPr>
        <w:widowControl w:val="0"/>
        <w:rPr>
          <w:sz w:val="20"/>
          <w:szCs w:val="20"/>
        </w:rPr>
      </w:pPr>
      <w:r w:rsidRPr="00BD6B5E">
        <w:rPr>
          <w:b/>
          <w:sz w:val="20"/>
          <w:szCs w:val="20"/>
        </w:rPr>
        <w:t xml:space="preserve">RESERVED / </w:t>
      </w:r>
      <w:r w:rsidRPr="00BD6B5E">
        <w:rPr>
          <w:b/>
          <w:sz w:val="20"/>
          <w:szCs w:val="20"/>
          <w:lang w:val="fr-CA"/>
        </w:rPr>
        <w:t>EN DÉLIBÉRÉ</w:t>
      </w:r>
    </w:p>
    <w:p w:rsidR="00E461BB" w:rsidRPr="00BD6B5E"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C1697B" w:rsidRDefault="00E461BB" w:rsidP="00CC2C3E">
            <w:pPr>
              <w:widowControl w:val="0"/>
              <w:jc w:val="both"/>
              <w:rPr>
                <w:b/>
                <w:sz w:val="20"/>
                <w:szCs w:val="20"/>
              </w:rPr>
            </w:pPr>
          </w:p>
          <w:p w:rsidR="00E461BB" w:rsidRDefault="00E461BB" w:rsidP="00CC2C3E">
            <w:pPr>
              <w:widowControl w:val="0"/>
              <w:jc w:val="both"/>
              <w:rPr>
                <w:rFonts w:eastAsia="Calibri" w:cs="Times New Roman"/>
                <w:sz w:val="20"/>
                <w:szCs w:val="20"/>
              </w:rPr>
            </w:pPr>
            <w:r w:rsidRPr="00002060">
              <w:rPr>
                <w:rFonts w:eastAsia="Calibri" w:cs="Times New Roman"/>
                <w:sz w:val="20"/>
                <w:szCs w:val="20"/>
              </w:rPr>
              <w:t xml:space="preserve">Aboriginal law </w:t>
            </w:r>
            <w:r w:rsidRPr="00002060">
              <w:rPr>
                <w:rFonts w:eastAsia="Calibri" w:cs="Times New Roman"/>
                <w:sz w:val="20"/>
                <w:szCs w:val="20"/>
              </w:rPr>
              <w:noBreakHyphen/>
              <w:t xml:space="preserve"> Fiduciary duty </w:t>
            </w:r>
            <w:r w:rsidRPr="00002060">
              <w:rPr>
                <w:rFonts w:eastAsia="Calibri" w:cs="Times New Roman"/>
                <w:sz w:val="20"/>
                <w:szCs w:val="20"/>
              </w:rPr>
              <w:noBreakHyphen/>
              <w:t xml:space="preserve"> Métis </w:t>
            </w:r>
            <w:r w:rsidRPr="00002060">
              <w:rPr>
                <w:rFonts w:eastAsia="Calibri" w:cs="Times New Roman"/>
                <w:sz w:val="20"/>
                <w:szCs w:val="20"/>
              </w:rPr>
              <w:noBreakHyphen/>
              <w:t xml:space="preserve"> Claim for declaratory relief </w:t>
            </w:r>
            <w:r w:rsidRPr="00002060">
              <w:rPr>
                <w:rFonts w:eastAsia="Calibri" w:cs="Times New Roman"/>
                <w:sz w:val="20"/>
                <w:szCs w:val="20"/>
              </w:rPr>
              <w:noBreakHyphen/>
              <w:t xml:space="preserve"> Whether action properly dismissed on grounds of </w:t>
            </w:r>
            <w:proofErr w:type="spellStart"/>
            <w:r w:rsidRPr="00002060">
              <w:rPr>
                <w:rFonts w:eastAsia="Calibri" w:cs="Times New Roman"/>
                <w:sz w:val="20"/>
                <w:szCs w:val="20"/>
              </w:rPr>
              <w:t>mootness</w:t>
            </w:r>
            <w:proofErr w:type="spellEnd"/>
            <w:r w:rsidRPr="00002060">
              <w:rPr>
                <w:rFonts w:eastAsia="Calibri" w:cs="Times New Roman"/>
                <w:sz w:val="20"/>
                <w:szCs w:val="20"/>
              </w:rPr>
              <w:t xml:space="preserve"> and limitations </w:t>
            </w:r>
            <w:r w:rsidRPr="00002060">
              <w:rPr>
                <w:rFonts w:eastAsia="Calibri" w:cs="Times New Roman"/>
                <w:sz w:val="20"/>
                <w:szCs w:val="20"/>
              </w:rPr>
              <w:noBreakHyphen/>
              <w:t xml:space="preserve"> Whether there was a breach of fiduciary obligation during implementation of the grants provided for in ss. 31 and 32 of the </w:t>
            </w:r>
            <w:r w:rsidRPr="00002060">
              <w:rPr>
                <w:rFonts w:eastAsia="Calibri" w:cs="Times New Roman"/>
                <w:i/>
                <w:sz w:val="20"/>
                <w:szCs w:val="20"/>
              </w:rPr>
              <w:t>Manitoba Act,</w:t>
            </w:r>
            <w:r w:rsidRPr="00002060">
              <w:rPr>
                <w:rFonts w:eastAsia="Calibri" w:cs="Times New Roman"/>
                <w:sz w:val="20"/>
                <w:szCs w:val="20"/>
              </w:rPr>
              <w:t xml:space="preserve"> 1870, 33 </w:t>
            </w:r>
            <w:proofErr w:type="spellStart"/>
            <w:r w:rsidRPr="00002060">
              <w:rPr>
                <w:rFonts w:eastAsia="Calibri" w:cs="Times New Roman"/>
                <w:sz w:val="20"/>
                <w:szCs w:val="20"/>
              </w:rPr>
              <w:t>Vict</w:t>
            </w:r>
            <w:proofErr w:type="spellEnd"/>
            <w:r w:rsidRPr="00002060">
              <w:rPr>
                <w:rFonts w:eastAsia="Calibri" w:cs="Times New Roman"/>
                <w:sz w:val="20"/>
                <w:szCs w:val="20"/>
              </w:rPr>
              <w:t xml:space="preserve">., c. 3 </w:t>
            </w:r>
            <w:r w:rsidRPr="00002060">
              <w:rPr>
                <w:rFonts w:eastAsia="Calibri" w:cs="Times New Roman"/>
                <w:sz w:val="20"/>
                <w:szCs w:val="20"/>
              </w:rPr>
              <w:noBreakHyphen/>
              <w:t xml:space="preserve"> Whether  series of enactments by the Manitoba legislature were constitutional.</w:t>
            </w:r>
          </w:p>
          <w:p w:rsidR="00E461BB" w:rsidRPr="00AC2EFF" w:rsidRDefault="00E461BB" w:rsidP="00CC2C3E">
            <w:pPr>
              <w:widowControl w:val="0"/>
              <w:jc w:val="both"/>
              <w:rPr>
                <w:rFonts w:eastAsia="Calibri" w:cs="Times New Roman"/>
                <w:sz w:val="20"/>
                <w:szCs w:val="20"/>
              </w:rPr>
            </w:pPr>
          </w:p>
        </w:tc>
        <w:tc>
          <w:tcPr>
            <w:tcW w:w="720" w:type="dxa"/>
            <w:tcMar>
              <w:left w:w="0" w:type="dxa"/>
              <w:right w:w="0" w:type="dxa"/>
            </w:tcMar>
          </w:tcPr>
          <w:p w:rsidR="00E461BB" w:rsidRPr="00C1697B" w:rsidRDefault="00E461BB" w:rsidP="00CC2C3E">
            <w:pPr>
              <w:widowControl w:val="0"/>
              <w:jc w:val="center"/>
              <w:rPr>
                <w:sz w:val="20"/>
                <w:szCs w:val="20"/>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C1697B" w:rsidRDefault="00E461BB" w:rsidP="000E033A">
            <w:pPr>
              <w:jc w:val="both"/>
              <w:rPr>
                <w:sz w:val="20"/>
                <w:szCs w:val="20"/>
                <w:lang w:val="fr-CA"/>
              </w:rPr>
            </w:pPr>
            <w:r w:rsidRPr="00002060">
              <w:rPr>
                <w:rFonts w:eastAsia="Calibri" w:cs="Times New Roman"/>
                <w:sz w:val="20"/>
                <w:szCs w:val="20"/>
                <w:lang w:val="fr-CA"/>
              </w:rPr>
              <w:t xml:space="preserve">Droit des autochtones </w:t>
            </w:r>
            <w:r w:rsidRPr="00002060">
              <w:rPr>
                <w:rFonts w:eastAsia="Calibri" w:cs="Times New Roman"/>
                <w:sz w:val="20"/>
                <w:szCs w:val="20"/>
                <w:lang w:val="fr-CA"/>
              </w:rPr>
              <w:noBreakHyphen/>
              <w:t xml:space="preserve"> Obligation fiduciaire </w:t>
            </w:r>
            <w:r w:rsidRPr="00002060">
              <w:rPr>
                <w:rFonts w:eastAsia="Calibri" w:cs="Times New Roman"/>
                <w:sz w:val="20"/>
                <w:szCs w:val="20"/>
                <w:lang w:val="fr-CA"/>
              </w:rPr>
              <w:noBreakHyphen/>
              <w:t xml:space="preserve"> Métis </w:t>
            </w:r>
            <w:r w:rsidRPr="00002060">
              <w:rPr>
                <w:rFonts w:eastAsia="Calibri" w:cs="Times New Roman"/>
                <w:sz w:val="20"/>
                <w:szCs w:val="20"/>
                <w:lang w:val="fr-CA"/>
              </w:rPr>
              <w:noBreakHyphen/>
              <w:t xml:space="preserve"> Demande de jugement déclaratoire </w:t>
            </w:r>
            <w:r w:rsidRPr="00002060">
              <w:rPr>
                <w:rFonts w:eastAsia="Calibri" w:cs="Times New Roman"/>
                <w:sz w:val="20"/>
                <w:szCs w:val="20"/>
                <w:lang w:val="fr-CA"/>
              </w:rPr>
              <w:noBreakHyphen/>
              <w:t xml:space="preserve"> </w:t>
            </w:r>
            <w:proofErr w:type="spellStart"/>
            <w:r w:rsidRPr="00002060">
              <w:rPr>
                <w:rFonts w:eastAsia="Calibri" w:cs="Times New Roman"/>
                <w:sz w:val="20"/>
                <w:szCs w:val="20"/>
                <w:lang w:val="fr-CA"/>
              </w:rPr>
              <w:t>Est</w:t>
            </w:r>
            <w:r w:rsidRPr="00002060">
              <w:rPr>
                <w:rFonts w:eastAsia="Calibri" w:cs="Times New Roman"/>
                <w:sz w:val="20"/>
                <w:szCs w:val="20"/>
                <w:lang w:val="fr-CA"/>
              </w:rPr>
              <w:noBreakHyphen/>
              <w:t>ce</w:t>
            </w:r>
            <w:proofErr w:type="spellEnd"/>
            <w:r w:rsidRPr="00002060">
              <w:rPr>
                <w:rFonts w:eastAsia="Calibri" w:cs="Times New Roman"/>
                <w:sz w:val="20"/>
                <w:szCs w:val="20"/>
                <w:lang w:val="fr-CA"/>
              </w:rPr>
              <w:t xml:space="preserve"> à bon droit que l’action a été rejetée en raison de son caractère théorique et de la prescription? </w:t>
            </w:r>
            <w:r w:rsidRPr="00002060">
              <w:rPr>
                <w:rFonts w:eastAsia="Calibri" w:cs="Times New Roman"/>
                <w:sz w:val="20"/>
                <w:szCs w:val="20"/>
                <w:lang w:val="fr-CA"/>
              </w:rPr>
              <w:noBreakHyphen/>
              <w:t xml:space="preserve"> Y </w:t>
            </w:r>
            <w:proofErr w:type="spellStart"/>
            <w:r w:rsidRPr="00002060">
              <w:rPr>
                <w:rFonts w:eastAsia="Calibri" w:cs="Times New Roman"/>
                <w:sz w:val="20"/>
                <w:szCs w:val="20"/>
                <w:lang w:val="fr-CA"/>
              </w:rPr>
              <w:t>a</w:t>
            </w:r>
            <w:r w:rsidRPr="00002060">
              <w:rPr>
                <w:rFonts w:eastAsia="Calibri" w:cs="Times New Roman"/>
                <w:sz w:val="20"/>
                <w:szCs w:val="20"/>
                <w:lang w:val="fr-CA"/>
              </w:rPr>
              <w:noBreakHyphen/>
              <w:t>t</w:t>
            </w:r>
            <w:r w:rsidRPr="00002060">
              <w:rPr>
                <w:rFonts w:eastAsia="Calibri" w:cs="Times New Roman"/>
                <w:sz w:val="20"/>
                <w:szCs w:val="20"/>
                <w:lang w:val="fr-CA"/>
              </w:rPr>
              <w:noBreakHyphen/>
              <w:t>il</w:t>
            </w:r>
            <w:proofErr w:type="spellEnd"/>
            <w:r w:rsidRPr="00002060">
              <w:rPr>
                <w:rFonts w:eastAsia="Calibri" w:cs="Times New Roman"/>
                <w:sz w:val="20"/>
                <w:szCs w:val="20"/>
                <w:lang w:val="fr-CA"/>
              </w:rPr>
              <w:t xml:space="preserve"> eu manquement à l’obligation fiduciaire pendant la mise en œuvre des concessions prévues </w:t>
            </w:r>
            <w:proofErr w:type="gramStart"/>
            <w:r w:rsidRPr="00002060">
              <w:rPr>
                <w:rFonts w:eastAsia="Calibri" w:cs="Times New Roman"/>
                <w:sz w:val="20"/>
                <w:szCs w:val="20"/>
                <w:lang w:val="fr-CA"/>
              </w:rPr>
              <w:t>aux art</w:t>
            </w:r>
            <w:proofErr w:type="gramEnd"/>
            <w:r w:rsidRPr="00002060">
              <w:rPr>
                <w:rFonts w:eastAsia="Calibri" w:cs="Times New Roman"/>
                <w:sz w:val="20"/>
                <w:szCs w:val="20"/>
                <w:lang w:val="fr-CA"/>
              </w:rPr>
              <w:t xml:space="preserve">. 31 et 32 de la </w:t>
            </w:r>
            <w:r w:rsidRPr="00002060">
              <w:rPr>
                <w:rFonts w:eastAsia="Calibri" w:cs="Times New Roman"/>
                <w:i/>
                <w:iCs/>
                <w:sz w:val="20"/>
                <w:szCs w:val="20"/>
                <w:lang w:val="fr-CA"/>
              </w:rPr>
              <w:t>Loi de 1870 sur le Manitoba,</w:t>
            </w:r>
            <w:r w:rsidRPr="00002060">
              <w:rPr>
                <w:rFonts w:eastAsia="Calibri" w:cs="Times New Roman"/>
                <w:sz w:val="20"/>
                <w:szCs w:val="20"/>
                <w:lang w:val="fr-CA"/>
              </w:rPr>
              <w:t xml:space="preserve"> 33 </w:t>
            </w:r>
            <w:proofErr w:type="spellStart"/>
            <w:r w:rsidRPr="00002060">
              <w:rPr>
                <w:rFonts w:eastAsia="Calibri" w:cs="Times New Roman"/>
                <w:sz w:val="20"/>
                <w:szCs w:val="20"/>
                <w:lang w:val="fr-CA"/>
              </w:rPr>
              <w:t>Vict</w:t>
            </w:r>
            <w:proofErr w:type="spellEnd"/>
            <w:r w:rsidRPr="00002060">
              <w:rPr>
                <w:rFonts w:eastAsia="Calibri" w:cs="Times New Roman"/>
                <w:sz w:val="20"/>
                <w:szCs w:val="20"/>
                <w:lang w:val="fr-CA"/>
              </w:rPr>
              <w:t xml:space="preserve">., ch. 3? </w:t>
            </w:r>
            <w:r w:rsidRPr="00002060">
              <w:rPr>
                <w:rFonts w:eastAsia="Calibri" w:cs="Times New Roman"/>
                <w:sz w:val="20"/>
                <w:szCs w:val="20"/>
                <w:lang w:val="fr-CA"/>
              </w:rPr>
              <w:noBreakHyphen/>
              <w:t xml:space="preserve"> La série de promulgations par la législature du Manitoba </w:t>
            </w:r>
            <w:proofErr w:type="spellStart"/>
            <w:r w:rsidRPr="00002060">
              <w:rPr>
                <w:rFonts w:eastAsia="Calibri" w:cs="Times New Roman"/>
                <w:sz w:val="20"/>
                <w:szCs w:val="20"/>
                <w:lang w:val="fr-CA"/>
              </w:rPr>
              <w:t>était</w:t>
            </w:r>
            <w:r w:rsidRPr="00002060">
              <w:rPr>
                <w:rFonts w:eastAsia="Calibri" w:cs="Times New Roman"/>
                <w:sz w:val="20"/>
                <w:szCs w:val="20"/>
                <w:lang w:val="fr-CA"/>
              </w:rPr>
              <w:noBreakHyphen/>
              <w:t>elle</w:t>
            </w:r>
            <w:proofErr w:type="spellEnd"/>
            <w:r w:rsidRPr="00002060">
              <w:rPr>
                <w:rFonts w:eastAsia="Calibri" w:cs="Times New Roman"/>
                <w:sz w:val="20"/>
                <w:szCs w:val="20"/>
                <w:lang w:val="fr-CA"/>
              </w:rPr>
              <w:t xml:space="preserve"> constitutionnelle?</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lang w:val="fr-CA"/>
        </w:rPr>
      </w:pPr>
      <w:r w:rsidRPr="00DB7F13">
        <w:rPr>
          <w:sz w:val="20"/>
          <w:szCs w:val="20"/>
          <w:lang w:val="fr-CA"/>
        </w:rPr>
        <w:pict>
          <v:rect id="_x0000_i1068" style="width:2in;height:1pt" o:hrpct="0" o:hralign="center" o:hrstd="t" o:hrnoshade="t" o:hr="t" fillcolor="black [3213]" stroked="f"/>
        </w:pict>
      </w:r>
    </w:p>
    <w:p w:rsidR="00E461BB" w:rsidRDefault="00E461BB" w:rsidP="00E461BB">
      <w:pPr>
        <w:widowControl w:val="0"/>
        <w:rPr>
          <w:sz w:val="20"/>
          <w:szCs w:val="20"/>
        </w:rPr>
      </w:pPr>
    </w:p>
    <w:p w:rsidR="00E461BB" w:rsidRDefault="00E461BB" w:rsidP="00E461BB">
      <w:pPr>
        <w:widowControl w:val="0"/>
        <w:rPr>
          <w:sz w:val="20"/>
          <w:szCs w:val="20"/>
        </w:rPr>
      </w:pPr>
      <w:r>
        <w:rPr>
          <w:sz w:val="20"/>
          <w:szCs w:val="20"/>
        </w:rPr>
        <w:t>14.12.2011</w:t>
      </w:r>
    </w:p>
    <w:p w:rsidR="00E461BB" w:rsidRPr="00EF668D" w:rsidRDefault="00E461BB" w:rsidP="00E461BB">
      <w:pPr>
        <w:widowControl w:val="0"/>
        <w:rPr>
          <w:sz w:val="20"/>
          <w:szCs w:val="20"/>
        </w:rPr>
      </w:pPr>
    </w:p>
    <w:p w:rsidR="00E461BB" w:rsidRPr="00EF668D" w:rsidRDefault="00E461BB" w:rsidP="00E461BB">
      <w:pPr>
        <w:widowControl w:val="0"/>
        <w:rPr>
          <w:sz w:val="20"/>
          <w:szCs w:val="20"/>
        </w:rPr>
      </w:pPr>
      <w:r w:rsidRPr="00EF668D">
        <w:rPr>
          <w:sz w:val="20"/>
          <w:szCs w:val="20"/>
        </w:rPr>
        <w:t xml:space="preserve">Coram: </w:t>
      </w:r>
      <w:proofErr w:type="spellStart"/>
      <w:r w:rsidRPr="00EF668D">
        <w:rPr>
          <w:sz w:val="20"/>
          <w:szCs w:val="20"/>
          <w:u w:val="single"/>
          <w:lang w:val="en-US"/>
        </w:rPr>
        <w:t>McLachlin</w:t>
      </w:r>
      <w:proofErr w:type="spellEnd"/>
      <w:r w:rsidRPr="00EF668D">
        <w:rPr>
          <w:sz w:val="20"/>
          <w:szCs w:val="20"/>
          <w:u w:val="single"/>
          <w:lang w:val="en-US"/>
        </w:rPr>
        <w:t xml:space="preserve"> C.J. and </w:t>
      </w:r>
      <w:proofErr w:type="spellStart"/>
      <w:r w:rsidRPr="00EF668D">
        <w:rPr>
          <w:sz w:val="20"/>
          <w:szCs w:val="20"/>
          <w:u w:val="single"/>
          <w:lang w:val="en-US"/>
        </w:rPr>
        <w:t>LeBel</w:t>
      </w:r>
      <w:proofErr w:type="spellEnd"/>
      <w:r w:rsidRPr="00EF668D">
        <w:rPr>
          <w:sz w:val="20"/>
          <w:szCs w:val="20"/>
          <w:u w:val="single"/>
          <w:lang w:val="en-US"/>
        </w:rPr>
        <w:t xml:space="preserve">, </w:t>
      </w:r>
      <w:proofErr w:type="spellStart"/>
      <w:r w:rsidRPr="00EF668D">
        <w:rPr>
          <w:sz w:val="20"/>
          <w:szCs w:val="20"/>
          <w:u w:val="single"/>
          <w:lang w:val="en-US"/>
        </w:rPr>
        <w:t>Deschamps</w:t>
      </w:r>
      <w:proofErr w:type="spellEnd"/>
      <w:r w:rsidRPr="00EF668D">
        <w:rPr>
          <w:sz w:val="20"/>
          <w:szCs w:val="20"/>
          <w:u w:val="single"/>
          <w:lang w:val="en-US"/>
        </w:rPr>
        <w:t xml:space="preserve">, Fish, </w:t>
      </w:r>
      <w:proofErr w:type="spellStart"/>
      <w:r w:rsidRPr="00EF668D">
        <w:rPr>
          <w:sz w:val="20"/>
          <w:szCs w:val="20"/>
          <w:u w:val="single"/>
          <w:lang w:val="en-US"/>
        </w:rPr>
        <w:t>Abella</w:t>
      </w:r>
      <w:proofErr w:type="spellEnd"/>
      <w:r w:rsidRPr="00EF668D">
        <w:rPr>
          <w:sz w:val="20"/>
          <w:szCs w:val="20"/>
          <w:u w:val="single"/>
          <w:lang w:val="en-US"/>
        </w:rPr>
        <w:t xml:space="preserve">, Rothstein, Cromwell, </w:t>
      </w:r>
      <w:proofErr w:type="spellStart"/>
      <w:r w:rsidRPr="00EF668D">
        <w:rPr>
          <w:sz w:val="20"/>
          <w:szCs w:val="20"/>
          <w:u w:val="single"/>
          <w:lang w:val="en-US"/>
        </w:rPr>
        <w:t>Moldaver</w:t>
      </w:r>
      <w:proofErr w:type="spellEnd"/>
      <w:r w:rsidRPr="00EF668D">
        <w:rPr>
          <w:sz w:val="20"/>
          <w:szCs w:val="20"/>
          <w:u w:val="single"/>
          <w:lang w:val="en-US"/>
        </w:rPr>
        <w:t xml:space="preserve"> and </w:t>
      </w:r>
      <w:proofErr w:type="spellStart"/>
      <w:r w:rsidRPr="00EF668D">
        <w:rPr>
          <w:sz w:val="20"/>
          <w:szCs w:val="20"/>
          <w:u w:val="single"/>
          <w:lang w:val="en-US"/>
        </w:rPr>
        <w:t>Karakatsanis</w:t>
      </w:r>
      <w:proofErr w:type="spellEnd"/>
      <w:r w:rsidRPr="00EF668D">
        <w:rPr>
          <w:sz w:val="20"/>
          <w:szCs w:val="20"/>
          <w:u w:val="single"/>
          <w:lang w:val="en-US"/>
        </w:rPr>
        <w:t xml:space="preserve"> JJ.</w:t>
      </w:r>
    </w:p>
    <w:p w:rsidR="00E461BB" w:rsidRPr="00EF668D"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Pr="00352861" w:rsidRDefault="00E461BB" w:rsidP="00CC2C3E">
            <w:pPr>
              <w:rPr>
                <w:rStyle w:val="SCCSsocChar"/>
                <w:b/>
                <w:i w:val="0"/>
                <w:lang w:val="en-US"/>
              </w:rPr>
            </w:pPr>
            <w:r w:rsidRPr="00352861">
              <w:rPr>
                <w:rFonts w:eastAsia="Calibri" w:cs="Times New Roman"/>
                <w:b/>
                <w:sz w:val="20"/>
                <w:szCs w:val="20"/>
              </w:rPr>
              <w:t xml:space="preserve">Linda Dale Gibbons </w:t>
            </w:r>
          </w:p>
          <w:p w:rsidR="00E461BB" w:rsidRPr="00352861" w:rsidRDefault="00E461BB" w:rsidP="00CC2C3E">
            <w:pPr>
              <w:rPr>
                <w:rStyle w:val="SCCSsocChar"/>
                <w:b/>
                <w:i w:val="0"/>
                <w:lang w:val="en-US"/>
              </w:rPr>
            </w:pPr>
          </w:p>
          <w:p w:rsidR="00E461BB" w:rsidRPr="0039793E" w:rsidRDefault="00E461BB" w:rsidP="00CC2C3E">
            <w:pPr>
              <w:widowControl w:val="0"/>
              <w:tabs>
                <w:tab w:val="left" w:pos="736"/>
              </w:tabs>
              <w:jc w:val="both"/>
              <w:rPr>
                <w:b/>
                <w:sz w:val="20"/>
                <w:szCs w:val="20"/>
                <w:lang w:val="en-US"/>
              </w:rPr>
            </w:pPr>
            <w:r w:rsidRPr="008E675C">
              <w:rPr>
                <w:b/>
                <w:sz w:val="20"/>
                <w:szCs w:val="20"/>
                <w:lang w:val="en-US"/>
              </w:rPr>
              <w:tab/>
            </w:r>
            <w:r w:rsidRPr="0039793E">
              <w:rPr>
                <w:b/>
                <w:sz w:val="20"/>
                <w:szCs w:val="20"/>
                <w:lang w:val="en-US"/>
              </w:rPr>
              <w:t xml:space="preserve">v. </w:t>
            </w:r>
            <w:r w:rsidRPr="00352861">
              <w:rPr>
                <w:rFonts w:eastAsia="Calibri" w:cs="Times New Roman"/>
                <w:b/>
                <w:sz w:val="20"/>
                <w:szCs w:val="20"/>
              </w:rPr>
              <w:t>(33813)</w:t>
            </w:r>
          </w:p>
          <w:p w:rsidR="00E461BB" w:rsidRPr="0039793E" w:rsidRDefault="00E461BB" w:rsidP="00CC2C3E">
            <w:pPr>
              <w:rPr>
                <w:rStyle w:val="SCCSsocChar"/>
                <w:b/>
                <w:i w:val="0"/>
              </w:rPr>
            </w:pPr>
          </w:p>
          <w:p w:rsidR="00E461BB" w:rsidRPr="00660A94" w:rsidRDefault="00E461BB" w:rsidP="00CC2C3E">
            <w:pPr>
              <w:widowControl w:val="0"/>
              <w:jc w:val="both"/>
              <w:rPr>
                <w:sz w:val="20"/>
                <w:szCs w:val="20"/>
                <w:lang w:val="en-US"/>
              </w:rPr>
            </w:pPr>
            <w:r w:rsidRPr="00352861">
              <w:rPr>
                <w:rFonts w:eastAsia="Calibri" w:cs="Times New Roman"/>
                <w:b/>
                <w:sz w:val="20"/>
                <w:szCs w:val="20"/>
              </w:rPr>
              <w:t>Her Majesty the Queen (Ont.) (Criminal) (By Leave)</w:t>
            </w:r>
          </w:p>
        </w:tc>
        <w:tc>
          <w:tcPr>
            <w:tcW w:w="720" w:type="dxa"/>
            <w:tcMar>
              <w:left w:w="0" w:type="dxa"/>
              <w:right w:w="0" w:type="dxa"/>
            </w:tcMar>
          </w:tcPr>
          <w:p w:rsidR="00E461BB" w:rsidRPr="008E4D6D" w:rsidRDefault="00E461BB" w:rsidP="00CC2C3E">
            <w:pPr>
              <w:widowControl w:val="0"/>
              <w:jc w:val="center"/>
              <w:rPr>
                <w:sz w:val="20"/>
                <w:szCs w:val="20"/>
                <w:lang w:val="en-US"/>
              </w:rPr>
            </w:pPr>
          </w:p>
        </w:tc>
        <w:tc>
          <w:tcPr>
            <w:tcW w:w="4380" w:type="dxa"/>
            <w:tcMar>
              <w:left w:w="0" w:type="dxa"/>
              <w:right w:w="0" w:type="dxa"/>
            </w:tcMar>
          </w:tcPr>
          <w:p w:rsidR="008E4D6D" w:rsidRPr="008E4D6D" w:rsidRDefault="008E4D6D" w:rsidP="008E4D6D">
            <w:pPr>
              <w:widowControl w:val="0"/>
              <w:jc w:val="both"/>
              <w:rPr>
                <w:sz w:val="20"/>
                <w:szCs w:val="20"/>
              </w:rPr>
            </w:pPr>
            <w:r w:rsidRPr="008E4D6D">
              <w:rPr>
                <w:sz w:val="20"/>
                <w:szCs w:val="20"/>
                <w:lang w:val="en-US"/>
              </w:rPr>
              <w:t xml:space="preserve">Nicolas M. </w:t>
            </w:r>
            <w:proofErr w:type="spellStart"/>
            <w:r w:rsidRPr="008E4D6D">
              <w:rPr>
                <w:sz w:val="20"/>
                <w:szCs w:val="20"/>
                <w:lang w:val="en-US"/>
              </w:rPr>
              <w:t>Rouleau</w:t>
            </w:r>
            <w:proofErr w:type="spellEnd"/>
            <w:r w:rsidRPr="008E4D6D">
              <w:rPr>
                <w:sz w:val="20"/>
                <w:szCs w:val="20"/>
                <w:lang w:val="en-US"/>
              </w:rPr>
              <w:t xml:space="preserve"> and Daniel C. Santoro f</w:t>
            </w:r>
            <w:r w:rsidRPr="008E4D6D">
              <w:rPr>
                <w:sz w:val="20"/>
                <w:szCs w:val="20"/>
              </w:rPr>
              <w:t>or the appellant.</w:t>
            </w:r>
          </w:p>
          <w:p w:rsidR="008E4D6D" w:rsidRDefault="008E4D6D" w:rsidP="00CC2C3E">
            <w:pPr>
              <w:widowControl w:val="0"/>
              <w:jc w:val="both"/>
              <w:rPr>
                <w:sz w:val="20"/>
                <w:szCs w:val="20"/>
              </w:rPr>
            </w:pPr>
          </w:p>
          <w:p w:rsidR="008E4D6D" w:rsidRPr="008E4D6D" w:rsidRDefault="008E4D6D" w:rsidP="008E4D6D">
            <w:pPr>
              <w:widowControl w:val="0"/>
              <w:jc w:val="both"/>
              <w:rPr>
                <w:sz w:val="20"/>
                <w:szCs w:val="20"/>
              </w:rPr>
            </w:pPr>
            <w:r w:rsidRPr="008E4D6D">
              <w:rPr>
                <w:sz w:val="20"/>
                <w:szCs w:val="20"/>
              </w:rPr>
              <w:t xml:space="preserve">Susan </w:t>
            </w:r>
            <w:proofErr w:type="spellStart"/>
            <w:r w:rsidRPr="008E4D6D">
              <w:rPr>
                <w:sz w:val="20"/>
                <w:szCs w:val="20"/>
              </w:rPr>
              <w:t>Magotiaux</w:t>
            </w:r>
            <w:proofErr w:type="spellEnd"/>
            <w:r>
              <w:rPr>
                <w:sz w:val="20"/>
                <w:szCs w:val="20"/>
              </w:rPr>
              <w:t xml:space="preserve"> and </w:t>
            </w:r>
            <w:r w:rsidRPr="008E4D6D">
              <w:rPr>
                <w:sz w:val="20"/>
                <w:szCs w:val="20"/>
              </w:rPr>
              <w:t xml:space="preserve">Matt </w:t>
            </w:r>
            <w:proofErr w:type="spellStart"/>
            <w:r w:rsidRPr="008E4D6D">
              <w:rPr>
                <w:sz w:val="20"/>
                <w:szCs w:val="20"/>
              </w:rPr>
              <w:t>Asma</w:t>
            </w:r>
            <w:proofErr w:type="spellEnd"/>
            <w:r>
              <w:rPr>
                <w:sz w:val="20"/>
                <w:szCs w:val="20"/>
              </w:rPr>
              <w:t xml:space="preserve"> f</w:t>
            </w:r>
            <w:r w:rsidRPr="008E4D6D">
              <w:rPr>
                <w:sz w:val="20"/>
                <w:szCs w:val="20"/>
              </w:rPr>
              <w:t xml:space="preserve">or the </w:t>
            </w:r>
            <w:r>
              <w:rPr>
                <w:sz w:val="20"/>
                <w:szCs w:val="20"/>
              </w:rPr>
              <w:t>r</w:t>
            </w:r>
            <w:r w:rsidRPr="008E4D6D">
              <w:rPr>
                <w:sz w:val="20"/>
                <w:szCs w:val="20"/>
              </w:rPr>
              <w:t>espondent</w:t>
            </w:r>
            <w:r>
              <w:rPr>
                <w:sz w:val="20"/>
                <w:szCs w:val="20"/>
              </w:rPr>
              <w:t>.</w:t>
            </w:r>
          </w:p>
          <w:p w:rsidR="00E461BB" w:rsidRPr="008E4D6D" w:rsidRDefault="00E461BB" w:rsidP="008E4D6D">
            <w:pPr>
              <w:widowControl w:val="0"/>
              <w:jc w:val="both"/>
              <w:rPr>
                <w:sz w:val="20"/>
                <w:szCs w:val="20"/>
              </w:rPr>
            </w:pPr>
          </w:p>
        </w:tc>
      </w:tr>
    </w:tbl>
    <w:p w:rsidR="00E461BB" w:rsidRPr="00EF668D" w:rsidRDefault="00E461BB" w:rsidP="00E461BB">
      <w:pPr>
        <w:widowControl w:val="0"/>
      </w:pPr>
    </w:p>
    <w:p w:rsidR="00E461BB" w:rsidRPr="00EF668D" w:rsidRDefault="00E461BB" w:rsidP="00E461BB">
      <w:pPr>
        <w:widowControl w:val="0"/>
        <w:rPr>
          <w:sz w:val="20"/>
          <w:szCs w:val="20"/>
        </w:rPr>
      </w:pPr>
      <w:r w:rsidRPr="00EF668D">
        <w:rPr>
          <w:b/>
          <w:sz w:val="20"/>
          <w:szCs w:val="20"/>
        </w:rPr>
        <w:t xml:space="preserve">RESERVED / </w:t>
      </w:r>
      <w:r w:rsidRPr="00EF668D">
        <w:rPr>
          <w:b/>
          <w:sz w:val="20"/>
          <w:szCs w:val="20"/>
          <w:lang w:val="fr-CA"/>
        </w:rPr>
        <w:t>EN DÉLIBÉRÉ</w:t>
      </w:r>
    </w:p>
    <w:p w:rsidR="00E461BB" w:rsidRPr="00EF668D"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C1697B" w:rsidRDefault="00E461BB" w:rsidP="00CC2C3E">
            <w:pPr>
              <w:widowControl w:val="0"/>
              <w:jc w:val="both"/>
              <w:rPr>
                <w:b/>
                <w:sz w:val="20"/>
                <w:szCs w:val="20"/>
              </w:rPr>
            </w:pPr>
          </w:p>
          <w:p w:rsidR="00E461BB" w:rsidRPr="00352861" w:rsidRDefault="00E461BB" w:rsidP="00CC2C3E">
            <w:pPr>
              <w:widowControl w:val="0"/>
              <w:jc w:val="both"/>
              <w:rPr>
                <w:rFonts w:eastAsia="Calibri" w:cs="Times New Roman"/>
                <w:sz w:val="20"/>
                <w:szCs w:val="20"/>
              </w:rPr>
            </w:pPr>
            <w:r w:rsidRPr="00352861">
              <w:rPr>
                <w:rFonts w:eastAsia="Calibri" w:cs="Times New Roman"/>
                <w:sz w:val="20"/>
                <w:szCs w:val="20"/>
              </w:rPr>
              <w:t xml:space="preserve">Criminal Law </w:t>
            </w:r>
            <w:r w:rsidRPr="00352861">
              <w:rPr>
                <w:rFonts w:eastAsia="Calibri" w:cs="Times New Roman"/>
                <w:sz w:val="20"/>
                <w:szCs w:val="20"/>
              </w:rPr>
              <w:noBreakHyphen/>
              <w:t xml:space="preserve"> Elements of offence </w:t>
            </w:r>
            <w:r w:rsidRPr="00352861">
              <w:rPr>
                <w:rFonts w:eastAsia="Calibri" w:cs="Times New Roman"/>
                <w:sz w:val="20"/>
                <w:szCs w:val="20"/>
              </w:rPr>
              <w:noBreakHyphen/>
              <w:t xml:space="preserve"> Requirements to create an exception to offence of disobeying an order of a court </w:t>
            </w:r>
            <w:r w:rsidRPr="00352861">
              <w:rPr>
                <w:rFonts w:eastAsia="Calibri" w:cs="Times New Roman"/>
                <w:sz w:val="20"/>
                <w:szCs w:val="20"/>
              </w:rPr>
              <w:noBreakHyphen/>
              <w:t xml:space="preserve"> Section 127(1) of the </w:t>
            </w:r>
            <w:r w:rsidRPr="00352861">
              <w:rPr>
                <w:rFonts w:eastAsia="Calibri" w:cs="Times New Roman"/>
                <w:i/>
                <w:sz w:val="20"/>
                <w:szCs w:val="20"/>
              </w:rPr>
              <w:t>Criminal Code</w:t>
            </w:r>
            <w:r w:rsidRPr="00352861">
              <w:rPr>
                <w:rFonts w:eastAsia="Calibri" w:cs="Times New Roman"/>
                <w:sz w:val="20"/>
                <w:szCs w:val="20"/>
              </w:rPr>
              <w:t>, R.S.C. 1985, c. C</w:t>
            </w:r>
            <w:r w:rsidRPr="00352861">
              <w:rPr>
                <w:rFonts w:eastAsia="Calibri" w:cs="Times New Roman"/>
                <w:sz w:val="20"/>
                <w:szCs w:val="20"/>
              </w:rPr>
              <w:noBreakHyphen/>
              <w:t xml:space="preserve">46, sets out that everyone who, without lawful excuse, disobeys a lawful order made by a court of justice is guilty of an offence “unless a punishment or other mode of proceeding is expressly provided by law” </w:t>
            </w:r>
            <w:r w:rsidRPr="00352861">
              <w:rPr>
                <w:rFonts w:eastAsia="Calibri" w:cs="Times New Roman"/>
                <w:sz w:val="20"/>
                <w:szCs w:val="20"/>
              </w:rPr>
              <w:noBreakHyphen/>
              <w:t xml:space="preserve"> Whether Ontario </w:t>
            </w:r>
            <w:r w:rsidRPr="00352861">
              <w:rPr>
                <w:rFonts w:eastAsia="Calibri" w:cs="Times New Roman"/>
                <w:i/>
                <w:sz w:val="20"/>
                <w:szCs w:val="20"/>
              </w:rPr>
              <w:t>Rules of Civil Procedure</w:t>
            </w:r>
            <w:r w:rsidRPr="00352861">
              <w:rPr>
                <w:rFonts w:eastAsia="Calibri" w:cs="Times New Roman"/>
                <w:sz w:val="20"/>
                <w:szCs w:val="20"/>
              </w:rPr>
              <w:t xml:space="preserve"> create an exception by supplanting common law </w:t>
            </w:r>
            <w:r w:rsidRPr="00352861">
              <w:rPr>
                <w:rFonts w:eastAsia="Calibri" w:cs="Times New Roman"/>
                <w:sz w:val="20"/>
                <w:szCs w:val="20"/>
              </w:rPr>
              <w:noBreakHyphen/>
              <w:t xml:space="preserve"> Whether Ontario </w:t>
            </w:r>
            <w:r w:rsidRPr="00352861">
              <w:rPr>
                <w:rFonts w:eastAsia="Calibri" w:cs="Times New Roman"/>
                <w:i/>
                <w:sz w:val="20"/>
                <w:szCs w:val="20"/>
              </w:rPr>
              <w:t>Rules of Civil Procedure</w:t>
            </w:r>
            <w:r w:rsidRPr="00352861">
              <w:rPr>
                <w:rFonts w:eastAsia="Calibri" w:cs="Times New Roman"/>
                <w:sz w:val="20"/>
                <w:szCs w:val="20"/>
              </w:rPr>
              <w:t xml:space="preserve"> create a comprehensive mode of proceeding to administrate contempt orders to enforce other orders made in civil proceedings before the Superior Court of Justice and Court of Appeal for Ontario.</w:t>
            </w:r>
          </w:p>
          <w:p w:rsidR="00E461BB" w:rsidRPr="008E675C" w:rsidRDefault="00E461BB" w:rsidP="00CC2C3E">
            <w:pPr>
              <w:widowControl w:val="0"/>
              <w:jc w:val="both"/>
              <w:rPr>
                <w:rFonts w:eastAsia="Calibri" w:cs="Times New Roman"/>
                <w:sz w:val="20"/>
                <w:szCs w:val="20"/>
                <w:lang w:val="en-US"/>
              </w:rPr>
            </w:pPr>
          </w:p>
        </w:tc>
        <w:tc>
          <w:tcPr>
            <w:tcW w:w="720" w:type="dxa"/>
            <w:tcMar>
              <w:left w:w="0" w:type="dxa"/>
              <w:right w:w="0" w:type="dxa"/>
            </w:tcMar>
          </w:tcPr>
          <w:p w:rsidR="00E461BB" w:rsidRPr="008E675C" w:rsidRDefault="00E461BB" w:rsidP="00CC2C3E">
            <w:pPr>
              <w:widowControl w:val="0"/>
              <w:jc w:val="center"/>
              <w:rPr>
                <w:sz w:val="20"/>
                <w:szCs w:val="20"/>
                <w:lang w:val="en-US"/>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C1697B" w:rsidRDefault="00E461BB" w:rsidP="000E033A">
            <w:pPr>
              <w:widowControl w:val="0"/>
              <w:jc w:val="both"/>
              <w:rPr>
                <w:sz w:val="20"/>
                <w:szCs w:val="20"/>
                <w:lang w:val="fr-CA"/>
              </w:rPr>
            </w:pPr>
            <w:r w:rsidRPr="00352861">
              <w:rPr>
                <w:rFonts w:eastAsia="Calibri" w:cs="Times New Roman"/>
                <w:sz w:val="20"/>
                <w:szCs w:val="20"/>
                <w:lang w:val="fr-CA"/>
              </w:rPr>
              <w:t xml:space="preserve">Droit criminel </w:t>
            </w:r>
            <w:r w:rsidRPr="00352861">
              <w:rPr>
                <w:rFonts w:eastAsia="Calibri" w:cs="Times New Roman"/>
                <w:sz w:val="20"/>
                <w:szCs w:val="20"/>
                <w:lang w:val="fr-CA"/>
              </w:rPr>
              <w:noBreakHyphen/>
              <w:t xml:space="preserve"> Éléments de l’infraction </w:t>
            </w:r>
            <w:r w:rsidRPr="00352861">
              <w:rPr>
                <w:rFonts w:eastAsia="Calibri" w:cs="Times New Roman"/>
                <w:sz w:val="20"/>
                <w:szCs w:val="20"/>
                <w:lang w:val="fr-CA"/>
              </w:rPr>
              <w:noBreakHyphen/>
              <w:t xml:space="preserve"> Conditions pour créer une exception à l’infraction de désobéissance à une ordonnance judiciaire </w:t>
            </w:r>
            <w:r w:rsidRPr="00352861">
              <w:rPr>
                <w:rFonts w:eastAsia="Calibri" w:cs="Times New Roman"/>
                <w:sz w:val="20"/>
                <w:szCs w:val="20"/>
                <w:lang w:val="fr-CA"/>
              </w:rPr>
              <w:noBreakHyphen/>
              <w:t xml:space="preserve"> Le paragraphe 127(1) du </w:t>
            </w:r>
            <w:r w:rsidRPr="00352861">
              <w:rPr>
                <w:rFonts w:eastAsia="Calibri" w:cs="Times New Roman"/>
                <w:i/>
                <w:iCs/>
                <w:sz w:val="20"/>
                <w:szCs w:val="20"/>
                <w:lang w:val="fr-CA"/>
              </w:rPr>
              <w:t>Code criminel</w:t>
            </w:r>
            <w:r w:rsidRPr="00352861">
              <w:rPr>
                <w:rFonts w:eastAsia="Calibri" w:cs="Times New Roman"/>
                <w:sz w:val="20"/>
                <w:szCs w:val="20"/>
                <w:lang w:val="fr-CA"/>
              </w:rPr>
              <w:t>, L.R.C. 1985, ch. C</w:t>
            </w:r>
            <w:r w:rsidRPr="00352861">
              <w:rPr>
                <w:rFonts w:eastAsia="Calibri" w:cs="Times New Roman"/>
                <w:sz w:val="20"/>
                <w:szCs w:val="20"/>
                <w:lang w:val="fr-CA"/>
              </w:rPr>
              <w:noBreakHyphen/>
              <w:t xml:space="preserve">46, prévoit que </w:t>
            </w:r>
            <w:r w:rsidRPr="00352861">
              <w:rPr>
                <w:rFonts w:eastAsia="Calibri" w:cs="Times New Roman"/>
                <w:sz w:val="20"/>
                <w:szCs w:val="20"/>
                <w:lang w:val="fr-FR"/>
              </w:rPr>
              <w:t xml:space="preserve">quiconque, sans excuse légitime, désobéit à une ordonnance légale donnée par un tribunal judiciaire est « à moins que la loi ne prévoie expressément une peine ou un autre mode de procédure » coupable d’une infraction </w:t>
            </w:r>
            <w:r w:rsidRPr="00352861">
              <w:rPr>
                <w:rFonts w:eastAsia="Calibri" w:cs="Times New Roman"/>
                <w:sz w:val="20"/>
                <w:szCs w:val="20"/>
                <w:lang w:val="fr-CA"/>
              </w:rPr>
              <w:noBreakHyphen/>
              <w:t xml:space="preserve"> Les </w:t>
            </w:r>
            <w:r w:rsidRPr="00352861">
              <w:rPr>
                <w:rFonts w:eastAsia="Calibri" w:cs="Times New Roman"/>
                <w:i/>
                <w:iCs/>
                <w:sz w:val="20"/>
                <w:szCs w:val="20"/>
                <w:lang w:val="fr-CA"/>
              </w:rPr>
              <w:t>Règles de procédure civile</w:t>
            </w:r>
            <w:r w:rsidRPr="00352861">
              <w:rPr>
                <w:rFonts w:eastAsia="Calibri" w:cs="Times New Roman"/>
                <w:sz w:val="20"/>
                <w:szCs w:val="20"/>
                <w:lang w:val="fr-CA"/>
              </w:rPr>
              <w:t xml:space="preserve"> de l’Ontario </w:t>
            </w:r>
            <w:proofErr w:type="spellStart"/>
            <w:r w:rsidRPr="00352861">
              <w:rPr>
                <w:rFonts w:eastAsia="Calibri" w:cs="Times New Roman"/>
                <w:sz w:val="20"/>
                <w:szCs w:val="20"/>
                <w:lang w:val="fr-CA"/>
              </w:rPr>
              <w:t>créent</w:t>
            </w:r>
            <w:r w:rsidRPr="00352861">
              <w:rPr>
                <w:rFonts w:eastAsia="Calibri" w:cs="Times New Roman"/>
                <w:sz w:val="20"/>
                <w:szCs w:val="20"/>
                <w:lang w:val="fr-CA"/>
              </w:rPr>
              <w:noBreakHyphen/>
              <w:t>elles</w:t>
            </w:r>
            <w:proofErr w:type="spellEnd"/>
            <w:r w:rsidRPr="00352861">
              <w:rPr>
                <w:rFonts w:eastAsia="Calibri" w:cs="Times New Roman"/>
                <w:sz w:val="20"/>
                <w:szCs w:val="20"/>
                <w:lang w:val="fr-CA"/>
              </w:rPr>
              <w:t xml:space="preserve"> une exception en supplantant la </w:t>
            </w:r>
            <w:proofErr w:type="spellStart"/>
            <w:r w:rsidRPr="00352861">
              <w:rPr>
                <w:rFonts w:eastAsia="Calibri" w:cs="Times New Roman"/>
                <w:sz w:val="20"/>
                <w:szCs w:val="20"/>
                <w:lang w:val="fr-CA"/>
              </w:rPr>
              <w:t>common</w:t>
            </w:r>
            <w:proofErr w:type="spellEnd"/>
            <w:r w:rsidRPr="00352861">
              <w:rPr>
                <w:rFonts w:eastAsia="Calibri" w:cs="Times New Roman"/>
                <w:sz w:val="20"/>
                <w:szCs w:val="20"/>
                <w:lang w:val="fr-CA"/>
              </w:rPr>
              <w:t xml:space="preserve"> </w:t>
            </w:r>
            <w:proofErr w:type="spellStart"/>
            <w:r w:rsidRPr="00352861">
              <w:rPr>
                <w:rFonts w:eastAsia="Calibri" w:cs="Times New Roman"/>
                <w:sz w:val="20"/>
                <w:szCs w:val="20"/>
                <w:lang w:val="fr-CA"/>
              </w:rPr>
              <w:t>law</w:t>
            </w:r>
            <w:proofErr w:type="spellEnd"/>
            <w:r w:rsidRPr="00352861">
              <w:rPr>
                <w:rFonts w:eastAsia="Calibri" w:cs="Times New Roman"/>
                <w:sz w:val="20"/>
                <w:szCs w:val="20"/>
                <w:lang w:val="fr-CA"/>
              </w:rPr>
              <w:t xml:space="preserve">? </w:t>
            </w:r>
            <w:r w:rsidRPr="00352861">
              <w:rPr>
                <w:rFonts w:eastAsia="Calibri" w:cs="Times New Roman"/>
                <w:sz w:val="20"/>
                <w:szCs w:val="20"/>
                <w:lang w:val="fr-CA"/>
              </w:rPr>
              <w:noBreakHyphen/>
              <w:t xml:space="preserve"> Les </w:t>
            </w:r>
            <w:r w:rsidRPr="00352861">
              <w:rPr>
                <w:rFonts w:eastAsia="Calibri" w:cs="Times New Roman"/>
                <w:i/>
                <w:iCs/>
                <w:sz w:val="20"/>
                <w:szCs w:val="20"/>
                <w:lang w:val="fr-CA"/>
              </w:rPr>
              <w:t>Règles de procédure civile</w:t>
            </w:r>
            <w:r w:rsidRPr="00352861">
              <w:rPr>
                <w:rFonts w:eastAsia="Calibri" w:cs="Times New Roman"/>
                <w:sz w:val="20"/>
                <w:szCs w:val="20"/>
                <w:lang w:val="fr-CA"/>
              </w:rPr>
              <w:t xml:space="preserve"> </w:t>
            </w:r>
            <w:proofErr w:type="spellStart"/>
            <w:r w:rsidRPr="00352861">
              <w:rPr>
                <w:rFonts w:eastAsia="Calibri" w:cs="Times New Roman"/>
                <w:sz w:val="20"/>
                <w:szCs w:val="20"/>
                <w:lang w:val="fr-CA"/>
              </w:rPr>
              <w:t>créent</w:t>
            </w:r>
            <w:r w:rsidRPr="00352861">
              <w:rPr>
                <w:rFonts w:eastAsia="Calibri" w:cs="Times New Roman"/>
                <w:sz w:val="20"/>
                <w:szCs w:val="20"/>
                <w:lang w:val="fr-CA"/>
              </w:rPr>
              <w:noBreakHyphen/>
              <w:t>elles</w:t>
            </w:r>
            <w:proofErr w:type="spellEnd"/>
            <w:r w:rsidRPr="00352861">
              <w:rPr>
                <w:rFonts w:eastAsia="Calibri" w:cs="Times New Roman"/>
                <w:sz w:val="20"/>
                <w:szCs w:val="20"/>
                <w:lang w:val="fr-CA"/>
              </w:rPr>
              <w:t xml:space="preserve"> un mode de procédure complet pour administrer les ordonnances d’outrage afin d’exécuter d’autres ordonnances rendues dans une instance civile dont sont saisies la </w:t>
            </w:r>
            <w:r w:rsidRPr="00352861">
              <w:rPr>
                <w:rFonts w:eastAsia="Calibri" w:cs="Times New Roman"/>
                <w:sz w:val="20"/>
                <w:szCs w:val="20"/>
                <w:lang w:val="fr-CA"/>
              </w:rPr>
              <w:lastRenderedPageBreak/>
              <w:t>Cour supérieure de justice de l’Ontario et la Cour d’appel de l’Ontario?</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lang w:val="fr-CA"/>
        </w:rPr>
      </w:pPr>
      <w:r w:rsidRPr="00DB7F13">
        <w:rPr>
          <w:sz w:val="20"/>
          <w:szCs w:val="20"/>
          <w:lang w:val="fr-CA"/>
        </w:rPr>
        <w:pict>
          <v:rect id="_x0000_i1069" style="width:2in;height:1pt" o:hrpct="0" o:hralign="center" o:hrstd="t" o:hrnoshade="t" o:hr="t" fillcolor="black [3213]" stroked="f"/>
        </w:pict>
      </w:r>
    </w:p>
    <w:p w:rsidR="00E461BB" w:rsidRDefault="00E461BB" w:rsidP="00E461BB">
      <w:pPr>
        <w:widowControl w:val="0"/>
        <w:rPr>
          <w:sz w:val="20"/>
          <w:szCs w:val="20"/>
        </w:rPr>
      </w:pPr>
    </w:p>
    <w:p w:rsidR="00E461BB" w:rsidRDefault="00E461BB" w:rsidP="00E461BB">
      <w:pPr>
        <w:widowControl w:val="0"/>
        <w:rPr>
          <w:sz w:val="20"/>
          <w:szCs w:val="20"/>
        </w:rPr>
      </w:pPr>
      <w:r>
        <w:rPr>
          <w:sz w:val="20"/>
          <w:szCs w:val="20"/>
        </w:rPr>
        <w:t>14.12.2011</w:t>
      </w:r>
    </w:p>
    <w:p w:rsidR="00E461BB" w:rsidRDefault="00E461BB" w:rsidP="00E461BB">
      <w:pPr>
        <w:widowControl w:val="0"/>
        <w:rPr>
          <w:sz w:val="20"/>
          <w:szCs w:val="20"/>
        </w:rPr>
      </w:pPr>
    </w:p>
    <w:p w:rsidR="00E461BB" w:rsidRPr="00D14752" w:rsidRDefault="00E461BB" w:rsidP="00E461BB">
      <w:pPr>
        <w:widowControl w:val="0"/>
        <w:rPr>
          <w:sz w:val="20"/>
          <w:szCs w:val="20"/>
        </w:rPr>
      </w:pPr>
      <w:r w:rsidRPr="00D14752">
        <w:rPr>
          <w:sz w:val="20"/>
          <w:szCs w:val="20"/>
        </w:rPr>
        <w:t xml:space="preserve">Coram: </w:t>
      </w:r>
      <w:proofErr w:type="spellStart"/>
      <w:r w:rsidRPr="00D14752">
        <w:rPr>
          <w:sz w:val="20"/>
          <w:szCs w:val="20"/>
          <w:u w:val="single"/>
          <w:lang w:val="en-US"/>
        </w:rPr>
        <w:t>McLachlin</w:t>
      </w:r>
      <w:proofErr w:type="spellEnd"/>
      <w:r w:rsidRPr="00D14752">
        <w:rPr>
          <w:sz w:val="20"/>
          <w:szCs w:val="20"/>
          <w:u w:val="single"/>
          <w:lang w:val="en-US"/>
        </w:rPr>
        <w:t xml:space="preserve"> C.J. and </w:t>
      </w:r>
      <w:proofErr w:type="spellStart"/>
      <w:r w:rsidRPr="00D14752">
        <w:rPr>
          <w:sz w:val="20"/>
          <w:szCs w:val="20"/>
          <w:u w:val="single"/>
          <w:lang w:val="en-US"/>
        </w:rPr>
        <w:t>Deschamps</w:t>
      </w:r>
      <w:proofErr w:type="spellEnd"/>
      <w:r w:rsidRPr="00D14752">
        <w:rPr>
          <w:sz w:val="20"/>
          <w:szCs w:val="20"/>
          <w:u w:val="single"/>
          <w:lang w:val="en-US"/>
        </w:rPr>
        <w:t xml:space="preserve">, Fish, </w:t>
      </w:r>
      <w:proofErr w:type="spellStart"/>
      <w:r w:rsidRPr="00D14752">
        <w:rPr>
          <w:sz w:val="20"/>
          <w:szCs w:val="20"/>
          <w:u w:val="single"/>
          <w:lang w:val="en-US"/>
        </w:rPr>
        <w:t>Abella</w:t>
      </w:r>
      <w:proofErr w:type="spellEnd"/>
      <w:r w:rsidRPr="00D14752">
        <w:rPr>
          <w:sz w:val="20"/>
          <w:szCs w:val="20"/>
          <w:u w:val="single"/>
          <w:lang w:val="en-US"/>
        </w:rPr>
        <w:t xml:space="preserve">, Rothstein, </w:t>
      </w:r>
      <w:proofErr w:type="spellStart"/>
      <w:r w:rsidRPr="00D14752">
        <w:rPr>
          <w:sz w:val="20"/>
          <w:szCs w:val="20"/>
          <w:u w:val="single"/>
          <w:lang w:val="en-US"/>
        </w:rPr>
        <w:t>Moldaver</w:t>
      </w:r>
      <w:proofErr w:type="spellEnd"/>
      <w:r w:rsidRPr="00D14752">
        <w:rPr>
          <w:sz w:val="20"/>
          <w:szCs w:val="20"/>
          <w:u w:val="single"/>
          <w:lang w:val="en-US"/>
        </w:rPr>
        <w:t xml:space="preserve"> and </w:t>
      </w:r>
      <w:proofErr w:type="spellStart"/>
      <w:r w:rsidRPr="00D14752">
        <w:rPr>
          <w:sz w:val="20"/>
          <w:szCs w:val="20"/>
          <w:u w:val="single"/>
          <w:lang w:val="en-US"/>
        </w:rPr>
        <w:t>Karakatsanis</w:t>
      </w:r>
      <w:proofErr w:type="spellEnd"/>
      <w:r w:rsidRPr="00D14752">
        <w:rPr>
          <w:sz w:val="20"/>
          <w:szCs w:val="20"/>
          <w:u w:val="single"/>
          <w:lang w:val="en-US"/>
        </w:rPr>
        <w:t xml:space="preserve"> JJ.</w:t>
      </w:r>
    </w:p>
    <w:p w:rsidR="00E461BB"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Pr="00352861" w:rsidRDefault="00E461BB" w:rsidP="00CC2C3E">
            <w:pPr>
              <w:rPr>
                <w:rStyle w:val="SCCSsocChar"/>
                <w:b/>
                <w:i w:val="0"/>
                <w:lang w:val="en-US"/>
              </w:rPr>
            </w:pPr>
            <w:r w:rsidRPr="00F430C6">
              <w:rPr>
                <w:rFonts w:eastAsia="Calibri" w:cs="Times New Roman"/>
                <w:b/>
                <w:sz w:val="20"/>
                <w:szCs w:val="20"/>
              </w:rPr>
              <w:t xml:space="preserve">Damon William Knott et al. </w:t>
            </w:r>
          </w:p>
          <w:p w:rsidR="00E461BB" w:rsidRPr="00352861" w:rsidRDefault="00E461BB" w:rsidP="00CC2C3E">
            <w:pPr>
              <w:rPr>
                <w:rStyle w:val="SCCSsocChar"/>
                <w:b/>
                <w:i w:val="0"/>
                <w:lang w:val="en-US"/>
              </w:rPr>
            </w:pPr>
          </w:p>
          <w:p w:rsidR="00E461BB" w:rsidRPr="0039793E" w:rsidRDefault="00E461BB" w:rsidP="00CC2C3E">
            <w:pPr>
              <w:widowControl w:val="0"/>
              <w:tabs>
                <w:tab w:val="left" w:pos="736"/>
              </w:tabs>
              <w:jc w:val="both"/>
              <w:rPr>
                <w:b/>
                <w:sz w:val="20"/>
                <w:szCs w:val="20"/>
                <w:lang w:val="en-US"/>
              </w:rPr>
            </w:pPr>
            <w:r w:rsidRPr="00352861">
              <w:rPr>
                <w:b/>
                <w:sz w:val="20"/>
                <w:szCs w:val="20"/>
                <w:lang w:val="en-US"/>
              </w:rPr>
              <w:tab/>
            </w:r>
            <w:r w:rsidRPr="0039793E">
              <w:rPr>
                <w:b/>
                <w:sz w:val="20"/>
                <w:szCs w:val="20"/>
                <w:lang w:val="en-US"/>
              </w:rPr>
              <w:t xml:space="preserve">v. </w:t>
            </w:r>
            <w:r w:rsidRPr="00F430C6">
              <w:rPr>
                <w:rFonts w:eastAsia="Calibri" w:cs="Times New Roman"/>
                <w:b/>
                <w:sz w:val="20"/>
                <w:szCs w:val="20"/>
              </w:rPr>
              <w:t>(33911)</w:t>
            </w:r>
          </w:p>
          <w:p w:rsidR="00E461BB" w:rsidRPr="0039793E" w:rsidRDefault="00E461BB" w:rsidP="00CC2C3E">
            <w:pPr>
              <w:rPr>
                <w:rStyle w:val="SCCSsocChar"/>
                <w:b/>
                <w:i w:val="0"/>
              </w:rPr>
            </w:pPr>
          </w:p>
          <w:p w:rsidR="00E461BB" w:rsidRPr="00660A94" w:rsidRDefault="00E461BB" w:rsidP="00CC2C3E">
            <w:pPr>
              <w:widowControl w:val="0"/>
              <w:jc w:val="both"/>
              <w:rPr>
                <w:sz w:val="20"/>
                <w:szCs w:val="20"/>
                <w:lang w:val="en-US"/>
              </w:rPr>
            </w:pPr>
            <w:r w:rsidRPr="00F430C6">
              <w:rPr>
                <w:rFonts w:eastAsia="Calibri" w:cs="Times New Roman"/>
                <w:b/>
                <w:sz w:val="20"/>
                <w:szCs w:val="20"/>
              </w:rPr>
              <w:t>Her Majesty the Queen et al. (B.C.) (Criminal) (By Leave)</w:t>
            </w:r>
          </w:p>
        </w:tc>
        <w:tc>
          <w:tcPr>
            <w:tcW w:w="720" w:type="dxa"/>
            <w:tcMar>
              <w:left w:w="0" w:type="dxa"/>
              <w:right w:w="0" w:type="dxa"/>
            </w:tcMar>
          </w:tcPr>
          <w:p w:rsidR="00E461BB" w:rsidRPr="00660A94" w:rsidRDefault="00E461BB" w:rsidP="00CC2C3E">
            <w:pPr>
              <w:widowControl w:val="0"/>
              <w:jc w:val="center"/>
              <w:rPr>
                <w:sz w:val="20"/>
                <w:szCs w:val="20"/>
                <w:lang w:val="en-US"/>
              </w:rPr>
            </w:pPr>
          </w:p>
        </w:tc>
        <w:tc>
          <w:tcPr>
            <w:tcW w:w="4380" w:type="dxa"/>
            <w:tcMar>
              <w:left w:w="0" w:type="dxa"/>
              <w:right w:w="0" w:type="dxa"/>
            </w:tcMar>
          </w:tcPr>
          <w:p w:rsidR="0016015D" w:rsidRDefault="0016015D" w:rsidP="0016015D">
            <w:pPr>
              <w:widowControl w:val="0"/>
              <w:jc w:val="both"/>
              <w:rPr>
                <w:sz w:val="20"/>
                <w:szCs w:val="20"/>
              </w:rPr>
            </w:pPr>
            <w:r w:rsidRPr="0016015D">
              <w:rPr>
                <w:sz w:val="20"/>
                <w:szCs w:val="20"/>
              </w:rPr>
              <w:t>Anna King</w:t>
            </w:r>
            <w:r>
              <w:rPr>
                <w:sz w:val="20"/>
                <w:szCs w:val="20"/>
              </w:rPr>
              <w:t xml:space="preserve"> f</w:t>
            </w:r>
            <w:r w:rsidRPr="0016015D">
              <w:rPr>
                <w:sz w:val="20"/>
                <w:szCs w:val="20"/>
              </w:rPr>
              <w:t xml:space="preserve">or the </w:t>
            </w:r>
            <w:r>
              <w:rPr>
                <w:sz w:val="20"/>
                <w:szCs w:val="20"/>
              </w:rPr>
              <w:t>a</w:t>
            </w:r>
            <w:r w:rsidRPr="0016015D">
              <w:rPr>
                <w:sz w:val="20"/>
                <w:szCs w:val="20"/>
              </w:rPr>
              <w:t>ppellant</w:t>
            </w:r>
            <w:r>
              <w:rPr>
                <w:sz w:val="20"/>
                <w:szCs w:val="20"/>
              </w:rPr>
              <w:t xml:space="preserve"> </w:t>
            </w:r>
            <w:r w:rsidRPr="0016015D">
              <w:rPr>
                <w:sz w:val="20"/>
                <w:szCs w:val="20"/>
              </w:rPr>
              <w:t>Damon William Knott</w:t>
            </w:r>
            <w:r>
              <w:rPr>
                <w:sz w:val="20"/>
                <w:szCs w:val="20"/>
              </w:rPr>
              <w:t>.</w:t>
            </w:r>
          </w:p>
          <w:p w:rsidR="0016015D" w:rsidRPr="0016015D" w:rsidRDefault="0016015D" w:rsidP="0016015D">
            <w:pPr>
              <w:widowControl w:val="0"/>
              <w:jc w:val="both"/>
              <w:rPr>
                <w:sz w:val="20"/>
                <w:szCs w:val="20"/>
              </w:rPr>
            </w:pPr>
          </w:p>
          <w:p w:rsidR="0016015D" w:rsidRDefault="0016015D" w:rsidP="0016015D">
            <w:pPr>
              <w:widowControl w:val="0"/>
              <w:jc w:val="both"/>
              <w:rPr>
                <w:sz w:val="20"/>
                <w:szCs w:val="20"/>
              </w:rPr>
            </w:pPr>
            <w:r w:rsidRPr="0016015D">
              <w:rPr>
                <w:sz w:val="20"/>
                <w:szCs w:val="20"/>
              </w:rPr>
              <w:t xml:space="preserve">Eric </w:t>
            </w:r>
            <w:proofErr w:type="spellStart"/>
            <w:r w:rsidRPr="0016015D">
              <w:rPr>
                <w:sz w:val="20"/>
                <w:szCs w:val="20"/>
              </w:rPr>
              <w:t>Putzki</w:t>
            </w:r>
            <w:proofErr w:type="spellEnd"/>
            <w:r>
              <w:rPr>
                <w:sz w:val="20"/>
                <w:szCs w:val="20"/>
              </w:rPr>
              <w:t xml:space="preserve"> f</w:t>
            </w:r>
            <w:r w:rsidRPr="0016015D">
              <w:rPr>
                <w:sz w:val="20"/>
                <w:szCs w:val="20"/>
              </w:rPr>
              <w:t xml:space="preserve">or the </w:t>
            </w:r>
            <w:r>
              <w:rPr>
                <w:sz w:val="20"/>
                <w:szCs w:val="20"/>
              </w:rPr>
              <w:t>a</w:t>
            </w:r>
            <w:r w:rsidRPr="0016015D">
              <w:rPr>
                <w:sz w:val="20"/>
                <w:szCs w:val="20"/>
              </w:rPr>
              <w:t>ppellant</w:t>
            </w:r>
            <w:r>
              <w:rPr>
                <w:sz w:val="20"/>
                <w:szCs w:val="20"/>
              </w:rPr>
              <w:t xml:space="preserve"> </w:t>
            </w:r>
            <w:r w:rsidRPr="0016015D">
              <w:rPr>
                <w:sz w:val="20"/>
                <w:szCs w:val="20"/>
              </w:rPr>
              <w:t>D.A.P.</w:t>
            </w:r>
          </w:p>
          <w:p w:rsidR="0016015D" w:rsidRPr="0016015D" w:rsidRDefault="0016015D" w:rsidP="0016015D">
            <w:pPr>
              <w:widowControl w:val="0"/>
              <w:jc w:val="both"/>
              <w:rPr>
                <w:sz w:val="20"/>
                <w:szCs w:val="20"/>
              </w:rPr>
            </w:pPr>
          </w:p>
          <w:p w:rsidR="00E461BB" w:rsidRPr="00C50A5C" w:rsidRDefault="0016015D" w:rsidP="0016015D">
            <w:pPr>
              <w:widowControl w:val="0"/>
              <w:jc w:val="both"/>
              <w:rPr>
                <w:sz w:val="20"/>
                <w:szCs w:val="20"/>
              </w:rPr>
            </w:pPr>
            <w:r w:rsidRPr="0016015D">
              <w:rPr>
                <w:sz w:val="20"/>
                <w:szCs w:val="20"/>
              </w:rPr>
              <w:t xml:space="preserve">Michael J. </w:t>
            </w:r>
            <w:proofErr w:type="spellStart"/>
            <w:r w:rsidRPr="0016015D">
              <w:rPr>
                <w:sz w:val="20"/>
                <w:szCs w:val="20"/>
              </w:rPr>
              <w:t>Brundrett</w:t>
            </w:r>
            <w:proofErr w:type="spellEnd"/>
            <w:r>
              <w:rPr>
                <w:sz w:val="20"/>
                <w:szCs w:val="20"/>
              </w:rPr>
              <w:t xml:space="preserve"> f</w:t>
            </w:r>
            <w:r w:rsidRPr="0016015D">
              <w:rPr>
                <w:sz w:val="20"/>
                <w:szCs w:val="20"/>
              </w:rPr>
              <w:t xml:space="preserve">or the </w:t>
            </w:r>
            <w:r>
              <w:rPr>
                <w:sz w:val="20"/>
                <w:szCs w:val="20"/>
              </w:rPr>
              <w:t>r</w:t>
            </w:r>
            <w:r w:rsidRPr="0016015D">
              <w:rPr>
                <w:sz w:val="20"/>
                <w:szCs w:val="20"/>
              </w:rPr>
              <w:t>espondent</w:t>
            </w:r>
            <w:r>
              <w:rPr>
                <w:sz w:val="20"/>
                <w:szCs w:val="20"/>
              </w:rPr>
              <w:t>.</w:t>
            </w:r>
          </w:p>
        </w:tc>
      </w:tr>
    </w:tbl>
    <w:p w:rsidR="00E461BB" w:rsidRDefault="00E461BB" w:rsidP="00E461BB">
      <w:pPr>
        <w:widowControl w:val="0"/>
      </w:pPr>
    </w:p>
    <w:p w:rsidR="00E461BB" w:rsidRPr="00D14752" w:rsidRDefault="00E461BB" w:rsidP="00E461BB">
      <w:pPr>
        <w:widowControl w:val="0"/>
        <w:rPr>
          <w:sz w:val="20"/>
          <w:szCs w:val="20"/>
        </w:rPr>
      </w:pPr>
      <w:r w:rsidRPr="00D14752">
        <w:rPr>
          <w:b/>
          <w:sz w:val="20"/>
          <w:szCs w:val="20"/>
        </w:rPr>
        <w:t xml:space="preserve">RESERVED / </w:t>
      </w:r>
      <w:r w:rsidRPr="00D14752">
        <w:rPr>
          <w:b/>
          <w:sz w:val="20"/>
          <w:szCs w:val="20"/>
          <w:lang w:val="fr-CA"/>
        </w:rPr>
        <w:t>EN DÉLIBÉRÉ</w:t>
      </w:r>
    </w:p>
    <w:p w:rsidR="00E461BB"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C1697B" w:rsidRDefault="00E461BB" w:rsidP="00CC2C3E">
            <w:pPr>
              <w:widowControl w:val="0"/>
              <w:jc w:val="both"/>
              <w:rPr>
                <w:b/>
                <w:sz w:val="20"/>
                <w:szCs w:val="20"/>
              </w:rPr>
            </w:pPr>
          </w:p>
          <w:p w:rsidR="00E461BB" w:rsidRPr="00F430C6" w:rsidRDefault="00E461BB" w:rsidP="00CC2C3E">
            <w:pPr>
              <w:widowControl w:val="0"/>
              <w:jc w:val="both"/>
              <w:rPr>
                <w:rFonts w:eastAsia="Calibri" w:cs="Times New Roman"/>
                <w:smallCaps/>
                <w:sz w:val="20"/>
                <w:szCs w:val="20"/>
              </w:rPr>
            </w:pPr>
            <w:r w:rsidRPr="00F430C6">
              <w:rPr>
                <w:rFonts w:eastAsia="Calibri" w:cs="Times New Roman"/>
                <w:smallCaps/>
                <w:sz w:val="20"/>
                <w:szCs w:val="20"/>
              </w:rPr>
              <w:t>(Publication Ban on Party)</w:t>
            </w:r>
          </w:p>
          <w:p w:rsidR="00E461BB" w:rsidRPr="00F430C6" w:rsidRDefault="00E461BB" w:rsidP="00CC2C3E">
            <w:pPr>
              <w:widowControl w:val="0"/>
              <w:jc w:val="both"/>
              <w:rPr>
                <w:rFonts w:eastAsia="Calibri" w:cs="Times New Roman"/>
                <w:sz w:val="20"/>
                <w:szCs w:val="20"/>
              </w:rPr>
            </w:pPr>
          </w:p>
          <w:p w:rsidR="00E461BB" w:rsidRPr="00F430C6" w:rsidRDefault="00E461BB" w:rsidP="00CC2C3E">
            <w:pPr>
              <w:widowControl w:val="0"/>
              <w:jc w:val="both"/>
              <w:rPr>
                <w:rFonts w:eastAsia="Calibri" w:cs="Times New Roman"/>
                <w:sz w:val="20"/>
                <w:szCs w:val="20"/>
              </w:rPr>
            </w:pPr>
            <w:r w:rsidRPr="00F430C6">
              <w:rPr>
                <w:rFonts w:eastAsia="Calibri" w:cs="Times New Roman"/>
                <w:sz w:val="20"/>
                <w:szCs w:val="20"/>
              </w:rPr>
              <w:t xml:space="preserve">Criminal Law </w:t>
            </w:r>
            <w:r w:rsidRPr="00F430C6">
              <w:rPr>
                <w:rFonts w:eastAsia="Calibri" w:cs="Times New Roman"/>
                <w:sz w:val="20"/>
                <w:szCs w:val="20"/>
              </w:rPr>
              <w:noBreakHyphen/>
              <w:t xml:space="preserve"> Sentencing </w:t>
            </w:r>
            <w:r w:rsidRPr="00F430C6">
              <w:rPr>
                <w:rFonts w:eastAsia="Calibri" w:cs="Times New Roman"/>
                <w:sz w:val="20"/>
                <w:szCs w:val="20"/>
              </w:rPr>
              <w:noBreakHyphen/>
              <w:t xml:space="preserve"> Probation </w:t>
            </w:r>
            <w:r w:rsidRPr="00F430C6">
              <w:rPr>
                <w:rFonts w:eastAsia="Calibri" w:cs="Times New Roman"/>
                <w:sz w:val="20"/>
                <w:szCs w:val="20"/>
              </w:rPr>
              <w:noBreakHyphen/>
              <w:t xml:space="preserve"> Additional Sentences </w:t>
            </w:r>
            <w:r w:rsidRPr="00F430C6">
              <w:rPr>
                <w:rFonts w:eastAsia="Calibri" w:cs="Times New Roman"/>
                <w:sz w:val="20"/>
                <w:szCs w:val="20"/>
              </w:rPr>
              <w:noBreakHyphen/>
              <w:t xml:space="preserve"> Whether the </w:t>
            </w:r>
            <w:proofErr w:type="spellStart"/>
            <w:r w:rsidRPr="00F430C6">
              <w:rPr>
                <w:rFonts w:eastAsia="Calibri" w:cs="Times New Roman"/>
                <w:sz w:val="20"/>
                <w:szCs w:val="20"/>
              </w:rPr>
              <w:t>two</w:t>
            </w:r>
            <w:r w:rsidRPr="00F430C6">
              <w:rPr>
                <w:rFonts w:eastAsia="Calibri" w:cs="Times New Roman"/>
                <w:sz w:val="20"/>
                <w:szCs w:val="20"/>
              </w:rPr>
              <w:noBreakHyphen/>
              <w:t>year</w:t>
            </w:r>
            <w:proofErr w:type="spellEnd"/>
            <w:r w:rsidRPr="00F430C6">
              <w:rPr>
                <w:rFonts w:eastAsia="Calibri" w:cs="Times New Roman"/>
                <w:sz w:val="20"/>
                <w:szCs w:val="20"/>
              </w:rPr>
              <w:t xml:space="preserve"> rule rests on the interpretation of s. 731(1) of the </w:t>
            </w:r>
            <w:r w:rsidRPr="00F430C6">
              <w:rPr>
                <w:rFonts w:eastAsia="Calibri" w:cs="Times New Roman"/>
                <w:i/>
                <w:sz w:val="20"/>
                <w:szCs w:val="20"/>
              </w:rPr>
              <w:t>Criminal Code</w:t>
            </w:r>
            <w:r w:rsidRPr="00F430C6">
              <w:rPr>
                <w:rFonts w:eastAsia="Calibri" w:cs="Times New Roman"/>
                <w:sz w:val="20"/>
                <w:szCs w:val="20"/>
              </w:rPr>
              <w:t>, R.S.C. 1985, c. C</w:t>
            </w:r>
            <w:r w:rsidRPr="00F430C6">
              <w:rPr>
                <w:rFonts w:eastAsia="Calibri" w:cs="Times New Roman"/>
                <w:sz w:val="20"/>
                <w:szCs w:val="20"/>
              </w:rPr>
              <w:noBreakHyphen/>
              <w:t xml:space="preserve">46 alone </w:t>
            </w:r>
            <w:r w:rsidRPr="00F430C6">
              <w:rPr>
                <w:rFonts w:eastAsia="Calibri" w:cs="Times New Roman"/>
                <w:sz w:val="20"/>
                <w:szCs w:val="20"/>
              </w:rPr>
              <w:noBreakHyphen/>
              <w:t xml:space="preserve"> Whether the Court of Appeal erred in its interpretation of s. 731(1) of the </w:t>
            </w:r>
            <w:r w:rsidRPr="00F430C6">
              <w:rPr>
                <w:rFonts w:eastAsia="Calibri" w:cs="Times New Roman"/>
                <w:i/>
                <w:sz w:val="20"/>
                <w:szCs w:val="20"/>
              </w:rPr>
              <w:t>Criminal Code</w:t>
            </w:r>
            <w:r w:rsidRPr="00F430C6">
              <w:rPr>
                <w:rFonts w:eastAsia="Calibri" w:cs="Times New Roman"/>
                <w:sz w:val="20"/>
                <w:szCs w:val="20"/>
              </w:rPr>
              <w:t xml:space="preserve"> </w:t>
            </w:r>
            <w:r w:rsidRPr="00F430C6">
              <w:rPr>
                <w:rFonts w:eastAsia="Calibri" w:cs="Times New Roman"/>
                <w:sz w:val="20"/>
                <w:szCs w:val="20"/>
              </w:rPr>
              <w:noBreakHyphen/>
              <w:t xml:space="preserve"> Whether s. 139 of the </w:t>
            </w:r>
            <w:r w:rsidRPr="00F430C6">
              <w:rPr>
                <w:rFonts w:eastAsia="Calibri" w:cs="Times New Roman"/>
                <w:i/>
                <w:sz w:val="20"/>
                <w:szCs w:val="20"/>
              </w:rPr>
              <w:t>Corrections and Conditional Release Act</w:t>
            </w:r>
            <w:r w:rsidRPr="00F430C6">
              <w:rPr>
                <w:rFonts w:eastAsia="Calibri" w:cs="Times New Roman"/>
                <w:sz w:val="20"/>
                <w:szCs w:val="20"/>
              </w:rPr>
              <w:t xml:space="preserve">, S.C. 1992, c. 20, supplements Parliament’s intent in s. 731(1) of the </w:t>
            </w:r>
            <w:r w:rsidRPr="00F430C6">
              <w:rPr>
                <w:rFonts w:eastAsia="Calibri" w:cs="Times New Roman"/>
                <w:i/>
                <w:sz w:val="20"/>
                <w:szCs w:val="20"/>
              </w:rPr>
              <w:t>Criminal Code</w:t>
            </w:r>
            <w:r w:rsidRPr="00F430C6">
              <w:rPr>
                <w:rFonts w:eastAsia="Calibri" w:cs="Times New Roman"/>
                <w:sz w:val="20"/>
                <w:szCs w:val="20"/>
              </w:rPr>
              <w:t xml:space="preserve"> and the </w:t>
            </w:r>
            <w:proofErr w:type="spellStart"/>
            <w:r w:rsidRPr="00F430C6">
              <w:rPr>
                <w:rFonts w:eastAsia="Calibri" w:cs="Times New Roman"/>
                <w:sz w:val="20"/>
                <w:szCs w:val="20"/>
              </w:rPr>
              <w:t>two</w:t>
            </w:r>
            <w:r w:rsidRPr="00F430C6">
              <w:rPr>
                <w:rFonts w:eastAsia="Calibri" w:cs="Times New Roman"/>
                <w:sz w:val="20"/>
                <w:szCs w:val="20"/>
              </w:rPr>
              <w:noBreakHyphen/>
              <w:t>year</w:t>
            </w:r>
            <w:proofErr w:type="spellEnd"/>
            <w:r w:rsidRPr="00F430C6">
              <w:rPr>
                <w:rFonts w:eastAsia="Calibri" w:cs="Times New Roman"/>
                <w:sz w:val="20"/>
                <w:szCs w:val="20"/>
              </w:rPr>
              <w:t xml:space="preserve"> rule.</w:t>
            </w:r>
          </w:p>
          <w:p w:rsidR="00E461BB" w:rsidRPr="00F430C6" w:rsidRDefault="00E461BB" w:rsidP="00CC2C3E">
            <w:pPr>
              <w:widowControl w:val="0"/>
              <w:jc w:val="both"/>
              <w:rPr>
                <w:rFonts w:eastAsia="Calibri" w:cs="Times New Roman"/>
                <w:sz w:val="20"/>
                <w:szCs w:val="20"/>
              </w:rPr>
            </w:pPr>
          </w:p>
          <w:p w:rsidR="00E461BB" w:rsidRPr="008E675C" w:rsidRDefault="00E461BB" w:rsidP="00CC2C3E">
            <w:pPr>
              <w:widowControl w:val="0"/>
              <w:jc w:val="both"/>
              <w:rPr>
                <w:rFonts w:eastAsia="Calibri" w:cs="Times New Roman"/>
                <w:sz w:val="20"/>
                <w:szCs w:val="20"/>
                <w:lang w:val="en-US"/>
              </w:rPr>
            </w:pPr>
          </w:p>
        </w:tc>
        <w:tc>
          <w:tcPr>
            <w:tcW w:w="720" w:type="dxa"/>
            <w:tcMar>
              <w:left w:w="0" w:type="dxa"/>
              <w:right w:w="0" w:type="dxa"/>
            </w:tcMar>
          </w:tcPr>
          <w:p w:rsidR="00E461BB" w:rsidRPr="008E675C" w:rsidRDefault="00E461BB" w:rsidP="00CC2C3E">
            <w:pPr>
              <w:widowControl w:val="0"/>
              <w:jc w:val="center"/>
              <w:rPr>
                <w:sz w:val="20"/>
                <w:szCs w:val="20"/>
                <w:lang w:val="en-US"/>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F430C6" w:rsidRDefault="00E461BB" w:rsidP="00CC2C3E">
            <w:pPr>
              <w:widowControl w:val="0"/>
              <w:jc w:val="both"/>
              <w:rPr>
                <w:rFonts w:eastAsia="Calibri" w:cs="Times New Roman"/>
                <w:smallCaps/>
                <w:sz w:val="20"/>
                <w:szCs w:val="20"/>
                <w:lang w:val="fr-CA"/>
              </w:rPr>
            </w:pPr>
            <w:r w:rsidRPr="00F430C6">
              <w:rPr>
                <w:rFonts w:eastAsia="Calibri" w:cs="Times New Roman"/>
                <w:smallCaps/>
                <w:sz w:val="20"/>
                <w:szCs w:val="20"/>
                <w:lang w:val="fr-CA"/>
              </w:rPr>
              <w:t>(Ordonnance de non publication visant une partie)</w:t>
            </w:r>
          </w:p>
          <w:p w:rsidR="00E461BB" w:rsidRPr="00F430C6" w:rsidRDefault="00E461BB" w:rsidP="00CC2C3E">
            <w:pPr>
              <w:widowControl w:val="0"/>
              <w:jc w:val="both"/>
              <w:rPr>
                <w:rFonts w:eastAsia="Calibri" w:cs="Times New Roman"/>
                <w:sz w:val="20"/>
                <w:szCs w:val="20"/>
                <w:lang w:val="fr-CA"/>
              </w:rPr>
            </w:pPr>
          </w:p>
          <w:p w:rsidR="00E461BB" w:rsidRPr="00C1697B" w:rsidRDefault="00E461BB" w:rsidP="000E033A">
            <w:pPr>
              <w:widowControl w:val="0"/>
              <w:jc w:val="both"/>
              <w:rPr>
                <w:sz w:val="20"/>
                <w:szCs w:val="20"/>
                <w:lang w:val="fr-CA"/>
              </w:rPr>
            </w:pPr>
            <w:r w:rsidRPr="00F430C6">
              <w:rPr>
                <w:rFonts w:eastAsia="Calibri" w:cs="Times New Roman"/>
                <w:sz w:val="20"/>
                <w:szCs w:val="20"/>
                <w:lang w:val="fr-CA"/>
              </w:rPr>
              <w:t xml:space="preserve">Droit criminel </w:t>
            </w:r>
            <w:r w:rsidRPr="00F430C6">
              <w:rPr>
                <w:rFonts w:eastAsia="Calibri" w:cs="Times New Roman"/>
                <w:sz w:val="20"/>
                <w:szCs w:val="20"/>
                <w:lang w:val="fr-CA"/>
              </w:rPr>
              <w:noBreakHyphen/>
              <w:t xml:space="preserve"> Détermination de la peine </w:t>
            </w:r>
            <w:r w:rsidRPr="00F430C6">
              <w:rPr>
                <w:rFonts w:eastAsia="Calibri" w:cs="Times New Roman"/>
                <w:sz w:val="20"/>
                <w:szCs w:val="20"/>
                <w:lang w:val="fr-CA"/>
              </w:rPr>
              <w:noBreakHyphen/>
              <w:t xml:space="preserve"> Probation </w:t>
            </w:r>
            <w:r w:rsidRPr="00F430C6">
              <w:rPr>
                <w:rFonts w:eastAsia="Calibri" w:cs="Times New Roman"/>
                <w:sz w:val="20"/>
                <w:szCs w:val="20"/>
                <w:lang w:val="fr-CA"/>
              </w:rPr>
              <w:noBreakHyphen/>
              <w:t xml:space="preserve"> Peines supplémentaires </w:t>
            </w:r>
            <w:r w:rsidRPr="00F430C6">
              <w:rPr>
                <w:rFonts w:eastAsia="Calibri" w:cs="Times New Roman"/>
                <w:sz w:val="20"/>
                <w:szCs w:val="20"/>
                <w:lang w:val="fr-CA"/>
              </w:rPr>
              <w:noBreakHyphen/>
              <w:t xml:space="preserve"> La règle des deux ans </w:t>
            </w:r>
            <w:proofErr w:type="spellStart"/>
            <w:r w:rsidRPr="00F430C6">
              <w:rPr>
                <w:rFonts w:eastAsia="Calibri" w:cs="Times New Roman"/>
                <w:sz w:val="20"/>
                <w:szCs w:val="20"/>
                <w:lang w:val="fr-CA"/>
              </w:rPr>
              <w:t>repose</w:t>
            </w:r>
            <w:r w:rsidRPr="00F430C6">
              <w:rPr>
                <w:rFonts w:eastAsia="Calibri" w:cs="Times New Roman"/>
                <w:sz w:val="20"/>
                <w:szCs w:val="20"/>
                <w:lang w:val="fr-CA"/>
              </w:rPr>
              <w:noBreakHyphen/>
              <w:t>t</w:t>
            </w:r>
            <w:r w:rsidRPr="00F430C6">
              <w:rPr>
                <w:rFonts w:eastAsia="Calibri" w:cs="Times New Roman"/>
                <w:sz w:val="20"/>
                <w:szCs w:val="20"/>
                <w:lang w:val="fr-CA"/>
              </w:rPr>
              <w:noBreakHyphen/>
              <w:t>elle</w:t>
            </w:r>
            <w:proofErr w:type="spellEnd"/>
            <w:r w:rsidRPr="00F430C6">
              <w:rPr>
                <w:rFonts w:eastAsia="Calibri" w:cs="Times New Roman"/>
                <w:sz w:val="20"/>
                <w:szCs w:val="20"/>
                <w:lang w:val="fr-CA"/>
              </w:rPr>
              <w:t xml:space="preserve"> sur l’interprétation du par. 731(1) du </w:t>
            </w:r>
            <w:r w:rsidRPr="00F430C6">
              <w:rPr>
                <w:rFonts w:eastAsia="Calibri" w:cs="Times New Roman"/>
                <w:i/>
                <w:sz w:val="20"/>
                <w:szCs w:val="20"/>
                <w:lang w:val="fr-CA"/>
              </w:rPr>
              <w:t>Code criminel</w:t>
            </w:r>
            <w:r w:rsidRPr="00F430C6">
              <w:rPr>
                <w:rFonts w:eastAsia="Calibri" w:cs="Times New Roman"/>
                <w:sz w:val="20"/>
                <w:szCs w:val="20"/>
                <w:lang w:val="fr-CA"/>
              </w:rPr>
              <w:t>, L.R.C. 1985, ch. C</w:t>
            </w:r>
            <w:r w:rsidRPr="00F430C6">
              <w:rPr>
                <w:rFonts w:eastAsia="Calibri" w:cs="Times New Roman"/>
                <w:sz w:val="20"/>
                <w:szCs w:val="20"/>
                <w:lang w:val="fr-CA"/>
              </w:rPr>
              <w:noBreakHyphen/>
              <w:t xml:space="preserve">46 à lui seul? </w:t>
            </w:r>
            <w:r w:rsidRPr="00F430C6">
              <w:rPr>
                <w:rFonts w:eastAsia="Calibri" w:cs="Times New Roman"/>
                <w:sz w:val="20"/>
                <w:szCs w:val="20"/>
                <w:lang w:val="fr-CA"/>
              </w:rPr>
              <w:noBreakHyphen/>
              <w:t xml:space="preserve"> La Cour d’appel s’</w:t>
            </w:r>
            <w:proofErr w:type="spellStart"/>
            <w:r w:rsidRPr="00F430C6">
              <w:rPr>
                <w:rFonts w:eastAsia="Calibri" w:cs="Times New Roman"/>
                <w:sz w:val="20"/>
                <w:szCs w:val="20"/>
                <w:lang w:val="fr-CA"/>
              </w:rPr>
              <w:t>est</w:t>
            </w:r>
            <w:r w:rsidRPr="00F430C6">
              <w:rPr>
                <w:rFonts w:eastAsia="Calibri" w:cs="Times New Roman"/>
                <w:sz w:val="20"/>
                <w:szCs w:val="20"/>
                <w:lang w:val="fr-CA"/>
              </w:rPr>
              <w:noBreakHyphen/>
              <w:t>elle</w:t>
            </w:r>
            <w:proofErr w:type="spellEnd"/>
            <w:r w:rsidRPr="00F430C6">
              <w:rPr>
                <w:rFonts w:eastAsia="Calibri" w:cs="Times New Roman"/>
                <w:sz w:val="20"/>
                <w:szCs w:val="20"/>
                <w:lang w:val="fr-CA"/>
              </w:rPr>
              <w:t xml:space="preserve"> trompée dans son interprétation du par. 731(1) du </w:t>
            </w:r>
            <w:r w:rsidRPr="00F430C6">
              <w:rPr>
                <w:rFonts w:eastAsia="Calibri" w:cs="Times New Roman"/>
                <w:i/>
                <w:sz w:val="20"/>
                <w:szCs w:val="20"/>
                <w:lang w:val="fr-CA"/>
              </w:rPr>
              <w:t>Code criminel</w:t>
            </w:r>
            <w:r w:rsidRPr="00F430C6">
              <w:rPr>
                <w:rFonts w:eastAsia="Calibri" w:cs="Times New Roman"/>
                <w:sz w:val="20"/>
                <w:szCs w:val="20"/>
                <w:lang w:val="fr-CA"/>
              </w:rPr>
              <w:t xml:space="preserve">? </w:t>
            </w:r>
            <w:r w:rsidRPr="00F430C6">
              <w:rPr>
                <w:rFonts w:eastAsia="Calibri" w:cs="Times New Roman"/>
                <w:sz w:val="20"/>
                <w:szCs w:val="20"/>
                <w:lang w:val="fr-CA"/>
              </w:rPr>
              <w:noBreakHyphen/>
              <w:t xml:space="preserve"> Le par. 139(1) de la </w:t>
            </w:r>
            <w:r w:rsidRPr="00F430C6">
              <w:rPr>
                <w:rFonts w:eastAsia="Calibri" w:cs="Times New Roman"/>
                <w:i/>
                <w:sz w:val="20"/>
                <w:szCs w:val="20"/>
                <w:lang w:val="fr-CA"/>
              </w:rPr>
              <w:t>Loi sur le système correctionnel et la mise en liberté sous condition</w:t>
            </w:r>
            <w:r w:rsidRPr="00F430C6">
              <w:rPr>
                <w:rFonts w:eastAsia="Calibri" w:cs="Times New Roman"/>
                <w:sz w:val="20"/>
                <w:szCs w:val="20"/>
                <w:lang w:val="fr-CA"/>
              </w:rPr>
              <w:t xml:space="preserve">, L.C. 1992, ch. 20, </w:t>
            </w:r>
            <w:proofErr w:type="spellStart"/>
            <w:r w:rsidRPr="00F430C6">
              <w:rPr>
                <w:rFonts w:eastAsia="Calibri" w:cs="Times New Roman"/>
                <w:sz w:val="20"/>
                <w:szCs w:val="20"/>
                <w:lang w:val="fr-CA"/>
              </w:rPr>
              <w:t>supplée</w:t>
            </w:r>
            <w:r w:rsidRPr="00F430C6">
              <w:rPr>
                <w:rFonts w:eastAsia="Calibri" w:cs="Times New Roman"/>
                <w:sz w:val="20"/>
                <w:szCs w:val="20"/>
                <w:lang w:val="fr-CA"/>
              </w:rPr>
              <w:noBreakHyphen/>
              <w:t>t</w:t>
            </w:r>
            <w:r w:rsidRPr="00F430C6">
              <w:rPr>
                <w:rFonts w:eastAsia="Calibri" w:cs="Times New Roman"/>
                <w:sz w:val="20"/>
                <w:szCs w:val="20"/>
                <w:lang w:val="fr-CA"/>
              </w:rPr>
              <w:noBreakHyphen/>
              <w:t>il</w:t>
            </w:r>
            <w:proofErr w:type="spellEnd"/>
            <w:r w:rsidRPr="00F430C6">
              <w:rPr>
                <w:rFonts w:eastAsia="Calibri" w:cs="Times New Roman"/>
                <w:sz w:val="20"/>
                <w:szCs w:val="20"/>
                <w:lang w:val="fr-CA"/>
              </w:rPr>
              <w:t xml:space="preserve"> à l’intention du législateur fédéral dans le par. 731(1) du </w:t>
            </w:r>
            <w:r w:rsidRPr="00F430C6">
              <w:rPr>
                <w:rFonts w:eastAsia="Calibri" w:cs="Times New Roman"/>
                <w:i/>
                <w:sz w:val="20"/>
                <w:szCs w:val="20"/>
                <w:lang w:val="fr-CA"/>
              </w:rPr>
              <w:t>Code criminel</w:t>
            </w:r>
            <w:r w:rsidRPr="00F430C6">
              <w:rPr>
                <w:rFonts w:eastAsia="Calibri" w:cs="Times New Roman"/>
                <w:sz w:val="20"/>
                <w:szCs w:val="20"/>
                <w:lang w:val="fr-CA"/>
              </w:rPr>
              <w:t xml:space="preserve"> et à la règle des deux ans?</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lang w:val="fr-CA"/>
        </w:rPr>
      </w:pPr>
      <w:r w:rsidRPr="00DB7F13">
        <w:rPr>
          <w:sz w:val="20"/>
          <w:szCs w:val="20"/>
          <w:lang w:val="fr-CA"/>
        </w:rPr>
        <w:pict>
          <v:rect id="_x0000_i1070" style="width:2in;height:1pt" o:hrpct="0" o:hralign="center" o:hrstd="t" o:hrnoshade="t" o:hr="t" fillcolor="black [3213]" stroked="f"/>
        </w:pict>
      </w:r>
    </w:p>
    <w:p w:rsidR="00E461BB" w:rsidRDefault="00E461BB" w:rsidP="00E461BB">
      <w:pPr>
        <w:widowControl w:val="0"/>
        <w:rPr>
          <w:sz w:val="20"/>
          <w:szCs w:val="20"/>
        </w:rPr>
      </w:pPr>
    </w:p>
    <w:p w:rsidR="00E461BB" w:rsidRDefault="00E461BB" w:rsidP="00E461BB">
      <w:pPr>
        <w:widowControl w:val="0"/>
        <w:rPr>
          <w:sz w:val="20"/>
          <w:szCs w:val="20"/>
        </w:rPr>
      </w:pPr>
      <w:r>
        <w:rPr>
          <w:sz w:val="20"/>
          <w:szCs w:val="20"/>
        </w:rPr>
        <w:t>15.12.2011</w:t>
      </w:r>
    </w:p>
    <w:p w:rsidR="00E461BB" w:rsidRDefault="00E461BB" w:rsidP="00E461BB">
      <w:pPr>
        <w:widowControl w:val="0"/>
        <w:rPr>
          <w:sz w:val="20"/>
          <w:szCs w:val="20"/>
        </w:rPr>
      </w:pPr>
    </w:p>
    <w:p w:rsidR="00E461BB" w:rsidRPr="00714798" w:rsidRDefault="00E461BB" w:rsidP="00E461BB">
      <w:pPr>
        <w:widowControl w:val="0"/>
        <w:rPr>
          <w:sz w:val="20"/>
          <w:szCs w:val="20"/>
        </w:rPr>
      </w:pPr>
      <w:r w:rsidRPr="00714798">
        <w:rPr>
          <w:sz w:val="20"/>
          <w:szCs w:val="20"/>
        </w:rPr>
        <w:t xml:space="preserve">Coram: </w:t>
      </w:r>
      <w:proofErr w:type="spellStart"/>
      <w:r w:rsidRPr="00714798">
        <w:rPr>
          <w:sz w:val="20"/>
          <w:szCs w:val="20"/>
          <w:u w:val="single"/>
          <w:lang w:val="en-US"/>
        </w:rPr>
        <w:t>LeBel</w:t>
      </w:r>
      <w:proofErr w:type="spellEnd"/>
      <w:r w:rsidRPr="00714798">
        <w:rPr>
          <w:sz w:val="20"/>
          <w:szCs w:val="20"/>
          <w:u w:val="single"/>
          <w:lang w:val="en-US"/>
        </w:rPr>
        <w:t xml:space="preserve">, Fish, </w:t>
      </w:r>
      <w:proofErr w:type="spellStart"/>
      <w:r w:rsidRPr="00714798">
        <w:rPr>
          <w:sz w:val="20"/>
          <w:szCs w:val="20"/>
          <w:u w:val="single"/>
          <w:lang w:val="en-US"/>
        </w:rPr>
        <w:t>Abella</w:t>
      </w:r>
      <w:proofErr w:type="spellEnd"/>
      <w:r w:rsidRPr="00714798">
        <w:rPr>
          <w:sz w:val="20"/>
          <w:szCs w:val="20"/>
          <w:u w:val="single"/>
          <w:lang w:val="en-US"/>
        </w:rPr>
        <w:t xml:space="preserve">, Rothstein, Cromwell, </w:t>
      </w:r>
      <w:proofErr w:type="spellStart"/>
      <w:r w:rsidRPr="00714798">
        <w:rPr>
          <w:sz w:val="20"/>
          <w:szCs w:val="20"/>
          <w:u w:val="single"/>
          <w:lang w:val="en-US"/>
        </w:rPr>
        <w:t>Moldaver</w:t>
      </w:r>
      <w:proofErr w:type="spellEnd"/>
      <w:r w:rsidRPr="00714798">
        <w:rPr>
          <w:sz w:val="20"/>
          <w:szCs w:val="20"/>
          <w:u w:val="single"/>
          <w:lang w:val="en-US"/>
        </w:rPr>
        <w:t xml:space="preserve"> and </w:t>
      </w:r>
      <w:proofErr w:type="spellStart"/>
      <w:r w:rsidRPr="00714798">
        <w:rPr>
          <w:sz w:val="20"/>
          <w:szCs w:val="20"/>
          <w:u w:val="single"/>
          <w:lang w:val="en-US"/>
        </w:rPr>
        <w:t>Karakatsanis</w:t>
      </w:r>
      <w:proofErr w:type="spellEnd"/>
      <w:r w:rsidRPr="00714798">
        <w:rPr>
          <w:sz w:val="20"/>
          <w:szCs w:val="20"/>
          <w:u w:val="single"/>
          <w:lang w:val="en-US"/>
        </w:rPr>
        <w:t xml:space="preserve"> JJ.</w:t>
      </w:r>
    </w:p>
    <w:p w:rsidR="00E461BB" w:rsidRDefault="00E461BB" w:rsidP="00E461B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461BB" w:rsidRPr="00C50A5C" w:rsidTr="00CC2C3E">
        <w:tc>
          <w:tcPr>
            <w:tcW w:w="4380" w:type="dxa"/>
            <w:tcMar>
              <w:left w:w="0" w:type="dxa"/>
              <w:right w:w="0" w:type="dxa"/>
            </w:tcMar>
          </w:tcPr>
          <w:p w:rsidR="00E461BB" w:rsidRPr="009F0F14" w:rsidRDefault="00E461BB" w:rsidP="00CC2C3E">
            <w:pPr>
              <w:rPr>
                <w:rStyle w:val="SCCSsocChar"/>
                <w:b/>
                <w:i w:val="0"/>
                <w:lang w:val="fr-CA"/>
              </w:rPr>
            </w:pPr>
            <w:r w:rsidRPr="009F0F14">
              <w:rPr>
                <w:rStyle w:val="SCCSsocChar"/>
                <w:b/>
                <w:i w:val="0"/>
                <w:lang w:val="fr-CA"/>
              </w:rPr>
              <w:t xml:space="preserve">Matthew Leslie </w:t>
            </w:r>
            <w:proofErr w:type="spellStart"/>
            <w:r w:rsidRPr="009F0F14">
              <w:rPr>
                <w:rStyle w:val="SCCSsocChar"/>
                <w:b/>
                <w:i w:val="0"/>
                <w:lang w:val="fr-CA"/>
              </w:rPr>
              <w:t>Maybin</w:t>
            </w:r>
            <w:proofErr w:type="spellEnd"/>
            <w:r w:rsidRPr="009F0F14">
              <w:rPr>
                <w:rStyle w:val="SCCSsocChar"/>
                <w:b/>
                <w:i w:val="0"/>
                <w:lang w:val="fr-CA"/>
              </w:rPr>
              <w:t xml:space="preserve"> et al. </w:t>
            </w:r>
          </w:p>
          <w:p w:rsidR="00E461BB" w:rsidRPr="009F0F14" w:rsidRDefault="00E461BB" w:rsidP="00CC2C3E">
            <w:pPr>
              <w:rPr>
                <w:rStyle w:val="SCCSsocChar"/>
                <w:b/>
                <w:i w:val="0"/>
                <w:lang w:val="fr-CA"/>
              </w:rPr>
            </w:pPr>
          </w:p>
          <w:p w:rsidR="00E461BB" w:rsidRPr="009F0F14" w:rsidRDefault="00E461BB" w:rsidP="00CC2C3E">
            <w:pPr>
              <w:widowControl w:val="0"/>
              <w:tabs>
                <w:tab w:val="left" w:pos="736"/>
              </w:tabs>
              <w:jc w:val="both"/>
              <w:rPr>
                <w:b/>
                <w:sz w:val="20"/>
                <w:szCs w:val="20"/>
                <w:lang w:val="en-US"/>
              </w:rPr>
            </w:pPr>
            <w:r w:rsidRPr="009F0F14">
              <w:rPr>
                <w:b/>
                <w:sz w:val="20"/>
                <w:szCs w:val="20"/>
                <w:lang w:val="fr-CA"/>
              </w:rPr>
              <w:tab/>
            </w:r>
            <w:r w:rsidRPr="009F0F14">
              <w:rPr>
                <w:b/>
                <w:sz w:val="20"/>
                <w:szCs w:val="20"/>
                <w:lang w:val="en-US"/>
              </w:rPr>
              <w:t xml:space="preserve">v. </w:t>
            </w:r>
            <w:r w:rsidRPr="009F0F14">
              <w:rPr>
                <w:rFonts w:cs="Times New Roman"/>
                <w:b/>
                <w:sz w:val="20"/>
                <w:szCs w:val="20"/>
              </w:rPr>
              <w:t>(34011)</w:t>
            </w:r>
          </w:p>
          <w:p w:rsidR="00E461BB" w:rsidRPr="009F0F14" w:rsidRDefault="00E461BB" w:rsidP="00CC2C3E">
            <w:pPr>
              <w:rPr>
                <w:rStyle w:val="SCCSsocChar"/>
                <w:b/>
                <w:i w:val="0"/>
              </w:rPr>
            </w:pPr>
          </w:p>
          <w:p w:rsidR="00E461BB" w:rsidRPr="00660A94" w:rsidRDefault="00E461BB" w:rsidP="00CC2C3E">
            <w:pPr>
              <w:widowControl w:val="0"/>
              <w:jc w:val="both"/>
              <w:rPr>
                <w:sz w:val="20"/>
                <w:szCs w:val="20"/>
                <w:lang w:val="en-US"/>
              </w:rPr>
            </w:pPr>
            <w:r w:rsidRPr="009F0F14">
              <w:rPr>
                <w:rStyle w:val="SCCSsocChar"/>
                <w:b/>
                <w:i w:val="0"/>
              </w:rPr>
              <w:t>Her Majesty the Queen</w:t>
            </w:r>
            <w:r w:rsidRPr="009F0F14">
              <w:rPr>
                <w:rFonts w:cs="Times New Roman"/>
                <w:b/>
                <w:sz w:val="20"/>
                <w:szCs w:val="20"/>
              </w:rPr>
              <w:t xml:space="preserve"> (B.C.) (Criminal) (As of Right</w:t>
            </w:r>
            <w:r w:rsidRPr="0096618E">
              <w:rPr>
                <w:rFonts w:cs="Times New Roman"/>
                <w:b/>
                <w:sz w:val="20"/>
                <w:szCs w:val="20"/>
              </w:rPr>
              <w:t>)</w:t>
            </w:r>
          </w:p>
        </w:tc>
        <w:tc>
          <w:tcPr>
            <w:tcW w:w="720" w:type="dxa"/>
            <w:tcMar>
              <w:left w:w="0" w:type="dxa"/>
              <w:right w:w="0" w:type="dxa"/>
            </w:tcMar>
          </w:tcPr>
          <w:p w:rsidR="00E461BB" w:rsidRPr="00660A94" w:rsidRDefault="00E461BB" w:rsidP="00CC2C3E">
            <w:pPr>
              <w:widowControl w:val="0"/>
              <w:jc w:val="center"/>
              <w:rPr>
                <w:sz w:val="20"/>
                <w:szCs w:val="20"/>
                <w:lang w:val="en-US"/>
              </w:rPr>
            </w:pPr>
          </w:p>
        </w:tc>
        <w:tc>
          <w:tcPr>
            <w:tcW w:w="4380" w:type="dxa"/>
            <w:tcMar>
              <w:left w:w="0" w:type="dxa"/>
              <w:right w:w="0" w:type="dxa"/>
            </w:tcMar>
          </w:tcPr>
          <w:p w:rsidR="00F22BDC" w:rsidRDefault="00F22BDC" w:rsidP="00F22BDC">
            <w:pPr>
              <w:widowControl w:val="0"/>
              <w:jc w:val="both"/>
              <w:rPr>
                <w:sz w:val="20"/>
                <w:szCs w:val="20"/>
              </w:rPr>
            </w:pPr>
            <w:r w:rsidRPr="00F22BDC">
              <w:rPr>
                <w:sz w:val="20"/>
                <w:szCs w:val="20"/>
              </w:rPr>
              <w:t>J.M. Peter Firestone</w:t>
            </w:r>
            <w:r>
              <w:rPr>
                <w:sz w:val="20"/>
                <w:szCs w:val="20"/>
              </w:rPr>
              <w:t xml:space="preserve"> and </w:t>
            </w:r>
            <w:r w:rsidRPr="00F22BDC">
              <w:rPr>
                <w:sz w:val="20"/>
                <w:szCs w:val="20"/>
              </w:rPr>
              <w:t xml:space="preserve">Catherine </w:t>
            </w:r>
            <w:proofErr w:type="spellStart"/>
            <w:r w:rsidRPr="00F22BDC">
              <w:rPr>
                <w:sz w:val="20"/>
                <w:szCs w:val="20"/>
              </w:rPr>
              <w:t>Tyhurst</w:t>
            </w:r>
            <w:proofErr w:type="spellEnd"/>
            <w:r>
              <w:rPr>
                <w:sz w:val="20"/>
                <w:szCs w:val="20"/>
              </w:rPr>
              <w:t xml:space="preserve"> f</w:t>
            </w:r>
            <w:r w:rsidRPr="00F22BDC">
              <w:rPr>
                <w:sz w:val="20"/>
                <w:szCs w:val="20"/>
              </w:rPr>
              <w:t xml:space="preserve">or the </w:t>
            </w:r>
            <w:r>
              <w:rPr>
                <w:sz w:val="20"/>
                <w:szCs w:val="20"/>
              </w:rPr>
              <w:t>a</w:t>
            </w:r>
            <w:r w:rsidRPr="00F22BDC">
              <w:rPr>
                <w:sz w:val="20"/>
                <w:szCs w:val="20"/>
              </w:rPr>
              <w:t>ppellant</w:t>
            </w:r>
            <w:r>
              <w:rPr>
                <w:sz w:val="20"/>
                <w:szCs w:val="20"/>
              </w:rPr>
              <w:t>.</w:t>
            </w:r>
          </w:p>
          <w:p w:rsidR="00F22BDC" w:rsidRPr="00F22BDC" w:rsidRDefault="00F22BDC" w:rsidP="00F22BDC">
            <w:pPr>
              <w:widowControl w:val="0"/>
              <w:jc w:val="both"/>
              <w:rPr>
                <w:sz w:val="20"/>
                <w:szCs w:val="20"/>
              </w:rPr>
            </w:pPr>
          </w:p>
          <w:p w:rsidR="00F22BDC" w:rsidRDefault="00F22BDC" w:rsidP="00F22BDC">
            <w:pPr>
              <w:widowControl w:val="0"/>
              <w:jc w:val="both"/>
              <w:rPr>
                <w:sz w:val="20"/>
                <w:szCs w:val="20"/>
              </w:rPr>
            </w:pPr>
            <w:r w:rsidRPr="00F22BDC">
              <w:rPr>
                <w:sz w:val="20"/>
                <w:szCs w:val="20"/>
              </w:rPr>
              <w:t>John M. Gordon, Q.C.</w:t>
            </w:r>
            <w:r>
              <w:rPr>
                <w:sz w:val="20"/>
                <w:szCs w:val="20"/>
              </w:rPr>
              <w:t xml:space="preserve"> and </w:t>
            </w:r>
            <w:r w:rsidRPr="00F22BDC">
              <w:rPr>
                <w:sz w:val="20"/>
                <w:szCs w:val="20"/>
              </w:rPr>
              <w:t>Elizabeth A. Campbell</w:t>
            </w:r>
            <w:r>
              <w:rPr>
                <w:sz w:val="20"/>
                <w:szCs w:val="20"/>
              </w:rPr>
              <w:t xml:space="preserve"> f</w:t>
            </w:r>
            <w:r w:rsidRPr="00F22BDC">
              <w:rPr>
                <w:sz w:val="20"/>
                <w:szCs w:val="20"/>
              </w:rPr>
              <w:t xml:space="preserve">or the </w:t>
            </w:r>
            <w:r>
              <w:rPr>
                <w:sz w:val="20"/>
                <w:szCs w:val="20"/>
              </w:rPr>
              <w:t>r</w:t>
            </w:r>
            <w:r w:rsidRPr="00F22BDC">
              <w:rPr>
                <w:sz w:val="20"/>
                <w:szCs w:val="20"/>
              </w:rPr>
              <w:t>espondent</w:t>
            </w:r>
            <w:r>
              <w:rPr>
                <w:sz w:val="20"/>
                <w:szCs w:val="20"/>
              </w:rPr>
              <w:t>.</w:t>
            </w:r>
          </w:p>
          <w:p w:rsidR="00F22BDC" w:rsidRPr="00F22BDC" w:rsidRDefault="00F22BDC" w:rsidP="00F22BDC">
            <w:pPr>
              <w:widowControl w:val="0"/>
              <w:jc w:val="both"/>
              <w:rPr>
                <w:sz w:val="20"/>
                <w:szCs w:val="20"/>
              </w:rPr>
            </w:pPr>
          </w:p>
          <w:p w:rsidR="00E461BB" w:rsidRPr="00C50A5C" w:rsidRDefault="00F22BDC" w:rsidP="00F22BDC">
            <w:pPr>
              <w:widowControl w:val="0"/>
              <w:jc w:val="both"/>
              <w:rPr>
                <w:sz w:val="20"/>
                <w:szCs w:val="20"/>
              </w:rPr>
            </w:pPr>
            <w:r w:rsidRPr="00F22BDC">
              <w:rPr>
                <w:sz w:val="20"/>
                <w:szCs w:val="20"/>
              </w:rPr>
              <w:t xml:space="preserve">Lucy </w:t>
            </w:r>
            <w:proofErr w:type="spellStart"/>
            <w:r w:rsidRPr="00F22BDC">
              <w:rPr>
                <w:sz w:val="20"/>
                <w:szCs w:val="20"/>
              </w:rPr>
              <w:t>Cecchetto</w:t>
            </w:r>
            <w:proofErr w:type="spellEnd"/>
            <w:r>
              <w:rPr>
                <w:sz w:val="20"/>
                <w:szCs w:val="20"/>
              </w:rPr>
              <w:t xml:space="preserve"> f</w:t>
            </w:r>
            <w:r w:rsidRPr="00F22BDC">
              <w:rPr>
                <w:sz w:val="20"/>
                <w:szCs w:val="20"/>
              </w:rPr>
              <w:t>or the</w:t>
            </w:r>
            <w:r>
              <w:rPr>
                <w:sz w:val="20"/>
                <w:szCs w:val="20"/>
              </w:rPr>
              <w:t xml:space="preserve"> i</w:t>
            </w:r>
            <w:r w:rsidRPr="00F22BDC">
              <w:rPr>
                <w:sz w:val="20"/>
                <w:szCs w:val="20"/>
              </w:rPr>
              <w:t>ntervener</w:t>
            </w:r>
            <w:r>
              <w:rPr>
                <w:sz w:val="20"/>
                <w:szCs w:val="20"/>
              </w:rPr>
              <w:t xml:space="preserve"> </w:t>
            </w:r>
            <w:r w:rsidRPr="00F22BDC">
              <w:rPr>
                <w:sz w:val="20"/>
                <w:szCs w:val="20"/>
              </w:rPr>
              <w:t>Attorney General of Ontario</w:t>
            </w:r>
            <w:r>
              <w:rPr>
                <w:sz w:val="20"/>
                <w:szCs w:val="20"/>
              </w:rPr>
              <w:t>.</w:t>
            </w:r>
          </w:p>
        </w:tc>
      </w:tr>
    </w:tbl>
    <w:p w:rsidR="00E461BB" w:rsidRPr="00714798" w:rsidRDefault="00E461BB" w:rsidP="00E461BB">
      <w:pPr>
        <w:widowControl w:val="0"/>
      </w:pPr>
    </w:p>
    <w:p w:rsidR="00E461BB" w:rsidRPr="00714798" w:rsidRDefault="00E461BB" w:rsidP="00E461BB">
      <w:pPr>
        <w:widowControl w:val="0"/>
        <w:rPr>
          <w:sz w:val="20"/>
          <w:szCs w:val="20"/>
        </w:rPr>
      </w:pPr>
      <w:r w:rsidRPr="00714798">
        <w:rPr>
          <w:b/>
          <w:sz w:val="20"/>
          <w:szCs w:val="20"/>
        </w:rPr>
        <w:t xml:space="preserve">RESERVED / </w:t>
      </w:r>
      <w:r w:rsidRPr="00714798">
        <w:rPr>
          <w:b/>
          <w:sz w:val="20"/>
          <w:szCs w:val="20"/>
          <w:lang w:val="fr-CA"/>
        </w:rPr>
        <w:t>EN DÉLIBÉRÉ</w:t>
      </w:r>
    </w:p>
    <w:p w:rsidR="00E461BB" w:rsidRDefault="00E461BB" w:rsidP="00E461BB"/>
    <w:p w:rsidR="00A77E69" w:rsidRDefault="00A77E69">
      <w:r>
        <w:br w:type="page"/>
      </w:r>
    </w:p>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lastRenderedPageBreak/>
              <w:t>Nature of the case:</w:t>
            </w:r>
          </w:p>
          <w:p w:rsidR="00E461BB" w:rsidRPr="00C1697B" w:rsidRDefault="00E461BB" w:rsidP="00CC2C3E">
            <w:pPr>
              <w:widowControl w:val="0"/>
              <w:jc w:val="both"/>
              <w:rPr>
                <w:b/>
                <w:sz w:val="20"/>
                <w:szCs w:val="20"/>
              </w:rPr>
            </w:pPr>
          </w:p>
          <w:p w:rsidR="00E461BB" w:rsidRPr="008E675C" w:rsidRDefault="00E461BB" w:rsidP="00CC2C3E">
            <w:pPr>
              <w:widowControl w:val="0"/>
              <w:jc w:val="both"/>
              <w:rPr>
                <w:rFonts w:eastAsia="Calibri" w:cs="Times New Roman"/>
                <w:sz w:val="20"/>
                <w:szCs w:val="20"/>
                <w:lang w:val="en-US"/>
              </w:rPr>
            </w:pPr>
            <w:r w:rsidRPr="001D1491">
              <w:rPr>
                <w:rFonts w:eastAsia="Calibri" w:cs="Times New Roman"/>
                <w:sz w:val="20"/>
                <w:szCs w:val="20"/>
              </w:rPr>
              <w:t xml:space="preserve">Criminal law </w:t>
            </w:r>
            <w:r w:rsidRPr="001D1491">
              <w:rPr>
                <w:rFonts w:eastAsia="Calibri" w:cs="Times New Roman"/>
                <w:sz w:val="20"/>
                <w:szCs w:val="20"/>
              </w:rPr>
              <w:noBreakHyphen/>
              <w:t xml:space="preserve"> Offences </w:t>
            </w:r>
            <w:r w:rsidRPr="001D1491">
              <w:rPr>
                <w:rFonts w:eastAsia="Calibri" w:cs="Times New Roman"/>
                <w:sz w:val="20"/>
                <w:szCs w:val="20"/>
              </w:rPr>
              <w:noBreakHyphen/>
              <w:t xml:space="preserve"> Manslaughter </w:t>
            </w:r>
            <w:r w:rsidRPr="001D1491">
              <w:rPr>
                <w:rFonts w:eastAsia="Calibri" w:cs="Times New Roman"/>
                <w:sz w:val="20"/>
                <w:szCs w:val="20"/>
              </w:rPr>
              <w:noBreakHyphen/>
              <w:t xml:space="preserve"> Causation </w:t>
            </w:r>
            <w:r w:rsidRPr="001D1491">
              <w:rPr>
                <w:rFonts w:eastAsia="Calibri" w:cs="Times New Roman"/>
                <w:sz w:val="20"/>
                <w:szCs w:val="20"/>
              </w:rPr>
              <w:noBreakHyphen/>
              <w:t xml:space="preserve"> Whether the independent acts of the third party, in striking the unconscious victim following the assault by the appellants, breached the chain of causation relieving the appellants of liability for manslaughter </w:t>
            </w:r>
            <w:r w:rsidRPr="001D1491">
              <w:rPr>
                <w:rFonts w:eastAsia="Calibri" w:cs="Times New Roman"/>
                <w:sz w:val="20"/>
                <w:szCs w:val="20"/>
              </w:rPr>
              <w:noBreakHyphen/>
              <w:t xml:space="preserve"> If those acts did not breach the chain of causation, whether the actions of that third party were reasonably foreseeable.</w:t>
            </w:r>
          </w:p>
          <w:p w:rsidR="00E461BB" w:rsidRPr="008E675C" w:rsidRDefault="00E461BB" w:rsidP="00CC2C3E">
            <w:pPr>
              <w:widowControl w:val="0"/>
              <w:jc w:val="both"/>
              <w:rPr>
                <w:rFonts w:eastAsia="Calibri" w:cs="Times New Roman"/>
                <w:sz w:val="20"/>
                <w:szCs w:val="20"/>
                <w:lang w:val="en-US"/>
              </w:rPr>
            </w:pPr>
          </w:p>
        </w:tc>
        <w:tc>
          <w:tcPr>
            <w:tcW w:w="720" w:type="dxa"/>
            <w:tcMar>
              <w:left w:w="0" w:type="dxa"/>
              <w:right w:w="0" w:type="dxa"/>
            </w:tcMar>
          </w:tcPr>
          <w:p w:rsidR="00E461BB" w:rsidRPr="008E675C" w:rsidRDefault="00E461BB" w:rsidP="00CC2C3E">
            <w:pPr>
              <w:widowControl w:val="0"/>
              <w:jc w:val="center"/>
              <w:rPr>
                <w:sz w:val="20"/>
                <w:szCs w:val="20"/>
                <w:lang w:val="en-US"/>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C1697B" w:rsidRDefault="00E461BB" w:rsidP="00267ABC">
            <w:pPr>
              <w:widowControl w:val="0"/>
              <w:jc w:val="both"/>
              <w:rPr>
                <w:sz w:val="20"/>
                <w:szCs w:val="20"/>
                <w:lang w:val="fr-CA"/>
              </w:rPr>
            </w:pPr>
            <w:r w:rsidRPr="001D1491">
              <w:rPr>
                <w:rFonts w:eastAsia="Calibri" w:cs="Times New Roman"/>
                <w:sz w:val="20"/>
                <w:szCs w:val="20"/>
                <w:lang w:val="fr-CA"/>
              </w:rPr>
              <w:t xml:space="preserve">Droit criminel </w:t>
            </w:r>
            <w:r w:rsidRPr="001D1491">
              <w:rPr>
                <w:rFonts w:eastAsia="Calibri" w:cs="Times New Roman"/>
                <w:sz w:val="20"/>
                <w:szCs w:val="20"/>
                <w:lang w:val="fr-CA"/>
              </w:rPr>
              <w:noBreakHyphen/>
              <w:t xml:space="preserve"> Infractions </w:t>
            </w:r>
            <w:r w:rsidRPr="001D1491">
              <w:rPr>
                <w:rFonts w:eastAsia="Calibri" w:cs="Times New Roman"/>
                <w:sz w:val="20"/>
                <w:szCs w:val="20"/>
                <w:lang w:val="fr-CA"/>
              </w:rPr>
              <w:noBreakHyphen/>
              <w:t xml:space="preserve"> Homicide involontaire coupable </w:t>
            </w:r>
            <w:r w:rsidRPr="001D1491">
              <w:rPr>
                <w:rFonts w:eastAsia="Calibri" w:cs="Times New Roman"/>
                <w:sz w:val="20"/>
                <w:szCs w:val="20"/>
                <w:lang w:val="fr-CA"/>
              </w:rPr>
              <w:noBreakHyphen/>
              <w:t xml:space="preserve"> Lien de causalité </w:t>
            </w:r>
            <w:r w:rsidRPr="001D1491">
              <w:rPr>
                <w:rFonts w:eastAsia="Calibri" w:cs="Times New Roman"/>
                <w:sz w:val="20"/>
                <w:szCs w:val="20"/>
                <w:lang w:val="fr-CA"/>
              </w:rPr>
              <w:noBreakHyphen/>
              <w:t xml:space="preserve"> Les actes indépendants du tiers, qui a frappé la victime inconsciente après l’agression commise par les appelants, </w:t>
            </w:r>
            <w:proofErr w:type="spellStart"/>
            <w:r w:rsidRPr="001D1491">
              <w:rPr>
                <w:rFonts w:eastAsia="Calibri" w:cs="Times New Roman"/>
                <w:sz w:val="20"/>
                <w:szCs w:val="20"/>
                <w:lang w:val="fr-CA"/>
              </w:rPr>
              <w:t>ont</w:t>
            </w:r>
            <w:r w:rsidRPr="001D1491">
              <w:rPr>
                <w:rFonts w:eastAsia="Calibri" w:cs="Times New Roman"/>
                <w:sz w:val="20"/>
                <w:szCs w:val="20"/>
                <w:lang w:val="fr-CA"/>
              </w:rPr>
              <w:noBreakHyphen/>
              <w:t>ils</w:t>
            </w:r>
            <w:proofErr w:type="spellEnd"/>
            <w:r w:rsidRPr="001D1491">
              <w:rPr>
                <w:rFonts w:eastAsia="Calibri" w:cs="Times New Roman"/>
                <w:sz w:val="20"/>
                <w:szCs w:val="20"/>
                <w:lang w:val="fr-CA"/>
              </w:rPr>
              <w:t xml:space="preserve"> rompu le lien de causalité, déchargeant les appelants de toute responsabilité pour homicide involontaire coupable? </w:t>
            </w:r>
            <w:r w:rsidRPr="001D1491">
              <w:rPr>
                <w:rFonts w:eastAsia="Calibri" w:cs="Times New Roman"/>
                <w:sz w:val="20"/>
                <w:szCs w:val="20"/>
                <w:lang w:val="fr-CA"/>
              </w:rPr>
              <w:noBreakHyphen/>
              <w:t xml:space="preserve"> Si ces actes n’ont pas rompu le lien de causalité, </w:t>
            </w:r>
            <w:proofErr w:type="spellStart"/>
            <w:r w:rsidRPr="001D1491">
              <w:rPr>
                <w:rFonts w:eastAsia="Calibri" w:cs="Times New Roman"/>
                <w:sz w:val="20"/>
                <w:szCs w:val="20"/>
                <w:lang w:val="fr-CA"/>
              </w:rPr>
              <w:t>étaient</w:t>
            </w:r>
            <w:r w:rsidRPr="001D1491">
              <w:rPr>
                <w:rFonts w:eastAsia="Calibri" w:cs="Times New Roman"/>
                <w:sz w:val="20"/>
                <w:szCs w:val="20"/>
                <w:lang w:val="fr-CA"/>
              </w:rPr>
              <w:noBreakHyphen/>
              <w:t>ils</w:t>
            </w:r>
            <w:proofErr w:type="spellEnd"/>
            <w:r w:rsidRPr="001D1491">
              <w:rPr>
                <w:rFonts w:eastAsia="Calibri" w:cs="Times New Roman"/>
                <w:sz w:val="20"/>
                <w:szCs w:val="20"/>
                <w:lang w:val="fr-CA"/>
              </w:rPr>
              <w:t xml:space="preserve"> raisonnablement </w:t>
            </w:r>
            <w:proofErr w:type="spellStart"/>
            <w:r w:rsidRPr="001D1491">
              <w:rPr>
                <w:rFonts w:eastAsia="Calibri" w:cs="Times New Roman"/>
                <w:sz w:val="20"/>
                <w:szCs w:val="20"/>
                <w:lang w:val="fr-CA"/>
              </w:rPr>
              <w:t>prévisibles</w:t>
            </w:r>
            <w:proofErr w:type="gramStart"/>
            <w:r w:rsidRPr="001D1491">
              <w:rPr>
                <w:rFonts w:eastAsia="Calibri" w:cs="Times New Roman"/>
                <w:sz w:val="20"/>
                <w:szCs w:val="20"/>
                <w:lang w:val="fr-CA"/>
              </w:rPr>
              <w:t>?</w:t>
            </w:r>
            <w:r w:rsidRPr="00352861">
              <w:rPr>
                <w:rFonts w:eastAsia="Calibri" w:cs="Times New Roman"/>
                <w:sz w:val="20"/>
                <w:szCs w:val="20"/>
                <w:lang w:val="fr-CA"/>
              </w:rPr>
              <w:t>justice</w:t>
            </w:r>
            <w:proofErr w:type="spellEnd"/>
            <w:proofErr w:type="gramEnd"/>
            <w:r w:rsidRPr="00352861">
              <w:rPr>
                <w:rFonts w:eastAsia="Calibri" w:cs="Times New Roman"/>
                <w:sz w:val="20"/>
                <w:szCs w:val="20"/>
                <w:lang w:val="fr-CA"/>
              </w:rPr>
              <w:t xml:space="preserve"> de l’Ontario et la Cour d’appel de l’Ontario?</w:t>
            </w:r>
          </w:p>
        </w:tc>
      </w:tr>
    </w:tbl>
    <w:p w:rsidR="00E461BB" w:rsidRPr="00404951" w:rsidRDefault="00E461BB" w:rsidP="00E461BB">
      <w:pPr>
        <w:widowControl w:val="0"/>
        <w:rPr>
          <w:sz w:val="20"/>
          <w:szCs w:val="20"/>
          <w:lang w:val="fr-CA"/>
        </w:rPr>
      </w:pPr>
    </w:p>
    <w:p w:rsidR="00E461BB" w:rsidRDefault="00DB7F13" w:rsidP="00E461BB">
      <w:pPr>
        <w:widowControl w:val="0"/>
        <w:rPr>
          <w:sz w:val="20"/>
          <w:szCs w:val="20"/>
          <w:lang w:val="fr-CA"/>
        </w:rPr>
      </w:pPr>
      <w:r w:rsidRPr="00DB7F13">
        <w:rPr>
          <w:sz w:val="20"/>
          <w:szCs w:val="20"/>
          <w:lang w:val="fr-CA"/>
        </w:rPr>
        <w:pict>
          <v:rect id="_x0000_i1071" style="width:2in;height:1pt" o:hrpct="0" o:hralign="center" o:hrstd="t" o:hrnoshade="t" o:hr="t" fillcolor="black [3213]" stroked="f"/>
        </w:pict>
      </w:r>
    </w:p>
    <w:p w:rsidR="00E461BB" w:rsidRDefault="00E461BB" w:rsidP="00E461BB">
      <w:pPr>
        <w:widowControl w:val="0"/>
        <w:rPr>
          <w:sz w:val="20"/>
          <w:szCs w:val="20"/>
        </w:rPr>
      </w:pPr>
    </w:p>
    <w:p w:rsidR="00E461BB" w:rsidRPr="00650C13" w:rsidRDefault="00E461BB" w:rsidP="00E461BB">
      <w:pPr>
        <w:widowControl w:val="0"/>
        <w:rPr>
          <w:sz w:val="20"/>
          <w:szCs w:val="20"/>
          <w:lang w:val="fr-CA"/>
        </w:rPr>
      </w:pPr>
      <w:r w:rsidRPr="00650C13">
        <w:rPr>
          <w:sz w:val="20"/>
          <w:szCs w:val="20"/>
          <w:lang w:val="fr-CA"/>
        </w:rPr>
        <w:t>16.12.2011</w:t>
      </w:r>
    </w:p>
    <w:p w:rsidR="00E461BB" w:rsidRPr="00650C13" w:rsidRDefault="00E461BB" w:rsidP="00E461BB">
      <w:pPr>
        <w:widowControl w:val="0"/>
        <w:rPr>
          <w:sz w:val="20"/>
          <w:szCs w:val="20"/>
          <w:lang w:val="fr-CA"/>
        </w:rPr>
      </w:pPr>
    </w:p>
    <w:p w:rsidR="00E461BB" w:rsidRPr="00772A4E" w:rsidRDefault="00E461BB" w:rsidP="00E461BB">
      <w:pPr>
        <w:widowControl w:val="0"/>
        <w:rPr>
          <w:sz w:val="20"/>
          <w:szCs w:val="20"/>
          <w:u w:val="single"/>
          <w:lang w:val="fr-CA"/>
        </w:rPr>
      </w:pPr>
      <w:r w:rsidRPr="00772A4E">
        <w:rPr>
          <w:sz w:val="20"/>
          <w:szCs w:val="20"/>
          <w:lang w:val="fr-CA"/>
        </w:rPr>
        <w:t xml:space="preserve">Coram: </w:t>
      </w:r>
      <w:r w:rsidR="00772A4E" w:rsidRPr="00772A4E">
        <w:rPr>
          <w:sz w:val="20"/>
          <w:szCs w:val="20"/>
          <w:u w:val="single"/>
          <w:lang w:val="fr-CA"/>
        </w:rPr>
        <w:t>L</w:t>
      </w:r>
      <w:r w:rsidRPr="00772A4E">
        <w:rPr>
          <w:sz w:val="20"/>
          <w:szCs w:val="20"/>
          <w:u w:val="single"/>
          <w:lang w:val="fr-CA"/>
        </w:rPr>
        <w:t xml:space="preserve">es juges </w:t>
      </w:r>
      <w:proofErr w:type="spellStart"/>
      <w:r w:rsidRPr="00772A4E">
        <w:rPr>
          <w:sz w:val="20"/>
          <w:szCs w:val="20"/>
          <w:u w:val="single"/>
          <w:lang w:val="fr-CA"/>
        </w:rPr>
        <w:t>LeBel</w:t>
      </w:r>
      <w:proofErr w:type="spellEnd"/>
      <w:r w:rsidRPr="00772A4E">
        <w:rPr>
          <w:sz w:val="20"/>
          <w:szCs w:val="20"/>
          <w:u w:val="single"/>
          <w:lang w:val="fr-CA"/>
        </w:rPr>
        <w:t xml:space="preserve">, Deschamps, Fish, Abella, Cromwell, </w:t>
      </w:r>
      <w:proofErr w:type="spellStart"/>
      <w:r w:rsidRPr="00772A4E">
        <w:rPr>
          <w:sz w:val="20"/>
          <w:szCs w:val="20"/>
          <w:u w:val="single"/>
          <w:lang w:val="fr-CA"/>
        </w:rPr>
        <w:t>Moldaver</w:t>
      </w:r>
      <w:proofErr w:type="spellEnd"/>
      <w:r w:rsidRPr="00772A4E">
        <w:rPr>
          <w:sz w:val="20"/>
          <w:szCs w:val="20"/>
          <w:u w:val="single"/>
          <w:lang w:val="fr-CA"/>
        </w:rPr>
        <w:t xml:space="preserve"> e</w:t>
      </w:r>
      <w:r w:rsidR="00772A4E" w:rsidRPr="00772A4E">
        <w:rPr>
          <w:sz w:val="20"/>
          <w:szCs w:val="20"/>
          <w:u w:val="single"/>
          <w:lang w:val="fr-CA"/>
        </w:rPr>
        <w:t xml:space="preserve">t </w:t>
      </w:r>
      <w:proofErr w:type="spellStart"/>
      <w:r w:rsidR="00772A4E" w:rsidRPr="00772A4E">
        <w:rPr>
          <w:sz w:val="20"/>
          <w:szCs w:val="20"/>
          <w:u w:val="single"/>
          <w:lang w:val="fr-CA"/>
        </w:rPr>
        <w:t>Karakatsanis</w:t>
      </w:r>
      <w:proofErr w:type="spellEnd"/>
    </w:p>
    <w:p w:rsidR="00E461BB" w:rsidRPr="00650C13" w:rsidRDefault="00E461BB" w:rsidP="00E461BB">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1D1491" w:rsidRDefault="00E461BB" w:rsidP="00CC2C3E">
            <w:pPr>
              <w:rPr>
                <w:rFonts w:eastAsia="Calibri" w:cs="Times New Roman"/>
                <w:b/>
                <w:sz w:val="20"/>
                <w:szCs w:val="20"/>
                <w:lang w:val="fr-CA"/>
              </w:rPr>
            </w:pPr>
            <w:r w:rsidRPr="001D1491">
              <w:rPr>
                <w:rFonts w:eastAsia="Calibri" w:cs="Times New Roman"/>
                <w:b/>
                <w:sz w:val="20"/>
                <w:szCs w:val="20"/>
                <w:lang w:val="fr-CA"/>
              </w:rPr>
              <w:t xml:space="preserve">Sa Majesté la Reine </w:t>
            </w:r>
          </w:p>
          <w:p w:rsidR="00E461BB" w:rsidRPr="001D1491" w:rsidRDefault="00E461BB" w:rsidP="00CC2C3E">
            <w:pPr>
              <w:rPr>
                <w:rStyle w:val="SCCSsocChar"/>
                <w:b/>
                <w:i w:val="0"/>
                <w:lang w:val="fr-CA"/>
              </w:rPr>
            </w:pPr>
          </w:p>
          <w:p w:rsidR="00E461BB" w:rsidRPr="001D1491" w:rsidRDefault="00E461BB" w:rsidP="00CC2C3E">
            <w:pPr>
              <w:widowControl w:val="0"/>
              <w:tabs>
                <w:tab w:val="left" w:pos="736"/>
              </w:tabs>
              <w:jc w:val="both"/>
              <w:rPr>
                <w:b/>
                <w:sz w:val="20"/>
                <w:szCs w:val="20"/>
                <w:lang w:val="fr-CA"/>
              </w:rPr>
            </w:pPr>
            <w:r w:rsidRPr="001D1491">
              <w:rPr>
                <w:b/>
                <w:sz w:val="20"/>
                <w:szCs w:val="20"/>
                <w:lang w:val="fr-CA"/>
              </w:rPr>
              <w:tab/>
              <w:t xml:space="preserve">c. </w:t>
            </w:r>
            <w:r w:rsidRPr="001D1491">
              <w:rPr>
                <w:rFonts w:eastAsia="Calibri" w:cs="Times New Roman"/>
                <w:b/>
                <w:sz w:val="20"/>
                <w:szCs w:val="20"/>
                <w:lang w:val="fr-CA"/>
              </w:rPr>
              <w:t>(34038)</w:t>
            </w:r>
          </w:p>
          <w:p w:rsidR="00E461BB" w:rsidRPr="001D1491" w:rsidRDefault="00E461BB" w:rsidP="00CC2C3E">
            <w:pPr>
              <w:rPr>
                <w:rStyle w:val="SCCSsocChar"/>
                <w:b/>
                <w:i w:val="0"/>
                <w:lang w:val="fr-CA"/>
              </w:rPr>
            </w:pPr>
          </w:p>
          <w:p w:rsidR="00E461BB" w:rsidRPr="001D1491" w:rsidRDefault="00E461BB" w:rsidP="00CC2C3E">
            <w:pPr>
              <w:widowControl w:val="0"/>
              <w:jc w:val="both"/>
              <w:rPr>
                <w:sz w:val="20"/>
                <w:szCs w:val="20"/>
                <w:lang w:val="fr-CA"/>
              </w:rPr>
            </w:pPr>
            <w:r w:rsidRPr="001D1491">
              <w:rPr>
                <w:rFonts w:eastAsia="Calibri" w:cs="Times New Roman"/>
                <w:b/>
                <w:sz w:val="20"/>
                <w:szCs w:val="20"/>
                <w:lang w:val="fr-CA"/>
              </w:rPr>
              <w:t>R.P. (</w:t>
            </w:r>
            <w:proofErr w:type="spellStart"/>
            <w:r w:rsidRPr="001D1491">
              <w:rPr>
                <w:rFonts w:eastAsia="Calibri" w:cs="Times New Roman"/>
                <w:b/>
                <w:sz w:val="20"/>
                <w:szCs w:val="20"/>
                <w:lang w:val="fr-CA"/>
              </w:rPr>
              <w:t>Qc</w:t>
            </w:r>
            <w:proofErr w:type="spellEnd"/>
            <w:r w:rsidRPr="001D1491">
              <w:rPr>
                <w:rFonts w:eastAsia="Calibri" w:cs="Times New Roman"/>
                <w:b/>
                <w:sz w:val="20"/>
                <w:szCs w:val="20"/>
                <w:lang w:val="fr-CA"/>
              </w:rPr>
              <w:t>) (Criminelle) (De plein droit / Autorisation)</w:t>
            </w:r>
          </w:p>
        </w:tc>
        <w:tc>
          <w:tcPr>
            <w:tcW w:w="720" w:type="dxa"/>
            <w:tcMar>
              <w:left w:w="0" w:type="dxa"/>
              <w:right w:w="0" w:type="dxa"/>
            </w:tcMar>
          </w:tcPr>
          <w:p w:rsidR="00E461BB" w:rsidRPr="001D1491" w:rsidRDefault="00E461BB" w:rsidP="00CC2C3E">
            <w:pPr>
              <w:widowControl w:val="0"/>
              <w:jc w:val="center"/>
              <w:rPr>
                <w:sz w:val="20"/>
                <w:szCs w:val="20"/>
                <w:lang w:val="fr-CA"/>
              </w:rPr>
            </w:pPr>
          </w:p>
        </w:tc>
        <w:tc>
          <w:tcPr>
            <w:tcW w:w="4380" w:type="dxa"/>
            <w:tcMar>
              <w:left w:w="0" w:type="dxa"/>
              <w:right w:w="0" w:type="dxa"/>
            </w:tcMar>
          </w:tcPr>
          <w:p w:rsidR="00D6009D" w:rsidRDefault="00D6009D" w:rsidP="00D6009D">
            <w:pPr>
              <w:widowControl w:val="0"/>
              <w:jc w:val="both"/>
              <w:rPr>
                <w:sz w:val="20"/>
                <w:szCs w:val="20"/>
                <w:lang w:val="fr-CA"/>
              </w:rPr>
            </w:pPr>
            <w:r w:rsidRPr="00D6009D">
              <w:rPr>
                <w:sz w:val="20"/>
                <w:szCs w:val="20"/>
                <w:lang w:val="fr-CA"/>
              </w:rPr>
              <w:t xml:space="preserve">Sarah-Julie </w:t>
            </w:r>
            <w:proofErr w:type="spellStart"/>
            <w:r w:rsidRPr="00D6009D">
              <w:rPr>
                <w:sz w:val="20"/>
                <w:szCs w:val="20"/>
                <w:lang w:val="fr-CA"/>
              </w:rPr>
              <w:t>Chicoine</w:t>
            </w:r>
            <w:proofErr w:type="spellEnd"/>
            <w:r>
              <w:rPr>
                <w:sz w:val="20"/>
                <w:szCs w:val="20"/>
                <w:lang w:val="fr-CA"/>
              </w:rPr>
              <w:t xml:space="preserve"> et </w:t>
            </w:r>
            <w:r w:rsidRPr="00D6009D">
              <w:rPr>
                <w:sz w:val="20"/>
                <w:szCs w:val="20"/>
                <w:lang w:val="fr-CA"/>
              </w:rPr>
              <w:t xml:space="preserve">Jean </w:t>
            </w:r>
            <w:proofErr w:type="spellStart"/>
            <w:r w:rsidRPr="00D6009D">
              <w:rPr>
                <w:sz w:val="20"/>
                <w:szCs w:val="20"/>
                <w:lang w:val="fr-CA"/>
              </w:rPr>
              <w:t>Campeau</w:t>
            </w:r>
            <w:proofErr w:type="spellEnd"/>
            <w:r>
              <w:rPr>
                <w:sz w:val="20"/>
                <w:szCs w:val="20"/>
                <w:lang w:val="fr-CA"/>
              </w:rPr>
              <w:t xml:space="preserve"> p</w:t>
            </w:r>
            <w:r w:rsidRPr="00D6009D">
              <w:rPr>
                <w:sz w:val="20"/>
                <w:szCs w:val="20"/>
                <w:lang w:val="fr-CA"/>
              </w:rPr>
              <w:t>our l’appelante</w:t>
            </w:r>
            <w:r>
              <w:rPr>
                <w:sz w:val="20"/>
                <w:szCs w:val="20"/>
                <w:lang w:val="fr-CA"/>
              </w:rPr>
              <w:t>.</w:t>
            </w:r>
          </w:p>
          <w:p w:rsidR="00D6009D" w:rsidRPr="00D6009D" w:rsidRDefault="00D6009D" w:rsidP="00D6009D">
            <w:pPr>
              <w:widowControl w:val="0"/>
              <w:jc w:val="both"/>
              <w:rPr>
                <w:sz w:val="20"/>
                <w:szCs w:val="20"/>
                <w:lang w:val="fr-CA"/>
              </w:rPr>
            </w:pPr>
          </w:p>
          <w:p w:rsidR="00D6009D" w:rsidRPr="00D6009D" w:rsidRDefault="00D6009D" w:rsidP="00D6009D">
            <w:pPr>
              <w:widowControl w:val="0"/>
              <w:jc w:val="both"/>
              <w:rPr>
                <w:sz w:val="20"/>
                <w:szCs w:val="20"/>
                <w:lang w:val="fr-CA"/>
              </w:rPr>
            </w:pPr>
            <w:r w:rsidRPr="00D6009D">
              <w:rPr>
                <w:sz w:val="20"/>
                <w:szCs w:val="20"/>
                <w:lang w:val="fr-CA"/>
              </w:rPr>
              <w:t>Yves Savard</w:t>
            </w:r>
            <w:r>
              <w:rPr>
                <w:sz w:val="20"/>
                <w:szCs w:val="20"/>
                <w:lang w:val="fr-CA"/>
              </w:rPr>
              <w:t xml:space="preserve"> et C</w:t>
            </w:r>
            <w:r w:rsidRPr="00D6009D">
              <w:rPr>
                <w:sz w:val="20"/>
                <w:szCs w:val="20"/>
                <w:lang w:val="fr-CA"/>
              </w:rPr>
              <w:t xml:space="preserve">laudia </w:t>
            </w:r>
            <w:proofErr w:type="spellStart"/>
            <w:r w:rsidRPr="00D6009D">
              <w:rPr>
                <w:sz w:val="20"/>
                <w:szCs w:val="20"/>
                <w:lang w:val="fr-CA"/>
              </w:rPr>
              <w:t>Langdeau</w:t>
            </w:r>
            <w:proofErr w:type="spellEnd"/>
            <w:r>
              <w:rPr>
                <w:sz w:val="20"/>
                <w:szCs w:val="20"/>
                <w:lang w:val="fr-CA"/>
              </w:rPr>
              <w:t xml:space="preserve"> p</w:t>
            </w:r>
            <w:r w:rsidRPr="00D6009D">
              <w:rPr>
                <w:sz w:val="20"/>
                <w:szCs w:val="20"/>
                <w:lang w:val="fr-CA"/>
              </w:rPr>
              <w:t>our l’intimé</w:t>
            </w:r>
            <w:r>
              <w:rPr>
                <w:sz w:val="20"/>
                <w:szCs w:val="20"/>
                <w:lang w:val="fr-CA"/>
              </w:rPr>
              <w:t>.</w:t>
            </w:r>
          </w:p>
          <w:p w:rsidR="00E461BB" w:rsidRPr="00B83460" w:rsidRDefault="00E461BB" w:rsidP="00267ABC">
            <w:pPr>
              <w:widowControl w:val="0"/>
              <w:jc w:val="both"/>
              <w:rPr>
                <w:sz w:val="20"/>
                <w:szCs w:val="20"/>
                <w:lang w:val="fr-CA"/>
              </w:rPr>
            </w:pPr>
          </w:p>
        </w:tc>
      </w:tr>
    </w:tbl>
    <w:p w:rsidR="00E461BB" w:rsidRPr="00B83460" w:rsidRDefault="00E461BB" w:rsidP="00E461BB">
      <w:pPr>
        <w:widowControl w:val="0"/>
        <w:rPr>
          <w:lang w:val="fr-CA"/>
        </w:rPr>
      </w:pPr>
    </w:p>
    <w:p w:rsidR="00E461BB" w:rsidRPr="00772A4E" w:rsidRDefault="00E461BB" w:rsidP="00E461BB">
      <w:pPr>
        <w:widowControl w:val="0"/>
        <w:rPr>
          <w:sz w:val="20"/>
          <w:szCs w:val="20"/>
        </w:rPr>
      </w:pPr>
      <w:r w:rsidRPr="00772A4E">
        <w:rPr>
          <w:b/>
          <w:sz w:val="20"/>
          <w:szCs w:val="20"/>
        </w:rPr>
        <w:t xml:space="preserve">RESERVED / </w:t>
      </w:r>
      <w:r w:rsidRPr="00772A4E">
        <w:rPr>
          <w:b/>
          <w:sz w:val="20"/>
          <w:szCs w:val="20"/>
          <w:lang w:val="fr-CA"/>
        </w:rPr>
        <w:t>EN DÉLIBÉRÉ</w:t>
      </w:r>
    </w:p>
    <w:p w:rsidR="00E461BB" w:rsidRDefault="00E461BB" w:rsidP="00E461BB"/>
    <w:tbl>
      <w:tblPr>
        <w:tblW w:w="0" w:type="auto"/>
        <w:tblLayout w:type="fixed"/>
        <w:tblCellMar>
          <w:left w:w="0" w:type="dxa"/>
          <w:right w:w="0" w:type="dxa"/>
        </w:tblCellMar>
        <w:tblLook w:val="0000"/>
      </w:tblPr>
      <w:tblGrid>
        <w:gridCol w:w="4380"/>
        <w:gridCol w:w="720"/>
        <w:gridCol w:w="4380"/>
      </w:tblGrid>
      <w:tr w:rsidR="00E461BB" w:rsidRPr="00FF4B6E" w:rsidTr="00CC2C3E">
        <w:tc>
          <w:tcPr>
            <w:tcW w:w="4380" w:type="dxa"/>
            <w:tcMar>
              <w:left w:w="0" w:type="dxa"/>
              <w:right w:w="0" w:type="dxa"/>
            </w:tcMar>
          </w:tcPr>
          <w:p w:rsidR="00E461BB" w:rsidRPr="00CC4D84" w:rsidRDefault="00E461BB" w:rsidP="00CC2C3E">
            <w:pPr>
              <w:widowControl w:val="0"/>
              <w:jc w:val="both"/>
              <w:rPr>
                <w:b/>
                <w:sz w:val="20"/>
                <w:szCs w:val="20"/>
                <w:u w:val="single"/>
              </w:rPr>
            </w:pPr>
            <w:r w:rsidRPr="00CC4D84">
              <w:rPr>
                <w:b/>
                <w:sz w:val="20"/>
                <w:szCs w:val="20"/>
                <w:u w:val="single"/>
              </w:rPr>
              <w:t>Nature of the case:</w:t>
            </w:r>
          </w:p>
          <w:p w:rsidR="00E461BB" w:rsidRPr="000136B2" w:rsidRDefault="00E461BB" w:rsidP="00CC2C3E">
            <w:pPr>
              <w:widowControl w:val="0"/>
              <w:jc w:val="both"/>
              <w:rPr>
                <w:rFonts w:eastAsia="Calibri" w:cs="Times New Roman"/>
                <w:sz w:val="20"/>
                <w:szCs w:val="20"/>
              </w:rPr>
            </w:pPr>
          </w:p>
          <w:p w:rsidR="00E461BB" w:rsidRPr="000136B2" w:rsidRDefault="00E461BB" w:rsidP="00CC2C3E">
            <w:pPr>
              <w:widowControl w:val="0"/>
              <w:jc w:val="both"/>
              <w:rPr>
                <w:rFonts w:eastAsia="Calibri" w:cs="Times New Roman"/>
                <w:smallCaps/>
                <w:sz w:val="20"/>
                <w:szCs w:val="20"/>
              </w:rPr>
            </w:pPr>
            <w:r w:rsidRPr="000136B2">
              <w:rPr>
                <w:rFonts w:eastAsia="Calibri" w:cs="Times New Roman"/>
                <w:smallCaps/>
                <w:sz w:val="20"/>
                <w:szCs w:val="20"/>
              </w:rPr>
              <w:t>(Publication Ban in Case) (Publication Ban on Party)</w:t>
            </w:r>
          </w:p>
          <w:p w:rsidR="00E461BB" w:rsidRPr="000136B2" w:rsidRDefault="00E461BB" w:rsidP="00CC2C3E">
            <w:pPr>
              <w:widowControl w:val="0"/>
              <w:jc w:val="both"/>
              <w:rPr>
                <w:rFonts w:eastAsia="Calibri" w:cs="Times New Roman"/>
                <w:sz w:val="20"/>
                <w:szCs w:val="20"/>
              </w:rPr>
            </w:pPr>
          </w:p>
          <w:p w:rsidR="00E461BB" w:rsidRDefault="00E461BB" w:rsidP="00CC2C3E">
            <w:pPr>
              <w:widowControl w:val="0"/>
              <w:jc w:val="both"/>
              <w:rPr>
                <w:rFonts w:eastAsia="Calibri" w:cs="Times New Roman"/>
                <w:sz w:val="20"/>
                <w:szCs w:val="20"/>
              </w:rPr>
            </w:pPr>
            <w:r w:rsidRPr="000136B2">
              <w:rPr>
                <w:rFonts w:eastAsia="Calibri" w:cs="Times New Roman"/>
                <w:sz w:val="20"/>
                <w:szCs w:val="20"/>
              </w:rPr>
              <w:t xml:space="preserve">Criminal law </w:t>
            </w:r>
            <w:r w:rsidRPr="000136B2">
              <w:rPr>
                <w:rFonts w:eastAsia="Calibri" w:cs="Times New Roman"/>
                <w:sz w:val="20"/>
                <w:szCs w:val="20"/>
              </w:rPr>
              <w:noBreakHyphen/>
              <w:t xml:space="preserve"> Reasonable verdict </w:t>
            </w:r>
            <w:r w:rsidRPr="000136B2">
              <w:rPr>
                <w:rFonts w:eastAsia="Calibri" w:cs="Times New Roman"/>
                <w:sz w:val="20"/>
                <w:szCs w:val="20"/>
              </w:rPr>
              <w:noBreakHyphen/>
              <w:t xml:space="preserve"> Evidence </w:t>
            </w:r>
            <w:r w:rsidRPr="000136B2">
              <w:rPr>
                <w:rFonts w:eastAsia="Calibri" w:cs="Times New Roman"/>
                <w:sz w:val="20"/>
                <w:szCs w:val="20"/>
              </w:rPr>
              <w:noBreakHyphen/>
              <w:t xml:space="preserve"> Judicial notice </w:t>
            </w:r>
            <w:r w:rsidRPr="000136B2">
              <w:rPr>
                <w:rFonts w:eastAsia="Calibri" w:cs="Times New Roman"/>
                <w:sz w:val="20"/>
                <w:szCs w:val="20"/>
              </w:rPr>
              <w:noBreakHyphen/>
              <w:t xml:space="preserve"> Assessment of credibility of witnesses </w:t>
            </w:r>
            <w:r w:rsidRPr="000136B2">
              <w:rPr>
                <w:rFonts w:eastAsia="Calibri" w:cs="Times New Roman"/>
                <w:sz w:val="20"/>
                <w:szCs w:val="20"/>
              </w:rPr>
              <w:noBreakHyphen/>
              <w:t xml:space="preserve"> Whether majority of Court of Appeal justified in setting aside guilty verdict against Respondent even though verdict not unreasonable within meaning of case law </w:t>
            </w:r>
            <w:r w:rsidRPr="000136B2">
              <w:rPr>
                <w:rFonts w:eastAsia="Calibri" w:cs="Times New Roman"/>
                <w:sz w:val="20"/>
                <w:szCs w:val="20"/>
              </w:rPr>
              <w:noBreakHyphen/>
              <w:t xml:space="preserve"> In light of applicable standards, particularly concerning privileged position of judge and need to show palpable and overriding errors invalidating judge’s reasoning, whether majority of Court of Appeal justified in substituting its findings for those of trial judge as regards assessment of evidence and credibility of witnesses </w:t>
            </w:r>
            <w:r w:rsidRPr="000136B2">
              <w:rPr>
                <w:rFonts w:eastAsia="Calibri" w:cs="Times New Roman"/>
                <w:sz w:val="20"/>
                <w:szCs w:val="20"/>
              </w:rPr>
              <w:noBreakHyphen/>
              <w:t xml:space="preserve"> Whether observations of majority of Court of Appeal concerning likelihood of confabulation by complainant, which confused effects of depression with effects of sexual abuse actually suffered, were matter for judicial notice </w:t>
            </w:r>
            <w:r w:rsidRPr="000136B2">
              <w:rPr>
                <w:rFonts w:eastAsia="Calibri" w:cs="Times New Roman"/>
                <w:sz w:val="20"/>
                <w:szCs w:val="20"/>
              </w:rPr>
              <w:noBreakHyphen/>
              <w:t xml:space="preserve"> Whether majority of Court of Appeal adhered to its role as appellate court when it substituted its assessment for that of trial judge as regards weight to be given to statements made by Respondent during police interrogation, in light of fact that this ground of appeal not authorized or even </w:t>
            </w:r>
            <w:r w:rsidRPr="000136B2">
              <w:rPr>
                <w:rFonts w:eastAsia="Calibri" w:cs="Times New Roman"/>
                <w:sz w:val="20"/>
                <w:szCs w:val="20"/>
              </w:rPr>
              <w:lastRenderedPageBreak/>
              <w:t>argued by Respondent.</w:t>
            </w:r>
          </w:p>
          <w:p w:rsidR="00E461BB" w:rsidRPr="008E675C" w:rsidRDefault="00E461BB" w:rsidP="00CC2C3E">
            <w:pPr>
              <w:widowControl w:val="0"/>
              <w:jc w:val="both"/>
              <w:rPr>
                <w:rFonts w:eastAsia="Calibri" w:cs="Times New Roman"/>
                <w:sz w:val="20"/>
                <w:szCs w:val="20"/>
                <w:lang w:val="en-US"/>
              </w:rPr>
            </w:pPr>
          </w:p>
        </w:tc>
        <w:tc>
          <w:tcPr>
            <w:tcW w:w="720" w:type="dxa"/>
            <w:tcMar>
              <w:left w:w="0" w:type="dxa"/>
              <w:right w:w="0" w:type="dxa"/>
            </w:tcMar>
          </w:tcPr>
          <w:p w:rsidR="00E461BB" w:rsidRPr="008E675C" w:rsidRDefault="00E461BB" w:rsidP="00CC2C3E">
            <w:pPr>
              <w:widowControl w:val="0"/>
              <w:jc w:val="center"/>
              <w:rPr>
                <w:sz w:val="20"/>
                <w:szCs w:val="20"/>
                <w:lang w:val="en-US"/>
              </w:rPr>
            </w:pPr>
          </w:p>
        </w:tc>
        <w:tc>
          <w:tcPr>
            <w:tcW w:w="4380" w:type="dxa"/>
            <w:tcMar>
              <w:left w:w="0" w:type="dxa"/>
              <w:right w:w="0" w:type="dxa"/>
            </w:tcMar>
          </w:tcPr>
          <w:p w:rsidR="00E461BB" w:rsidRPr="00CC4D84" w:rsidRDefault="00E461BB" w:rsidP="00CC2C3E">
            <w:pPr>
              <w:widowControl w:val="0"/>
              <w:jc w:val="both"/>
              <w:rPr>
                <w:b/>
                <w:sz w:val="20"/>
                <w:szCs w:val="20"/>
                <w:u w:val="single"/>
                <w:lang w:val="fr-CA"/>
              </w:rPr>
            </w:pPr>
            <w:r w:rsidRPr="00CC4D84">
              <w:rPr>
                <w:b/>
                <w:sz w:val="20"/>
                <w:szCs w:val="20"/>
                <w:u w:val="single"/>
                <w:lang w:val="fr-CA"/>
              </w:rPr>
              <w:t>Nature de la cause :</w:t>
            </w:r>
          </w:p>
          <w:p w:rsidR="00E461BB" w:rsidRPr="00C1697B" w:rsidRDefault="00E461BB" w:rsidP="00CC2C3E">
            <w:pPr>
              <w:widowControl w:val="0"/>
              <w:jc w:val="both"/>
              <w:rPr>
                <w:sz w:val="20"/>
                <w:szCs w:val="20"/>
                <w:lang w:val="fr-CA"/>
              </w:rPr>
            </w:pPr>
          </w:p>
          <w:p w:rsidR="00E461BB" w:rsidRPr="000136B2" w:rsidRDefault="00E461BB" w:rsidP="00CC2C3E">
            <w:pPr>
              <w:widowControl w:val="0"/>
              <w:jc w:val="both"/>
              <w:rPr>
                <w:rFonts w:eastAsia="Calibri" w:cs="Times New Roman"/>
                <w:smallCaps/>
                <w:sz w:val="20"/>
                <w:szCs w:val="20"/>
                <w:lang w:val="fr-CA"/>
              </w:rPr>
            </w:pPr>
            <w:r>
              <w:rPr>
                <w:rFonts w:eastAsia="Calibri" w:cs="Times New Roman"/>
                <w:smallCaps/>
                <w:sz w:val="20"/>
                <w:szCs w:val="20"/>
                <w:lang w:val="fr-CA"/>
              </w:rPr>
              <w:t>(</w:t>
            </w:r>
            <w:r w:rsidRPr="000136B2">
              <w:rPr>
                <w:rFonts w:eastAsia="Calibri" w:cs="Times New Roman"/>
                <w:smallCaps/>
                <w:sz w:val="20"/>
                <w:szCs w:val="20"/>
                <w:lang w:val="fr-CA"/>
              </w:rPr>
              <w:t>Ordonnance de non publication dans le dossier) (Ordonnance de non publication visant une partie)</w:t>
            </w:r>
          </w:p>
          <w:p w:rsidR="00E461BB" w:rsidRPr="000136B2" w:rsidRDefault="00E461BB" w:rsidP="00CC2C3E">
            <w:pPr>
              <w:widowControl w:val="0"/>
              <w:jc w:val="both"/>
              <w:rPr>
                <w:rFonts w:eastAsia="Calibri" w:cs="Times New Roman"/>
                <w:sz w:val="20"/>
                <w:szCs w:val="20"/>
                <w:lang w:val="fr-CA"/>
              </w:rPr>
            </w:pPr>
          </w:p>
          <w:p w:rsidR="00E461BB" w:rsidRPr="00C1697B" w:rsidRDefault="00E461BB" w:rsidP="00267ABC">
            <w:pPr>
              <w:widowControl w:val="0"/>
              <w:jc w:val="both"/>
              <w:rPr>
                <w:sz w:val="20"/>
                <w:szCs w:val="20"/>
                <w:lang w:val="fr-CA"/>
              </w:rPr>
            </w:pPr>
            <w:r w:rsidRPr="000136B2">
              <w:rPr>
                <w:rFonts w:eastAsia="Calibri" w:cs="Times New Roman"/>
                <w:sz w:val="20"/>
                <w:szCs w:val="20"/>
                <w:lang w:val="fr-CA"/>
              </w:rPr>
              <w:t xml:space="preserve">Droit criminel </w:t>
            </w:r>
            <w:r w:rsidRPr="000136B2">
              <w:rPr>
                <w:rFonts w:eastAsia="Calibri" w:cs="Times New Roman"/>
                <w:sz w:val="20"/>
                <w:szCs w:val="20"/>
                <w:lang w:val="fr-CA"/>
              </w:rPr>
              <w:noBreakHyphen/>
              <w:t xml:space="preserve"> Verdict raisonnable </w:t>
            </w:r>
            <w:r w:rsidRPr="000136B2">
              <w:rPr>
                <w:rFonts w:eastAsia="Calibri" w:cs="Times New Roman"/>
                <w:sz w:val="20"/>
                <w:szCs w:val="20"/>
                <w:lang w:val="fr-CA"/>
              </w:rPr>
              <w:noBreakHyphen/>
              <w:t xml:space="preserve"> Preuve </w:t>
            </w:r>
            <w:r w:rsidRPr="000136B2">
              <w:rPr>
                <w:rFonts w:eastAsia="Calibri" w:cs="Times New Roman"/>
                <w:sz w:val="20"/>
                <w:szCs w:val="20"/>
                <w:lang w:val="fr-CA"/>
              </w:rPr>
              <w:noBreakHyphen/>
              <w:t xml:space="preserve"> Connaissance judiciaire </w:t>
            </w:r>
            <w:r w:rsidRPr="000136B2">
              <w:rPr>
                <w:rFonts w:eastAsia="Calibri" w:cs="Times New Roman"/>
                <w:sz w:val="20"/>
                <w:szCs w:val="20"/>
                <w:lang w:val="fr-CA"/>
              </w:rPr>
              <w:noBreakHyphen/>
              <w:t xml:space="preserve"> Appréciation de la crédibilité des témoins </w:t>
            </w:r>
            <w:r w:rsidRPr="000136B2">
              <w:rPr>
                <w:rFonts w:eastAsia="Calibri" w:cs="Times New Roman"/>
                <w:sz w:val="20"/>
                <w:szCs w:val="20"/>
                <w:lang w:val="fr-CA"/>
              </w:rPr>
              <w:noBreakHyphen/>
              <w:t xml:space="preserve"> La majorité de la Cour d’appel </w:t>
            </w:r>
            <w:proofErr w:type="spellStart"/>
            <w:r w:rsidRPr="000136B2">
              <w:rPr>
                <w:rFonts w:eastAsia="Calibri" w:cs="Times New Roman"/>
                <w:sz w:val="20"/>
                <w:szCs w:val="20"/>
                <w:lang w:val="fr-CA"/>
              </w:rPr>
              <w:t>était</w:t>
            </w:r>
            <w:r w:rsidRPr="000136B2">
              <w:rPr>
                <w:rFonts w:eastAsia="Calibri" w:cs="Times New Roman"/>
                <w:sz w:val="20"/>
                <w:szCs w:val="20"/>
                <w:lang w:val="fr-CA"/>
              </w:rPr>
              <w:noBreakHyphen/>
              <w:t>elle</w:t>
            </w:r>
            <w:proofErr w:type="spellEnd"/>
            <w:r w:rsidRPr="000136B2">
              <w:rPr>
                <w:rFonts w:eastAsia="Calibri" w:cs="Times New Roman"/>
                <w:sz w:val="20"/>
                <w:szCs w:val="20"/>
                <w:lang w:val="fr-CA"/>
              </w:rPr>
              <w:t xml:space="preserve"> justifiée de casser le verdict de culpabilité prononcé contre l’intimé sans que ce verdict ne soit déraisonnable au sens de la jurisprudence à ce sujet? </w:t>
            </w:r>
            <w:r w:rsidRPr="000136B2">
              <w:rPr>
                <w:rFonts w:eastAsia="Calibri" w:cs="Times New Roman"/>
                <w:sz w:val="20"/>
                <w:szCs w:val="20"/>
                <w:lang w:val="fr-CA"/>
              </w:rPr>
              <w:noBreakHyphen/>
              <w:t xml:space="preserve"> La majorité de la Cour d’appel </w:t>
            </w:r>
            <w:proofErr w:type="spellStart"/>
            <w:r w:rsidRPr="000136B2">
              <w:rPr>
                <w:rFonts w:eastAsia="Calibri" w:cs="Times New Roman"/>
                <w:sz w:val="20"/>
                <w:szCs w:val="20"/>
                <w:lang w:val="fr-CA"/>
              </w:rPr>
              <w:t>était</w:t>
            </w:r>
            <w:r w:rsidRPr="000136B2">
              <w:rPr>
                <w:rFonts w:eastAsia="Calibri" w:cs="Times New Roman"/>
                <w:sz w:val="20"/>
                <w:szCs w:val="20"/>
                <w:lang w:val="fr-CA"/>
              </w:rPr>
              <w:noBreakHyphen/>
              <w:t>elle</w:t>
            </w:r>
            <w:proofErr w:type="spellEnd"/>
            <w:r w:rsidRPr="000136B2">
              <w:rPr>
                <w:rFonts w:eastAsia="Calibri" w:cs="Times New Roman"/>
                <w:sz w:val="20"/>
                <w:szCs w:val="20"/>
                <w:lang w:val="fr-CA"/>
              </w:rPr>
              <w:t xml:space="preserve"> justifiée de substituer ses conclusions à celles du premier juge en matière d’appréciation de la preuve et de la crédibilité des témoins eu égard aux normes applicables, notamment relatives à la position privilégiée du juge et à la nécessité de démontrer des erreurs manifestes et dominantes invalidant son raisonnement? </w:t>
            </w:r>
            <w:r w:rsidRPr="000136B2">
              <w:rPr>
                <w:rFonts w:eastAsia="Calibri" w:cs="Times New Roman"/>
                <w:sz w:val="20"/>
                <w:szCs w:val="20"/>
                <w:lang w:val="fr-CA"/>
              </w:rPr>
              <w:noBreakHyphen/>
              <w:t xml:space="preserve"> Les considérations de l’opinion majoritaire de la Cour d’appel sur la vraisemblance de la fabulation par la plaignante qui confondent les effets d’une dépression avec ceux d’abus sexuels réellement vécus </w:t>
            </w:r>
            <w:proofErr w:type="spellStart"/>
            <w:r w:rsidRPr="000136B2">
              <w:rPr>
                <w:rFonts w:eastAsia="Calibri" w:cs="Times New Roman"/>
                <w:sz w:val="20"/>
                <w:szCs w:val="20"/>
                <w:lang w:val="fr-CA"/>
              </w:rPr>
              <w:t>relèvent</w:t>
            </w:r>
            <w:r w:rsidRPr="000136B2">
              <w:rPr>
                <w:rFonts w:eastAsia="Calibri" w:cs="Times New Roman"/>
                <w:sz w:val="20"/>
                <w:szCs w:val="20"/>
                <w:lang w:val="fr-CA"/>
              </w:rPr>
              <w:noBreakHyphen/>
              <w:t>elles</w:t>
            </w:r>
            <w:proofErr w:type="spellEnd"/>
            <w:r w:rsidRPr="000136B2">
              <w:rPr>
                <w:rFonts w:eastAsia="Calibri" w:cs="Times New Roman"/>
                <w:sz w:val="20"/>
                <w:szCs w:val="20"/>
                <w:lang w:val="fr-CA"/>
              </w:rPr>
              <w:t xml:space="preserve"> de la connaissance judiciaire? </w:t>
            </w:r>
            <w:r w:rsidRPr="000136B2">
              <w:rPr>
                <w:rFonts w:eastAsia="Calibri" w:cs="Times New Roman"/>
                <w:sz w:val="20"/>
                <w:szCs w:val="20"/>
                <w:lang w:val="fr-CA"/>
              </w:rPr>
              <w:noBreakHyphen/>
              <w:t xml:space="preserve"> La majorité de la Cour d’appel </w:t>
            </w:r>
            <w:proofErr w:type="spellStart"/>
            <w:r w:rsidRPr="000136B2">
              <w:rPr>
                <w:rFonts w:eastAsia="Calibri" w:cs="Times New Roman"/>
                <w:sz w:val="20"/>
                <w:szCs w:val="20"/>
                <w:lang w:val="fr-CA"/>
              </w:rPr>
              <w:t>a</w:t>
            </w:r>
            <w:r w:rsidRPr="000136B2">
              <w:rPr>
                <w:rFonts w:eastAsia="Calibri" w:cs="Times New Roman"/>
                <w:sz w:val="20"/>
                <w:szCs w:val="20"/>
                <w:lang w:val="fr-CA"/>
              </w:rPr>
              <w:noBreakHyphen/>
              <w:t>t</w:t>
            </w:r>
            <w:r w:rsidRPr="000136B2">
              <w:rPr>
                <w:rFonts w:eastAsia="Calibri" w:cs="Times New Roman"/>
                <w:sz w:val="20"/>
                <w:szCs w:val="20"/>
                <w:lang w:val="fr-CA"/>
              </w:rPr>
              <w:noBreakHyphen/>
              <w:t>elle</w:t>
            </w:r>
            <w:proofErr w:type="spellEnd"/>
            <w:r w:rsidRPr="000136B2">
              <w:rPr>
                <w:rFonts w:eastAsia="Calibri" w:cs="Times New Roman"/>
                <w:sz w:val="20"/>
                <w:szCs w:val="20"/>
                <w:lang w:val="fr-CA"/>
              </w:rPr>
              <w:t xml:space="preserve"> respecté son rôle comme tribunal d’appel en substituant son </w:t>
            </w:r>
            <w:r w:rsidRPr="000136B2">
              <w:rPr>
                <w:rFonts w:eastAsia="Calibri" w:cs="Times New Roman"/>
                <w:sz w:val="20"/>
                <w:szCs w:val="20"/>
                <w:lang w:val="fr-CA"/>
              </w:rPr>
              <w:lastRenderedPageBreak/>
              <w:t>appréciation à celle du premier juge quant à la valeur probante à accorder aux déclarations faites par l’intimé lors de son interrogatoire policier, considérant que ce moyen d’appel n’avait pas été autorisé ni même plaidé par l’intimé?</w:t>
            </w:r>
          </w:p>
        </w:tc>
      </w:tr>
    </w:tbl>
    <w:p w:rsidR="00E461BB" w:rsidRPr="00404951" w:rsidRDefault="00E461BB" w:rsidP="00E461BB">
      <w:pPr>
        <w:widowControl w:val="0"/>
        <w:rPr>
          <w:sz w:val="20"/>
          <w:szCs w:val="20"/>
          <w:lang w:val="fr-CA"/>
        </w:rPr>
      </w:pPr>
    </w:p>
    <w:p w:rsidR="00E940EB" w:rsidRPr="00C1697B" w:rsidRDefault="00DB7F13" w:rsidP="00732DB7">
      <w:pPr>
        <w:widowControl w:val="0"/>
        <w:rPr>
          <w:sz w:val="20"/>
          <w:szCs w:val="20"/>
          <w:lang w:val="fr-CA"/>
        </w:rPr>
      </w:pPr>
      <w:r w:rsidRPr="00DB7F13">
        <w:rPr>
          <w:sz w:val="20"/>
          <w:szCs w:val="20"/>
          <w:lang w:val="fr-CA"/>
        </w:rPr>
        <w:pict>
          <v:rect id="_x0000_i1072"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F4B6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0476C2" w:rsidP="00AF1715">
      <w:pPr>
        <w:rPr>
          <w:b/>
          <w:sz w:val="20"/>
          <w:szCs w:val="20"/>
        </w:rPr>
      </w:pPr>
      <w:r>
        <w:rPr>
          <w:b/>
          <w:sz w:val="20"/>
          <w:szCs w:val="20"/>
        </w:rPr>
        <w:t>DECEM</w:t>
      </w:r>
      <w:r w:rsidR="00AF1715" w:rsidRPr="003B3977">
        <w:rPr>
          <w:b/>
          <w:sz w:val="20"/>
          <w:szCs w:val="20"/>
        </w:rPr>
        <w:t xml:space="preserve">BER </w:t>
      </w:r>
      <w:r>
        <w:rPr>
          <w:b/>
          <w:sz w:val="20"/>
          <w:szCs w:val="20"/>
        </w:rPr>
        <w:t>1</w:t>
      </w:r>
      <w:r w:rsidR="00AF1715" w:rsidRPr="003B3977">
        <w:rPr>
          <w:b/>
          <w:sz w:val="20"/>
          <w:szCs w:val="20"/>
        </w:rPr>
        <w:t>4, 201</w:t>
      </w:r>
      <w:r>
        <w:rPr>
          <w:b/>
          <w:sz w:val="20"/>
          <w:szCs w:val="20"/>
        </w:rPr>
        <w:t>1</w:t>
      </w:r>
      <w:r w:rsidR="00AF1715" w:rsidRPr="003B3977">
        <w:rPr>
          <w:b/>
          <w:sz w:val="20"/>
          <w:szCs w:val="20"/>
        </w:rPr>
        <w:t xml:space="preserve"> / LE </w:t>
      </w:r>
      <w:r>
        <w:rPr>
          <w:b/>
          <w:sz w:val="20"/>
          <w:szCs w:val="20"/>
        </w:rPr>
        <w:t>1</w:t>
      </w:r>
      <w:r w:rsidR="00AF1715" w:rsidRPr="003B3977">
        <w:rPr>
          <w:b/>
          <w:sz w:val="20"/>
          <w:szCs w:val="20"/>
        </w:rPr>
        <w:t xml:space="preserve">4 </w:t>
      </w:r>
      <w:r>
        <w:rPr>
          <w:b/>
          <w:sz w:val="20"/>
          <w:szCs w:val="20"/>
        </w:rPr>
        <w:t>D</w:t>
      </w:r>
      <w:r w:rsidRPr="000D040C">
        <w:rPr>
          <w:b/>
          <w:sz w:val="20"/>
          <w:szCs w:val="20"/>
          <w:lang w:val="en-US"/>
        </w:rPr>
        <w:t>ÉC</w:t>
      </w:r>
      <w:r>
        <w:rPr>
          <w:b/>
          <w:sz w:val="20"/>
          <w:szCs w:val="20"/>
        </w:rPr>
        <w:t>EMBRE 2011</w:t>
      </w:r>
    </w:p>
    <w:p w:rsidR="00AF1715" w:rsidRDefault="00AF1715" w:rsidP="00AF1715">
      <w:pPr>
        <w:rPr>
          <w:sz w:val="20"/>
          <w:szCs w:val="20"/>
        </w:rPr>
      </w:pPr>
    </w:p>
    <w:p w:rsidR="000476C2" w:rsidRPr="00273DAD" w:rsidRDefault="000476C2" w:rsidP="000476C2">
      <w:pPr>
        <w:ind w:left="1440" w:hanging="1440"/>
        <w:jc w:val="both"/>
        <w:rPr>
          <w:sz w:val="20"/>
        </w:rPr>
      </w:pPr>
      <w:r w:rsidRPr="00273DAD">
        <w:rPr>
          <w:b/>
          <w:sz w:val="20"/>
        </w:rPr>
        <w:t>33620</w:t>
      </w:r>
      <w:r w:rsidRPr="00273DAD">
        <w:rPr>
          <w:sz w:val="20"/>
        </w:rPr>
        <w:tab/>
      </w:r>
      <w:r w:rsidRPr="00273DAD">
        <w:rPr>
          <w:b/>
          <w:iCs/>
          <w:sz w:val="20"/>
          <w:u w:val="single"/>
        </w:rPr>
        <w:t>Information and Privacy Commissioner v. Alberta Teachers’ Association – and – Attorney General of British Columbia, Information and Privacy Commissioner of British Columbia, B.C. Freedom of Information and Privacy Association</w:t>
      </w:r>
      <w:r w:rsidRPr="00273DAD">
        <w:rPr>
          <w:iCs/>
          <w:sz w:val="20"/>
        </w:rPr>
        <w:t xml:space="preserve"> (Alta.)</w:t>
      </w:r>
    </w:p>
    <w:p w:rsidR="000476C2" w:rsidRPr="00273DAD" w:rsidRDefault="000476C2" w:rsidP="000476C2">
      <w:pPr>
        <w:ind w:left="1440" w:hanging="1440"/>
        <w:jc w:val="both"/>
        <w:rPr>
          <w:b/>
          <w:sz w:val="20"/>
        </w:rPr>
      </w:pPr>
      <w:r w:rsidRPr="00273DAD">
        <w:rPr>
          <w:b/>
          <w:sz w:val="20"/>
        </w:rPr>
        <w:tab/>
        <w:t>2011 SCC 61 / 2011 CSC 61</w:t>
      </w:r>
    </w:p>
    <w:p w:rsidR="000476C2" w:rsidRPr="00273DAD" w:rsidRDefault="000476C2" w:rsidP="000476C2">
      <w:pPr>
        <w:ind w:left="1440" w:hanging="1440"/>
        <w:jc w:val="both"/>
        <w:rPr>
          <w:b/>
          <w:sz w:val="20"/>
        </w:rPr>
      </w:pPr>
    </w:p>
    <w:p w:rsidR="000476C2" w:rsidRPr="00273DAD" w:rsidRDefault="000476C2" w:rsidP="00A77E69">
      <w:pPr>
        <w:ind w:left="1440" w:hanging="1440"/>
        <w:jc w:val="both"/>
        <w:rPr>
          <w:sz w:val="20"/>
          <w:u w:val="single"/>
        </w:rPr>
      </w:pPr>
      <w:r w:rsidRPr="00273DAD">
        <w:rPr>
          <w:sz w:val="20"/>
        </w:rPr>
        <w:t>Coram:</w:t>
      </w:r>
      <w:r w:rsidR="00A77E69">
        <w:rPr>
          <w:sz w:val="20"/>
        </w:rPr>
        <w:tab/>
      </w:r>
      <w:proofErr w:type="spellStart"/>
      <w:r w:rsidRPr="00273DAD">
        <w:rPr>
          <w:sz w:val="20"/>
          <w:u w:val="single"/>
        </w:rPr>
        <w:t>McLachlin</w:t>
      </w:r>
      <w:proofErr w:type="spellEnd"/>
      <w:r w:rsidRPr="00273DAD">
        <w:rPr>
          <w:sz w:val="20"/>
          <w:u w:val="single"/>
        </w:rPr>
        <w:t xml:space="preserve"> C.J. and </w:t>
      </w:r>
      <w:proofErr w:type="spellStart"/>
      <w:r w:rsidRPr="00273DAD">
        <w:rPr>
          <w:sz w:val="20"/>
          <w:u w:val="single"/>
        </w:rPr>
        <w:t>Binnie</w:t>
      </w:r>
      <w:proofErr w:type="spellEnd"/>
      <w:r w:rsidRPr="00273DAD">
        <w:rPr>
          <w:sz w:val="20"/>
          <w:u w:val="single"/>
        </w:rPr>
        <w:t xml:space="preserve">, </w:t>
      </w:r>
      <w:proofErr w:type="spellStart"/>
      <w:r w:rsidRPr="00273DAD">
        <w:rPr>
          <w:sz w:val="20"/>
          <w:u w:val="single"/>
        </w:rPr>
        <w:t>LeBel</w:t>
      </w:r>
      <w:proofErr w:type="spellEnd"/>
      <w:r w:rsidRPr="00273DAD">
        <w:rPr>
          <w:sz w:val="20"/>
          <w:u w:val="single"/>
        </w:rPr>
        <w:t xml:space="preserve">, </w:t>
      </w:r>
      <w:proofErr w:type="spellStart"/>
      <w:r w:rsidRPr="00273DAD">
        <w:rPr>
          <w:sz w:val="20"/>
          <w:u w:val="single"/>
        </w:rPr>
        <w:t>Deschamps</w:t>
      </w:r>
      <w:proofErr w:type="spellEnd"/>
      <w:r w:rsidRPr="00273DAD">
        <w:rPr>
          <w:sz w:val="20"/>
          <w:u w:val="single"/>
        </w:rPr>
        <w:t xml:space="preserve">, Fish, </w:t>
      </w:r>
      <w:proofErr w:type="spellStart"/>
      <w:r w:rsidRPr="00273DAD">
        <w:rPr>
          <w:sz w:val="20"/>
          <w:u w:val="single"/>
        </w:rPr>
        <w:t>Abella</w:t>
      </w:r>
      <w:proofErr w:type="spellEnd"/>
      <w:r w:rsidRPr="00273DAD">
        <w:rPr>
          <w:sz w:val="20"/>
          <w:u w:val="single"/>
        </w:rPr>
        <w:t xml:space="preserve">, </w:t>
      </w:r>
      <w:proofErr w:type="spellStart"/>
      <w:r w:rsidRPr="00273DAD">
        <w:rPr>
          <w:sz w:val="20"/>
          <w:u w:val="single"/>
        </w:rPr>
        <w:t>Charron</w:t>
      </w:r>
      <w:proofErr w:type="spellEnd"/>
      <w:r w:rsidRPr="00273DAD">
        <w:rPr>
          <w:sz w:val="20"/>
          <w:u w:val="single"/>
        </w:rPr>
        <w:t>, Rothstein and Cromwell JJ.</w:t>
      </w:r>
    </w:p>
    <w:p w:rsidR="000476C2" w:rsidRPr="00273DAD" w:rsidRDefault="000476C2" w:rsidP="000476C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476C2" w:rsidRPr="00273DAD" w:rsidRDefault="000476C2" w:rsidP="000476C2">
      <w:pPr>
        <w:jc w:val="both"/>
        <w:rPr>
          <w:rFonts w:eastAsia="Calibri"/>
          <w:sz w:val="20"/>
        </w:rPr>
      </w:pPr>
      <w:r w:rsidRPr="00273DAD">
        <w:rPr>
          <w:rFonts w:eastAsia="Calibri"/>
          <w:sz w:val="20"/>
        </w:rPr>
        <w:t xml:space="preserve">The appeal from the judgment of the Court of Appeal of Alberta (Edmonton), Number 0803-0309-AC, </w:t>
      </w:r>
      <w:proofErr w:type="gramStart"/>
      <w:r w:rsidRPr="00273DAD">
        <w:rPr>
          <w:rFonts w:eastAsia="Calibri"/>
          <w:sz w:val="20"/>
        </w:rPr>
        <w:t>2010</w:t>
      </w:r>
      <w:proofErr w:type="gramEnd"/>
      <w:r w:rsidRPr="00273DAD">
        <w:rPr>
          <w:rFonts w:eastAsia="Calibri"/>
          <w:sz w:val="20"/>
        </w:rPr>
        <w:t xml:space="preserve"> ABCA 26, dated January 27, 2010, heard on February 16, 2011, is allowed with costs in this Court and in the Court of Appeal.  The adjudicator’s decision on the timelines issue is reinstated.  The matter is remitted to the chambers judge to consider the issues not previously dealt with and resolved in the judicial review.</w:t>
      </w:r>
    </w:p>
    <w:p w:rsidR="000476C2" w:rsidRPr="00273DAD" w:rsidRDefault="000476C2" w:rsidP="000476C2">
      <w:pPr>
        <w:jc w:val="both"/>
        <w:rPr>
          <w:rFonts w:eastAsia="Calibri"/>
          <w:sz w:val="20"/>
        </w:rPr>
      </w:pPr>
    </w:p>
    <w:p w:rsidR="000476C2" w:rsidRPr="00273DAD" w:rsidRDefault="000476C2" w:rsidP="000476C2">
      <w:pPr>
        <w:jc w:val="both"/>
        <w:rPr>
          <w:rFonts w:eastAsia="Calibri"/>
          <w:sz w:val="20"/>
          <w:lang w:val="fr-CA"/>
        </w:rPr>
      </w:pPr>
      <w:r w:rsidRPr="00273DAD">
        <w:rPr>
          <w:rFonts w:eastAsia="Calibri"/>
          <w:sz w:val="20"/>
          <w:lang w:val="fr-CA"/>
        </w:rPr>
        <w:t xml:space="preserve">L’appel interjeté contre l’arrêt de la Cour d'appel de l’Alberta (Edmonton), numéro 0803-0309-AC, 2010 ABCA 26, en date du 27 janvier 2010, entendu le 16 février 2011, est accueilli avec dépens devant notre Cour et devant la Court d’appel.  La décision de la déléguée concernant le délai est </w:t>
      </w:r>
      <w:proofErr w:type="gramStart"/>
      <w:r w:rsidRPr="00273DAD">
        <w:rPr>
          <w:rFonts w:eastAsia="Calibri"/>
          <w:sz w:val="20"/>
          <w:lang w:val="fr-CA"/>
        </w:rPr>
        <w:t>rétablie</w:t>
      </w:r>
      <w:proofErr w:type="gramEnd"/>
      <w:r w:rsidRPr="00273DAD">
        <w:rPr>
          <w:rFonts w:eastAsia="Calibri"/>
          <w:sz w:val="20"/>
          <w:lang w:val="fr-CA"/>
        </w:rPr>
        <w:t>.  L’affaire est renvoyée au juge en cabinet pour qu’il statue sur les questions qui n’ont pas déjà été examinées et réglées lors du contrôle judiciaire.</w:t>
      </w:r>
    </w:p>
    <w:p w:rsidR="000476C2" w:rsidRPr="00273DAD" w:rsidRDefault="000476C2" w:rsidP="000476C2">
      <w:pPr>
        <w:jc w:val="both"/>
        <w:rPr>
          <w:sz w:val="20"/>
          <w:lang w:val="fr-CA"/>
        </w:rPr>
      </w:pPr>
    </w:p>
    <w:p w:rsidR="00AF1715" w:rsidRDefault="00DB7F13" w:rsidP="00AF1715">
      <w:pPr>
        <w:spacing w:line="0" w:lineRule="atLeast"/>
        <w:rPr>
          <w:b/>
          <w:sz w:val="20"/>
          <w:szCs w:val="20"/>
        </w:rPr>
      </w:pPr>
      <w:r w:rsidRPr="00DB7F13">
        <w:rPr>
          <w:b/>
          <w:sz w:val="20"/>
          <w:szCs w:val="20"/>
        </w:rPr>
        <w:pict>
          <v:rect id="_x0000_i1075" style="width:144.3pt;height:1pt" o:hrpct="300" o:hralign="center" o:hrstd="t" o:hrnoshade="t" o:hr="t" fillcolor="black [3213]" stroked="f"/>
        </w:pict>
      </w:r>
    </w:p>
    <w:p w:rsidR="00BA3CC8" w:rsidRDefault="00BA3CC8" w:rsidP="00BA3CC8">
      <w:pPr>
        <w:rPr>
          <w:b/>
          <w:sz w:val="20"/>
          <w:szCs w:val="20"/>
        </w:rPr>
      </w:pPr>
    </w:p>
    <w:p w:rsidR="00BA3CC8" w:rsidRDefault="00BA3CC8" w:rsidP="00BA3CC8">
      <w:pPr>
        <w:rPr>
          <w:b/>
          <w:sz w:val="20"/>
          <w:szCs w:val="20"/>
        </w:rPr>
      </w:pPr>
      <w:r>
        <w:rPr>
          <w:b/>
          <w:sz w:val="20"/>
          <w:szCs w:val="20"/>
        </w:rPr>
        <w:t>DECEM</w:t>
      </w:r>
      <w:r w:rsidRPr="003B3977">
        <w:rPr>
          <w:b/>
          <w:sz w:val="20"/>
          <w:szCs w:val="20"/>
        </w:rPr>
        <w:t xml:space="preserve">BER </w:t>
      </w:r>
      <w:r>
        <w:rPr>
          <w:b/>
          <w:sz w:val="20"/>
          <w:szCs w:val="20"/>
        </w:rPr>
        <w:t>15</w:t>
      </w:r>
      <w:r w:rsidRPr="003B3977">
        <w:rPr>
          <w:b/>
          <w:sz w:val="20"/>
          <w:szCs w:val="20"/>
        </w:rPr>
        <w:t>, 201</w:t>
      </w:r>
      <w:r>
        <w:rPr>
          <w:b/>
          <w:sz w:val="20"/>
          <w:szCs w:val="20"/>
        </w:rPr>
        <w:t>1</w:t>
      </w:r>
      <w:r w:rsidRPr="003B3977">
        <w:rPr>
          <w:b/>
          <w:sz w:val="20"/>
          <w:szCs w:val="20"/>
        </w:rPr>
        <w:t xml:space="preserve"> / LE </w:t>
      </w:r>
      <w:r>
        <w:rPr>
          <w:b/>
          <w:sz w:val="20"/>
          <w:szCs w:val="20"/>
        </w:rPr>
        <w:t>15</w:t>
      </w:r>
      <w:r w:rsidRPr="003B3977">
        <w:rPr>
          <w:b/>
          <w:sz w:val="20"/>
          <w:szCs w:val="20"/>
        </w:rPr>
        <w:t xml:space="preserve"> </w:t>
      </w:r>
      <w:r>
        <w:rPr>
          <w:b/>
          <w:sz w:val="20"/>
          <w:szCs w:val="20"/>
        </w:rPr>
        <w:t>D</w:t>
      </w:r>
      <w:r w:rsidRPr="006515E9">
        <w:rPr>
          <w:b/>
          <w:sz w:val="20"/>
          <w:szCs w:val="20"/>
          <w:lang w:val="en-US"/>
        </w:rPr>
        <w:t>ÉC</w:t>
      </w:r>
      <w:r>
        <w:rPr>
          <w:b/>
          <w:sz w:val="20"/>
          <w:szCs w:val="20"/>
        </w:rPr>
        <w:t>EMBRE 2011</w:t>
      </w:r>
    </w:p>
    <w:p w:rsidR="00BA3CC8" w:rsidRDefault="00BA3CC8" w:rsidP="00BA3CC8">
      <w:pPr>
        <w:rPr>
          <w:b/>
          <w:sz w:val="20"/>
          <w:szCs w:val="20"/>
        </w:rPr>
      </w:pPr>
    </w:p>
    <w:p w:rsidR="006515E9" w:rsidRPr="00820C08" w:rsidRDefault="006515E9" w:rsidP="00A15023">
      <w:pPr>
        <w:ind w:left="1440" w:hanging="1440"/>
        <w:jc w:val="both"/>
        <w:rPr>
          <w:sz w:val="20"/>
        </w:rPr>
      </w:pPr>
      <w:r w:rsidRPr="00820C08">
        <w:rPr>
          <w:b/>
          <w:sz w:val="20"/>
        </w:rPr>
        <w:t>33659</w:t>
      </w:r>
      <w:r w:rsidRPr="00820C08">
        <w:rPr>
          <w:b/>
          <w:sz w:val="20"/>
        </w:rPr>
        <w:tab/>
      </w:r>
      <w:r w:rsidRPr="00820C08">
        <w:rPr>
          <w:b/>
          <w:iCs/>
          <w:sz w:val="20"/>
          <w:u w:val="single"/>
        </w:rPr>
        <w:t>Newfoundland and Labrador Nurses’ Union v. Her Majesty the Queen in Right of Newfoundland and Labrador, represented by Treasury Board and Newfoundland and Labrador Health Boards Association, on behalf of Labrador-Grenfell Regional Health Authority</w:t>
      </w:r>
      <w:r w:rsidRPr="00820C08">
        <w:rPr>
          <w:iCs/>
          <w:sz w:val="20"/>
        </w:rPr>
        <w:t xml:space="preserve"> (</w:t>
      </w:r>
      <w:r>
        <w:rPr>
          <w:iCs/>
          <w:sz w:val="20"/>
        </w:rPr>
        <w:t>N.L.</w:t>
      </w:r>
      <w:r w:rsidRPr="00820C08">
        <w:rPr>
          <w:iCs/>
          <w:sz w:val="20"/>
        </w:rPr>
        <w:t>)</w:t>
      </w:r>
    </w:p>
    <w:p w:rsidR="006515E9" w:rsidRPr="00845C7D" w:rsidRDefault="006515E9" w:rsidP="006515E9">
      <w:pPr>
        <w:ind w:left="1440" w:hanging="1440"/>
        <w:jc w:val="both"/>
        <w:rPr>
          <w:b/>
          <w:sz w:val="20"/>
        </w:rPr>
      </w:pPr>
      <w:r w:rsidRPr="00820C08">
        <w:rPr>
          <w:b/>
          <w:sz w:val="20"/>
        </w:rPr>
        <w:tab/>
      </w:r>
      <w:r w:rsidRPr="00845C7D">
        <w:rPr>
          <w:b/>
          <w:sz w:val="20"/>
        </w:rPr>
        <w:t>2011 SCC 62 / 2011 CSC 62</w:t>
      </w:r>
    </w:p>
    <w:p w:rsidR="006515E9" w:rsidRPr="00820C08" w:rsidRDefault="006515E9" w:rsidP="006515E9">
      <w:pPr>
        <w:ind w:left="1440" w:hanging="1440"/>
        <w:jc w:val="both"/>
        <w:rPr>
          <w:b/>
          <w:sz w:val="20"/>
        </w:rPr>
      </w:pPr>
    </w:p>
    <w:p w:rsidR="006515E9" w:rsidRPr="00820C08" w:rsidRDefault="006515E9" w:rsidP="00A77E69">
      <w:pPr>
        <w:ind w:left="1440" w:hanging="1440"/>
        <w:jc w:val="both"/>
        <w:rPr>
          <w:sz w:val="20"/>
          <w:u w:val="single"/>
        </w:rPr>
      </w:pPr>
      <w:r w:rsidRPr="00820C08">
        <w:rPr>
          <w:sz w:val="20"/>
        </w:rPr>
        <w:t>Coram</w:t>
      </w:r>
      <w:r>
        <w:rPr>
          <w:sz w:val="20"/>
        </w:rPr>
        <w:t>:</w:t>
      </w:r>
      <w:r w:rsidR="00A77E69">
        <w:rPr>
          <w:sz w:val="20"/>
        </w:rPr>
        <w:tab/>
      </w:r>
      <w:proofErr w:type="spellStart"/>
      <w:r w:rsidRPr="00820C08">
        <w:rPr>
          <w:sz w:val="20"/>
          <w:u w:val="single"/>
        </w:rPr>
        <w:t>McLachlin</w:t>
      </w:r>
      <w:proofErr w:type="spellEnd"/>
      <w:r w:rsidRPr="00820C08">
        <w:rPr>
          <w:sz w:val="20"/>
          <w:u w:val="single"/>
        </w:rPr>
        <w:t xml:space="preserve"> C.J. and </w:t>
      </w:r>
      <w:proofErr w:type="spellStart"/>
      <w:r w:rsidRPr="00820C08">
        <w:rPr>
          <w:sz w:val="20"/>
          <w:u w:val="single"/>
        </w:rPr>
        <w:t>LeBel</w:t>
      </w:r>
      <w:proofErr w:type="spellEnd"/>
      <w:r w:rsidRPr="00820C08">
        <w:rPr>
          <w:sz w:val="20"/>
          <w:u w:val="single"/>
        </w:rPr>
        <w:t xml:space="preserve">, </w:t>
      </w:r>
      <w:proofErr w:type="spellStart"/>
      <w:r w:rsidRPr="00820C08">
        <w:rPr>
          <w:sz w:val="20"/>
          <w:u w:val="single"/>
        </w:rPr>
        <w:t>Deschamps</w:t>
      </w:r>
      <w:proofErr w:type="spellEnd"/>
      <w:r w:rsidRPr="00820C08">
        <w:rPr>
          <w:sz w:val="20"/>
          <w:u w:val="single"/>
        </w:rPr>
        <w:t xml:space="preserve">, Fish, </w:t>
      </w:r>
      <w:proofErr w:type="spellStart"/>
      <w:r w:rsidRPr="00820C08">
        <w:rPr>
          <w:sz w:val="20"/>
          <w:u w:val="single"/>
        </w:rPr>
        <w:t>Abella</w:t>
      </w:r>
      <w:proofErr w:type="spellEnd"/>
      <w:r w:rsidRPr="00820C08">
        <w:rPr>
          <w:sz w:val="20"/>
          <w:u w:val="single"/>
        </w:rPr>
        <w:t>, Rothstein and Cromwell JJ.</w:t>
      </w:r>
    </w:p>
    <w:p w:rsidR="006515E9" w:rsidRPr="00820C08" w:rsidRDefault="006515E9" w:rsidP="006515E9">
      <w:pPr>
        <w:jc w:val="both"/>
        <w:rPr>
          <w:sz w:val="20"/>
        </w:rPr>
      </w:pPr>
    </w:p>
    <w:p w:rsidR="006515E9" w:rsidRDefault="006515E9" w:rsidP="006515E9">
      <w:pPr>
        <w:jc w:val="both"/>
        <w:rPr>
          <w:sz w:val="20"/>
        </w:rPr>
      </w:pPr>
      <w:r w:rsidRPr="00820C08">
        <w:rPr>
          <w:sz w:val="20"/>
        </w:rPr>
        <w:t xml:space="preserve">The appeal from the judgment </w:t>
      </w:r>
      <w:bookmarkStart w:id="1" w:name="BM_1_"/>
      <w:bookmarkEnd w:id="1"/>
      <w:r w:rsidRPr="00820C08">
        <w:rPr>
          <w:sz w:val="20"/>
        </w:rPr>
        <w:t>of the Supreme Court of Newfoundland and Labrador - Court of Appeal, Number 09/05, 2010 NLCA 13, dated February 19, 2010, heard on October 14, 2011, is dismissed with costs.</w:t>
      </w:r>
    </w:p>
    <w:p w:rsidR="006515E9" w:rsidRPr="00820C08" w:rsidRDefault="006515E9" w:rsidP="006515E9">
      <w:pPr>
        <w:jc w:val="both"/>
        <w:rPr>
          <w:sz w:val="20"/>
        </w:rPr>
      </w:pPr>
    </w:p>
    <w:p w:rsidR="006515E9" w:rsidRPr="00820C08" w:rsidRDefault="006515E9" w:rsidP="006515E9">
      <w:pPr>
        <w:jc w:val="both"/>
        <w:rPr>
          <w:sz w:val="20"/>
          <w:lang w:val="fr-CA"/>
        </w:rPr>
      </w:pPr>
      <w:r w:rsidRPr="00820C08">
        <w:rPr>
          <w:sz w:val="20"/>
          <w:lang w:val="fr-CA"/>
        </w:rPr>
        <w:t>L’appel interjeté contre l’arrêt de la Cour suprême de Terre-Neuve-et-Labrador - Cour d’appel, numéro 09/05, 2010 NLCA 13, en date du 19 février 2010, entendu le 14 octobre 2011, est rejeté avec dépens.</w:t>
      </w:r>
    </w:p>
    <w:p w:rsidR="00BA3CC8" w:rsidRPr="00273DAD" w:rsidRDefault="00BA3CC8" w:rsidP="00BA3CC8">
      <w:pPr>
        <w:jc w:val="both"/>
        <w:rPr>
          <w:sz w:val="20"/>
          <w:lang w:val="fr-CA"/>
        </w:rPr>
      </w:pPr>
    </w:p>
    <w:p w:rsidR="00BA3CC8" w:rsidRDefault="00DB7F13" w:rsidP="00BA3CC8">
      <w:pPr>
        <w:spacing w:line="0" w:lineRule="atLeast"/>
        <w:rPr>
          <w:b/>
          <w:sz w:val="20"/>
          <w:szCs w:val="20"/>
        </w:rPr>
      </w:pPr>
      <w:r w:rsidRPr="00DB7F13">
        <w:rPr>
          <w:b/>
          <w:sz w:val="20"/>
          <w:szCs w:val="20"/>
        </w:rPr>
        <w:pict>
          <v:rect id="_x0000_i1076" style="width:144.3pt;height:1pt" o:hrpct="300" o:hralign="center" o:hrstd="t" o:hrnoshade="t" o:hr="t" fillcolor="black [3213]" stroked="f"/>
        </w:pict>
      </w:r>
    </w:p>
    <w:p w:rsidR="00BA3CC8" w:rsidRPr="00A77E69" w:rsidRDefault="00BA3CC8" w:rsidP="00BA3CC8">
      <w:pPr>
        <w:rPr>
          <w:sz w:val="20"/>
          <w:szCs w:val="20"/>
        </w:rPr>
      </w:pPr>
    </w:p>
    <w:p w:rsidR="00BA3CC8" w:rsidRPr="003B3977" w:rsidRDefault="00BA3CC8" w:rsidP="00BA3CC8">
      <w:pPr>
        <w:rPr>
          <w:b/>
          <w:sz w:val="20"/>
          <w:szCs w:val="20"/>
        </w:rPr>
      </w:pPr>
      <w:r>
        <w:rPr>
          <w:b/>
          <w:sz w:val="20"/>
          <w:szCs w:val="20"/>
        </w:rPr>
        <w:t>DECEM</w:t>
      </w:r>
      <w:r w:rsidRPr="003B3977">
        <w:rPr>
          <w:b/>
          <w:sz w:val="20"/>
          <w:szCs w:val="20"/>
        </w:rPr>
        <w:t xml:space="preserve">BER </w:t>
      </w:r>
      <w:r>
        <w:rPr>
          <w:b/>
          <w:sz w:val="20"/>
          <w:szCs w:val="20"/>
        </w:rPr>
        <w:t>16</w:t>
      </w:r>
      <w:r w:rsidRPr="003B3977">
        <w:rPr>
          <w:b/>
          <w:sz w:val="20"/>
          <w:szCs w:val="20"/>
        </w:rPr>
        <w:t>, 201</w:t>
      </w:r>
      <w:r>
        <w:rPr>
          <w:b/>
          <w:sz w:val="20"/>
          <w:szCs w:val="20"/>
        </w:rPr>
        <w:t>1</w:t>
      </w:r>
      <w:r w:rsidRPr="003B3977">
        <w:rPr>
          <w:b/>
          <w:sz w:val="20"/>
          <w:szCs w:val="20"/>
        </w:rPr>
        <w:t xml:space="preserve"> / LE </w:t>
      </w:r>
      <w:r>
        <w:rPr>
          <w:b/>
          <w:sz w:val="20"/>
          <w:szCs w:val="20"/>
        </w:rPr>
        <w:t>16</w:t>
      </w:r>
      <w:r w:rsidRPr="003B3977">
        <w:rPr>
          <w:b/>
          <w:sz w:val="20"/>
          <w:szCs w:val="20"/>
        </w:rPr>
        <w:t xml:space="preserve"> </w:t>
      </w:r>
      <w:r>
        <w:rPr>
          <w:b/>
          <w:sz w:val="20"/>
          <w:szCs w:val="20"/>
        </w:rPr>
        <w:t>D</w:t>
      </w:r>
      <w:r w:rsidRPr="00BB5749">
        <w:rPr>
          <w:b/>
          <w:sz w:val="20"/>
          <w:szCs w:val="20"/>
          <w:lang w:val="en-US"/>
        </w:rPr>
        <w:t>ÉC</w:t>
      </w:r>
      <w:r>
        <w:rPr>
          <w:b/>
          <w:sz w:val="20"/>
          <w:szCs w:val="20"/>
        </w:rPr>
        <w:t>EMBRE 2011</w:t>
      </w:r>
    </w:p>
    <w:p w:rsidR="00BA3CC8" w:rsidRPr="00BA3CC8" w:rsidRDefault="00BA3CC8" w:rsidP="00BA3CC8">
      <w:pPr>
        <w:rPr>
          <w:sz w:val="20"/>
          <w:szCs w:val="20"/>
        </w:rPr>
      </w:pPr>
    </w:p>
    <w:p w:rsidR="00BB5749" w:rsidRPr="00BB5749" w:rsidRDefault="00BB5749" w:rsidP="00BB5749">
      <w:pPr>
        <w:ind w:left="1440" w:hanging="1440"/>
        <w:jc w:val="both"/>
        <w:rPr>
          <w:rFonts w:eastAsia="Times New Roman" w:cs="Times New Roman"/>
          <w:sz w:val="20"/>
          <w:szCs w:val="20"/>
          <w:lang w:val="en-US"/>
        </w:rPr>
      </w:pPr>
      <w:r w:rsidRPr="00BB5749">
        <w:rPr>
          <w:rFonts w:eastAsia="Times New Roman" w:cs="Times New Roman"/>
          <w:b/>
          <w:sz w:val="20"/>
          <w:szCs w:val="20"/>
        </w:rPr>
        <w:t>33283</w:t>
      </w:r>
      <w:r>
        <w:rPr>
          <w:rFonts w:eastAsia="Times New Roman" w:cs="Times New Roman"/>
          <w:sz w:val="20"/>
          <w:szCs w:val="20"/>
        </w:rPr>
        <w:tab/>
      </w:r>
      <w:proofErr w:type="spellStart"/>
      <w:r w:rsidRPr="00BB5749">
        <w:rPr>
          <w:rFonts w:eastAsia="Times New Roman" w:cs="Times New Roman"/>
          <w:b/>
          <w:iCs/>
          <w:sz w:val="20"/>
          <w:szCs w:val="20"/>
          <w:u w:val="single"/>
          <w:lang w:val="en-US"/>
        </w:rPr>
        <w:t>Copthorne</w:t>
      </w:r>
      <w:proofErr w:type="spellEnd"/>
      <w:r w:rsidRPr="00BB5749">
        <w:rPr>
          <w:rFonts w:eastAsia="Times New Roman" w:cs="Times New Roman"/>
          <w:b/>
          <w:iCs/>
          <w:sz w:val="20"/>
          <w:szCs w:val="20"/>
          <w:u w:val="single"/>
          <w:lang w:val="en-US"/>
        </w:rPr>
        <w:t xml:space="preserve"> Holdings Ltd v. Her Majesty the Queen</w:t>
      </w:r>
      <w:r w:rsidRPr="00BB5749">
        <w:rPr>
          <w:rFonts w:eastAsia="Times New Roman" w:cs="Times New Roman"/>
          <w:iCs/>
          <w:sz w:val="20"/>
          <w:szCs w:val="20"/>
          <w:lang w:val="en-US"/>
        </w:rPr>
        <w:t xml:space="preserve"> (F.C.)</w:t>
      </w:r>
    </w:p>
    <w:p w:rsidR="00BB5749" w:rsidRPr="00BB5749" w:rsidRDefault="00BB5749" w:rsidP="00BB5749">
      <w:pPr>
        <w:ind w:left="1440" w:hanging="1440"/>
        <w:jc w:val="both"/>
        <w:rPr>
          <w:rFonts w:eastAsia="Times New Roman" w:cs="Times New Roman"/>
          <w:b/>
          <w:sz w:val="20"/>
          <w:szCs w:val="20"/>
          <w:lang w:val="en-US"/>
        </w:rPr>
      </w:pPr>
      <w:r w:rsidRPr="00BB5749">
        <w:rPr>
          <w:rFonts w:eastAsia="Times New Roman" w:cs="Times New Roman"/>
          <w:b/>
          <w:sz w:val="20"/>
          <w:szCs w:val="20"/>
          <w:lang w:val="en-US"/>
        </w:rPr>
        <w:tab/>
        <w:t>2011 SCC 63 / 2011 CSC 63</w:t>
      </w:r>
    </w:p>
    <w:p w:rsidR="00BB5749" w:rsidRPr="00BB5749" w:rsidRDefault="00BB5749" w:rsidP="00BB5749">
      <w:pPr>
        <w:ind w:left="1440" w:hanging="1440"/>
        <w:jc w:val="both"/>
        <w:rPr>
          <w:rFonts w:eastAsia="Times New Roman" w:cs="Times New Roman"/>
          <w:b/>
          <w:sz w:val="20"/>
          <w:szCs w:val="20"/>
          <w:lang w:val="en-US"/>
        </w:rPr>
      </w:pPr>
    </w:p>
    <w:p w:rsidR="00BB5749" w:rsidRPr="00BB5749" w:rsidRDefault="00BB5749" w:rsidP="00A77E69">
      <w:pPr>
        <w:ind w:left="1440" w:hanging="1440"/>
        <w:jc w:val="both"/>
        <w:rPr>
          <w:rFonts w:eastAsia="Times New Roman" w:cs="Times New Roman"/>
          <w:sz w:val="20"/>
          <w:szCs w:val="20"/>
          <w:u w:val="single"/>
          <w:lang w:val="en-US"/>
        </w:rPr>
      </w:pPr>
      <w:r w:rsidRPr="00BB5749">
        <w:rPr>
          <w:rFonts w:eastAsia="Times New Roman" w:cs="Times New Roman"/>
          <w:sz w:val="20"/>
          <w:szCs w:val="20"/>
          <w:lang w:val="en-US"/>
        </w:rPr>
        <w:t xml:space="preserve">Coram: </w:t>
      </w:r>
      <w:r w:rsidR="00A77E69">
        <w:rPr>
          <w:rFonts w:eastAsia="Times New Roman" w:cs="Times New Roman"/>
          <w:sz w:val="20"/>
          <w:szCs w:val="20"/>
          <w:lang w:val="en-US"/>
        </w:rPr>
        <w:tab/>
      </w:r>
      <w:proofErr w:type="spellStart"/>
      <w:r w:rsidRPr="00BB5749">
        <w:rPr>
          <w:rFonts w:eastAsia="Times New Roman" w:cs="Times New Roman"/>
          <w:sz w:val="20"/>
          <w:szCs w:val="20"/>
          <w:u w:val="single"/>
          <w:lang w:val="en-US"/>
        </w:rPr>
        <w:t>McLachlin</w:t>
      </w:r>
      <w:proofErr w:type="spellEnd"/>
      <w:r w:rsidRPr="00BB5749">
        <w:rPr>
          <w:rFonts w:eastAsia="Times New Roman" w:cs="Times New Roman"/>
          <w:sz w:val="20"/>
          <w:szCs w:val="20"/>
          <w:u w:val="single"/>
          <w:lang w:val="en-US"/>
        </w:rPr>
        <w:t xml:space="preserve"> C.J. and </w:t>
      </w:r>
      <w:proofErr w:type="spellStart"/>
      <w:r w:rsidRPr="00BB5749">
        <w:rPr>
          <w:rFonts w:eastAsia="Times New Roman" w:cs="Times New Roman"/>
          <w:sz w:val="20"/>
          <w:szCs w:val="20"/>
          <w:u w:val="single"/>
          <w:lang w:val="en-US"/>
        </w:rPr>
        <w:t>Binnie</w:t>
      </w:r>
      <w:proofErr w:type="spellEnd"/>
      <w:r w:rsidRPr="00BB5749">
        <w:rPr>
          <w:rFonts w:eastAsia="Times New Roman" w:cs="Times New Roman"/>
          <w:sz w:val="20"/>
          <w:szCs w:val="20"/>
          <w:u w:val="single"/>
          <w:lang w:val="en-US"/>
        </w:rPr>
        <w:t xml:space="preserve">, </w:t>
      </w:r>
      <w:proofErr w:type="spellStart"/>
      <w:r w:rsidRPr="00BB5749">
        <w:rPr>
          <w:rFonts w:eastAsia="Times New Roman" w:cs="Times New Roman"/>
          <w:sz w:val="20"/>
          <w:szCs w:val="20"/>
          <w:u w:val="single"/>
          <w:lang w:val="en-US"/>
        </w:rPr>
        <w:t>LeBel</w:t>
      </w:r>
      <w:proofErr w:type="spellEnd"/>
      <w:r w:rsidRPr="00BB5749">
        <w:rPr>
          <w:rFonts w:eastAsia="Times New Roman" w:cs="Times New Roman"/>
          <w:sz w:val="20"/>
          <w:szCs w:val="20"/>
          <w:u w:val="single"/>
          <w:lang w:val="en-US"/>
        </w:rPr>
        <w:t xml:space="preserve">, </w:t>
      </w:r>
      <w:proofErr w:type="spellStart"/>
      <w:r w:rsidRPr="00BB5749">
        <w:rPr>
          <w:rFonts w:eastAsia="Times New Roman" w:cs="Times New Roman"/>
          <w:sz w:val="20"/>
          <w:szCs w:val="20"/>
          <w:u w:val="single"/>
          <w:lang w:val="en-US"/>
        </w:rPr>
        <w:t>Deschamps</w:t>
      </w:r>
      <w:proofErr w:type="spellEnd"/>
      <w:r w:rsidRPr="00BB5749">
        <w:rPr>
          <w:rFonts w:eastAsia="Times New Roman" w:cs="Times New Roman"/>
          <w:sz w:val="20"/>
          <w:szCs w:val="20"/>
          <w:u w:val="single"/>
          <w:lang w:val="en-US"/>
        </w:rPr>
        <w:t xml:space="preserve">, Fish, </w:t>
      </w:r>
      <w:proofErr w:type="spellStart"/>
      <w:r w:rsidRPr="00BB5749">
        <w:rPr>
          <w:rFonts w:eastAsia="Times New Roman" w:cs="Times New Roman"/>
          <w:sz w:val="20"/>
          <w:szCs w:val="20"/>
          <w:u w:val="single"/>
          <w:lang w:val="en-US"/>
        </w:rPr>
        <w:t>Abella</w:t>
      </w:r>
      <w:proofErr w:type="spellEnd"/>
      <w:r w:rsidRPr="00BB5749">
        <w:rPr>
          <w:rFonts w:eastAsia="Times New Roman" w:cs="Times New Roman"/>
          <w:sz w:val="20"/>
          <w:szCs w:val="20"/>
          <w:u w:val="single"/>
          <w:lang w:val="en-US"/>
        </w:rPr>
        <w:t xml:space="preserve">, </w:t>
      </w:r>
      <w:proofErr w:type="spellStart"/>
      <w:r w:rsidRPr="00BB5749">
        <w:rPr>
          <w:rFonts w:eastAsia="Times New Roman" w:cs="Times New Roman"/>
          <w:sz w:val="20"/>
          <w:szCs w:val="20"/>
          <w:u w:val="single"/>
          <w:lang w:val="en-US"/>
        </w:rPr>
        <w:t>Charron</w:t>
      </w:r>
      <w:proofErr w:type="spellEnd"/>
      <w:r w:rsidRPr="00BB5749">
        <w:rPr>
          <w:rFonts w:eastAsia="Times New Roman" w:cs="Times New Roman"/>
          <w:sz w:val="20"/>
          <w:szCs w:val="20"/>
          <w:u w:val="single"/>
          <w:lang w:val="en-US"/>
        </w:rPr>
        <w:t>, Rothstein and Cromwell JJ.</w:t>
      </w:r>
    </w:p>
    <w:p w:rsidR="00BB5749" w:rsidRPr="00BB5749" w:rsidRDefault="00BB5749" w:rsidP="00BB574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BB5749" w:rsidRPr="00BB5749" w:rsidRDefault="00BB5749" w:rsidP="00BB5749">
      <w:pPr>
        <w:rPr>
          <w:rFonts w:eastAsia="Times New Roman" w:cs="Times New Roman"/>
          <w:sz w:val="20"/>
          <w:szCs w:val="20"/>
          <w:lang w:val="en-US"/>
        </w:rPr>
      </w:pPr>
      <w:r w:rsidRPr="00BB5749">
        <w:rPr>
          <w:rFonts w:eastAsia="Times New Roman" w:cs="Times New Roman"/>
          <w:sz w:val="20"/>
          <w:szCs w:val="20"/>
          <w:lang w:val="en-US"/>
        </w:rPr>
        <w:t>The appeal from the judgment of the Federal Court of Appeal, Number A-416-07, 2009 FCA 163, dated May 21, 2009, heard on January 21, 2011, is dismissed with costs.  The findings of the Tax Court of Canada and the Federal Court of Appeal are affirmed.</w:t>
      </w:r>
    </w:p>
    <w:p w:rsidR="00BB5749" w:rsidRPr="00BB5749" w:rsidRDefault="00BB5749" w:rsidP="00BB5749">
      <w:pPr>
        <w:rPr>
          <w:rFonts w:eastAsia="Times New Roman" w:cs="Times New Roman"/>
          <w:sz w:val="20"/>
          <w:szCs w:val="20"/>
          <w:lang w:val="en-US"/>
        </w:rPr>
      </w:pPr>
    </w:p>
    <w:p w:rsidR="00BB5749" w:rsidRPr="00BB5749" w:rsidRDefault="00BB5749" w:rsidP="00BB5749">
      <w:pPr>
        <w:jc w:val="both"/>
        <w:rPr>
          <w:rFonts w:eastAsia="Times New Roman" w:cs="Times New Roman"/>
          <w:sz w:val="20"/>
          <w:szCs w:val="20"/>
          <w:lang w:val="fr-CA"/>
        </w:rPr>
      </w:pPr>
      <w:r w:rsidRPr="00BB5749">
        <w:rPr>
          <w:rFonts w:eastAsia="Times New Roman" w:cs="Times New Roman"/>
          <w:sz w:val="20"/>
          <w:szCs w:val="20"/>
          <w:lang w:val="fr-CA"/>
        </w:rPr>
        <w:lastRenderedPageBreak/>
        <w:t>L’appel interjeté contre l’arrêt de la Cour d’appel fédérale, numéro A-416-07, 2009 CAF 163, en date du 21 mai 2009, entendu le 21 janvier 2011, est rejeté avec dépens.  Les conclusions de la Cour canadienne de l’impôt et de la Cour d’appel fédérale sont confirmées.</w:t>
      </w:r>
    </w:p>
    <w:p w:rsidR="00BA3CC8" w:rsidRDefault="00BA3CC8" w:rsidP="00BA3CC8">
      <w:pPr>
        <w:jc w:val="both"/>
        <w:rPr>
          <w:sz w:val="20"/>
          <w:lang w:val="fr-CA"/>
        </w:rPr>
      </w:pPr>
    </w:p>
    <w:p w:rsidR="00BA3CC8" w:rsidRDefault="00DB7F13" w:rsidP="00BA3CC8">
      <w:pPr>
        <w:spacing w:line="0" w:lineRule="atLeast"/>
        <w:rPr>
          <w:b/>
          <w:sz w:val="20"/>
          <w:szCs w:val="20"/>
        </w:rPr>
      </w:pPr>
      <w:r w:rsidRPr="00DB7F13">
        <w:rPr>
          <w:b/>
          <w:sz w:val="20"/>
          <w:szCs w:val="20"/>
        </w:rPr>
        <w:pict>
          <v:rect id="_x0000_i1077"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5827DB" w:rsidRDefault="00C673BE" w:rsidP="00C673BE">
      <w:pPr>
        <w:rPr>
          <w:rFonts w:cs="Times New Roman"/>
          <w:i/>
          <w:sz w:val="20"/>
          <w:szCs w:val="20"/>
        </w:rPr>
      </w:pPr>
      <w:r w:rsidRPr="00C673BE">
        <w:rPr>
          <w:rFonts w:cs="Times New Roman"/>
          <w:i/>
          <w:sz w:val="20"/>
          <w:szCs w:val="20"/>
        </w:rPr>
        <w:t>Information and Privacy Commissioner</w:t>
      </w:r>
      <w:r>
        <w:rPr>
          <w:rFonts w:cs="Times New Roman"/>
          <w:i/>
          <w:sz w:val="20"/>
          <w:szCs w:val="20"/>
        </w:rPr>
        <w:t xml:space="preserve"> </w:t>
      </w:r>
      <w:r w:rsidRPr="00C673BE">
        <w:rPr>
          <w:rFonts w:cs="Times New Roman"/>
          <w:i/>
          <w:sz w:val="20"/>
          <w:szCs w:val="20"/>
        </w:rPr>
        <w:t>v.</w:t>
      </w:r>
      <w:r>
        <w:rPr>
          <w:rFonts w:cs="Times New Roman"/>
          <w:i/>
          <w:sz w:val="20"/>
          <w:szCs w:val="20"/>
        </w:rPr>
        <w:t xml:space="preserve"> </w:t>
      </w:r>
      <w:r w:rsidRPr="00C673BE">
        <w:rPr>
          <w:rFonts w:cs="Times New Roman"/>
          <w:i/>
          <w:sz w:val="20"/>
          <w:szCs w:val="20"/>
        </w:rPr>
        <w:t>Alberta Teachers’ Association</w:t>
      </w:r>
      <w:r w:rsidR="005C6840" w:rsidRPr="003B3977">
        <w:rPr>
          <w:rFonts w:cs="Times New Roman"/>
          <w:i/>
          <w:sz w:val="20"/>
          <w:szCs w:val="20"/>
        </w:rPr>
        <w:t xml:space="preserve"> </w:t>
      </w:r>
      <w:r w:rsidR="005C6840" w:rsidRPr="003B3977">
        <w:rPr>
          <w:rFonts w:cs="Times New Roman"/>
          <w:sz w:val="20"/>
          <w:szCs w:val="20"/>
        </w:rPr>
        <w:t>(Alta.) (33</w:t>
      </w:r>
      <w:r w:rsidR="005827DB">
        <w:rPr>
          <w:rFonts w:cs="Times New Roman"/>
          <w:sz w:val="20"/>
          <w:szCs w:val="20"/>
        </w:rPr>
        <w:t>620</w:t>
      </w:r>
      <w:r w:rsidR="005C6840" w:rsidRPr="003B3977">
        <w:rPr>
          <w:rFonts w:cs="Times New Roman"/>
          <w:sz w:val="20"/>
          <w:szCs w:val="20"/>
        </w:rPr>
        <w:t>)</w:t>
      </w:r>
    </w:p>
    <w:p w:rsidR="005C6840" w:rsidRPr="003B3977" w:rsidRDefault="005C6840" w:rsidP="005C6840">
      <w:pPr>
        <w:jc w:val="both"/>
        <w:rPr>
          <w:rFonts w:cs="Times New Roman"/>
          <w:b/>
          <w:sz w:val="20"/>
          <w:szCs w:val="20"/>
        </w:rPr>
      </w:pPr>
      <w:r w:rsidRPr="003B3977">
        <w:rPr>
          <w:rFonts w:cs="Times New Roman"/>
          <w:b/>
          <w:sz w:val="20"/>
          <w:szCs w:val="20"/>
        </w:rPr>
        <w:t>Indexed as:  </w:t>
      </w:r>
      <w:r w:rsidR="005827DB" w:rsidRPr="005827DB">
        <w:rPr>
          <w:rFonts w:cs="Times New Roman"/>
          <w:b/>
          <w:sz w:val="20"/>
          <w:szCs w:val="20"/>
        </w:rPr>
        <w:t xml:space="preserve">Alberta (Information and Privacy Commissioner) v. Alberta Teachers’ Association </w:t>
      </w:r>
      <w:r w:rsidRPr="003B3977">
        <w:rPr>
          <w:rStyle w:val="SCCRespondentForIndexChar"/>
          <w:rFonts w:eastAsiaTheme="minorHAnsi"/>
          <w:sz w:val="20"/>
        </w:rPr>
        <w:t xml:space="preserve">/ </w:t>
      </w:r>
      <w:proofErr w:type="spellStart"/>
      <w:proofErr w:type="gramStart"/>
      <w:r w:rsidRPr="003B3977">
        <w:rPr>
          <w:rFonts w:cs="Times New Roman"/>
          <w:b/>
          <w:sz w:val="20"/>
          <w:szCs w:val="20"/>
        </w:rPr>
        <w:t>Répertorié</w:t>
      </w:r>
      <w:proofErr w:type="spellEnd"/>
      <w:r w:rsidRPr="003B3977">
        <w:rPr>
          <w:rFonts w:cs="Times New Roman"/>
          <w:b/>
          <w:sz w:val="20"/>
          <w:szCs w:val="20"/>
        </w:rPr>
        <w:t> :</w:t>
      </w:r>
      <w:proofErr w:type="gramEnd"/>
      <w:r w:rsidRPr="003B3977">
        <w:rPr>
          <w:rFonts w:cs="Times New Roman"/>
          <w:b/>
          <w:sz w:val="20"/>
          <w:szCs w:val="20"/>
        </w:rPr>
        <w:t> </w:t>
      </w:r>
      <w:r w:rsidR="005827DB" w:rsidRPr="005827DB">
        <w:rPr>
          <w:rFonts w:cs="Times New Roman"/>
          <w:b/>
          <w:sz w:val="20"/>
          <w:szCs w:val="20"/>
        </w:rPr>
        <w:t>Alberta (Information and Privacy Commissioner) c. Alberta Teachers’ Association</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5827DB">
        <w:rPr>
          <w:sz w:val="20"/>
        </w:rPr>
        <w:t>6</w:t>
      </w:r>
      <w:r w:rsidR="007F387B">
        <w:rPr>
          <w:sz w:val="20"/>
        </w:rPr>
        <w:t>1</w:t>
      </w:r>
      <w:r w:rsidRPr="003B3977">
        <w:rPr>
          <w:sz w:val="20"/>
        </w:rPr>
        <w:t xml:space="preserve"> / Référence neutre : 201</w:t>
      </w:r>
      <w:r w:rsidR="007F387B">
        <w:rPr>
          <w:sz w:val="20"/>
        </w:rPr>
        <w:t>1</w:t>
      </w:r>
      <w:r w:rsidRPr="003B3977">
        <w:rPr>
          <w:sz w:val="20"/>
        </w:rPr>
        <w:t xml:space="preserve"> CSC </w:t>
      </w:r>
      <w:r w:rsidR="005827DB">
        <w:rPr>
          <w:sz w:val="20"/>
        </w:rPr>
        <w:t>6</w:t>
      </w:r>
      <w:r w:rsidR="007F387B">
        <w:rPr>
          <w:sz w:val="20"/>
        </w:rPr>
        <w:t>1</w:t>
      </w:r>
    </w:p>
    <w:p w:rsidR="005C6840" w:rsidRPr="00F3528E" w:rsidRDefault="005C6840" w:rsidP="005C6840">
      <w:pPr>
        <w:rPr>
          <w:rFonts w:cs="Times New Roman"/>
          <w:sz w:val="20"/>
          <w:szCs w:val="20"/>
          <w:lang w:val="fr-CA"/>
        </w:rPr>
      </w:pPr>
      <w:proofErr w:type="spellStart"/>
      <w:r w:rsidRPr="00F3528E">
        <w:rPr>
          <w:rFonts w:cs="Times New Roman"/>
          <w:sz w:val="20"/>
          <w:szCs w:val="20"/>
          <w:lang w:val="fr-CA"/>
        </w:rPr>
        <w:t>Hearing</w:t>
      </w:r>
      <w:proofErr w:type="spellEnd"/>
      <w:proofErr w:type="gramStart"/>
      <w:r w:rsidRPr="00F3528E">
        <w:rPr>
          <w:rFonts w:cs="Times New Roman"/>
          <w:sz w:val="20"/>
          <w:szCs w:val="20"/>
          <w:lang w:val="fr-CA"/>
        </w:rPr>
        <w:t xml:space="preserve">:  </w:t>
      </w:r>
      <w:proofErr w:type="spellStart"/>
      <w:r w:rsidR="005827DB" w:rsidRPr="00F3528E">
        <w:rPr>
          <w:rFonts w:cs="Times New Roman"/>
          <w:sz w:val="20"/>
          <w:szCs w:val="20"/>
          <w:lang w:val="fr-CA"/>
        </w:rPr>
        <w:t>February</w:t>
      </w:r>
      <w:proofErr w:type="spellEnd"/>
      <w:proofErr w:type="gramEnd"/>
      <w:r w:rsidR="005827DB" w:rsidRPr="00F3528E">
        <w:rPr>
          <w:rFonts w:cs="Times New Roman"/>
          <w:sz w:val="20"/>
          <w:szCs w:val="20"/>
          <w:lang w:val="fr-CA"/>
        </w:rPr>
        <w:t xml:space="preserve"> 16</w:t>
      </w:r>
      <w:r w:rsidRPr="00F3528E">
        <w:rPr>
          <w:rFonts w:cs="Times New Roman"/>
          <w:sz w:val="20"/>
          <w:szCs w:val="20"/>
          <w:lang w:val="fr-CA"/>
        </w:rPr>
        <w:t>, 201</w:t>
      </w:r>
      <w:r w:rsidR="005827DB" w:rsidRPr="00F3528E">
        <w:rPr>
          <w:rFonts w:cs="Times New Roman"/>
          <w:sz w:val="20"/>
          <w:szCs w:val="20"/>
          <w:lang w:val="fr-CA"/>
        </w:rPr>
        <w:t>1</w:t>
      </w:r>
      <w:r w:rsidRPr="00F3528E">
        <w:rPr>
          <w:rFonts w:cs="Times New Roman"/>
          <w:sz w:val="20"/>
          <w:szCs w:val="20"/>
          <w:lang w:val="fr-CA"/>
        </w:rPr>
        <w:t xml:space="preserve"> / </w:t>
      </w:r>
      <w:proofErr w:type="spellStart"/>
      <w:r w:rsidRPr="00F3528E">
        <w:rPr>
          <w:rFonts w:cs="Times New Roman"/>
          <w:sz w:val="20"/>
          <w:szCs w:val="20"/>
          <w:lang w:val="fr-CA"/>
        </w:rPr>
        <w:t>Judgment</w:t>
      </w:r>
      <w:proofErr w:type="spellEnd"/>
      <w:r w:rsidRPr="00F3528E">
        <w:rPr>
          <w:rFonts w:cs="Times New Roman"/>
          <w:sz w:val="20"/>
          <w:szCs w:val="20"/>
          <w:lang w:val="fr-CA"/>
        </w:rPr>
        <w:t xml:space="preserve">:  </w:t>
      </w:r>
      <w:proofErr w:type="spellStart"/>
      <w:r w:rsidR="005827DB" w:rsidRPr="00F3528E">
        <w:rPr>
          <w:rFonts w:cs="Times New Roman"/>
          <w:sz w:val="20"/>
          <w:szCs w:val="20"/>
          <w:lang w:val="fr-CA"/>
        </w:rPr>
        <w:t>December</w:t>
      </w:r>
      <w:proofErr w:type="spellEnd"/>
      <w:r w:rsidR="005827DB" w:rsidRPr="00F3528E">
        <w:rPr>
          <w:rFonts w:cs="Times New Roman"/>
          <w:sz w:val="20"/>
          <w:szCs w:val="20"/>
          <w:lang w:val="fr-CA"/>
        </w:rPr>
        <w:t xml:space="preserve"> 14, </w:t>
      </w:r>
      <w:r w:rsidRPr="00F3528E">
        <w:rPr>
          <w:rFonts w:cs="Times New Roman"/>
          <w:sz w:val="20"/>
          <w:szCs w:val="20"/>
          <w:lang w:val="fr-CA"/>
        </w:rPr>
        <w:t>201</w:t>
      </w:r>
      <w:r w:rsidR="005827DB" w:rsidRPr="00F3528E">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827DB">
        <w:rPr>
          <w:rFonts w:cs="Times New Roman"/>
          <w:sz w:val="20"/>
          <w:szCs w:val="20"/>
          <w:lang w:val="fr-CA"/>
        </w:rPr>
        <w:t>16</w:t>
      </w:r>
      <w:r w:rsidRPr="003B3977">
        <w:rPr>
          <w:rFonts w:cs="Times New Roman"/>
          <w:sz w:val="20"/>
          <w:szCs w:val="20"/>
          <w:lang w:val="fr-CA"/>
        </w:rPr>
        <w:t xml:space="preserve"> </w:t>
      </w:r>
      <w:r w:rsidR="005827DB">
        <w:rPr>
          <w:rFonts w:cs="Times New Roman"/>
          <w:sz w:val="20"/>
          <w:szCs w:val="20"/>
          <w:lang w:val="fr-CA"/>
        </w:rPr>
        <w:t>février</w:t>
      </w:r>
      <w:r w:rsidRPr="003B3977">
        <w:rPr>
          <w:rFonts w:cs="Times New Roman"/>
          <w:sz w:val="20"/>
          <w:szCs w:val="20"/>
          <w:lang w:val="fr-CA"/>
        </w:rPr>
        <w:t xml:space="preserve"> 201</w:t>
      </w:r>
      <w:r w:rsidR="00F3528E">
        <w:rPr>
          <w:rFonts w:cs="Times New Roman"/>
          <w:sz w:val="20"/>
          <w:szCs w:val="20"/>
          <w:lang w:val="fr-CA"/>
        </w:rPr>
        <w:t>1</w:t>
      </w:r>
      <w:r w:rsidRPr="003B3977">
        <w:rPr>
          <w:rFonts w:cs="Times New Roman"/>
          <w:sz w:val="20"/>
          <w:szCs w:val="20"/>
          <w:lang w:val="fr-CA"/>
        </w:rPr>
        <w:t xml:space="preserve"> / Jugement : Le </w:t>
      </w:r>
      <w:r w:rsidR="005827DB">
        <w:rPr>
          <w:rFonts w:cs="Times New Roman"/>
          <w:sz w:val="20"/>
          <w:szCs w:val="20"/>
          <w:lang w:val="fr-CA"/>
        </w:rPr>
        <w:t>14</w:t>
      </w:r>
      <w:r w:rsidRPr="003B3977">
        <w:rPr>
          <w:rFonts w:cs="Times New Roman"/>
          <w:sz w:val="20"/>
          <w:szCs w:val="20"/>
          <w:lang w:val="fr-CA"/>
        </w:rPr>
        <w:t xml:space="preserve"> </w:t>
      </w:r>
      <w:r w:rsidR="005827DB">
        <w:rPr>
          <w:rFonts w:cs="Times New Roman"/>
          <w:sz w:val="20"/>
          <w:szCs w:val="20"/>
          <w:lang w:val="fr-CA"/>
        </w:rPr>
        <w:t>décembre</w:t>
      </w:r>
      <w:r w:rsidRPr="003B3977">
        <w:rPr>
          <w:rFonts w:cs="Times New Roman"/>
          <w:sz w:val="20"/>
          <w:szCs w:val="20"/>
          <w:lang w:val="fr-CA"/>
        </w:rPr>
        <w:t xml:space="preserve"> 201</w:t>
      </w:r>
      <w:r w:rsidR="00F3528E">
        <w:rPr>
          <w:rFonts w:cs="Times New Roman"/>
          <w:sz w:val="20"/>
          <w:szCs w:val="20"/>
          <w:lang w:val="fr-CA"/>
        </w:rPr>
        <w:t>1</w:t>
      </w:r>
    </w:p>
    <w:p w:rsidR="005C6840" w:rsidRPr="003B3977" w:rsidRDefault="00DB7F13" w:rsidP="005C6840">
      <w:pPr>
        <w:rPr>
          <w:rFonts w:cs="Times New Roman"/>
          <w:sz w:val="20"/>
          <w:szCs w:val="20"/>
          <w:lang w:val="fr-CA"/>
        </w:rPr>
      </w:pPr>
      <w:r w:rsidRPr="00DB7F13">
        <w:rPr>
          <w:rFonts w:cs="Times New Roman"/>
          <w:i/>
          <w:sz w:val="20"/>
          <w:szCs w:val="20"/>
        </w:rPr>
        <w:pict>
          <v:rect id="_x0000_i108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75C63" w:rsidRDefault="00E75C63" w:rsidP="005C6840">
      <w:pPr>
        <w:rPr>
          <w:rFonts w:cs="Times New Roman"/>
          <w:sz w:val="20"/>
          <w:szCs w:val="20"/>
        </w:rPr>
      </w:pPr>
      <w:r w:rsidRPr="00E75C63">
        <w:rPr>
          <w:rFonts w:cs="Times New Roman"/>
          <w:sz w:val="20"/>
          <w:szCs w:val="20"/>
        </w:rPr>
        <w:t xml:space="preserve">Present:  </w:t>
      </w:r>
      <w:proofErr w:type="spellStart"/>
      <w:r w:rsidRPr="00E75C63">
        <w:rPr>
          <w:rFonts w:cs="Times New Roman"/>
          <w:sz w:val="20"/>
          <w:szCs w:val="20"/>
        </w:rPr>
        <w:t>McLachlin</w:t>
      </w:r>
      <w:proofErr w:type="spellEnd"/>
      <w:r w:rsidRPr="00E75C63">
        <w:rPr>
          <w:rFonts w:cs="Times New Roman"/>
          <w:sz w:val="20"/>
          <w:szCs w:val="20"/>
        </w:rPr>
        <w:t xml:space="preserve"> C.J. and </w:t>
      </w:r>
      <w:proofErr w:type="spellStart"/>
      <w:r w:rsidRPr="00E75C63">
        <w:rPr>
          <w:rFonts w:cs="Times New Roman"/>
          <w:sz w:val="20"/>
          <w:szCs w:val="20"/>
        </w:rPr>
        <w:t>Binnie</w:t>
      </w:r>
      <w:proofErr w:type="spellEnd"/>
      <w:r w:rsidRPr="00E75C63">
        <w:rPr>
          <w:rFonts w:cs="Times New Roman"/>
          <w:sz w:val="20"/>
          <w:szCs w:val="20"/>
        </w:rPr>
        <w:t xml:space="preserve">, </w:t>
      </w:r>
      <w:proofErr w:type="spellStart"/>
      <w:r w:rsidRPr="00E75C63">
        <w:rPr>
          <w:rFonts w:cs="Times New Roman"/>
          <w:sz w:val="20"/>
          <w:szCs w:val="20"/>
        </w:rPr>
        <w:t>LeBel</w:t>
      </w:r>
      <w:proofErr w:type="spellEnd"/>
      <w:r w:rsidRPr="00E75C63">
        <w:rPr>
          <w:rFonts w:cs="Times New Roman"/>
          <w:sz w:val="20"/>
          <w:szCs w:val="20"/>
        </w:rPr>
        <w:t xml:space="preserve">, </w:t>
      </w:r>
      <w:proofErr w:type="spellStart"/>
      <w:r w:rsidRPr="00E75C63">
        <w:rPr>
          <w:rFonts w:cs="Times New Roman"/>
          <w:sz w:val="20"/>
          <w:szCs w:val="20"/>
        </w:rPr>
        <w:t>Deschamps</w:t>
      </w:r>
      <w:proofErr w:type="spellEnd"/>
      <w:r w:rsidRPr="00E75C63">
        <w:rPr>
          <w:rFonts w:cs="Times New Roman"/>
          <w:sz w:val="20"/>
          <w:szCs w:val="20"/>
        </w:rPr>
        <w:t xml:space="preserve">, Fish, </w:t>
      </w:r>
      <w:proofErr w:type="spellStart"/>
      <w:r w:rsidRPr="00E75C63">
        <w:rPr>
          <w:rFonts w:cs="Times New Roman"/>
          <w:sz w:val="20"/>
          <w:szCs w:val="20"/>
        </w:rPr>
        <w:t>Abella</w:t>
      </w:r>
      <w:proofErr w:type="spellEnd"/>
      <w:r w:rsidRPr="00E75C63">
        <w:rPr>
          <w:rFonts w:cs="Times New Roman"/>
          <w:sz w:val="20"/>
          <w:szCs w:val="20"/>
        </w:rPr>
        <w:t xml:space="preserve">, </w:t>
      </w:r>
      <w:proofErr w:type="spellStart"/>
      <w:r w:rsidRPr="00E75C63">
        <w:rPr>
          <w:rFonts w:cs="Times New Roman"/>
          <w:sz w:val="20"/>
          <w:szCs w:val="20"/>
        </w:rPr>
        <w:t>Charron</w:t>
      </w:r>
      <w:proofErr w:type="spellEnd"/>
      <w:r w:rsidRPr="00E75C63">
        <w:rPr>
          <w:rFonts w:cs="Times New Roman"/>
          <w:sz w:val="20"/>
          <w:szCs w:val="20"/>
        </w:rPr>
        <w:t>, Rothstein and Cromwell JJ.</w:t>
      </w:r>
    </w:p>
    <w:p w:rsidR="005C6840" w:rsidRDefault="005C6840" w:rsidP="005C6840">
      <w:pPr>
        <w:rPr>
          <w:rFonts w:cs="Times New Roman"/>
          <w:sz w:val="20"/>
          <w:szCs w:val="20"/>
        </w:rPr>
      </w:pPr>
    </w:p>
    <w:p w:rsidR="00E75C63" w:rsidRDefault="00E75C63" w:rsidP="00A77E69">
      <w:pPr>
        <w:jc w:val="both"/>
        <w:rPr>
          <w:rFonts w:eastAsia="Times New Roman" w:cs="Times New Roman"/>
          <w:i/>
          <w:iCs/>
          <w:sz w:val="20"/>
          <w:szCs w:val="20"/>
          <w:lang w:eastAsia="en-CA"/>
        </w:rPr>
      </w:pPr>
      <w:r w:rsidRPr="00E75C63">
        <w:rPr>
          <w:rFonts w:eastAsia="Times New Roman" w:cs="Times New Roman"/>
          <w:i/>
          <w:iCs/>
          <w:sz w:val="20"/>
          <w:szCs w:val="20"/>
          <w:lang w:eastAsia="en-CA"/>
        </w:rPr>
        <w:tab/>
        <w:t>Administrative Law — Judicial Review — Implied Decision  — Decision of adjudicator quashed on judicial review on basis of the Information and Privacy Commissioner’s failure to comply with statutory time limits —  Issue of time limits not raised with the Commissioner or adjudicator — Adjudicator consequently not specifically addressing issue and not issuing reasons in this regard — Whether a matter that was not raised at tribunal may be judicially reviewed — Whether reasons given by tribunal in other decisions may assist in determination of reasonableness of implied decision — Personal Information Protection Act, S.A. 2003, c. P</w:t>
      </w:r>
      <w:r w:rsidRPr="00E75C63">
        <w:rPr>
          <w:rFonts w:eastAsia="Times New Roman" w:cs="Times New Roman"/>
          <w:i/>
          <w:iCs/>
          <w:sz w:val="20"/>
          <w:szCs w:val="20"/>
          <w:lang w:eastAsia="en-CA"/>
        </w:rPr>
        <w:noBreakHyphen/>
        <w:t>6.5, s. 50(5).</w:t>
      </w:r>
    </w:p>
    <w:p w:rsidR="007845F3" w:rsidRPr="00E75C63" w:rsidRDefault="007845F3" w:rsidP="00A77E69">
      <w:pPr>
        <w:jc w:val="both"/>
        <w:rPr>
          <w:rFonts w:eastAsia="Times New Roman" w:cs="Times New Roman"/>
          <w:i/>
          <w:iCs/>
          <w:sz w:val="20"/>
          <w:szCs w:val="20"/>
          <w:lang w:eastAsia="en-CA"/>
        </w:rPr>
      </w:pPr>
    </w:p>
    <w:p w:rsidR="00E75C63" w:rsidRPr="00E75C63" w:rsidRDefault="00E75C63" w:rsidP="00A77E69">
      <w:pPr>
        <w:widowControl w:val="0"/>
        <w:jc w:val="both"/>
        <w:rPr>
          <w:rFonts w:eastAsia="Times New Roman" w:cs="Times New Roman"/>
          <w:i/>
          <w:iCs/>
          <w:sz w:val="20"/>
          <w:szCs w:val="20"/>
          <w:lang w:eastAsia="en-CA"/>
        </w:rPr>
      </w:pPr>
      <w:r w:rsidRPr="00E75C63">
        <w:rPr>
          <w:rFonts w:eastAsia="Times New Roman" w:cs="Times New Roman"/>
          <w:i/>
          <w:iCs/>
          <w:sz w:val="20"/>
          <w:szCs w:val="20"/>
          <w:lang w:eastAsia="en-CA"/>
        </w:rPr>
        <w:tab/>
        <w:t>Administrative Law — Standard of Review —</w:t>
      </w:r>
      <w:r w:rsidRPr="00E75C63">
        <w:rPr>
          <w:rFonts w:eastAsia="Times New Roman" w:cs="Times New Roman"/>
          <w:i/>
          <w:sz w:val="20"/>
          <w:szCs w:val="20"/>
          <w:lang w:eastAsia="en-CA"/>
        </w:rPr>
        <w:t xml:space="preserve"> Whether a tribunal’s decision relating to the interpretation of its home statute or statutes closely connected to its functions is reviewable on standard of correctness or reasonableness — Whether category of true questions of jurisdiction or </w:t>
      </w:r>
      <w:proofErr w:type="spellStart"/>
      <w:r w:rsidRPr="00E75C63">
        <w:rPr>
          <w:rFonts w:eastAsia="Times New Roman" w:cs="Times New Roman"/>
          <w:i/>
          <w:sz w:val="20"/>
          <w:szCs w:val="20"/>
          <w:lang w:eastAsia="en-CA"/>
        </w:rPr>
        <w:t>vires</w:t>
      </w:r>
      <w:proofErr w:type="spellEnd"/>
      <w:r w:rsidRPr="00E75C63">
        <w:rPr>
          <w:rFonts w:eastAsia="Times New Roman" w:cs="Times New Roman"/>
          <w:i/>
          <w:sz w:val="20"/>
          <w:szCs w:val="20"/>
          <w:lang w:eastAsia="en-CA"/>
        </w:rPr>
        <w:t xml:space="preserve"> should be maintained when tribunal is interpreting its home statute or statutes closely connected to its functions.</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The Information and Privacy Commissioner received complaints that the ATA disclosed private information in contravention of the Alberta </w:t>
      </w:r>
      <w:r w:rsidRPr="00E75C63">
        <w:rPr>
          <w:rFonts w:eastAsia="Times New Roman" w:cs="Times New Roman"/>
          <w:i/>
          <w:sz w:val="20"/>
          <w:szCs w:val="20"/>
          <w:lang w:eastAsia="en-CA"/>
        </w:rPr>
        <w:t xml:space="preserve">Personal Information </w:t>
      </w:r>
      <w:r w:rsidRPr="00E75C63">
        <w:rPr>
          <w:rFonts w:eastAsia="Times New Roman" w:cs="Times New Roman"/>
          <w:i/>
          <w:iCs/>
          <w:sz w:val="20"/>
          <w:szCs w:val="20"/>
          <w:lang w:eastAsia="en-CA"/>
        </w:rPr>
        <w:t>Protection</w:t>
      </w:r>
      <w:r w:rsidRPr="00E75C63">
        <w:rPr>
          <w:rFonts w:eastAsia="Times New Roman" w:cs="Times New Roman"/>
          <w:i/>
          <w:sz w:val="20"/>
          <w:szCs w:val="20"/>
          <w:lang w:eastAsia="en-CA"/>
        </w:rPr>
        <w:t xml:space="preserve"> Act</w:t>
      </w:r>
      <w:r w:rsidRPr="00E75C63">
        <w:rPr>
          <w:rFonts w:eastAsia="Times New Roman" w:cs="Times New Roman"/>
          <w:sz w:val="20"/>
          <w:szCs w:val="20"/>
          <w:lang w:eastAsia="en-CA"/>
        </w:rPr>
        <w:t>.</w:t>
      </w:r>
      <w:r w:rsidRPr="00E75C63">
        <w:rPr>
          <w:rFonts w:eastAsia="Times New Roman" w:cs="Times New Roman"/>
          <w:i/>
          <w:sz w:val="20"/>
          <w:szCs w:val="20"/>
          <w:lang w:eastAsia="en-CA"/>
        </w:rPr>
        <w:t xml:space="preserve"> </w:t>
      </w:r>
      <w:r w:rsidRPr="00E75C63">
        <w:rPr>
          <w:rFonts w:eastAsia="Times New Roman" w:cs="Times New Roman"/>
          <w:sz w:val="20"/>
          <w:szCs w:val="20"/>
          <w:lang w:eastAsia="en-CA"/>
        </w:rPr>
        <w:t xml:space="preserve"> At the time, s. 50(5) of </w:t>
      </w:r>
      <w:r w:rsidRPr="00E75C63">
        <w:rPr>
          <w:rFonts w:eastAsia="Times New Roman" w:cs="Times New Roman"/>
          <w:i/>
          <w:sz w:val="20"/>
          <w:szCs w:val="20"/>
          <w:lang w:eastAsia="en-CA"/>
        </w:rPr>
        <w:t xml:space="preserve">PIPA </w:t>
      </w:r>
      <w:r w:rsidRPr="00E75C63">
        <w:rPr>
          <w:rFonts w:eastAsia="Times New Roman" w:cs="Times New Roman"/>
          <w:sz w:val="20"/>
          <w:szCs w:val="20"/>
          <w:lang w:eastAsia="en-CA"/>
        </w:rPr>
        <w:t xml:space="preserve"> provided that an inquiry must be completed within 90 days of the complaint being received unless the Commissioner notified the parties that he was extending the time period and he provided an anticipated date for completing the inquiry.  The Commissioner took 22 months from the initial complaint before extending the estimated date on which the inquiry would be concluded.  Seven months later, an adjudicator delegated by the Commissioner issued an order, finding that the ATA had contravened the Act.  The ATA applied for judicial review of the adjudicator’s order.  In argument, it claimed for the first time that the Commissioner had lost jurisdiction due to his failure to extend the period for completion of the inquiry within 90 days of the complaint being received.  The chambers judge quashed the adjudicator’s decision on that basis.  A majority of the Court of Appeal upheld the chambers judge’s decision.</w:t>
      </w:r>
    </w:p>
    <w:p w:rsidR="007845F3" w:rsidRDefault="007845F3" w:rsidP="00A77E69">
      <w:pPr>
        <w:widowControl w:val="0"/>
        <w:jc w:val="both"/>
        <w:rPr>
          <w:rFonts w:eastAsia="Times New Roman" w:cs="Times New Roman"/>
          <w:i/>
          <w:sz w:val="20"/>
          <w:szCs w:val="20"/>
          <w:lang w:eastAsia="en-CA"/>
        </w:rPr>
      </w:pPr>
    </w:p>
    <w:p w:rsidR="00E75C63" w:rsidRPr="00E75C63" w:rsidRDefault="00E75C63" w:rsidP="00A77E69">
      <w:pPr>
        <w:widowControl w:val="0"/>
        <w:jc w:val="both"/>
        <w:rPr>
          <w:rFonts w:eastAsia="Times New Roman" w:cs="Times New Roman"/>
          <w:i/>
          <w:sz w:val="20"/>
          <w:szCs w:val="20"/>
          <w:lang w:eastAsia="en-CA"/>
        </w:rPr>
      </w:pPr>
      <w:r w:rsidRPr="00E75C63">
        <w:rPr>
          <w:rFonts w:eastAsia="Times New Roman" w:cs="Times New Roman"/>
          <w:i/>
          <w:sz w:val="20"/>
          <w:szCs w:val="20"/>
          <w:lang w:eastAsia="en-CA"/>
        </w:rPr>
        <w:tab/>
        <w:t>Held</w:t>
      </w:r>
      <w:r w:rsidRPr="00E75C63">
        <w:rPr>
          <w:rFonts w:eastAsia="Times New Roman" w:cs="Times New Roman"/>
          <w:sz w:val="20"/>
          <w:szCs w:val="20"/>
          <w:lang w:eastAsia="en-CA"/>
        </w:rPr>
        <w:t>:  The appeal should be allowed.</w:t>
      </w:r>
    </w:p>
    <w:p w:rsidR="007845F3" w:rsidRDefault="007845F3" w:rsidP="00A77E69">
      <w:pPr>
        <w:widowControl w:val="0"/>
        <w:jc w:val="both"/>
        <w:rPr>
          <w:rFonts w:eastAsia="Times New Roman" w:cs="Times New Roman"/>
          <w:i/>
          <w:iCs/>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i/>
          <w:iCs/>
          <w:sz w:val="20"/>
          <w:szCs w:val="20"/>
          <w:lang w:eastAsia="en-CA"/>
        </w:rPr>
        <w:tab/>
        <w:t>Per</w:t>
      </w:r>
      <w:r w:rsidRPr="00E75C63">
        <w:rPr>
          <w:rFonts w:eastAsia="Times New Roman" w:cs="Times New Roman"/>
          <w:sz w:val="20"/>
          <w:szCs w:val="20"/>
          <w:lang w:eastAsia="en-CA"/>
        </w:rPr>
        <w:t xml:space="preserve"> </w:t>
      </w:r>
      <w:proofErr w:type="spellStart"/>
      <w:r w:rsidRPr="00E75C63">
        <w:rPr>
          <w:rFonts w:eastAsia="Times New Roman" w:cs="Times New Roman"/>
          <w:sz w:val="20"/>
          <w:szCs w:val="20"/>
          <w:lang w:eastAsia="en-CA"/>
        </w:rPr>
        <w:t>McLachlin</w:t>
      </w:r>
      <w:proofErr w:type="spellEnd"/>
      <w:r w:rsidRPr="00E75C63">
        <w:rPr>
          <w:rFonts w:eastAsia="Times New Roman" w:cs="Times New Roman"/>
          <w:sz w:val="20"/>
          <w:szCs w:val="20"/>
          <w:lang w:eastAsia="en-CA"/>
        </w:rPr>
        <w:t xml:space="preserve"> C.J. and </w:t>
      </w:r>
      <w:proofErr w:type="spellStart"/>
      <w:r w:rsidRPr="00E75C63">
        <w:rPr>
          <w:rFonts w:eastAsia="Times New Roman" w:cs="Times New Roman"/>
          <w:sz w:val="20"/>
          <w:szCs w:val="20"/>
          <w:lang w:eastAsia="en-CA"/>
        </w:rPr>
        <w:t>LeBel</w:t>
      </w:r>
      <w:proofErr w:type="spellEnd"/>
      <w:r w:rsidRPr="00E75C63">
        <w:rPr>
          <w:rFonts w:eastAsia="Times New Roman" w:cs="Times New Roman"/>
          <w:sz w:val="20"/>
          <w:szCs w:val="20"/>
          <w:lang w:eastAsia="en-CA"/>
        </w:rPr>
        <w:t xml:space="preserve">, Fish, </w:t>
      </w:r>
      <w:proofErr w:type="spellStart"/>
      <w:r w:rsidRPr="00E75C63">
        <w:rPr>
          <w:rFonts w:eastAsia="Times New Roman" w:cs="Times New Roman"/>
          <w:sz w:val="20"/>
          <w:szCs w:val="20"/>
          <w:lang w:eastAsia="en-CA"/>
        </w:rPr>
        <w:t>Abella</w:t>
      </w:r>
      <w:proofErr w:type="spellEnd"/>
      <w:r w:rsidRPr="00E75C63">
        <w:rPr>
          <w:rFonts w:eastAsia="Times New Roman" w:cs="Times New Roman"/>
          <w:sz w:val="20"/>
          <w:szCs w:val="20"/>
          <w:lang w:eastAsia="en-CA"/>
        </w:rPr>
        <w:t xml:space="preserve">, </w:t>
      </w:r>
      <w:proofErr w:type="spellStart"/>
      <w:r w:rsidRPr="00E75C63">
        <w:rPr>
          <w:rFonts w:eastAsia="Times New Roman" w:cs="Times New Roman"/>
          <w:sz w:val="20"/>
          <w:szCs w:val="20"/>
          <w:lang w:eastAsia="en-CA"/>
        </w:rPr>
        <w:t>Charron</w:t>
      </w:r>
      <w:proofErr w:type="spellEnd"/>
      <w:r w:rsidRPr="00E75C63">
        <w:rPr>
          <w:rFonts w:eastAsia="Times New Roman" w:cs="Times New Roman"/>
          <w:sz w:val="20"/>
          <w:szCs w:val="20"/>
          <w:lang w:eastAsia="en-CA"/>
        </w:rPr>
        <w:t xml:space="preserve"> and </w:t>
      </w:r>
      <w:r w:rsidRPr="00E75C63">
        <w:rPr>
          <w:rFonts w:eastAsia="Times New Roman" w:cs="Times New Roman"/>
          <w:b/>
          <w:sz w:val="20"/>
          <w:szCs w:val="20"/>
          <w:lang w:eastAsia="en-CA"/>
        </w:rPr>
        <w:t>Rothstein </w:t>
      </w:r>
      <w:r w:rsidRPr="00E75C63">
        <w:rPr>
          <w:rFonts w:eastAsia="Times New Roman" w:cs="Times New Roman"/>
          <w:sz w:val="20"/>
          <w:szCs w:val="20"/>
          <w:lang w:eastAsia="en-CA"/>
        </w:rPr>
        <w:t xml:space="preserve">JJ.:  Although the timelines issue was not raised before the Commissioner or the adjudicator, the adjudicator implicitly decided that providing an extension after 90 days did not automatically terminate the inquiry.  The adjudicator’s decision was subject to judicial review on a reasonableness standard and her decision was reasonable.  The adjudicator’s order should be reinstated and the matter should be remitted to the chambers judge to consider issues not dealt with and resolved in the judicial review. </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A court has discretion not to undertake judicial review of an issue and generally will not review an issue that could have been, but was not, </w:t>
      </w:r>
      <w:proofErr w:type="gramStart"/>
      <w:r w:rsidRPr="00E75C63">
        <w:rPr>
          <w:rFonts w:eastAsia="Times New Roman" w:cs="Times New Roman"/>
          <w:sz w:val="20"/>
          <w:szCs w:val="20"/>
          <w:lang w:eastAsia="en-CA"/>
        </w:rPr>
        <w:t>raised</w:t>
      </w:r>
      <w:proofErr w:type="gramEnd"/>
      <w:r w:rsidRPr="00E75C63">
        <w:rPr>
          <w:rFonts w:eastAsia="Times New Roman" w:cs="Times New Roman"/>
          <w:sz w:val="20"/>
          <w:szCs w:val="20"/>
          <w:lang w:eastAsia="en-CA"/>
        </w:rPr>
        <w:t xml:space="preserve"> before the tribunal.  </w:t>
      </w:r>
      <w:r w:rsidRPr="00E75C63">
        <w:rPr>
          <w:rFonts w:eastAsia="Times New Roman" w:cs="Times New Roman"/>
          <w:sz w:val="20"/>
          <w:szCs w:val="20"/>
          <w:lang w:val="en-US" w:eastAsia="en-CA"/>
        </w:rPr>
        <w:t xml:space="preserve">However, in this case, the rationales for the general rule have </w:t>
      </w:r>
      <w:r w:rsidRPr="00E75C63">
        <w:rPr>
          <w:rFonts w:eastAsia="Times New Roman" w:cs="Times New Roman"/>
          <w:sz w:val="20"/>
          <w:szCs w:val="20"/>
          <w:lang w:eastAsia="en-CA"/>
        </w:rPr>
        <w:t>limited application.  The Commissioner has consistently expressed his views in other cases, so we have the benefit of his expertise.  No evidence was required to consider the timelines issue and no prejudice was alleged.</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In the present appeal, the letter notifying the parties of the extension was sent after the expiration of 90 days.  An inquiry was conducted and the adjudicator ultimately rendered an order against the ATA.  The issue raised by the ATA on judicial review could only be decided in one of two ways — either the consequence of an extension was that the inquiry was terminated or not.  Both the Commissioner and the adjudicator implicitly decided that providing an extension after 90 days did not result in the inquiry being automatically terminated. </w:t>
      </w:r>
    </w:p>
    <w:p w:rsidR="007845F3" w:rsidRDefault="007845F3" w:rsidP="00A77E69">
      <w:pPr>
        <w:widowControl w:val="0"/>
        <w:jc w:val="both"/>
        <w:rPr>
          <w:rFonts w:eastAsia="Times New Roman" w:cs="Times New Roman"/>
          <w:sz w:val="20"/>
          <w:szCs w:val="20"/>
          <w:lang w:val="en-US"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val="en-US" w:eastAsia="en-CA"/>
        </w:rPr>
        <w:tab/>
        <w:t xml:space="preserve">In this </w:t>
      </w:r>
      <w:r w:rsidRPr="00E75C63">
        <w:rPr>
          <w:rFonts w:eastAsia="Times New Roman" w:cs="Times New Roman"/>
          <w:sz w:val="20"/>
          <w:szCs w:val="20"/>
          <w:lang w:eastAsia="en-CA"/>
        </w:rPr>
        <w:t>case</w:t>
      </w:r>
      <w:r w:rsidRPr="00E75C63">
        <w:rPr>
          <w:rFonts w:eastAsia="Times New Roman" w:cs="Times New Roman"/>
          <w:sz w:val="20"/>
          <w:szCs w:val="20"/>
          <w:lang w:val="en-US" w:eastAsia="en-CA"/>
        </w:rPr>
        <w:t xml:space="preserve">, a reasonableness standard applied on judicial review.  </w:t>
      </w:r>
      <w:r w:rsidRPr="00E75C63">
        <w:rPr>
          <w:rFonts w:eastAsia="Times New Roman" w:cs="Times New Roman"/>
          <w:sz w:val="20"/>
          <w:szCs w:val="20"/>
          <w:lang w:eastAsia="en-CA"/>
        </w:rPr>
        <w:t>T</w:t>
      </w:r>
      <w:r w:rsidRPr="00E75C63">
        <w:rPr>
          <w:rFonts w:eastAsia="Times New Roman" w:cs="Times New Roman"/>
          <w:sz w:val="20"/>
          <w:szCs w:val="20"/>
          <w:lang w:val="en-US" w:eastAsia="en-CA"/>
        </w:rPr>
        <w:t xml:space="preserve">he Commissioner was interpreting his own </w:t>
      </w:r>
      <w:r w:rsidRPr="00E75C63">
        <w:rPr>
          <w:rFonts w:eastAsia="Times New Roman" w:cs="Times New Roman"/>
          <w:sz w:val="20"/>
          <w:szCs w:val="20"/>
          <w:lang w:val="en-US" w:eastAsia="en-CA"/>
        </w:rPr>
        <w:lastRenderedPageBreak/>
        <w:t xml:space="preserve">statute and the question was within his specialized expertise.  </w:t>
      </w:r>
      <w:r w:rsidRPr="00E75C63">
        <w:rPr>
          <w:rFonts w:eastAsia="Times New Roman" w:cs="Times New Roman"/>
          <w:sz w:val="20"/>
          <w:szCs w:val="20"/>
          <w:lang w:eastAsia="en-CA"/>
        </w:rPr>
        <w:t xml:space="preserve">Deference will usually result where a tribunal is interpreting its own statute or statutes closely connected to its function, unless the question falls into a category of question to which the correctness standard continues to apply.  The timelines question does not fall into such a category:  it is not a constitutional question, a question regarding the jurisdictional lines between competing specialized tribunals, a question of central importance to the legal system as a whole, nor a true question of jurisdiction or </w:t>
      </w:r>
      <w:proofErr w:type="spellStart"/>
      <w:r w:rsidRPr="00E75C63">
        <w:rPr>
          <w:rFonts w:eastAsia="Times New Roman" w:cs="Times New Roman"/>
          <w:i/>
          <w:sz w:val="20"/>
          <w:szCs w:val="20"/>
          <w:lang w:eastAsia="en-CA"/>
        </w:rPr>
        <w:t>vires</w:t>
      </w:r>
      <w:proofErr w:type="spellEnd"/>
      <w:r w:rsidRPr="00E75C63">
        <w:rPr>
          <w:rFonts w:eastAsia="Times New Roman" w:cs="Times New Roman"/>
          <w:sz w:val="20"/>
          <w:szCs w:val="20"/>
          <w:lang w:eastAsia="en-CA"/>
        </w:rPr>
        <w:t>.  Experience has shown that the category of true questions of jurisdiction is narrow</w:t>
      </w:r>
      <w:r w:rsidRPr="00E75C63">
        <w:rPr>
          <w:rFonts w:eastAsia="Times New Roman" w:cs="Times New Roman"/>
          <w:sz w:val="20"/>
          <w:szCs w:val="20"/>
          <w:lang w:val="en-US" w:eastAsia="en-CA"/>
        </w:rPr>
        <w:t xml:space="preserve"> and it may be that the time has come to reconsider whether this category exists and is necessary to identify the appropriate standard of review</w:t>
      </w:r>
      <w:r w:rsidRPr="00E75C63">
        <w:rPr>
          <w:rFonts w:eastAsia="Times New Roman" w:cs="Times New Roman"/>
          <w:sz w:val="20"/>
          <w:szCs w:val="20"/>
          <w:lang w:eastAsia="en-CA"/>
        </w:rPr>
        <w:t xml:space="preserve">.  </w:t>
      </w:r>
      <w:r w:rsidRPr="00E75C63">
        <w:rPr>
          <w:rFonts w:eastAsia="Times New Roman" w:cs="Times New Roman"/>
          <w:sz w:val="20"/>
          <w:szCs w:val="20"/>
          <w:lang w:val="en-US" w:eastAsia="en-CA"/>
        </w:rPr>
        <w:t xml:space="preserve">Uncertainty has plagued standard of review analysis for many years.  The “true questions of jurisdiction” category has caused confusion to counsel and judges alike and without a clear definition or content to the category, courts will continue to be in doubt on this question.  For now, </w:t>
      </w:r>
      <w:proofErr w:type="spellStart"/>
      <w:r w:rsidRPr="00E75C63">
        <w:rPr>
          <w:rFonts w:eastAsia="Times New Roman" w:cs="Times New Roman"/>
          <w:sz w:val="20"/>
          <w:szCs w:val="20"/>
          <w:lang w:val="en-US" w:eastAsia="en-CA"/>
        </w:rPr>
        <w:t>i</w:t>
      </w:r>
      <w:proofErr w:type="spellEnd"/>
      <w:r w:rsidRPr="00E75C63">
        <w:rPr>
          <w:rFonts w:eastAsia="Times New Roman" w:cs="Times New Roman"/>
          <w:sz w:val="20"/>
          <w:szCs w:val="20"/>
          <w:lang w:eastAsia="en-CA"/>
        </w:rPr>
        <w:t xml:space="preserve">t is sufficient to say that, unless the situation is exceptional, </w:t>
      </w:r>
      <w:r w:rsidRPr="00E75C63">
        <w:rPr>
          <w:rFonts w:eastAsia="Times New Roman" w:cs="Times New Roman"/>
          <w:sz w:val="20"/>
          <w:szCs w:val="20"/>
          <w:lang w:val="en-US" w:eastAsia="en-CA"/>
        </w:rPr>
        <w:t xml:space="preserve">the interpretation by a tribunal of its home statute or statutes closely connected to its function should be presumed to be a question of statutory interpretation subject to deference on judicial review.  </w:t>
      </w:r>
      <w:proofErr w:type="gramStart"/>
      <w:r w:rsidRPr="00E75C63">
        <w:rPr>
          <w:rFonts w:eastAsia="Times New Roman" w:cs="Times New Roman"/>
          <w:sz w:val="20"/>
          <w:szCs w:val="20"/>
          <w:lang w:val="en-US" w:eastAsia="en-CA"/>
        </w:rPr>
        <w:t>As long as the “true question of jurisdiction” category remains, a party seeking to invoke it should be required to demonstrate why the court should not review a tribunal’s interpretation of its home statute on the standard of reasonableness.</w:t>
      </w:r>
      <w:proofErr w:type="gramEnd"/>
      <w:r w:rsidRPr="00E75C63">
        <w:rPr>
          <w:rFonts w:eastAsia="Times New Roman" w:cs="Times New Roman"/>
          <w:sz w:val="20"/>
          <w:szCs w:val="20"/>
          <w:lang w:val="en-US" w:eastAsia="en-CA"/>
        </w:rPr>
        <w:t> </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The deference due to a tribunal does not disappear because its decision was implicit.  Parties cannot gut the deference owed to a tribunal by failing to raise the issue before the tribunal and thereby mislead the tribunal on the necessity of providing reasons.  When the decision under review concerns an issue that was not raised before the </w:t>
      </w:r>
      <w:proofErr w:type="spellStart"/>
      <w:r w:rsidRPr="00E75C63">
        <w:rPr>
          <w:rFonts w:eastAsia="Times New Roman" w:cs="Times New Roman"/>
          <w:sz w:val="20"/>
          <w:szCs w:val="20"/>
          <w:lang w:eastAsia="en-CA"/>
        </w:rPr>
        <w:t>decision</w:t>
      </w:r>
      <w:r w:rsidRPr="00E75C63">
        <w:rPr>
          <w:rFonts w:eastAsia="Times New Roman" w:cs="Times New Roman"/>
          <w:sz w:val="20"/>
          <w:szCs w:val="20"/>
          <w:lang w:eastAsia="en-CA"/>
        </w:rPr>
        <w:noBreakHyphen/>
        <w:t>maker</w:t>
      </w:r>
      <w:proofErr w:type="spellEnd"/>
      <w:r w:rsidRPr="00E75C63">
        <w:rPr>
          <w:rFonts w:eastAsia="Times New Roman" w:cs="Times New Roman"/>
          <w:sz w:val="20"/>
          <w:szCs w:val="20"/>
          <w:lang w:eastAsia="en-CA"/>
        </w:rPr>
        <w:t xml:space="preserve">, the reviewing court can consider reasons which could have been offered in support of the decision.  When a reasonable basis for an implied decision is apparent, a reviewing court should uphold the decision as reasonable.  In some cases, it may be that the reviewing court cannot adequately show deference without first providing the </w:t>
      </w:r>
      <w:proofErr w:type="spellStart"/>
      <w:r w:rsidRPr="00E75C63">
        <w:rPr>
          <w:rFonts w:eastAsia="Times New Roman" w:cs="Times New Roman"/>
          <w:sz w:val="20"/>
          <w:szCs w:val="20"/>
          <w:lang w:eastAsia="en-CA"/>
        </w:rPr>
        <w:t>decision</w:t>
      </w:r>
      <w:r w:rsidRPr="00E75C63">
        <w:rPr>
          <w:rFonts w:eastAsia="Times New Roman" w:cs="Times New Roman"/>
          <w:sz w:val="20"/>
          <w:szCs w:val="20"/>
          <w:lang w:eastAsia="en-CA"/>
        </w:rPr>
        <w:noBreakHyphen/>
        <w:t>maker</w:t>
      </w:r>
      <w:proofErr w:type="spellEnd"/>
      <w:r w:rsidRPr="00E75C63">
        <w:rPr>
          <w:rFonts w:eastAsia="Times New Roman" w:cs="Times New Roman"/>
          <w:sz w:val="20"/>
          <w:szCs w:val="20"/>
          <w:lang w:eastAsia="en-CA"/>
        </w:rPr>
        <w:t xml:space="preserve"> the opportunity to give its own reasons for the decision.  It will generally be inappropriate to find that there is no reasonable basis for the tribunal’s decision without first giving the tribunal an opportunity to provide one.  </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Reasons given by a tribunal in other decisions on the same issue can assist a reviewing court in determining whether a reasonable basis for an implied decision exists.  Other decisions by the Commissioner and the adjudicator have provided consistent analyses of the </w:t>
      </w:r>
      <w:proofErr w:type="spellStart"/>
      <w:r w:rsidRPr="00E75C63">
        <w:rPr>
          <w:rFonts w:eastAsia="Times New Roman" w:cs="Times New Roman"/>
          <w:sz w:val="20"/>
          <w:szCs w:val="20"/>
          <w:lang w:eastAsia="en-CA"/>
        </w:rPr>
        <w:t>similarly</w:t>
      </w:r>
      <w:r w:rsidRPr="00E75C63">
        <w:rPr>
          <w:rFonts w:eastAsia="Times New Roman" w:cs="Times New Roman"/>
          <w:sz w:val="20"/>
          <w:szCs w:val="20"/>
          <w:lang w:eastAsia="en-CA"/>
        </w:rPr>
        <w:noBreakHyphen/>
        <w:t>worded</w:t>
      </w:r>
      <w:proofErr w:type="spellEnd"/>
      <w:r w:rsidRPr="00E75C63">
        <w:rPr>
          <w:rFonts w:eastAsia="Times New Roman" w:cs="Times New Roman"/>
          <w:sz w:val="20"/>
          <w:szCs w:val="20"/>
          <w:lang w:eastAsia="en-CA"/>
        </w:rPr>
        <w:t xml:space="preserve"> s. 69(6) of the </w:t>
      </w:r>
      <w:r w:rsidRPr="00E75C63">
        <w:rPr>
          <w:rFonts w:eastAsia="Times New Roman" w:cs="Times New Roman"/>
          <w:bCs/>
          <w:i/>
          <w:sz w:val="20"/>
          <w:szCs w:val="20"/>
          <w:lang w:eastAsia="en-CA"/>
        </w:rPr>
        <w:t xml:space="preserve">Freedom of Information and Protection of Privacy Act </w:t>
      </w:r>
      <w:r w:rsidRPr="00E75C63">
        <w:rPr>
          <w:rFonts w:eastAsia="Times New Roman" w:cs="Times New Roman"/>
          <w:bCs/>
          <w:sz w:val="20"/>
          <w:szCs w:val="20"/>
          <w:lang w:eastAsia="en-CA"/>
        </w:rPr>
        <w:t>(“</w:t>
      </w:r>
      <w:r w:rsidRPr="00E75C63">
        <w:rPr>
          <w:rFonts w:eastAsia="Times New Roman" w:cs="Times New Roman"/>
          <w:bCs/>
          <w:i/>
          <w:sz w:val="20"/>
          <w:szCs w:val="20"/>
          <w:lang w:eastAsia="en-CA"/>
        </w:rPr>
        <w:t>FOIPA</w:t>
      </w:r>
      <w:r w:rsidRPr="00E75C63">
        <w:rPr>
          <w:rFonts w:eastAsia="Times New Roman" w:cs="Times New Roman"/>
          <w:bCs/>
          <w:sz w:val="20"/>
          <w:szCs w:val="20"/>
          <w:lang w:eastAsia="en-CA"/>
        </w:rPr>
        <w:t>”)</w:t>
      </w:r>
      <w:r w:rsidRPr="00E75C63">
        <w:rPr>
          <w:rFonts w:eastAsia="Times New Roman" w:cs="Times New Roman"/>
          <w:sz w:val="20"/>
          <w:szCs w:val="20"/>
          <w:lang w:eastAsia="en-CA"/>
        </w:rPr>
        <w:t>.  The Commissioner has held that a similar 90</w:t>
      </w:r>
      <w:r w:rsidRPr="00E75C63">
        <w:rPr>
          <w:rFonts w:eastAsia="Times New Roman" w:cs="Times New Roman"/>
          <w:sz w:val="20"/>
          <w:szCs w:val="20"/>
          <w:lang w:eastAsia="en-CA"/>
        </w:rPr>
        <w:noBreakHyphen/>
        <w:t xml:space="preserve">day time limit in s. 69(6) applies only to his duty to complete an inquiry and not to extending time to complete an inquiry.  His interpretation of s. 69(6) systematically addresses the text of that provision, its purposes, and the practical realities of conducting inquiries.  His interpretation of s. 69(6) satisfies the values of justification, transparency and intelligibility in administrative </w:t>
      </w:r>
      <w:proofErr w:type="spellStart"/>
      <w:r w:rsidRPr="00E75C63">
        <w:rPr>
          <w:rFonts w:eastAsia="Times New Roman" w:cs="Times New Roman"/>
          <w:sz w:val="20"/>
          <w:szCs w:val="20"/>
          <w:lang w:eastAsia="en-CA"/>
        </w:rPr>
        <w:t>decision</w:t>
      </w:r>
      <w:r w:rsidRPr="00E75C63">
        <w:rPr>
          <w:rFonts w:eastAsia="Times New Roman" w:cs="Times New Roman"/>
          <w:sz w:val="20"/>
          <w:szCs w:val="20"/>
          <w:lang w:eastAsia="en-CA"/>
        </w:rPr>
        <w:noBreakHyphen/>
        <w:t>making</w:t>
      </w:r>
      <w:proofErr w:type="spellEnd"/>
      <w:r w:rsidRPr="00E75C63">
        <w:rPr>
          <w:rFonts w:eastAsia="Times New Roman" w:cs="Times New Roman"/>
          <w:sz w:val="20"/>
          <w:szCs w:val="20"/>
          <w:lang w:eastAsia="en-CA"/>
        </w:rPr>
        <w:t>.</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It is reasonable to assume that the Commissioner’s interpretations of s. 69(6) of </w:t>
      </w:r>
      <w:r w:rsidRPr="00E75C63">
        <w:rPr>
          <w:rFonts w:eastAsia="Times New Roman" w:cs="Times New Roman"/>
          <w:bCs/>
          <w:i/>
          <w:sz w:val="20"/>
          <w:szCs w:val="20"/>
          <w:lang w:eastAsia="en-CA"/>
        </w:rPr>
        <w:t>FOIPA</w:t>
      </w:r>
      <w:r w:rsidRPr="00E75C63">
        <w:rPr>
          <w:rFonts w:eastAsia="Times New Roman" w:cs="Times New Roman"/>
          <w:bCs/>
          <w:sz w:val="20"/>
          <w:szCs w:val="20"/>
          <w:lang w:eastAsia="en-CA"/>
        </w:rPr>
        <w:t xml:space="preserve"> </w:t>
      </w:r>
      <w:r w:rsidRPr="00E75C63">
        <w:rPr>
          <w:rFonts w:eastAsia="Times New Roman" w:cs="Times New Roman"/>
          <w:sz w:val="20"/>
          <w:szCs w:val="20"/>
          <w:lang w:eastAsia="en-CA"/>
        </w:rPr>
        <w:t xml:space="preserve">are the reasons of the adjudicator in this case.  Both s. 50(5) of </w:t>
      </w:r>
      <w:r w:rsidRPr="00E75C63">
        <w:rPr>
          <w:rFonts w:eastAsia="Times New Roman" w:cs="Times New Roman"/>
          <w:i/>
          <w:sz w:val="20"/>
          <w:szCs w:val="20"/>
          <w:lang w:eastAsia="en-CA"/>
        </w:rPr>
        <w:t xml:space="preserve">PIPA </w:t>
      </w:r>
      <w:r w:rsidRPr="00E75C63">
        <w:rPr>
          <w:rFonts w:eastAsia="Times New Roman" w:cs="Times New Roman"/>
          <w:sz w:val="20"/>
          <w:szCs w:val="20"/>
          <w:lang w:eastAsia="en-CA"/>
        </w:rPr>
        <w:t xml:space="preserve">and s. 69(6) of </w:t>
      </w:r>
      <w:r w:rsidRPr="00E75C63">
        <w:rPr>
          <w:rFonts w:eastAsia="Times New Roman" w:cs="Times New Roman"/>
          <w:i/>
          <w:sz w:val="20"/>
          <w:szCs w:val="20"/>
          <w:lang w:eastAsia="en-CA"/>
        </w:rPr>
        <w:t>FOIPA</w:t>
      </w:r>
      <w:r w:rsidRPr="00E75C63">
        <w:rPr>
          <w:rFonts w:eastAsia="Times New Roman" w:cs="Times New Roman"/>
          <w:sz w:val="20"/>
          <w:szCs w:val="20"/>
          <w:lang w:eastAsia="en-CA"/>
        </w:rPr>
        <w:t xml:space="preserve"> govern inquiries conducted by the Commissioner.  They are identically structured and use almost identical language.  It was reasonable for the adjudicator to apply the Commissioner’s interpretation of s. 69(6) of </w:t>
      </w:r>
      <w:r w:rsidRPr="00E75C63">
        <w:rPr>
          <w:rFonts w:eastAsia="Times New Roman" w:cs="Times New Roman"/>
          <w:bCs/>
          <w:i/>
          <w:sz w:val="20"/>
          <w:szCs w:val="20"/>
          <w:lang w:eastAsia="en-CA"/>
        </w:rPr>
        <w:t xml:space="preserve">FOIPA </w:t>
      </w:r>
      <w:r w:rsidRPr="00E75C63">
        <w:rPr>
          <w:rFonts w:eastAsia="Times New Roman" w:cs="Times New Roman"/>
          <w:sz w:val="20"/>
          <w:szCs w:val="20"/>
          <w:lang w:eastAsia="en-CA"/>
        </w:rPr>
        <w:t xml:space="preserve">to s. 50(5) of </w:t>
      </w:r>
      <w:r w:rsidRPr="00E75C63">
        <w:rPr>
          <w:rFonts w:eastAsia="Times New Roman" w:cs="Times New Roman"/>
          <w:i/>
          <w:sz w:val="20"/>
          <w:szCs w:val="20"/>
          <w:lang w:eastAsia="en-CA"/>
        </w:rPr>
        <w:t>PIPA</w:t>
      </w:r>
      <w:r w:rsidRPr="00E75C63">
        <w:rPr>
          <w:rFonts w:eastAsia="Times New Roman" w:cs="Times New Roman"/>
          <w:sz w:val="20"/>
          <w:szCs w:val="20"/>
          <w:lang w:eastAsia="en-CA"/>
        </w:rPr>
        <w:t>.  The interpretation does not render statutory requirements of notice meaningless.  No principle of statutory interpretation requires a presumption that an extension must be granted before the expiry</w:t>
      </w:r>
      <w:r w:rsidRPr="00E75C63">
        <w:rPr>
          <w:rFonts w:eastAsia="Times New Roman" w:cs="Times New Roman"/>
          <w:iCs/>
          <w:sz w:val="20"/>
          <w:szCs w:val="20"/>
          <w:lang w:eastAsia="en-CA"/>
        </w:rPr>
        <w:t xml:space="preserve"> of the 90</w:t>
      </w:r>
      <w:r w:rsidRPr="00E75C63">
        <w:rPr>
          <w:rFonts w:eastAsia="Times New Roman" w:cs="Times New Roman"/>
          <w:iCs/>
          <w:sz w:val="20"/>
          <w:szCs w:val="20"/>
          <w:lang w:eastAsia="en-CA"/>
        </w:rPr>
        <w:noBreakHyphen/>
        <w:t>day time limit simply because s. 50(5)</w:t>
      </w:r>
      <w:r w:rsidRPr="00E75C63">
        <w:rPr>
          <w:rFonts w:eastAsia="Times New Roman" w:cs="Times New Roman"/>
          <w:sz w:val="20"/>
          <w:szCs w:val="20"/>
          <w:lang w:eastAsia="en-CA"/>
        </w:rPr>
        <w:t xml:space="preserve"> is silent as to when an extension of time can be granted.  The distinction between mandatory and directory provisions does not arise in this case because this is not a case of failure by a tribunal to comply with a legislative direction.  Therefore, there exists a reasonable basis for the adjudicator’s implied decision in this case. </w:t>
      </w:r>
    </w:p>
    <w:p w:rsidR="007845F3" w:rsidRDefault="007845F3" w:rsidP="00A77E69">
      <w:pPr>
        <w:jc w:val="both"/>
        <w:rPr>
          <w:rFonts w:eastAsia="Times New Roman" w:cs="Times New Roman"/>
          <w:i/>
          <w:sz w:val="20"/>
          <w:szCs w:val="20"/>
          <w:lang w:eastAsia="en-CA"/>
        </w:rPr>
      </w:pPr>
    </w:p>
    <w:p w:rsidR="00E75C63" w:rsidRPr="00E75C63" w:rsidRDefault="00E75C63" w:rsidP="00A77E69">
      <w:pPr>
        <w:jc w:val="both"/>
        <w:rPr>
          <w:rFonts w:eastAsia="Times New Roman" w:cs="Times New Roman"/>
          <w:sz w:val="20"/>
          <w:szCs w:val="20"/>
          <w:lang w:eastAsia="en-CA"/>
        </w:rPr>
      </w:pPr>
      <w:r w:rsidRPr="00E75C63">
        <w:rPr>
          <w:rFonts w:eastAsia="Times New Roman" w:cs="Times New Roman"/>
          <w:i/>
          <w:sz w:val="20"/>
          <w:szCs w:val="20"/>
          <w:lang w:eastAsia="en-CA"/>
        </w:rPr>
        <w:tab/>
        <w:t>Per</w:t>
      </w:r>
      <w:r w:rsidRPr="00E75C63">
        <w:rPr>
          <w:rFonts w:eastAsia="Times New Roman" w:cs="Times New Roman"/>
          <w:sz w:val="20"/>
          <w:szCs w:val="20"/>
          <w:lang w:eastAsia="en-CA"/>
        </w:rPr>
        <w:t xml:space="preserve"> </w:t>
      </w:r>
      <w:proofErr w:type="spellStart"/>
      <w:r w:rsidRPr="00E75C63">
        <w:rPr>
          <w:rFonts w:eastAsia="Times New Roman" w:cs="Times New Roman"/>
          <w:b/>
          <w:sz w:val="20"/>
          <w:szCs w:val="20"/>
          <w:lang w:eastAsia="en-CA"/>
        </w:rPr>
        <w:t>Binnie</w:t>
      </w:r>
      <w:proofErr w:type="spellEnd"/>
      <w:r w:rsidRPr="00E75C63">
        <w:rPr>
          <w:rFonts w:eastAsia="Times New Roman" w:cs="Times New Roman"/>
          <w:sz w:val="20"/>
          <w:szCs w:val="20"/>
          <w:lang w:eastAsia="en-CA"/>
        </w:rPr>
        <w:t xml:space="preserve"> and </w:t>
      </w:r>
      <w:proofErr w:type="spellStart"/>
      <w:r w:rsidRPr="00E75C63">
        <w:rPr>
          <w:rFonts w:eastAsia="Times New Roman" w:cs="Times New Roman"/>
          <w:sz w:val="20"/>
          <w:szCs w:val="20"/>
          <w:lang w:eastAsia="en-CA"/>
        </w:rPr>
        <w:t>Deschamps</w:t>
      </w:r>
      <w:proofErr w:type="spellEnd"/>
      <w:r w:rsidRPr="00E75C63">
        <w:rPr>
          <w:rFonts w:eastAsia="Times New Roman" w:cs="Times New Roman"/>
          <w:sz w:val="20"/>
          <w:szCs w:val="20"/>
          <w:lang w:eastAsia="en-CA"/>
        </w:rPr>
        <w:t xml:space="preserve"> JJ.:  There is agreement with Cromwell J. that the concept of jurisdiction is fundamental to judicial review of administrative tribunals and to the rule of law.  Administrative tribunals operate within a legal framework dictated by the Constitution and limited by their respective statutory mandates and it is the courts that determine the outer limits of those mandates.  On the other hand, the notion of a “true question of jurisdiction or </w:t>
      </w:r>
      <w:proofErr w:type="spellStart"/>
      <w:r w:rsidRPr="00E75C63">
        <w:rPr>
          <w:rFonts w:eastAsia="Times New Roman" w:cs="Times New Roman"/>
          <w:i/>
          <w:iCs/>
          <w:sz w:val="20"/>
          <w:szCs w:val="20"/>
          <w:lang w:eastAsia="en-CA"/>
        </w:rPr>
        <w:t>vires</w:t>
      </w:r>
      <w:proofErr w:type="spellEnd"/>
      <w:r w:rsidRPr="00E75C63">
        <w:rPr>
          <w:rFonts w:eastAsia="Times New Roman" w:cs="Times New Roman"/>
          <w:sz w:val="20"/>
          <w:szCs w:val="20"/>
          <w:lang w:eastAsia="en-CA"/>
        </w:rPr>
        <w:t>” is not helpful at the practical everyday level of deciding whether or not the courts are entitled to intervene in a particular administrative decision. </w:t>
      </w:r>
    </w:p>
    <w:p w:rsidR="007845F3" w:rsidRDefault="007845F3" w:rsidP="00A77E69">
      <w:pPr>
        <w:widowControl w:val="0"/>
        <w:jc w:val="both"/>
        <w:rPr>
          <w:rFonts w:eastAsia="Times New Roman" w:cs="Times New Roman"/>
          <w:sz w:val="20"/>
          <w:szCs w:val="20"/>
          <w:lang w:eastAsia="en-CA"/>
        </w:rPr>
      </w:pPr>
    </w:p>
    <w:p w:rsidR="00E75C63" w:rsidRPr="00E75C63" w:rsidRDefault="00E75C63" w:rsidP="00A77E69">
      <w:pPr>
        <w:widowControl w:val="0"/>
        <w:jc w:val="both"/>
        <w:rPr>
          <w:rFonts w:eastAsia="Times New Roman" w:cs="Times New Roman"/>
          <w:sz w:val="20"/>
          <w:szCs w:val="20"/>
          <w:lang w:eastAsia="en-CA"/>
        </w:rPr>
      </w:pPr>
      <w:r w:rsidRPr="00E75C63">
        <w:rPr>
          <w:rFonts w:eastAsia="Times New Roman" w:cs="Times New Roman"/>
          <w:sz w:val="20"/>
          <w:szCs w:val="20"/>
          <w:lang w:eastAsia="en-CA"/>
        </w:rPr>
        <w:tab/>
        <w:t xml:space="preserve">The middle ground lies in the more nuanced approach adopted in </w:t>
      </w:r>
      <w:r w:rsidRPr="00E75C63">
        <w:rPr>
          <w:rFonts w:eastAsia="Times New Roman" w:cs="Times New Roman"/>
          <w:i/>
          <w:iCs/>
          <w:sz w:val="20"/>
          <w:szCs w:val="20"/>
          <w:lang w:eastAsia="en-CA"/>
        </w:rPr>
        <w:t>Canada (Canadian Human Rights Commission) v. Canada (Attorney General)</w:t>
      </w:r>
      <w:r w:rsidRPr="00E75C63">
        <w:rPr>
          <w:rFonts w:eastAsia="Times New Roman" w:cs="Times New Roman"/>
          <w:sz w:val="20"/>
          <w:szCs w:val="20"/>
          <w:lang w:eastAsia="en-CA"/>
        </w:rPr>
        <w:t>,</w:t>
      </w:r>
      <w:r w:rsidRPr="00E75C63">
        <w:rPr>
          <w:rFonts w:eastAsia="Times New Roman" w:cs="Times New Roman"/>
          <w:i/>
          <w:iCs/>
          <w:sz w:val="20"/>
          <w:szCs w:val="20"/>
          <w:lang w:eastAsia="en-CA"/>
        </w:rPr>
        <w:t xml:space="preserve"> </w:t>
      </w:r>
      <w:r w:rsidRPr="00E75C63">
        <w:rPr>
          <w:rFonts w:eastAsia="Times New Roman" w:cs="Times New Roman"/>
          <w:sz w:val="20"/>
          <w:szCs w:val="20"/>
          <w:lang w:eastAsia="en-CA"/>
        </w:rPr>
        <w:t xml:space="preserve">2011 SCC 53, that if the issue relates to the interpretation and application of a tribunal’s own statute, is within its expertise and does not raise issues of general legal importance, the standard of reasonableness will generally apply.  The expression “issues of general legal importance” means issues whose resolution has significance outside the operation of the statutory scheme under consideration.  “Reasonableness” is a </w:t>
      </w:r>
      <w:r w:rsidRPr="00E75C63">
        <w:rPr>
          <w:rFonts w:eastAsia="Times New Roman" w:cs="Times New Roman"/>
          <w:sz w:val="20"/>
          <w:szCs w:val="20"/>
          <w:lang w:eastAsia="en-CA"/>
        </w:rPr>
        <w:lastRenderedPageBreak/>
        <w:t xml:space="preserve">deceptively simple omnibus term which gives reviewing judges a broad discretion to choose from a variety of levels of scrutiny from the relatively intense to the not so intense.  The calibration will be challenging enough for reviewing judges without </w:t>
      </w:r>
      <w:proofErr w:type="spellStart"/>
      <w:r w:rsidRPr="00E75C63">
        <w:rPr>
          <w:rFonts w:eastAsia="Times New Roman" w:cs="Times New Roman"/>
          <w:sz w:val="20"/>
          <w:szCs w:val="20"/>
          <w:lang w:eastAsia="en-CA"/>
        </w:rPr>
        <w:t>super</w:t>
      </w:r>
      <w:r w:rsidRPr="00E75C63">
        <w:rPr>
          <w:rFonts w:eastAsia="Times New Roman" w:cs="Times New Roman"/>
          <w:sz w:val="20"/>
          <w:szCs w:val="20"/>
          <w:lang w:eastAsia="en-CA"/>
        </w:rPr>
        <w:noBreakHyphen/>
        <w:t>adding</w:t>
      </w:r>
      <w:proofErr w:type="spellEnd"/>
      <w:r w:rsidRPr="00E75C63">
        <w:rPr>
          <w:rFonts w:eastAsia="Times New Roman" w:cs="Times New Roman"/>
          <w:sz w:val="20"/>
          <w:szCs w:val="20"/>
          <w:lang w:eastAsia="en-CA"/>
        </w:rPr>
        <w:t xml:space="preserve"> an elusive search for something that can be labelled a true question of </w:t>
      </w:r>
      <w:proofErr w:type="spellStart"/>
      <w:r w:rsidRPr="00E75C63">
        <w:rPr>
          <w:rFonts w:eastAsia="Times New Roman" w:cs="Times New Roman"/>
          <w:i/>
          <w:iCs/>
          <w:sz w:val="20"/>
          <w:szCs w:val="20"/>
          <w:lang w:eastAsia="en-CA"/>
        </w:rPr>
        <w:t>vires</w:t>
      </w:r>
      <w:proofErr w:type="spellEnd"/>
      <w:r w:rsidRPr="00E75C63">
        <w:rPr>
          <w:rFonts w:eastAsia="Times New Roman" w:cs="Times New Roman"/>
          <w:sz w:val="20"/>
          <w:szCs w:val="20"/>
          <w:lang w:eastAsia="en-CA"/>
        </w:rPr>
        <w:t xml:space="preserve"> or jurisdiction. </w:t>
      </w:r>
    </w:p>
    <w:p w:rsidR="007845F3" w:rsidRDefault="007845F3" w:rsidP="00A77E69">
      <w:pPr>
        <w:jc w:val="both"/>
        <w:rPr>
          <w:rFonts w:eastAsia="Times New Roman" w:cs="Times New Roman"/>
          <w:sz w:val="20"/>
          <w:szCs w:val="20"/>
          <w:lang w:eastAsia="en-CA"/>
        </w:rPr>
      </w:pPr>
    </w:p>
    <w:p w:rsidR="00E75C63" w:rsidRPr="00E75C63" w:rsidRDefault="00E75C63" w:rsidP="00A77E69">
      <w:pPr>
        <w:jc w:val="both"/>
        <w:rPr>
          <w:rFonts w:eastAsia="Times New Roman" w:cs="Times New Roman"/>
          <w:sz w:val="20"/>
          <w:szCs w:val="20"/>
          <w:lang w:eastAsia="en-CA"/>
        </w:rPr>
      </w:pPr>
      <w:r w:rsidRPr="00E75C63">
        <w:rPr>
          <w:rFonts w:eastAsia="Times New Roman" w:cs="Times New Roman"/>
          <w:sz w:val="20"/>
          <w:szCs w:val="20"/>
          <w:lang w:eastAsia="en-CA"/>
        </w:rPr>
        <w:tab/>
        <w:t>On the other hand, Rothstein J.’s creation of a “presumption” based on insufficient criteria simply adds a further step to what should be a straightforward analysis.  A simplified approach would be that if the issue before the reviewing court relates to the interpretation or application of a tribunal’s “home statute” and related statutes that are also within the core function and expertise of the decision maker, and the issue does not raise matters of legal importance beyond the statutory scheme under review, the Court should afford a measure of deference under the standard of reasonableness.  Otherwise, the last word on questions of law should be left with the courts.</w:t>
      </w:r>
    </w:p>
    <w:p w:rsidR="007845F3" w:rsidRDefault="007845F3" w:rsidP="00A77E69">
      <w:pPr>
        <w:widowControl w:val="0"/>
        <w:jc w:val="both"/>
        <w:rPr>
          <w:rFonts w:eastAsia="Times New Roman" w:cs="Times New Roman"/>
          <w:i/>
          <w:sz w:val="20"/>
          <w:szCs w:val="20"/>
          <w:lang w:eastAsia="en-CA"/>
        </w:rPr>
      </w:pPr>
    </w:p>
    <w:p w:rsidR="00E75C63" w:rsidRPr="007845F3" w:rsidRDefault="00E75C63" w:rsidP="00A77E69">
      <w:pPr>
        <w:widowControl w:val="0"/>
        <w:jc w:val="both"/>
        <w:rPr>
          <w:rFonts w:eastAsia="Times New Roman" w:cs="Times New Roman"/>
          <w:sz w:val="20"/>
          <w:szCs w:val="20"/>
          <w:lang w:eastAsia="en-CA"/>
        </w:rPr>
      </w:pPr>
      <w:r w:rsidRPr="00E75C63">
        <w:rPr>
          <w:rFonts w:eastAsia="Times New Roman" w:cs="Times New Roman"/>
          <w:i/>
          <w:sz w:val="20"/>
          <w:szCs w:val="20"/>
          <w:lang w:eastAsia="en-CA"/>
        </w:rPr>
        <w:tab/>
        <w:t>Per</w:t>
      </w:r>
      <w:r w:rsidRPr="00E75C63">
        <w:rPr>
          <w:rFonts w:eastAsia="Times New Roman" w:cs="Times New Roman"/>
          <w:sz w:val="20"/>
          <w:szCs w:val="20"/>
          <w:lang w:eastAsia="en-CA"/>
        </w:rPr>
        <w:t xml:space="preserve"> Cromwell J.:  In this case the applicable standard of review is reasonableness.  The Commissioner’s power to extend time is granted in broad terms in the context of a detailed and highly specialized statutory scheme which it is the Commissioner’s duty to administer and under which he is required to exercise many broadly granted discretions.  The adjudicator’s decision on the timeliness issue should be reinstated and the matter should be remitted to the chambers judge to consider the issues not dealt with and resolved in the judicial review proceedings.  Courts have a constitutional responsibility to ensure that administrative action does not exceed its jurisdiction, but they must also give effect to legislative intent when determining the applicable standard of judicial review.  The standard of review analysis identifies the limits of the legality of a tribunal’s actions and defines the limits of the role of the reviewing court.  When existing jurisprudence has not already satisfactorily determined the standard of review applicable to the case at hand, the courts apply several relevant factors.  These factors allow the courts to identify questions that are reviewable on a standard of correctness.  Elevating to a virtually irrefutable presumption the general guideline that a tribunal’s interpretation of its home statute will not often raise a jurisdictional question goes well beyond saying that deference will usually result where a tribunal’s interpretation of its home statute is in issue.  The terms “jurisdictional” and “</w:t>
      </w:r>
      <w:proofErr w:type="spellStart"/>
      <w:r w:rsidRPr="00E75C63">
        <w:rPr>
          <w:rFonts w:eastAsia="Times New Roman" w:cs="Times New Roman"/>
          <w:i/>
          <w:sz w:val="20"/>
          <w:szCs w:val="20"/>
          <w:lang w:eastAsia="en-CA"/>
        </w:rPr>
        <w:t>vires</w:t>
      </w:r>
      <w:proofErr w:type="spellEnd"/>
      <w:r w:rsidRPr="00E75C63">
        <w:rPr>
          <w:rFonts w:eastAsia="Times New Roman" w:cs="Times New Roman"/>
          <w:sz w:val="20"/>
          <w:szCs w:val="20"/>
          <w:lang w:eastAsia="en-CA"/>
        </w:rPr>
        <w:t xml:space="preserve">” are unhelpful to the standard of review analysis but true questions of jurisdiction and </w:t>
      </w:r>
      <w:proofErr w:type="spellStart"/>
      <w:r w:rsidRPr="00E75C63">
        <w:rPr>
          <w:rFonts w:eastAsia="Times New Roman" w:cs="Times New Roman"/>
          <w:i/>
          <w:sz w:val="20"/>
          <w:szCs w:val="20"/>
          <w:lang w:eastAsia="en-CA"/>
        </w:rPr>
        <w:t>vires</w:t>
      </w:r>
      <w:proofErr w:type="spellEnd"/>
      <w:r w:rsidRPr="00E75C63">
        <w:rPr>
          <w:rFonts w:eastAsia="Times New Roman" w:cs="Times New Roman"/>
          <w:sz w:val="20"/>
          <w:szCs w:val="20"/>
          <w:lang w:eastAsia="en-CA"/>
        </w:rPr>
        <w:t xml:space="preserve"> do exist. There are legal questions in “home” statutes whose resolution legislatures do not intend to leave to the tribunal.  As this Court’s recent jurisprudence confirms, as a matter of </w:t>
      </w:r>
      <w:proofErr w:type="gramStart"/>
      <w:r w:rsidRPr="00E75C63">
        <w:rPr>
          <w:rFonts w:eastAsia="Times New Roman" w:cs="Times New Roman"/>
          <w:sz w:val="20"/>
          <w:szCs w:val="20"/>
          <w:lang w:eastAsia="en-CA"/>
        </w:rPr>
        <w:t>either constitutional</w:t>
      </w:r>
      <w:proofErr w:type="gramEnd"/>
      <w:r w:rsidRPr="00E75C63">
        <w:rPr>
          <w:rFonts w:eastAsia="Times New Roman" w:cs="Times New Roman"/>
          <w:sz w:val="20"/>
          <w:szCs w:val="20"/>
          <w:lang w:eastAsia="en-CA"/>
        </w:rPr>
        <w:t xml:space="preserve"> law or legislative intent, a tribunal must be correct on certain issues.  The fact that s. 50(5) of </w:t>
      </w:r>
      <w:r w:rsidRPr="00E75C63">
        <w:rPr>
          <w:rFonts w:eastAsia="Times New Roman" w:cs="Times New Roman"/>
          <w:i/>
          <w:sz w:val="20"/>
          <w:szCs w:val="20"/>
          <w:lang w:eastAsia="en-CA"/>
        </w:rPr>
        <w:t>PIPA</w:t>
      </w:r>
      <w:r w:rsidRPr="00E75C63">
        <w:rPr>
          <w:rFonts w:eastAsia="Times New Roman" w:cs="Times New Roman"/>
          <w:sz w:val="20"/>
          <w:szCs w:val="20"/>
          <w:lang w:eastAsia="en-CA"/>
        </w:rPr>
        <w:t xml:space="preserve"> is in the Commissioner’s home statute did not relieve the reviewing court of its duty to consider the argument that the provision was one whose interpretation the legislator intended to be reviewed for cor</w:t>
      </w:r>
      <w:r w:rsidRPr="007845F3">
        <w:rPr>
          <w:rFonts w:eastAsia="Times New Roman" w:cs="Times New Roman"/>
          <w:sz w:val="20"/>
          <w:szCs w:val="20"/>
          <w:lang w:eastAsia="en-CA"/>
        </w:rPr>
        <w:t>rectness, by examining the provision and other relevant factors.</w:t>
      </w:r>
    </w:p>
    <w:p w:rsidR="00E75C63" w:rsidRPr="007845F3" w:rsidRDefault="00E75C63" w:rsidP="00A77E69">
      <w:pPr>
        <w:rPr>
          <w:rFonts w:cs="Times New Roman"/>
          <w:sz w:val="20"/>
          <w:szCs w:val="20"/>
        </w:rPr>
      </w:pPr>
    </w:p>
    <w:p w:rsidR="007845F3" w:rsidRPr="007845F3" w:rsidRDefault="007845F3" w:rsidP="00A77E69">
      <w:pPr>
        <w:pStyle w:val="SCCNormalDoubleSpacing"/>
        <w:widowControl w:val="0"/>
        <w:spacing w:line="240" w:lineRule="auto"/>
        <w:rPr>
          <w:sz w:val="20"/>
        </w:rPr>
      </w:pPr>
      <w:r w:rsidRPr="007845F3">
        <w:rPr>
          <w:sz w:val="20"/>
        </w:rPr>
        <w:tab/>
        <w:t>APPEAL from a judgment of the Alberta Court of Appeal (</w:t>
      </w:r>
      <w:r w:rsidR="00DB7F13" w:rsidRPr="007845F3">
        <w:rPr>
          <w:sz w:val="20"/>
        </w:rPr>
        <w:fldChar w:fldCharType="begin"/>
      </w:r>
      <w:r w:rsidRPr="007845F3">
        <w:rPr>
          <w:sz w:val="20"/>
        </w:rPr>
        <w:instrText xml:space="preserve"> SEQ CHAPTER \h \r 1</w:instrText>
      </w:r>
      <w:r w:rsidR="00DB7F13" w:rsidRPr="007845F3">
        <w:rPr>
          <w:sz w:val="20"/>
        </w:rPr>
        <w:fldChar w:fldCharType="end"/>
      </w:r>
      <w:r w:rsidRPr="007845F3">
        <w:rPr>
          <w:sz w:val="20"/>
        </w:rPr>
        <w:t xml:space="preserve">Berger, Watson and </w:t>
      </w:r>
      <w:proofErr w:type="spellStart"/>
      <w:r w:rsidRPr="007845F3">
        <w:rPr>
          <w:sz w:val="20"/>
        </w:rPr>
        <w:t>Slatter</w:t>
      </w:r>
      <w:proofErr w:type="spellEnd"/>
      <w:r w:rsidRPr="007845F3">
        <w:rPr>
          <w:sz w:val="20"/>
        </w:rPr>
        <w:t xml:space="preserve"> JJ.A.), </w:t>
      </w:r>
      <w:r w:rsidR="00DB7F13" w:rsidRPr="007845F3">
        <w:rPr>
          <w:sz w:val="20"/>
        </w:rPr>
        <w:fldChar w:fldCharType="begin"/>
      </w:r>
      <w:r w:rsidRPr="007845F3">
        <w:rPr>
          <w:sz w:val="20"/>
        </w:rPr>
        <w:instrText xml:space="preserve"> SEQ CHAPTER \h \r 1</w:instrText>
      </w:r>
      <w:r w:rsidR="00DB7F13" w:rsidRPr="007845F3">
        <w:rPr>
          <w:sz w:val="20"/>
        </w:rPr>
        <w:fldChar w:fldCharType="end"/>
      </w:r>
      <w:r w:rsidRPr="007845F3">
        <w:rPr>
          <w:sz w:val="20"/>
        </w:rPr>
        <w:t xml:space="preserve">2010 ABCA 26, 21 Alta. L.R. (5th) 30, 474 A.R. 169, 479 W.A.C. 169, 316 D.L.R. (4th) 117, [2010] 8 W.W.R. 457, 1 Admin. </w:t>
      </w:r>
      <w:proofErr w:type="gramStart"/>
      <w:r w:rsidRPr="007845F3">
        <w:rPr>
          <w:sz w:val="20"/>
        </w:rPr>
        <w:t xml:space="preserve">L.R. (5th) 60, [2010] A.J. No. 51 (QL), 2010 </w:t>
      </w:r>
      <w:proofErr w:type="spellStart"/>
      <w:r w:rsidRPr="007845F3">
        <w:rPr>
          <w:sz w:val="20"/>
        </w:rPr>
        <w:t>CarswellAlta</w:t>
      </w:r>
      <w:proofErr w:type="spellEnd"/>
      <w:r w:rsidRPr="007845F3">
        <w:rPr>
          <w:sz w:val="20"/>
        </w:rPr>
        <w:t xml:space="preserve"> 94, affirming a decision of </w:t>
      </w:r>
      <w:r w:rsidR="00DB7F13" w:rsidRPr="007845F3">
        <w:rPr>
          <w:sz w:val="20"/>
        </w:rPr>
        <w:fldChar w:fldCharType="begin"/>
      </w:r>
      <w:r w:rsidRPr="007845F3">
        <w:rPr>
          <w:sz w:val="20"/>
        </w:rPr>
        <w:instrText xml:space="preserve"> SEQ CHAPTER \h \r 1</w:instrText>
      </w:r>
      <w:r w:rsidR="00DB7F13" w:rsidRPr="007845F3">
        <w:rPr>
          <w:sz w:val="20"/>
        </w:rPr>
        <w:fldChar w:fldCharType="end"/>
      </w:r>
      <w:r w:rsidRPr="007845F3">
        <w:rPr>
          <w:sz w:val="20"/>
        </w:rPr>
        <w:t xml:space="preserve">Marshall J. (2008), </w:t>
      </w:r>
      <w:r w:rsidR="00DB7F13" w:rsidRPr="007845F3">
        <w:rPr>
          <w:sz w:val="20"/>
        </w:rPr>
        <w:fldChar w:fldCharType="begin"/>
      </w:r>
      <w:r w:rsidRPr="007845F3">
        <w:rPr>
          <w:sz w:val="20"/>
        </w:rPr>
        <w:instrText xml:space="preserve"> SEQ CHAPTER \h \r 1</w:instrText>
      </w:r>
      <w:r w:rsidR="00DB7F13" w:rsidRPr="007845F3">
        <w:rPr>
          <w:sz w:val="20"/>
        </w:rPr>
        <w:fldChar w:fldCharType="end"/>
      </w:r>
      <w:r w:rsidRPr="007845F3">
        <w:rPr>
          <w:sz w:val="20"/>
        </w:rPr>
        <w:t>21 Alta. L.R. (5th) 24, 1 Admin.</w:t>
      </w:r>
      <w:proofErr w:type="gramEnd"/>
      <w:r w:rsidRPr="007845F3">
        <w:rPr>
          <w:sz w:val="20"/>
        </w:rPr>
        <w:t xml:space="preserve"> </w:t>
      </w:r>
      <w:proofErr w:type="gramStart"/>
      <w:r w:rsidRPr="007845F3">
        <w:rPr>
          <w:sz w:val="20"/>
        </w:rPr>
        <w:t xml:space="preserve">L.R. (5th) 85, [2008] A.J. No. 1592 (QL), 2008 </w:t>
      </w:r>
      <w:proofErr w:type="spellStart"/>
      <w:r w:rsidRPr="007845F3">
        <w:rPr>
          <w:sz w:val="20"/>
        </w:rPr>
        <w:t>CarswellAlta</w:t>
      </w:r>
      <w:proofErr w:type="spellEnd"/>
      <w:r w:rsidRPr="007845F3">
        <w:rPr>
          <w:sz w:val="20"/>
        </w:rPr>
        <w:t xml:space="preserve"> 2300.</w:t>
      </w:r>
      <w:proofErr w:type="gramEnd"/>
      <w:r w:rsidRPr="007845F3">
        <w:rPr>
          <w:sz w:val="20"/>
        </w:rPr>
        <w:t xml:space="preserve">  Appeal allowed.</w:t>
      </w:r>
    </w:p>
    <w:p w:rsidR="007845F3" w:rsidRDefault="007845F3" w:rsidP="00A77E69">
      <w:pPr>
        <w:pStyle w:val="SCCNormalDoubleSpacing"/>
        <w:spacing w:line="240" w:lineRule="auto"/>
        <w:rPr>
          <w:i/>
          <w:sz w:val="20"/>
        </w:rPr>
      </w:pPr>
    </w:p>
    <w:p w:rsidR="007845F3" w:rsidRPr="007845F3" w:rsidRDefault="007845F3" w:rsidP="00A77E69">
      <w:pPr>
        <w:pStyle w:val="SCCNormalDoubleSpacing"/>
        <w:spacing w:line="240" w:lineRule="auto"/>
        <w:rPr>
          <w:sz w:val="20"/>
        </w:rPr>
      </w:pPr>
      <w:r w:rsidRPr="007845F3">
        <w:rPr>
          <w:i/>
          <w:sz w:val="20"/>
        </w:rPr>
        <w:tab/>
      </w:r>
      <w:proofErr w:type="gramStart"/>
      <w:r w:rsidRPr="007845F3">
        <w:rPr>
          <w:i/>
          <w:sz w:val="20"/>
        </w:rPr>
        <w:t>Glenn Solomon</w:t>
      </w:r>
      <w:r w:rsidRPr="007845F3">
        <w:rPr>
          <w:sz w:val="20"/>
        </w:rPr>
        <w:t xml:space="preserve">, </w:t>
      </w:r>
      <w:r w:rsidRPr="007845F3">
        <w:rPr>
          <w:i/>
          <w:sz w:val="20"/>
        </w:rPr>
        <w:t>Q.C.</w:t>
      </w:r>
      <w:r w:rsidRPr="007845F3">
        <w:rPr>
          <w:sz w:val="20"/>
        </w:rPr>
        <w:t xml:space="preserve">, and </w:t>
      </w:r>
      <w:r w:rsidRPr="007845F3">
        <w:rPr>
          <w:i/>
          <w:sz w:val="20"/>
        </w:rPr>
        <w:t>Rob W. Armstrong</w:t>
      </w:r>
      <w:r w:rsidRPr="007845F3">
        <w:rPr>
          <w:sz w:val="20"/>
        </w:rPr>
        <w:t>, for the appellant.</w:t>
      </w:r>
      <w:proofErr w:type="gramEnd"/>
    </w:p>
    <w:p w:rsidR="007845F3" w:rsidRDefault="007845F3" w:rsidP="00A77E69">
      <w:pPr>
        <w:pStyle w:val="SCCNormalDoubleSpacing"/>
        <w:spacing w:line="240" w:lineRule="auto"/>
        <w:rPr>
          <w:i/>
          <w:sz w:val="20"/>
        </w:rPr>
      </w:pPr>
    </w:p>
    <w:p w:rsidR="007845F3" w:rsidRPr="007845F3" w:rsidRDefault="007845F3" w:rsidP="00A77E69">
      <w:pPr>
        <w:pStyle w:val="SCCNormalDoubleSpacing"/>
        <w:spacing w:line="240" w:lineRule="auto"/>
        <w:rPr>
          <w:sz w:val="20"/>
        </w:rPr>
      </w:pPr>
      <w:r w:rsidRPr="007845F3">
        <w:rPr>
          <w:i/>
          <w:sz w:val="20"/>
        </w:rPr>
        <w:tab/>
      </w:r>
      <w:proofErr w:type="gramStart"/>
      <w:r w:rsidRPr="007845F3">
        <w:rPr>
          <w:i/>
          <w:sz w:val="20"/>
        </w:rPr>
        <w:t>Sandra M. Anderson</w:t>
      </w:r>
      <w:r w:rsidRPr="007845F3">
        <w:rPr>
          <w:sz w:val="20"/>
        </w:rPr>
        <w:t xml:space="preserve"> and </w:t>
      </w:r>
      <w:r w:rsidRPr="007845F3">
        <w:rPr>
          <w:i/>
          <w:sz w:val="20"/>
        </w:rPr>
        <w:t xml:space="preserve">Anne L. G. </w:t>
      </w:r>
      <w:proofErr w:type="spellStart"/>
      <w:r w:rsidRPr="007845F3">
        <w:rPr>
          <w:i/>
          <w:sz w:val="20"/>
        </w:rPr>
        <w:t>Côté</w:t>
      </w:r>
      <w:proofErr w:type="spellEnd"/>
      <w:r w:rsidRPr="007845F3">
        <w:rPr>
          <w:sz w:val="20"/>
        </w:rPr>
        <w:t>, for the respondent.</w:t>
      </w:r>
      <w:proofErr w:type="gramEnd"/>
    </w:p>
    <w:p w:rsidR="007845F3" w:rsidRDefault="007845F3" w:rsidP="00A77E69">
      <w:pPr>
        <w:pStyle w:val="SCCNormalDoubleSpacing"/>
        <w:spacing w:line="240" w:lineRule="auto"/>
        <w:ind w:left="720" w:hanging="720"/>
        <w:rPr>
          <w:i/>
          <w:sz w:val="20"/>
        </w:rPr>
      </w:pPr>
    </w:p>
    <w:p w:rsidR="007845F3" w:rsidRPr="007845F3" w:rsidRDefault="007845F3" w:rsidP="00A77E69">
      <w:pPr>
        <w:pStyle w:val="SCCNormalDoubleSpacing"/>
        <w:spacing w:line="240" w:lineRule="auto"/>
        <w:ind w:left="720" w:hanging="720"/>
        <w:rPr>
          <w:sz w:val="20"/>
        </w:rPr>
      </w:pPr>
      <w:r w:rsidRPr="007845F3">
        <w:rPr>
          <w:i/>
          <w:sz w:val="20"/>
        </w:rPr>
        <w:tab/>
        <w:t xml:space="preserve">Written submissions only by David </w:t>
      </w:r>
      <w:proofErr w:type="spellStart"/>
      <w:r w:rsidRPr="007845F3">
        <w:rPr>
          <w:i/>
          <w:sz w:val="20"/>
        </w:rPr>
        <w:t>Loukidelis</w:t>
      </w:r>
      <w:proofErr w:type="spellEnd"/>
      <w:r w:rsidRPr="007845F3">
        <w:rPr>
          <w:i/>
          <w:sz w:val="20"/>
        </w:rPr>
        <w:t>, Q.C., Veronica Jackson and</w:t>
      </w:r>
      <w:r w:rsidRPr="007845F3">
        <w:rPr>
          <w:sz w:val="20"/>
        </w:rPr>
        <w:t xml:space="preserve"> </w:t>
      </w:r>
      <w:r w:rsidRPr="007845F3">
        <w:rPr>
          <w:i/>
          <w:sz w:val="20"/>
        </w:rPr>
        <w:t xml:space="preserve">Deanna </w:t>
      </w:r>
      <w:proofErr w:type="spellStart"/>
      <w:r w:rsidRPr="007845F3">
        <w:rPr>
          <w:i/>
          <w:sz w:val="20"/>
        </w:rPr>
        <w:t>Billo</w:t>
      </w:r>
      <w:proofErr w:type="spellEnd"/>
      <w:r w:rsidRPr="007845F3">
        <w:rPr>
          <w:sz w:val="20"/>
        </w:rPr>
        <w:t>, for the intervener the Attorney General of British Columbia.</w:t>
      </w:r>
    </w:p>
    <w:p w:rsidR="007845F3" w:rsidRDefault="007845F3" w:rsidP="00A77E69">
      <w:pPr>
        <w:pStyle w:val="SCCNormalDoubleSpacing"/>
        <w:spacing w:line="240" w:lineRule="auto"/>
        <w:ind w:left="720" w:hanging="720"/>
        <w:rPr>
          <w:i/>
          <w:sz w:val="20"/>
        </w:rPr>
      </w:pPr>
    </w:p>
    <w:p w:rsidR="007845F3" w:rsidRPr="007845F3" w:rsidRDefault="007845F3" w:rsidP="00A77E69">
      <w:pPr>
        <w:pStyle w:val="SCCNormalDoubleSpacing"/>
        <w:spacing w:line="240" w:lineRule="auto"/>
        <w:ind w:left="720" w:hanging="720"/>
        <w:rPr>
          <w:sz w:val="20"/>
        </w:rPr>
      </w:pPr>
      <w:r w:rsidRPr="007845F3">
        <w:rPr>
          <w:i/>
          <w:sz w:val="20"/>
        </w:rPr>
        <w:tab/>
        <w:t>Written submissions only by Murray Rankin, Q.C.,</w:t>
      </w:r>
      <w:r w:rsidRPr="007845F3">
        <w:rPr>
          <w:sz w:val="20"/>
        </w:rPr>
        <w:t xml:space="preserve"> and </w:t>
      </w:r>
      <w:proofErr w:type="spellStart"/>
      <w:r w:rsidRPr="007845F3">
        <w:rPr>
          <w:i/>
          <w:sz w:val="20"/>
        </w:rPr>
        <w:t>Nitya</w:t>
      </w:r>
      <w:proofErr w:type="spellEnd"/>
      <w:r w:rsidRPr="007845F3">
        <w:rPr>
          <w:i/>
          <w:sz w:val="20"/>
        </w:rPr>
        <w:t xml:space="preserve"> </w:t>
      </w:r>
      <w:proofErr w:type="spellStart"/>
      <w:r w:rsidRPr="007845F3">
        <w:rPr>
          <w:i/>
          <w:sz w:val="20"/>
        </w:rPr>
        <w:t>Iyer</w:t>
      </w:r>
      <w:proofErr w:type="spellEnd"/>
      <w:r w:rsidRPr="007845F3">
        <w:rPr>
          <w:sz w:val="20"/>
        </w:rPr>
        <w:t>, for the intervener the Information and Privacy Commissioner of British Columbia.</w:t>
      </w:r>
    </w:p>
    <w:p w:rsidR="007845F3" w:rsidRDefault="007845F3" w:rsidP="00A77E69">
      <w:pPr>
        <w:pStyle w:val="SCCNormalDoubleSpacing"/>
        <w:spacing w:line="240" w:lineRule="auto"/>
        <w:ind w:left="720" w:hanging="720"/>
        <w:rPr>
          <w:i/>
          <w:sz w:val="20"/>
        </w:rPr>
      </w:pPr>
    </w:p>
    <w:p w:rsidR="007845F3" w:rsidRPr="007845F3" w:rsidRDefault="007845F3" w:rsidP="00A77E69">
      <w:pPr>
        <w:pStyle w:val="SCCNormalDoubleSpacing"/>
        <w:spacing w:line="240" w:lineRule="auto"/>
        <w:ind w:left="720" w:hanging="720"/>
        <w:rPr>
          <w:sz w:val="20"/>
        </w:rPr>
      </w:pPr>
      <w:r w:rsidRPr="007845F3">
        <w:rPr>
          <w:i/>
          <w:sz w:val="20"/>
        </w:rPr>
        <w:tab/>
      </w:r>
      <w:proofErr w:type="gramStart"/>
      <w:r w:rsidRPr="007845F3">
        <w:rPr>
          <w:i/>
          <w:sz w:val="20"/>
        </w:rPr>
        <w:t xml:space="preserve">Brent B. </w:t>
      </w:r>
      <w:proofErr w:type="spellStart"/>
      <w:r w:rsidRPr="007845F3">
        <w:rPr>
          <w:i/>
          <w:sz w:val="20"/>
        </w:rPr>
        <w:t>Olthuis</w:t>
      </w:r>
      <w:proofErr w:type="spellEnd"/>
      <w:r w:rsidRPr="007845F3">
        <w:rPr>
          <w:sz w:val="20"/>
        </w:rPr>
        <w:t xml:space="preserve"> and </w:t>
      </w:r>
      <w:r w:rsidRPr="007845F3">
        <w:rPr>
          <w:i/>
          <w:sz w:val="20"/>
        </w:rPr>
        <w:t>Tam C. Boyar</w:t>
      </w:r>
      <w:r w:rsidRPr="007845F3">
        <w:rPr>
          <w:sz w:val="20"/>
        </w:rPr>
        <w:t>, for the intervener the B.C. Freedom of Information and Privacy Association.</w:t>
      </w:r>
      <w:proofErr w:type="gramEnd"/>
    </w:p>
    <w:p w:rsidR="007845F3" w:rsidRDefault="007845F3" w:rsidP="00A77E69">
      <w:pPr>
        <w:pStyle w:val="SCCLawFirm"/>
        <w:spacing w:line="240" w:lineRule="auto"/>
        <w:ind w:left="720" w:hanging="720"/>
        <w:rPr>
          <w:sz w:val="20"/>
        </w:rPr>
      </w:pPr>
    </w:p>
    <w:p w:rsidR="007845F3" w:rsidRPr="007845F3" w:rsidRDefault="007845F3" w:rsidP="00A77E69">
      <w:pPr>
        <w:pStyle w:val="SCCLawFirm"/>
        <w:spacing w:line="240" w:lineRule="auto"/>
        <w:ind w:left="720" w:hanging="720"/>
        <w:rPr>
          <w:sz w:val="20"/>
        </w:rPr>
      </w:pPr>
      <w:r w:rsidRPr="007845F3">
        <w:rPr>
          <w:sz w:val="20"/>
        </w:rPr>
        <w:tab/>
        <w:t xml:space="preserve">Solicitors for the appellant:  Jensen </w:t>
      </w:r>
      <w:proofErr w:type="spellStart"/>
      <w:r w:rsidRPr="007845F3">
        <w:rPr>
          <w:sz w:val="20"/>
        </w:rPr>
        <w:t>Shawa</w:t>
      </w:r>
      <w:proofErr w:type="spellEnd"/>
      <w:r w:rsidRPr="007845F3">
        <w:rPr>
          <w:sz w:val="20"/>
        </w:rPr>
        <w:t xml:space="preserve"> Solomon </w:t>
      </w:r>
      <w:proofErr w:type="spellStart"/>
      <w:r w:rsidRPr="007845F3">
        <w:rPr>
          <w:sz w:val="20"/>
        </w:rPr>
        <w:t>Duguid</w:t>
      </w:r>
      <w:proofErr w:type="spellEnd"/>
      <w:r w:rsidRPr="007845F3">
        <w:rPr>
          <w:sz w:val="20"/>
        </w:rPr>
        <w:t xml:space="preserve"> </w:t>
      </w:r>
      <w:proofErr w:type="spellStart"/>
      <w:r w:rsidRPr="007845F3">
        <w:rPr>
          <w:sz w:val="20"/>
        </w:rPr>
        <w:t>Hawkes</w:t>
      </w:r>
      <w:proofErr w:type="spellEnd"/>
      <w:r w:rsidRPr="007845F3">
        <w:rPr>
          <w:sz w:val="20"/>
        </w:rPr>
        <w:t>, Calgary.</w:t>
      </w:r>
    </w:p>
    <w:p w:rsidR="007845F3" w:rsidRDefault="007845F3" w:rsidP="00A77E69">
      <w:pPr>
        <w:pStyle w:val="SCCLawFirm"/>
        <w:spacing w:line="240" w:lineRule="auto"/>
        <w:ind w:left="720" w:hanging="720"/>
        <w:rPr>
          <w:sz w:val="20"/>
        </w:rPr>
      </w:pPr>
    </w:p>
    <w:p w:rsidR="007845F3" w:rsidRDefault="007845F3" w:rsidP="00A77E69">
      <w:pPr>
        <w:pStyle w:val="SCCLawFirm"/>
        <w:spacing w:line="240" w:lineRule="auto"/>
        <w:ind w:left="720" w:hanging="720"/>
        <w:rPr>
          <w:sz w:val="20"/>
        </w:rPr>
      </w:pPr>
      <w:r w:rsidRPr="007845F3">
        <w:rPr>
          <w:sz w:val="20"/>
        </w:rPr>
        <w:tab/>
        <w:t>Solicitors for the respondent:  Field, Edmonton.</w:t>
      </w:r>
    </w:p>
    <w:p w:rsidR="00D83441" w:rsidRPr="00D83441" w:rsidRDefault="00D83441" w:rsidP="00D83441">
      <w:pPr>
        <w:pStyle w:val="SCCNormalDoubleSpacing"/>
      </w:pPr>
    </w:p>
    <w:p w:rsidR="007845F3" w:rsidRPr="007845F3" w:rsidRDefault="007845F3" w:rsidP="00A77E69">
      <w:pPr>
        <w:pStyle w:val="SCCLawFirm"/>
        <w:spacing w:line="240" w:lineRule="auto"/>
        <w:ind w:left="720" w:hanging="720"/>
        <w:rPr>
          <w:sz w:val="20"/>
        </w:rPr>
      </w:pPr>
      <w:r w:rsidRPr="007845F3">
        <w:rPr>
          <w:sz w:val="20"/>
        </w:rPr>
        <w:lastRenderedPageBreak/>
        <w:tab/>
        <w:t>Solicitor for the intervener the Attorney General of British Columbia:  Attorney General of British Columbia, Victoria.</w:t>
      </w:r>
    </w:p>
    <w:p w:rsidR="007845F3" w:rsidRDefault="007845F3" w:rsidP="00A77E69">
      <w:pPr>
        <w:pStyle w:val="SCCLawFirm"/>
        <w:spacing w:line="240" w:lineRule="auto"/>
        <w:ind w:left="720" w:hanging="720"/>
        <w:rPr>
          <w:sz w:val="20"/>
        </w:rPr>
      </w:pPr>
    </w:p>
    <w:p w:rsidR="007845F3" w:rsidRPr="007845F3" w:rsidRDefault="007845F3" w:rsidP="00A77E69">
      <w:pPr>
        <w:pStyle w:val="SCCLawFirm"/>
        <w:spacing w:line="240" w:lineRule="auto"/>
        <w:ind w:left="720" w:hanging="720"/>
        <w:rPr>
          <w:sz w:val="20"/>
        </w:rPr>
      </w:pPr>
      <w:r w:rsidRPr="007845F3">
        <w:rPr>
          <w:sz w:val="20"/>
        </w:rPr>
        <w:tab/>
        <w:t>Solicitors for the intervener the Information and Privacy Commissioner of British Columbia:  </w:t>
      </w:r>
      <w:proofErr w:type="spellStart"/>
      <w:r w:rsidRPr="007845F3">
        <w:rPr>
          <w:sz w:val="20"/>
        </w:rPr>
        <w:t>Heenan</w:t>
      </w:r>
      <w:proofErr w:type="spellEnd"/>
      <w:r w:rsidRPr="007845F3">
        <w:rPr>
          <w:sz w:val="20"/>
        </w:rPr>
        <w:t xml:space="preserve"> </w:t>
      </w:r>
      <w:proofErr w:type="spellStart"/>
      <w:r w:rsidRPr="007845F3">
        <w:rPr>
          <w:sz w:val="20"/>
        </w:rPr>
        <w:t>Blaikie</w:t>
      </w:r>
      <w:proofErr w:type="spellEnd"/>
      <w:r w:rsidRPr="007845F3">
        <w:rPr>
          <w:sz w:val="20"/>
        </w:rPr>
        <w:t>, Vancouver.</w:t>
      </w:r>
    </w:p>
    <w:p w:rsidR="007845F3" w:rsidRDefault="007845F3" w:rsidP="00A77E69">
      <w:pPr>
        <w:pStyle w:val="SCCLawFirm"/>
        <w:spacing w:line="240" w:lineRule="auto"/>
        <w:ind w:left="720" w:hanging="720"/>
        <w:rPr>
          <w:sz w:val="20"/>
        </w:rPr>
      </w:pPr>
    </w:p>
    <w:p w:rsidR="007845F3" w:rsidRPr="007845F3" w:rsidRDefault="007845F3" w:rsidP="00A77E69">
      <w:pPr>
        <w:pStyle w:val="SCCLawFirm"/>
        <w:spacing w:line="240" w:lineRule="auto"/>
        <w:ind w:left="720" w:hanging="720"/>
        <w:rPr>
          <w:sz w:val="20"/>
        </w:rPr>
      </w:pPr>
      <w:r w:rsidRPr="007845F3">
        <w:rPr>
          <w:sz w:val="20"/>
        </w:rPr>
        <w:tab/>
        <w:t>Solicitors for the intervener the B.C. Freedom of Information and Privacy Association:  Hunter Litigation Chambers Law Corporation, Vancouver.</w:t>
      </w:r>
    </w:p>
    <w:p w:rsidR="00596C4C" w:rsidRPr="003B3977" w:rsidRDefault="00596C4C" w:rsidP="00596C4C">
      <w:pPr>
        <w:rPr>
          <w:rFonts w:cs="Times New Roman"/>
          <w:sz w:val="20"/>
          <w:szCs w:val="20"/>
          <w:lang w:val="fr-CA"/>
        </w:rPr>
      </w:pPr>
      <w:r w:rsidRPr="003B3977">
        <w:rPr>
          <w:rFonts w:cs="Times New Roman"/>
          <w:sz w:val="20"/>
          <w:szCs w:val="20"/>
          <w:lang w:val="fr-CA"/>
        </w:rPr>
        <w:t>________________________</w:t>
      </w:r>
    </w:p>
    <w:p w:rsidR="00596C4C" w:rsidRPr="003B3977" w:rsidRDefault="00596C4C" w:rsidP="00596C4C">
      <w:pPr>
        <w:rPr>
          <w:rFonts w:cs="Times New Roman"/>
          <w:sz w:val="20"/>
          <w:szCs w:val="20"/>
          <w:lang w:val="fr-CA"/>
        </w:rPr>
      </w:pPr>
    </w:p>
    <w:p w:rsidR="00596C4C" w:rsidRDefault="00596C4C" w:rsidP="00596C4C">
      <w:pPr>
        <w:jc w:val="both"/>
        <w:rPr>
          <w:rFonts w:cs="Times New Roman"/>
          <w:sz w:val="20"/>
          <w:szCs w:val="20"/>
          <w:lang w:val="fr-CA"/>
        </w:rPr>
      </w:pPr>
      <w:r w:rsidRPr="00596C4C">
        <w:rPr>
          <w:rFonts w:cs="Times New Roman"/>
          <w:sz w:val="20"/>
          <w:szCs w:val="20"/>
          <w:lang w:val="fr-CA"/>
        </w:rPr>
        <w:t xml:space="preserve">Présents : La juge en chef </w:t>
      </w:r>
      <w:proofErr w:type="spellStart"/>
      <w:r w:rsidRPr="00596C4C">
        <w:rPr>
          <w:rFonts w:cs="Times New Roman"/>
          <w:sz w:val="20"/>
          <w:szCs w:val="20"/>
          <w:lang w:val="fr-CA"/>
        </w:rPr>
        <w:t>McLachlin</w:t>
      </w:r>
      <w:proofErr w:type="spellEnd"/>
      <w:r w:rsidRPr="00596C4C">
        <w:rPr>
          <w:rFonts w:cs="Times New Roman"/>
          <w:sz w:val="20"/>
          <w:szCs w:val="20"/>
          <w:lang w:val="fr-CA"/>
        </w:rPr>
        <w:t xml:space="preserve"> et les juges </w:t>
      </w:r>
      <w:proofErr w:type="spellStart"/>
      <w:r w:rsidRPr="00596C4C">
        <w:rPr>
          <w:rFonts w:cs="Times New Roman"/>
          <w:sz w:val="20"/>
          <w:szCs w:val="20"/>
          <w:lang w:val="fr-CA"/>
        </w:rPr>
        <w:t>Binnie</w:t>
      </w:r>
      <w:proofErr w:type="spellEnd"/>
      <w:r w:rsidRPr="00596C4C">
        <w:rPr>
          <w:rFonts w:cs="Times New Roman"/>
          <w:sz w:val="20"/>
          <w:szCs w:val="20"/>
          <w:lang w:val="fr-CA"/>
        </w:rPr>
        <w:t xml:space="preserve">, </w:t>
      </w:r>
      <w:proofErr w:type="spellStart"/>
      <w:r w:rsidRPr="00596C4C">
        <w:rPr>
          <w:rFonts w:cs="Times New Roman"/>
          <w:sz w:val="20"/>
          <w:szCs w:val="20"/>
          <w:lang w:val="fr-CA"/>
        </w:rPr>
        <w:t>LeBel</w:t>
      </w:r>
      <w:proofErr w:type="spellEnd"/>
      <w:r w:rsidRPr="00596C4C">
        <w:rPr>
          <w:rFonts w:cs="Times New Roman"/>
          <w:sz w:val="20"/>
          <w:szCs w:val="20"/>
          <w:lang w:val="fr-CA"/>
        </w:rPr>
        <w:t xml:space="preserve">, Deschamps, Fish, Abella, Charron, </w:t>
      </w:r>
      <w:proofErr w:type="spellStart"/>
      <w:r w:rsidRPr="00596C4C">
        <w:rPr>
          <w:rFonts w:cs="Times New Roman"/>
          <w:sz w:val="20"/>
          <w:szCs w:val="20"/>
          <w:lang w:val="fr-CA"/>
        </w:rPr>
        <w:t>Rothstein</w:t>
      </w:r>
      <w:proofErr w:type="spellEnd"/>
      <w:r w:rsidRPr="00596C4C">
        <w:rPr>
          <w:rFonts w:cs="Times New Roman"/>
          <w:sz w:val="20"/>
          <w:szCs w:val="20"/>
          <w:lang w:val="fr-CA"/>
        </w:rPr>
        <w:t xml:space="preserve"> et Cromwell.</w:t>
      </w:r>
    </w:p>
    <w:p w:rsidR="00596C4C" w:rsidRPr="00596C4C" w:rsidRDefault="00596C4C" w:rsidP="00596C4C">
      <w:pPr>
        <w:jc w:val="both"/>
        <w:rPr>
          <w:rFonts w:cs="Times New Roman"/>
          <w:sz w:val="20"/>
          <w:szCs w:val="20"/>
          <w:lang w:val="fr-CA"/>
        </w:rPr>
      </w:pPr>
    </w:p>
    <w:p w:rsidR="00596C4C" w:rsidRPr="00596C4C" w:rsidRDefault="00596C4C" w:rsidP="00D83441">
      <w:pPr>
        <w:jc w:val="both"/>
        <w:rPr>
          <w:rFonts w:eastAsia="Times New Roman" w:cs="Times New Roman"/>
          <w:i/>
          <w:iCs/>
          <w:sz w:val="20"/>
          <w:szCs w:val="20"/>
          <w:lang w:val="fr-CA" w:eastAsia="en-CA"/>
        </w:rPr>
      </w:pPr>
      <w:r w:rsidRPr="00596C4C">
        <w:rPr>
          <w:rFonts w:eastAsia="Times New Roman" w:cs="Times New Roman"/>
          <w:i/>
          <w:iCs/>
          <w:sz w:val="20"/>
          <w:szCs w:val="20"/>
          <w:lang w:val="fr-CA" w:eastAsia="en-CA"/>
        </w:rPr>
        <w:tab/>
        <w:t xml:space="preserve">Droit administratif — Contrôle judiciaire — Décision implicite — Décision d’une déléguée annulée à l’issue d’un contrôle judiciaire au motif que le commissaire à l’information et à la protection de la vie privée n’a pas observé le délai prescrit — Inobservation du délai non soulevée devant le commissaire ou sa déléguée — La déléguée n’a donc ni examiné ni abordé expressément la question dans ses motifs — Une question qui n’a pas été soulevée devant un tribunal administratif </w:t>
      </w:r>
      <w:proofErr w:type="spellStart"/>
      <w:r w:rsidRPr="00596C4C">
        <w:rPr>
          <w:rFonts w:eastAsia="Times New Roman" w:cs="Times New Roman"/>
          <w:i/>
          <w:iCs/>
          <w:sz w:val="20"/>
          <w:szCs w:val="20"/>
          <w:lang w:val="fr-CA" w:eastAsia="en-CA"/>
        </w:rPr>
        <w:t>peut</w:t>
      </w:r>
      <w:r w:rsidRPr="00596C4C">
        <w:rPr>
          <w:rFonts w:eastAsia="Times New Roman" w:cs="Times New Roman"/>
          <w:i/>
          <w:iCs/>
          <w:sz w:val="20"/>
          <w:szCs w:val="20"/>
          <w:lang w:val="fr-CA" w:eastAsia="en-CA"/>
        </w:rPr>
        <w:noBreakHyphen/>
        <w:t>elle</w:t>
      </w:r>
      <w:proofErr w:type="spellEnd"/>
      <w:r w:rsidRPr="00596C4C">
        <w:rPr>
          <w:rFonts w:eastAsia="Times New Roman" w:cs="Times New Roman"/>
          <w:i/>
          <w:iCs/>
          <w:sz w:val="20"/>
          <w:szCs w:val="20"/>
          <w:lang w:val="fr-CA" w:eastAsia="en-CA"/>
        </w:rPr>
        <w:t xml:space="preserve"> faire l’objet d’un contrôle judiciaire? — Les motifs du tribunal administratif dans d’autres affaires </w:t>
      </w:r>
      <w:proofErr w:type="spellStart"/>
      <w:r w:rsidRPr="00596C4C">
        <w:rPr>
          <w:rFonts w:eastAsia="Times New Roman" w:cs="Times New Roman"/>
          <w:i/>
          <w:iCs/>
          <w:sz w:val="20"/>
          <w:szCs w:val="20"/>
          <w:lang w:val="fr-CA" w:eastAsia="en-CA"/>
        </w:rPr>
        <w:t>peuvent</w:t>
      </w:r>
      <w:r w:rsidRPr="00596C4C">
        <w:rPr>
          <w:rFonts w:eastAsia="Times New Roman" w:cs="Times New Roman"/>
          <w:i/>
          <w:iCs/>
          <w:sz w:val="20"/>
          <w:szCs w:val="20"/>
          <w:lang w:val="fr-CA" w:eastAsia="en-CA"/>
        </w:rPr>
        <w:noBreakHyphen/>
        <w:t>ils</w:t>
      </w:r>
      <w:proofErr w:type="spellEnd"/>
      <w:r w:rsidRPr="00596C4C">
        <w:rPr>
          <w:rFonts w:eastAsia="Times New Roman" w:cs="Times New Roman"/>
          <w:i/>
          <w:iCs/>
          <w:sz w:val="20"/>
          <w:szCs w:val="20"/>
          <w:lang w:val="fr-CA" w:eastAsia="en-CA"/>
        </w:rPr>
        <w:t xml:space="preserve"> permettre de se prononcer sur le caractère raisonnable d’une décision implicite? — </w:t>
      </w:r>
      <w:proofErr w:type="spellStart"/>
      <w:r w:rsidRPr="00596C4C">
        <w:rPr>
          <w:rFonts w:eastAsia="Times New Roman" w:cs="Times New Roman"/>
          <w:i/>
          <w:iCs/>
          <w:sz w:val="20"/>
          <w:szCs w:val="20"/>
          <w:lang w:val="fr-CA" w:eastAsia="en-CA"/>
        </w:rPr>
        <w:t>Personal</w:t>
      </w:r>
      <w:proofErr w:type="spellEnd"/>
      <w:r w:rsidRPr="00596C4C">
        <w:rPr>
          <w:rFonts w:eastAsia="Times New Roman" w:cs="Times New Roman"/>
          <w:i/>
          <w:iCs/>
          <w:sz w:val="20"/>
          <w:szCs w:val="20"/>
          <w:lang w:val="fr-CA" w:eastAsia="en-CA"/>
        </w:rPr>
        <w:t xml:space="preserve"> Information Protection </w:t>
      </w:r>
      <w:proofErr w:type="spellStart"/>
      <w:r w:rsidRPr="00596C4C">
        <w:rPr>
          <w:rFonts w:eastAsia="Times New Roman" w:cs="Times New Roman"/>
          <w:i/>
          <w:iCs/>
          <w:sz w:val="20"/>
          <w:szCs w:val="20"/>
          <w:lang w:val="fr-CA" w:eastAsia="en-CA"/>
        </w:rPr>
        <w:t>Act</w:t>
      </w:r>
      <w:proofErr w:type="spellEnd"/>
      <w:r w:rsidRPr="00596C4C">
        <w:rPr>
          <w:rFonts w:eastAsia="Times New Roman" w:cs="Times New Roman"/>
          <w:i/>
          <w:iCs/>
          <w:sz w:val="20"/>
          <w:szCs w:val="20"/>
          <w:lang w:val="fr-CA" w:eastAsia="en-CA"/>
        </w:rPr>
        <w:t>, S.A. 2003, ch. P</w:t>
      </w:r>
      <w:r w:rsidRPr="00596C4C">
        <w:rPr>
          <w:rFonts w:eastAsia="Times New Roman" w:cs="Times New Roman"/>
          <w:i/>
          <w:iCs/>
          <w:sz w:val="20"/>
          <w:szCs w:val="20"/>
          <w:lang w:val="fr-CA" w:eastAsia="en-CA"/>
        </w:rPr>
        <w:noBreakHyphen/>
        <w:t>6.5, art. 50(5).</w:t>
      </w:r>
    </w:p>
    <w:p w:rsidR="00596C4C" w:rsidRDefault="00596C4C" w:rsidP="00D83441">
      <w:pPr>
        <w:jc w:val="both"/>
        <w:rPr>
          <w:rFonts w:eastAsia="Times New Roman" w:cs="Times New Roman"/>
          <w:i/>
          <w:iCs/>
          <w:sz w:val="20"/>
          <w:szCs w:val="20"/>
          <w:lang w:val="fr-CA" w:eastAsia="en-CA"/>
        </w:rPr>
      </w:pPr>
    </w:p>
    <w:p w:rsidR="00596C4C" w:rsidRPr="00596C4C" w:rsidRDefault="00596C4C" w:rsidP="00D83441">
      <w:pPr>
        <w:jc w:val="both"/>
        <w:rPr>
          <w:rFonts w:eastAsia="Times New Roman" w:cs="Times New Roman"/>
          <w:i/>
          <w:iCs/>
          <w:sz w:val="20"/>
          <w:szCs w:val="20"/>
          <w:lang w:val="fr-CA" w:eastAsia="en-CA"/>
        </w:rPr>
      </w:pPr>
      <w:r w:rsidRPr="00596C4C">
        <w:rPr>
          <w:rFonts w:eastAsia="Times New Roman" w:cs="Times New Roman"/>
          <w:i/>
          <w:iCs/>
          <w:sz w:val="20"/>
          <w:szCs w:val="20"/>
          <w:lang w:val="fr-CA" w:eastAsia="en-CA"/>
        </w:rPr>
        <w:tab/>
        <w:t xml:space="preserve">Droit administratif — Norme de contrôle — La décision d’un tribunal administratif qui interprète sa propre loi constitutive ou une loi étroitement liée à son mandat </w:t>
      </w:r>
      <w:proofErr w:type="spellStart"/>
      <w:r w:rsidRPr="00596C4C">
        <w:rPr>
          <w:rFonts w:eastAsia="Times New Roman" w:cs="Times New Roman"/>
          <w:i/>
          <w:iCs/>
          <w:sz w:val="20"/>
          <w:szCs w:val="20"/>
          <w:lang w:val="fr-CA" w:eastAsia="en-CA"/>
        </w:rPr>
        <w:t>est</w:t>
      </w:r>
      <w:r w:rsidRPr="00596C4C">
        <w:rPr>
          <w:rFonts w:eastAsia="Times New Roman" w:cs="Times New Roman"/>
          <w:i/>
          <w:iCs/>
          <w:sz w:val="20"/>
          <w:szCs w:val="20"/>
          <w:lang w:val="fr-CA" w:eastAsia="en-CA"/>
        </w:rPr>
        <w:noBreakHyphen/>
        <w:t>elle</w:t>
      </w:r>
      <w:proofErr w:type="spellEnd"/>
      <w:r w:rsidRPr="00596C4C">
        <w:rPr>
          <w:rFonts w:eastAsia="Times New Roman" w:cs="Times New Roman"/>
          <w:i/>
          <w:iCs/>
          <w:sz w:val="20"/>
          <w:szCs w:val="20"/>
          <w:lang w:val="fr-CA" w:eastAsia="en-CA"/>
        </w:rPr>
        <w:t xml:space="preserve"> assujettie à la norme de la décision correcte ou à celle de la décision raisonnable? —</w:t>
      </w:r>
      <w:r w:rsidRPr="00596C4C">
        <w:rPr>
          <w:rFonts w:eastAsia="Times New Roman" w:cs="Times New Roman"/>
          <w:i/>
          <w:sz w:val="20"/>
          <w:szCs w:val="20"/>
          <w:lang w:val="fr-CA" w:eastAsia="en-CA"/>
        </w:rPr>
        <w:t xml:space="preserve"> La catégorie des véritables questions de compétence </w:t>
      </w:r>
      <w:proofErr w:type="spellStart"/>
      <w:r w:rsidRPr="00596C4C">
        <w:rPr>
          <w:rFonts w:eastAsia="Times New Roman" w:cs="Times New Roman"/>
          <w:i/>
          <w:sz w:val="20"/>
          <w:szCs w:val="20"/>
          <w:lang w:val="fr-CA" w:eastAsia="en-CA"/>
        </w:rPr>
        <w:t>doit</w:t>
      </w:r>
      <w:r w:rsidRPr="00596C4C">
        <w:rPr>
          <w:rFonts w:eastAsia="Times New Roman" w:cs="Times New Roman"/>
          <w:i/>
          <w:sz w:val="20"/>
          <w:szCs w:val="20"/>
          <w:lang w:val="fr-CA" w:eastAsia="en-CA"/>
        </w:rPr>
        <w:noBreakHyphen/>
        <w:t>elle</w:t>
      </w:r>
      <w:proofErr w:type="spellEnd"/>
      <w:r w:rsidRPr="00596C4C">
        <w:rPr>
          <w:rFonts w:eastAsia="Times New Roman" w:cs="Times New Roman"/>
          <w:i/>
          <w:sz w:val="20"/>
          <w:szCs w:val="20"/>
          <w:lang w:val="fr-CA" w:eastAsia="en-CA"/>
        </w:rPr>
        <w:t xml:space="preserve"> </w:t>
      </w:r>
      <w:proofErr w:type="gramStart"/>
      <w:r w:rsidRPr="00596C4C">
        <w:rPr>
          <w:rFonts w:eastAsia="Times New Roman" w:cs="Times New Roman"/>
          <w:i/>
          <w:sz w:val="20"/>
          <w:szCs w:val="20"/>
          <w:lang w:val="fr-CA" w:eastAsia="en-CA"/>
        </w:rPr>
        <w:t>subsister</w:t>
      </w:r>
      <w:proofErr w:type="gramEnd"/>
      <w:r w:rsidRPr="00596C4C">
        <w:rPr>
          <w:rFonts w:eastAsia="Times New Roman" w:cs="Times New Roman"/>
          <w:i/>
          <w:sz w:val="20"/>
          <w:szCs w:val="20"/>
          <w:lang w:val="fr-CA" w:eastAsia="en-CA"/>
        </w:rPr>
        <w:t xml:space="preserve"> relativement à l’interprétation par un tribunal administratif de sa </w:t>
      </w:r>
      <w:r w:rsidRPr="00596C4C">
        <w:rPr>
          <w:rFonts w:eastAsia="Times New Roman" w:cs="Times New Roman"/>
          <w:i/>
          <w:iCs/>
          <w:sz w:val="20"/>
          <w:szCs w:val="20"/>
          <w:lang w:val="fr-CA" w:eastAsia="en-CA"/>
        </w:rPr>
        <w:t>propre loi constitutive ou d’une loi étroitement liée à son mandat?</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Le commissaire à l’information et à la protection de la vie privée a reçu des plaintes selon laquelle l’ATA avait communiqué des renseignements privés et enfreint de ce fait la </w:t>
      </w:r>
      <w:proofErr w:type="spellStart"/>
      <w:r w:rsidRPr="00596C4C">
        <w:rPr>
          <w:rFonts w:eastAsia="Times New Roman" w:cs="Times New Roman"/>
          <w:i/>
          <w:sz w:val="20"/>
          <w:szCs w:val="20"/>
          <w:lang w:val="fr-CA" w:eastAsia="en-CA"/>
        </w:rPr>
        <w:t>Personal</w:t>
      </w:r>
      <w:proofErr w:type="spellEnd"/>
      <w:r w:rsidRPr="00596C4C">
        <w:rPr>
          <w:rFonts w:eastAsia="Times New Roman" w:cs="Times New Roman"/>
          <w:i/>
          <w:sz w:val="20"/>
          <w:szCs w:val="20"/>
          <w:lang w:val="fr-CA" w:eastAsia="en-CA"/>
        </w:rPr>
        <w:t xml:space="preserve"> Information </w:t>
      </w:r>
      <w:proofErr w:type="spellStart"/>
      <w:r w:rsidRPr="00596C4C">
        <w:rPr>
          <w:rFonts w:eastAsia="Times New Roman" w:cs="Times New Roman"/>
          <w:i/>
          <w:sz w:val="20"/>
          <w:szCs w:val="20"/>
          <w:lang w:val="fr-CA" w:eastAsia="en-CA"/>
        </w:rPr>
        <w:t>Act</w:t>
      </w:r>
      <w:proofErr w:type="spellEnd"/>
      <w:r w:rsidRPr="00596C4C">
        <w:rPr>
          <w:rFonts w:eastAsia="Times New Roman" w:cs="Times New Roman"/>
          <w:sz w:val="20"/>
          <w:szCs w:val="20"/>
          <w:lang w:val="fr-CA" w:eastAsia="en-CA"/>
        </w:rPr>
        <w:t xml:space="preserve"> de l’Alberta.</w:t>
      </w:r>
      <w:r w:rsidRPr="00596C4C">
        <w:rPr>
          <w:rFonts w:eastAsia="Times New Roman" w:cs="Times New Roman"/>
          <w:i/>
          <w:sz w:val="20"/>
          <w:szCs w:val="20"/>
          <w:lang w:val="fr-CA" w:eastAsia="en-CA"/>
        </w:rPr>
        <w:t xml:space="preserve"> </w:t>
      </w:r>
      <w:r w:rsidRPr="00596C4C">
        <w:rPr>
          <w:rFonts w:eastAsia="Times New Roman" w:cs="Times New Roman"/>
          <w:sz w:val="20"/>
          <w:szCs w:val="20"/>
          <w:lang w:val="fr-CA" w:eastAsia="en-CA"/>
        </w:rPr>
        <w:t xml:space="preserve"> Suivant le par. 50(5) de la PIPA alors en vigueur, l’enquête du commissaire devait prendre fin au plus tard 90 jours après la réception de la plainte, sauf avis du commissaire aux parties de la prorogation du délai et de la date prévue d’achèvement de l’enquête.  Le commissaire n’a prorogé l’enquête et fixé la date de son achèvement que 22 mois après le dépôt de la première plainte.  Sept mois plus tard, la personne qu’il a déléguée a rendu une ordonnance dans laquelle elle concluait que l’ATA avait contrevenu à la Loi.  L’ATA a demandé le contrôle judiciaire de l’ordonnance et fait valoir pour la première fois qu’en ne prorogeant pas l’enquête au plus tard 90 jours après la réception de la plainte, le commissaire avait perdu compétence.  Le juge en cabinet a annulé la décision de la déléguée pour ce motif.  La Cour d’appel a confirmé à la majorité la décision du juge.</w:t>
      </w:r>
    </w:p>
    <w:p w:rsidR="00596C4C" w:rsidRDefault="00596C4C" w:rsidP="00D83441">
      <w:pPr>
        <w:jc w:val="both"/>
        <w:rPr>
          <w:rFonts w:eastAsia="Times New Roman" w:cs="Times New Roman"/>
          <w:i/>
          <w:sz w:val="20"/>
          <w:szCs w:val="20"/>
          <w:lang w:val="fr-CA" w:eastAsia="en-CA"/>
        </w:rPr>
      </w:pPr>
    </w:p>
    <w:p w:rsidR="00596C4C" w:rsidRPr="00596C4C" w:rsidRDefault="00596C4C" w:rsidP="00D83441">
      <w:pPr>
        <w:jc w:val="both"/>
        <w:rPr>
          <w:rFonts w:eastAsia="Times New Roman" w:cs="Times New Roman"/>
          <w:i/>
          <w:sz w:val="20"/>
          <w:szCs w:val="20"/>
          <w:lang w:val="fr-CA" w:eastAsia="en-CA"/>
        </w:rPr>
      </w:pPr>
      <w:r w:rsidRPr="00596C4C">
        <w:rPr>
          <w:rFonts w:eastAsia="Times New Roman" w:cs="Times New Roman"/>
          <w:i/>
          <w:sz w:val="20"/>
          <w:szCs w:val="20"/>
          <w:lang w:val="fr-CA" w:eastAsia="en-CA"/>
        </w:rPr>
        <w:tab/>
        <w:t>Arrêt :</w:t>
      </w:r>
      <w:r w:rsidRPr="00596C4C">
        <w:rPr>
          <w:rFonts w:eastAsia="Times New Roman" w:cs="Times New Roman"/>
          <w:sz w:val="20"/>
          <w:szCs w:val="20"/>
          <w:lang w:val="fr-CA" w:eastAsia="en-CA"/>
        </w:rPr>
        <w:t xml:space="preserve"> Le pourvoi est accueilli.  </w:t>
      </w:r>
    </w:p>
    <w:p w:rsidR="00596C4C" w:rsidRDefault="00596C4C" w:rsidP="00D83441">
      <w:pPr>
        <w:jc w:val="both"/>
        <w:rPr>
          <w:rFonts w:eastAsia="Times New Roman" w:cs="Times New Roman"/>
          <w:i/>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i/>
          <w:sz w:val="20"/>
          <w:szCs w:val="20"/>
          <w:lang w:val="fr-CA" w:eastAsia="en-CA"/>
        </w:rPr>
        <w:tab/>
        <w:t>La</w:t>
      </w:r>
      <w:r w:rsidRPr="00596C4C">
        <w:rPr>
          <w:rFonts w:eastAsia="Times New Roman" w:cs="Times New Roman"/>
          <w:sz w:val="20"/>
          <w:szCs w:val="20"/>
          <w:lang w:val="fr-CA" w:eastAsia="en-CA"/>
        </w:rPr>
        <w:t xml:space="preserve"> juge en chef </w:t>
      </w:r>
      <w:proofErr w:type="spellStart"/>
      <w:r w:rsidRPr="00596C4C">
        <w:rPr>
          <w:rFonts w:eastAsia="Times New Roman" w:cs="Times New Roman"/>
          <w:sz w:val="20"/>
          <w:szCs w:val="20"/>
          <w:lang w:val="fr-CA" w:eastAsia="en-CA"/>
        </w:rPr>
        <w:t>McLachlin</w:t>
      </w:r>
      <w:proofErr w:type="spellEnd"/>
      <w:r w:rsidRPr="00596C4C">
        <w:rPr>
          <w:rFonts w:eastAsia="Times New Roman" w:cs="Times New Roman"/>
          <w:sz w:val="20"/>
          <w:szCs w:val="20"/>
          <w:lang w:val="fr-CA" w:eastAsia="en-CA"/>
        </w:rPr>
        <w:t xml:space="preserve"> et les juges </w:t>
      </w:r>
      <w:proofErr w:type="spellStart"/>
      <w:r w:rsidRPr="00596C4C">
        <w:rPr>
          <w:rFonts w:eastAsia="Times New Roman" w:cs="Times New Roman"/>
          <w:sz w:val="20"/>
          <w:szCs w:val="20"/>
          <w:lang w:val="fr-CA" w:eastAsia="en-CA"/>
        </w:rPr>
        <w:t>LeBel</w:t>
      </w:r>
      <w:proofErr w:type="spellEnd"/>
      <w:r w:rsidRPr="00596C4C">
        <w:rPr>
          <w:rFonts w:eastAsia="Times New Roman" w:cs="Times New Roman"/>
          <w:sz w:val="20"/>
          <w:szCs w:val="20"/>
          <w:lang w:val="fr-CA" w:eastAsia="en-CA"/>
        </w:rPr>
        <w:t xml:space="preserve">, Fish, Abella, Charron et </w:t>
      </w:r>
      <w:proofErr w:type="spellStart"/>
      <w:r w:rsidRPr="00596C4C">
        <w:rPr>
          <w:rFonts w:eastAsia="Times New Roman" w:cs="Times New Roman"/>
          <w:b/>
          <w:sz w:val="20"/>
          <w:szCs w:val="20"/>
          <w:lang w:val="fr-CA" w:eastAsia="en-CA"/>
        </w:rPr>
        <w:t>Rothstein</w:t>
      </w:r>
      <w:proofErr w:type="spellEnd"/>
      <w:r w:rsidRPr="00596C4C">
        <w:rPr>
          <w:rFonts w:eastAsia="Times New Roman" w:cs="Times New Roman"/>
          <w:sz w:val="20"/>
          <w:szCs w:val="20"/>
          <w:lang w:val="fr-CA" w:eastAsia="en-CA"/>
        </w:rPr>
        <w:t xml:space="preserve"> : Même si la question de l’observation du délai n’a pas été soulevée devant le commissaire ou sa déléguée, cette dernière a conclu  tacitement que l’omission de proroger le délai avant l’expiration des 90 jours impartis n’avait pas automatiquement mis fin à l’enquête.  Au regard de la norme de contrôle de la décision raisonnable à laquelle elle est assujettie, la décision de la déléguée est raisonnable.  L’ordonnance de la déléguée est rétablie, et l’affaire est renvoyée au juge en cabinet pour qu’il statue sur les questions qui n’ont pas déjà été examinées et réglées lors du contrôle judiciaire.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La cour de justice jouit du pouvoir discrétionnaire d’entreprendre ou non un contrôle judiciaire et, en règle générale, elle s’en abstient lorsque la question aurait pu être soulevée devant le tribunal administratif mais qu’elle ne l’a pas été.  Toutefois, les considérations qui justifient la règle générale ont une application limitée en l’espèce.  Le commissaire a exprimé son opinion dans d’autres décisions, ce qui donne accès à son expertise.  Nul élément de preuve n’était requis pour trancher la question de l’observation du délai, et nul préjudice n’était allégué.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En l’espèce, les parties ont été informées par lettre de la prorogation du délai de 90 jours après l’expiration de </w:t>
      </w:r>
      <w:proofErr w:type="spellStart"/>
      <w:r w:rsidRPr="00596C4C">
        <w:rPr>
          <w:rFonts w:eastAsia="Times New Roman" w:cs="Times New Roman"/>
          <w:sz w:val="20"/>
          <w:szCs w:val="20"/>
          <w:lang w:val="fr-CA" w:eastAsia="en-CA"/>
        </w:rPr>
        <w:t>celui</w:t>
      </w:r>
      <w:r w:rsidRPr="00596C4C">
        <w:rPr>
          <w:rFonts w:eastAsia="Times New Roman" w:cs="Times New Roman"/>
          <w:sz w:val="20"/>
          <w:szCs w:val="20"/>
          <w:lang w:val="fr-CA" w:eastAsia="en-CA"/>
        </w:rPr>
        <w:noBreakHyphen/>
        <w:t>ci</w:t>
      </w:r>
      <w:proofErr w:type="spellEnd"/>
      <w:r w:rsidRPr="00596C4C">
        <w:rPr>
          <w:rFonts w:eastAsia="Times New Roman" w:cs="Times New Roman"/>
          <w:sz w:val="20"/>
          <w:szCs w:val="20"/>
          <w:lang w:val="fr-CA" w:eastAsia="en-CA"/>
        </w:rPr>
        <w:t xml:space="preserve">.  La déléguée a mené l’enquête à terme, puis rendu une ordonnance défavorable à l’ATA.  La question soulevée par l’ATA lors du contrôle judiciaire ne pouvait appeler que l’une de deux conclusions possibles : soit la prorogation </w:t>
      </w:r>
      <w:r w:rsidRPr="00596C4C">
        <w:rPr>
          <w:rFonts w:eastAsia="Times New Roman" w:cs="Times New Roman"/>
          <w:sz w:val="20"/>
          <w:szCs w:val="20"/>
          <w:lang w:val="fr-CA" w:eastAsia="en-CA"/>
        </w:rPr>
        <w:lastRenderedPageBreak/>
        <w:t xml:space="preserve">n’avait pas mis fin à l’enquête, soit elle y avait mis fin.  Le commissaire et sa déléguée ont implicitement décidé que la prorogation du délai après les 90 jours impartis n’a pas automatiquement mis fin à l’enquête.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Dans la présente affaire, la décision était assujettie à la norme de contrôle de la décision raisonnable.  Le commissaire interprétait sa propre loi constitutive, et la question relevait de son expertise.  Lorsqu’un tribunal administratif interprète sa propre loi constitutive ou une loi étroitement liée à son mandat, la déférence est habituellement de mise, sauf si la question relève d’une catégorie de questions à laquelle la norme de la décision correcte demeure applicable. La question de l’observation du délai n’appartient pas à une telle catégorie : elle n’est pas de nature constitutionnelle, elle n’a pas trait à la délimitation </w:t>
      </w:r>
      <w:r w:rsidRPr="00596C4C">
        <w:rPr>
          <w:rFonts w:eastAsia="Times New Roman" w:cs="Times New Roman"/>
          <w:sz w:val="20"/>
          <w:szCs w:val="20"/>
          <w:lang w:val="fr-FR" w:eastAsia="en-CA"/>
        </w:rPr>
        <w:t xml:space="preserve">des compétences respectives de tribunaux spécialisés concurrents, elle </w:t>
      </w:r>
      <w:r w:rsidRPr="00596C4C">
        <w:rPr>
          <w:rFonts w:eastAsia="Times New Roman" w:cs="Times New Roman"/>
          <w:sz w:val="20"/>
          <w:szCs w:val="20"/>
          <w:lang w:val="fr-CA" w:eastAsia="en-CA"/>
        </w:rPr>
        <w:t xml:space="preserve">ne revêt pas une importance capitale pour le système juridique dans son ensemble et elle ne touche pas véritablement à la compétence.  L’expérience enseigne que peu de questions appartiennent à la catégorie des véritables questions de compétence, et le temps est </w:t>
      </w:r>
      <w:proofErr w:type="spellStart"/>
      <w:r w:rsidRPr="00596C4C">
        <w:rPr>
          <w:rFonts w:eastAsia="Times New Roman" w:cs="Times New Roman"/>
          <w:sz w:val="20"/>
          <w:szCs w:val="20"/>
          <w:lang w:val="fr-CA" w:eastAsia="en-CA"/>
        </w:rPr>
        <w:t>peut</w:t>
      </w:r>
      <w:r w:rsidRPr="00596C4C">
        <w:rPr>
          <w:rFonts w:eastAsia="Times New Roman" w:cs="Times New Roman"/>
          <w:sz w:val="20"/>
          <w:szCs w:val="20"/>
          <w:lang w:val="fr-CA" w:eastAsia="en-CA"/>
        </w:rPr>
        <w:noBreakHyphen/>
        <w:t>être</w:t>
      </w:r>
      <w:proofErr w:type="spellEnd"/>
      <w:r w:rsidRPr="00596C4C">
        <w:rPr>
          <w:rFonts w:eastAsia="Times New Roman" w:cs="Times New Roman"/>
          <w:sz w:val="20"/>
          <w:szCs w:val="20"/>
          <w:lang w:val="fr-CA" w:eastAsia="en-CA"/>
        </w:rPr>
        <w:t xml:space="preserve"> venu de se demander si cette catégorie existe et si elle est nécessaire pour arrêter la norme de contrôle applicable.  Pendant de nombreuses années, l’incertitude a pesé sur l’analyse relative à la norme de contrôle.  La catégorie des « questions touchant véritablement à la compétence » a semé la confusion tant chez les juges que chez les avocats et, sans une définition claire ni de précision quant à sa teneur, les cours de justice demeureront dans l’incertitude à ce sujet.  Pour l’heure, il suffit d’affirmer que, sauf situation exceptionnelle, il convient de présumer que l’interprétation par un tribunal administratif de sa loi propre constitutive ou d’une loi étroitement liée à son mandat est une question d’interprétation législative commandant la déférence en cas de contrôle judiciaire.  Tant que subsiste la catégorie des « véritables questions de compétence », la partie qui prétend soulever une question qui y appartient doit établir les raisons pour lesquelles le contrôle visant l’interprétation de sa loi constitutive par un tribunal administratif ne devrait pas s’effectuer au regard de la norme de la décision raisonnable.</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Un tribunal administratif ne cesse pas d’avoir droit à la déférence parce que sa décision est implicite.  Les parties ne sauraient, en omettant de soulever une question et en induisant ainsi le tribunal administratif en erreur quant à la nécessité de motiver sa décision, écarter la déférence due à ce dernier.  </w:t>
      </w:r>
      <w:r w:rsidRPr="00596C4C">
        <w:rPr>
          <w:rFonts w:eastAsia="Times New Roman" w:cs="Times New Roman"/>
          <w:sz w:val="20"/>
          <w:szCs w:val="20"/>
          <w:lang w:val="fr-FR" w:eastAsia="en-CA"/>
        </w:rPr>
        <w:t>L</w:t>
      </w:r>
      <w:proofErr w:type="spellStart"/>
      <w:r w:rsidRPr="00596C4C">
        <w:rPr>
          <w:rFonts w:eastAsia="Times New Roman" w:cs="Times New Roman"/>
          <w:sz w:val="20"/>
          <w:szCs w:val="20"/>
          <w:lang w:val="fr-CA" w:eastAsia="en-CA"/>
        </w:rPr>
        <w:t>orsque</w:t>
      </w:r>
      <w:proofErr w:type="spellEnd"/>
      <w:r w:rsidRPr="00596C4C">
        <w:rPr>
          <w:rFonts w:eastAsia="Times New Roman" w:cs="Times New Roman"/>
          <w:sz w:val="20"/>
          <w:szCs w:val="20"/>
          <w:lang w:val="fr-CA" w:eastAsia="en-CA"/>
        </w:rPr>
        <w:t xml:space="preserve"> la décision contestée porte sur une question qui n’a pas été soulevée devant le décideur, la juridiction de révision peut prendre en compte les motifs qui auraient pu être donnés </w:t>
      </w:r>
      <w:r w:rsidRPr="00596C4C">
        <w:rPr>
          <w:rFonts w:eastAsia="Times New Roman" w:cs="Times New Roman"/>
          <w:sz w:val="20"/>
          <w:szCs w:val="20"/>
          <w:lang w:val="fr-FR" w:eastAsia="en-CA"/>
        </w:rPr>
        <w:t>à l’appui.  L</w:t>
      </w:r>
      <w:proofErr w:type="spellStart"/>
      <w:r w:rsidRPr="00596C4C">
        <w:rPr>
          <w:rFonts w:eastAsia="Times New Roman" w:cs="Times New Roman"/>
          <w:sz w:val="20"/>
          <w:szCs w:val="20"/>
          <w:lang w:val="fr-CA" w:eastAsia="en-CA"/>
        </w:rPr>
        <w:t>orsque</w:t>
      </w:r>
      <w:proofErr w:type="spellEnd"/>
      <w:r w:rsidRPr="00596C4C">
        <w:rPr>
          <w:rFonts w:eastAsia="Times New Roman" w:cs="Times New Roman"/>
          <w:sz w:val="20"/>
          <w:szCs w:val="20"/>
          <w:lang w:val="fr-CA" w:eastAsia="en-CA"/>
        </w:rPr>
        <w:t xml:space="preserve"> la décision tacite a un fondement raisonnable manifeste, la juridiction de révision devrait la déclarer raisonnable et la confirmer.  Il peut arriver parfois qu’une juridiction de révision ne puisse manifester la déférence voulue sans offrir d’abord au décideur administratif la possibilité d’exposer les motifs de sa décision.  Il ne convient généralement pas qu’elle conclue à l’absence d’assise raisonnable sans offrir d’abord au tribunal administratif la possibilité d’en fournir une.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La juridiction de révision peut s’en remettre aux motifs d’autres décisions du tribunal administratif sur le même point pour décider si une décision implicite a un fondement raisonnable ou non.  Dans d’autres décisions, le commissaire et ses délégués interprètent de manière constante le par. 69(6) de la </w:t>
      </w:r>
      <w:proofErr w:type="spellStart"/>
      <w:r w:rsidRPr="00596C4C">
        <w:rPr>
          <w:rFonts w:eastAsia="Times New Roman" w:cs="Times New Roman"/>
          <w:i/>
          <w:iCs/>
          <w:sz w:val="20"/>
          <w:szCs w:val="20"/>
          <w:lang w:val="fr-CA" w:eastAsia="en-CA"/>
        </w:rPr>
        <w:t>Freedom</w:t>
      </w:r>
      <w:proofErr w:type="spellEnd"/>
      <w:r w:rsidRPr="00596C4C">
        <w:rPr>
          <w:rFonts w:eastAsia="Times New Roman" w:cs="Times New Roman"/>
          <w:i/>
          <w:iCs/>
          <w:sz w:val="20"/>
          <w:szCs w:val="20"/>
          <w:lang w:val="fr-CA" w:eastAsia="en-CA"/>
        </w:rPr>
        <w:t xml:space="preserve"> of Information and Protection of </w:t>
      </w:r>
      <w:proofErr w:type="spellStart"/>
      <w:r w:rsidRPr="00596C4C">
        <w:rPr>
          <w:rFonts w:eastAsia="Times New Roman" w:cs="Times New Roman"/>
          <w:i/>
          <w:iCs/>
          <w:sz w:val="20"/>
          <w:szCs w:val="20"/>
          <w:lang w:val="fr-CA" w:eastAsia="en-CA"/>
        </w:rPr>
        <w:t>Privacy</w:t>
      </w:r>
      <w:proofErr w:type="spellEnd"/>
      <w:r w:rsidRPr="00596C4C">
        <w:rPr>
          <w:rFonts w:eastAsia="Times New Roman" w:cs="Times New Roman"/>
          <w:i/>
          <w:iCs/>
          <w:sz w:val="20"/>
          <w:szCs w:val="20"/>
          <w:lang w:val="fr-CA" w:eastAsia="en-CA"/>
        </w:rPr>
        <w:t xml:space="preserve"> </w:t>
      </w:r>
      <w:proofErr w:type="spellStart"/>
      <w:r w:rsidRPr="00596C4C">
        <w:rPr>
          <w:rFonts w:eastAsia="Times New Roman" w:cs="Times New Roman"/>
          <w:i/>
          <w:iCs/>
          <w:sz w:val="20"/>
          <w:szCs w:val="20"/>
          <w:lang w:val="fr-CA" w:eastAsia="en-CA"/>
        </w:rPr>
        <w:t>Act</w:t>
      </w:r>
      <w:proofErr w:type="spellEnd"/>
      <w:r w:rsidRPr="00596C4C">
        <w:rPr>
          <w:rFonts w:eastAsia="Times New Roman" w:cs="Times New Roman"/>
          <w:i/>
          <w:iCs/>
          <w:sz w:val="20"/>
          <w:szCs w:val="20"/>
          <w:lang w:val="fr-CA" w:eastAsia="en-CA"/>
        </w:rPr>
        <w:t xml:space="preserve"> </w:t>
      </w:r>
      <w:r w:rsidRPr="00596C4C">
        <w:rPr>
          <w:rFonts w:eastAsia="Times New Roman" w:cs="Times New Roman"/>
          <w:iCs/>
          <w:sz w:val="20"/>
          <w:szCs w:val="20"/>
          <w:lang w:val="fr-CA" w:eastAsia="en-CA"/>
        </w:rPr>
        <w:t>(la « FOIPA »)</w:t>
      </w:r>
      <w:r w:rsidRPr="00596C4C">
        <w:rPr>
          <w:rFonts w:eastAsia="Times New Roman" w:cs="Times New Roman"/>
          <w:sz w:val="20"/>
          <w:szCs w:val="20"/>
          <w:lang w:val="fr-CA" w:eastAsia="en-CA"/>
        </w:rPr>
        <w:t xml:space="preserve">, dont le libellé est semblable.  Le commissaire conclut que le délai apparenté de 90 jours prévu au par. 69(6) ne vise que l’achèvement de l’enquête, et non la prorogation du délai pour la mener à terme.  Son interprétation du par. 69(6) aborde successivement le texte de la disposition, son objet et l’expérience du commissaire au chapitre de la tenue d’enquêtes.  Elle satisfait également aux exigences de justification, de transparence et d’intelligibilité du processus décisionnel administratif.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On peut certes présumer que les motifs du commissaire interprétant le par. 69(6) de la FOIPA sont repris par la déléguée en l’espèce.  Le paragraphe 50(5) de la PIPA</w:t>
      </w:r>
      <w:r w:rsidRPr="00596C4C">
        <w:rPr>
          <w:rFonts w:eastAsia="Times New Roman" w:cs="Times New Roman"/>
          <w:i/>
          <w:iCs/>
          <w:sz w:val="20"/>
          <w:szCs w:val="20"/>
          <w:lang w:val="fr-CA" w:eastAsia="en-CA"/>
        </w:rPr>
        <w:t xml:space="preserve"> </w:t>
      </w:r>
      <w:r w:rsidRPr="00596C4C">
        <w:rPr>
          <w:rFonts w:eastAsia="Times New Roman" w:cs="Times New Roman"/>
          <w:iCs/>
          <w:sz w:val="20"/>
          <w:szCs w:val="20"/>
          <w:lang w:val="fr-CA" w:eastAsia="en-CA"/>
        </w:rPr>
        <w:t>et le</w:t>
      </w:r>
      <w:r w:rsidRPr="00596C4C">
        <w:rPr>
          <w:rFonts w:eastAsia="Times New Roman" w:cs="Times New Roman"/>
          <w:sz w:val="20"/>
          <w:szCs w:val="20"/>
          <w:lang w:val="fr-CA" w:eastAsia="en-CA"/>
        </w:rPr>
        <w:t xml:space="preserve"> par. 69(6) de la FOIPA s’appliquent aux enquêtes du commissaire, ils sont conçus de la même manière et leurs libellés sont presque identiques.  La déléguée pouvait légitimement appliquer au par. 50(5) de la PIPA l’interprétation du par. 69(6) de la FOIPA par le commissaire.</w:t>
      </w:r>
      <w:r w:rsidRPr="00596C4C">
        <w:rPr>
          <w:rFonts w:eastAsia="Times New Roman" w:cs="Times New Roman"/>
          <w:iCs/>
          <w:sz w:val="20"/>
          <w:szCs w:val="20"/>
          <w:lang w:val="fr-CA" w:eastAsia="en-CA"/>
        </w:rPr>
        <w:t xml:space="preserve">  </w:t>
      </w:r>
      <w:r w:rsidRPr="00596C4C">
        <w:rPr>
          <w:rFonts w:eastAsia="Times New Roman" w:cs="Times New Roman"/>
          <w:sz w:val="20"/>
          <w:szCs w:val="20"/>
          <w:lang w:val="fr-CA" w:eastAsia="en-CA"/>
        </w:rPr>
        <w:t xml:space="preserve">Pareille conclusion ne rend pas inutile l’obligation légale de donner un avis.  Aucun principe d’interprétation législative n’établit de présomption voulant que la prorogation doive intervenir avant l’expiration du délai de 90 jours seulement parce que le par. 50(5) ne précise pas la période pendant laquelle le délai peut être prorogé.  La distinction entre les dispositions législatives impératives et celles qui sont directives ne joue pas en l’espèce, car il ne s’agit pas d’un cas où le tribunal administratif a omis de se conformer à une prescription du législateur.  Par conséquent, la décision implicite de la déléguée avait une assise raisonnable. </w:t>
      </w:r>
    </w:p>
    <w:p w:rsidR="00596C4C" w:rsidRDefault="00596C4C" w:rsidP="00D83441">
      <w:pPr>
        <w:jc w:val="both"/>
        <w:rPr>
          <w:rFonts w:eastAsia="Times New Roman" w:cs="Times New Roman"/>
          <w:i/>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i/>
          <w:sz w:val="20"/>
          <w:szCs w:val="20"/>
          <w:lang w:val="fr-CA" w:eastAsia="en-CA"/>
        </w:rPr>
        <w:tab/>
        <w:t>Les</w:t>
      </w:r>
      <w:r w:rsidRPr="00596C4C">
        <w:rPr>
          <w:rFonts w:eastAsia="Times New Roman" w:cs="Times New Roman"/>
          <w:sz w:val="20"/>
          <w:szCs w:val="20"/>
          <w:lang w:val="fr-CA" w:eastAsia="en-CA"/>
        </w:rPr>
        <w:t xml:space="preserve"> juges </w:t>
      </w:r>
      <w:proofErr w:type="spellStart"/>
      <w:r w:rsidRPr="00596C4C">
        <w:rPr>
          <w:rFonts w:eastAsia="Times New Roman" w:cs="Times New Roman"/>
          <w:b/>
          <w:sz w:val="20"/>
          <w:szCs w:val="20"/>
          <w:lang w:val="fr-CA" w:eastAsia="en-CA"/>
        </w:rPr>
        <w:t>Binnie</w:t>
      </w:r>
      <w:proofErr w:type="spellEnd"/>
      <w:r w:rsidRPr="00596C4C">
        <w:rPr>
          <w:rFonts w:eastAsia="Times New Roman" w:cs="Times New Roman"/>
          <w:b/>
          <w:sz w:val="20"/>
          <w:szCs w:val="20"/>
          <w:lang w:val="fr-CA" w:eastAsia="en-CA"/>
        </w:rPr>
        <w:t xml:space="preserve"> </w:t>
      </w:r>
      <w:r w:rsidRPr="00596C4C">
        <w:rPr>
          <w:rFonts w:eastAsia="Times New Roman" w:cs="Times New Roman"/>
          <w:sz w:val="20"/>
          <w:szCs w:val="20"/>
          <w:lang w:val="fr-CA" w:eastAsia="en-CA"/>
        </w:rPr>
        <w:t xml:space="preserve">et Deschamps: Le juge Cromwell a raison d’affirmer que la notion de compétence est fondamentale dans le contrôle judiciaire des décisions des tribunaux administratifs et pour la primauté du droit.  Les tribunaux administratifs exercent leurs fonctions dans le cadre juridique que dicte la Constitution et que délimitent leurs </w:t>
      </w:r>
      <w:r w:rsidRPr="00596C4C">
        <w:rPr>
          <w:rFonts w:eastAsia="Times New Roman" w:cs="Times New Roman"/>
          <w:sz w:val="20"/>
          <w:szCs w:val="20"/>
          <w:lang w:val="fr-CA" w:eastAsia="en-CA"/>
        </w:rPr>
        <w:lastRenderedPageBreak/>
        <w:t xml:space="preserve">mandats légaux respectifs, et ce sont les cours de justice qui déterminent la portée de ces mandats.  Par contre, la notion de « question touchant véritablement à la compétence » ne se révèle pas utile au quotidien pour déterminer concrètement si une cour de justice est admise ou non à s’immiscer dans une décision administrative donnée.    </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La démarche nuancée de la Cour dans l’arrêt </w:t>
      </w:r>
      <w:r w:rsidRPr="00596C4C">
        <w:rPr>
          <w:rFonts w:eastAsia="Times New Roman" w:cs="Times New Roman"/>
          <w:i/>
          <w:sz w:val="20"/>
          <w:szCs w:val="20"/>
          <w:lang w:val="fr-CA" w:eastAsia="en-CA"/>
        </w:rPr>
        <w:t>Canada</w:t>
      </w:r>
      <w:r w:rsidRPr="00596C4C">
        <w:rPr>
          <w:rFonts w:eastAsia="Times New Roman" w:cs="Times New Roman"/>
          <w:sz w:val="20"/>
          <w:szCs w:val="20"/>
          <w:lang w:val="fr-CA" w:eastAsia="en-CA"/>
        </w:rPr>
        <w:t xml:space="preserve"> (</w:t>
      </w:r>
      <w:r w:rsidRPr="00596C4C">
        <w:rPr>
          <w:rFonts w:eastAsia="Times New Roman" w:cs="Times New Roman"/>
          <w:i/>
          <w:iCs/>
          <w:sz w:val="20"/>
          <w:szCs w:val="20"/>
          <w:lang w:val="fr-CA" w:eastAsia="en-CA"/>
        </w:rPr>
        <w:t>Commission canadienne des droits de la personne</w:t>
      </w:r>
      <w:r w:rsidRPr="00596C4C">
        <w:rPr>
          <w:rFonts w:eastAsia="Times New Roman" w:cs="Times New Roman"/>
          <w:iCs/>
          <w:sz w:val="20"/>
          <w:szCs w:val="20"/>
          <w:lang w:val="fr-CA" w:eastAsia="en-CA"/>
        </w:rPr>
        <w:t>)</w:t>
      </w:r>
      <w:r w:rsidRPr="00596C4C">
        <w:rPr>
          <w:rFonts w:eastAsia="Times New Roman" w:cs="Times New Roman"/>
          <w:i/>
          <w:iCs/>
          <w:sz w:val="20"/>
          <w:szCs w:val="20"/>
          <w:lang w:val="fr-CA" w:eastAsia="en-CA"/>
        </w:rPr>
        <w:t xml:space="preserve"> c. Canada</w:t>
      </w:r>
      <w:r w:rsidRPr="00596C4C">
        <w:rPr>
          <w:rFonts w:eastAsia="Times New Roman" w:cs="Times New Roman"/>
          <w:iCs/>
          <w:sz w:val="20"/>
          <w:szCs w:val="20"/>
          <w:lang w:val="fr-CA" w:eastAsia="en-CA"/>
        </w:rPr>
        <w:t xml:space="preserve"> (</w:t>
      </w:r>
      <w:r w:rsidRPr="00596C4C">
        <w:rPr>
          <w:rFonts w:eastAsia="Times New Roman" w:cs="Times New Roman"/>
          <w:i/>
          <w:iCs/>
          <w:sz w:val="20"/>
          <w:szCs w:val="20"/>
          <w:lang w:val="fr-CA" w:eastAsia="en-CA"/>
        </w:rPr>
        <w:t>Procureur général</w:t>
      </w:r>
      <w:r w:rsidRPr="00596C4C">
        <w:rPr>
          <w:rFonts w:eastAsia="Times New Roman" w:cs="Times New Roman"/>
          <w:iCs/>
          <w:sz w:val="20"/>
          <w:szCs w:val="20"/>
          <w:lang w:val="fr-CA" w:eastAsia="en-CA"/>
        </w:rPr>
        <w:t xml:space="preserve">), 2011 CSC 53, </w:t>
      </w:r>
      <w:r w:rsidRPr="00596C4C">
        <w:rPr>
          <w:rFonts w:eastAsia="Times New Roman" w:cs="Times New Roman"/>
          <w:sz w:val="20"/>
          <w:szCs w:val="20"/>
          <w:lang w:val="fr-CA" w:eastAsia="en-CA"/>
        </w:rPr>
        <w:t>selon laquelle lorsqu’il s’agit d’interpréter et d’appliquer sa propre loi, dans son domaine d’expertise et sans que soit soulevée une question de droit générale, la norme de la décision raisonnable s’applique habituellement, constitue un compromis entre les points de vue qui s’opposent en l’espèce.  Une « question de droit générale » s’entend d’une question dont le règlement n’importe pas seulement pour le régime législatif considéré.  La « </w:t>
      </w:r>
      <w:proofErr w:type="spellStart"/>
      <w:r w:rsidRPr="00596C4C">
        <w:rPr>
          <w:rFonts w:eastAsia="Times New Roman" w:cs="Times New Roman"/>
          <w:sz w:val="20"/>
          <w:szCs w:val="20"/>
          <w:lang w:val="fr-CA" w:eastAsia="en-CA"/>
        </w:rPr>
        <w:t>raisonnabilité</w:t>
      </w:r>
      <w:proofErr w:type="spellEnd"/>
      <w:r w:rsidRPr="00596C4C">
        <w:rPr>
          <w:rFonts w:eastAsia="Times New Roman" w:cs="Times New Roman"/>
          <w:sz w:val="20"/>
          <w:szCs w:val="20"/>
          <w:lang w:val="fr-CA" w:eastAsia="en-CA"/>
        </w:rPr>
        <w:t> » est une notion générale d’apparence trompeusement simple qui confère à la juridiction de révision le pouvoir discrétionnaire étendu de choisir entre divers degrés d’examen, allant de celui relativement intense à celui qui l’est moins.  Les juges saisis de demandes de contrôle judiciaire ont déjà suffisamment à faire pour déterminer l’intensité de l’examen nécessaire sans qu’on leur demande en plus de rechercher un élément insaisissable susceptible d’être qualifié de question touchant véritablement à la compétence.</w:t>
      </w:r>
    </w:p>
    <w:p w:rsidR="00596C4C" w:rsidRDefault="00596C4C" w:rsidP="00D83441">
      <w:pPr>
        <w:jc w:val="both"/>
        <w:rPr>
          <w:rFonts w:eastAsia="Times New Roman" w:cs="Times New Roman"/>
          <w:sz w:val="20"/>
          <w:szCs w:val="20"/>
          <w:lang w:val="fr-CA" w:eastAsia="en-CA"/>
        </w:rPr>
      </w:pPr>
    </w:p>
    <w:p w:rsidR="00596C4C" w:rsidRPr="00596C4C" w:rsidRDefault="00596C4C" w:rsidP="00D83441">
      <w:pPr>
        <w:jc w:val="both"/>
        <w:rPr>
          <w:rFonts w:eastAsia="Times New Roman" w:cs="Times New Roman"/>
          <w:sz w:val="20"/>
          <w:szCs w:val="20"/>
          <w:lang w:val="fr-CA" w:eastAsia="en-CA"/>
        </w:rPr>
      </w:pPr>
      <w:r w:rsidRPr="00596C4C">
        <w:rPr>
          <w:rFonts w:eastAsia="Times New Roman" w:cs="Times New Roman"/>
          <w:sz w:val="20"/>
          <w:szCs w:val="20"/>
          <w:lang w:val="fr-CA" w:eastAsia="en-CA"/>
        </w:rPr>
        <w:tab/>
        <w:t xml:space="preserve">En revanche, la création par le juge </w:t>
      </w:r>
      <w:proofErr w:type="spellStart"/>
      <w:r w:rsidRPr="00596C4C">
        <w:rPr>
          <w:rFonts w:eastAsia="Times New Roman" w:cs="Times New Roman"/>
          <w:sz w:val="20"/>
          <w:szCs w:val="20"/>
          <w:lang w:val="fr-CA" w:eastAsia="en-CA"/>
        </w:rPr>
        <w:t>Rothstein</w:t>
      </w:r>
      <w:proofErr w:type="spellEnd"/>
      <w:r w:rsidRPr="00596C4C">
        <w:rPr>
          <w:rFonts w:eastAsia="Times New Roman" w:cs="Times New Roman"/>
          <w:sz w:val="20"/>
          <w:szCs w:val="20"/>
          <w:lang w:val="fr-CA" w:eastAsia="en-CA"/>
        </w:rPr>
        <w:t xml:space="preserve"> d’une présomption fondée sur des critères insuffisants ne fait qu’ajouter une étape à une analyse qui devrait être simple.  Suivant une démarche simplifiée, lorsque la décision visée par le contrôle judiciaire a trait à l’interprétation ou à l’application de la loi constitutive du tribunal administratif ou d’une loi connexe qui relève elle aussi essentiellement du mandat et de l’expertise du décideur, et qu’elle ne soulève pas de questions de droit générales, </w:t>
      </w:r>
      <w:proofErr w:type="spellStart"/>
      <w:r w:rsidRPr="00596C4C">
        <w:rPr>
          <w:rFonts w:eastAsia="Times New Roman" w:cs="Times New Roman"/>
          <w:sz w:val="20"/>
          <w:szCs w:val="20"/>
          <w:lang w:val="fr-CA" w:eastAsia="en-CA"/>
        </w:rPr>
        <w:t>au</w:t>
      </w:r>
      <w:r w:rsidRPr="00596C4C">
        <w:rPr>
          <w:rFonts w:eastAsia="Times New Roman" w:cs="Times New Roman"/>
          <w:sz w:val="20"/>
          <w:szCs w:val="20"/>
          <w:lang w:val="fr-CA" w:eastAsia="en-CA"/>
        </w:rPr>
        <w:noBreakHyphen/>
        <w:t>delà</w:t>
      </w:r>
      <w:proofErr w:type="spellEnd"/>
      <w:r w:rsidRPr="00596C4C">
        <w:rPr>
          <w:rFonts w:eastAsia="Times New Roman" w:cs="Times New Roman"/>
          <w:sz w:val="20"/>
          <w:szCs w:val="20"/>
          <w:lang w:val="fr-CA" w:eastAsia="en-CA"/>
        </w:rPr>
        <w:t xml:space="preserve"> du régime législatif en cause, la juridiction de révision devrait se montrer déférente suivant la norme de la décision raisonnable.  Sinon, il appartient à la cour de justice de statuer en dernier ressort sur les questions de droit. </w:t>
      </w:r>
    </w:p>
    <w:p w:rsidR="00596C4C" w:rsidRDefault="00596C4C" w:rsidP="00D83441">
      <w:pPr>
        <w:jc w:val="both"/>
        <w:rPr>
          <w:rFonts w:eastAsia="Times New Roman" w:cs="Times New Roman"/>
          <w:i/>
          <w:sz w:val="20"/>
          <w:szCs w:val="20"/>
          <w:lang w:val="fr-CA" w:eastAsia="en-CA"/>
        </w:rPr>
      </w:pPr>
    </w:p>
    <w:p w:rsidR="00E75C63" w:rsidRPr="00596C4C" w:rsidRDefault="00596C4C" w:rsidP="00D83441">
      <w:pPr>
        <w:jc w:val="both"/>
        <w:rPr>
          <w:rFonts w:cs="Times New Roman"/>
          <w:sz w:val="20"/>
          <w:szCs w:val="20"/>
          <w:lang w:val="fr-CA"/>
        </w:rPr>
      </w:pPr>
      <w:r w:rsidRPr="00596C4C">
        <w:rPr>
          <w:rFonts w:eastAsia="Times New Roman" w:cs="Times New Roman"/>
          <w:i/>
          <w:sz w:val="20"/>
          <w:szCs w:val="20"/>
          <w:lang w:val="fr-CA" w:eastAsia="en-CA"/>
        </w:rPr>
        <w:tab/>
        <w:t xml:space="preserve">Le </w:t>
      </w:r>
      <w:r w:rsidRPr="00596C4C">
        <w:rPr>
          <w:rFonts w:eastAsia="Times New Roman" w:cs="Times New Roman"/>
          <w:sz w:val="20"/>
          <w:szCs w:val="20"/>
          <w:lang w:val="fr-CA" w:eastAsia="en-CA"/>
        </w:rPr>
        <w:t xml:space="preserve">juge Cromwell : La norme de contrôle applicable en l’espèce est celle de la décision raisonnable.  Le pouvoir de prorogation est conféré au commissaire en termes généraux dans le contexte d’un régime législatif détaillé et très spécialisé qu’il lui incombe d’administrer et en application duquel il est appelé à exercer de nombreux pouvoirs discrétionnaires accordés de manière générale. Il convient de  rétablir la décision du commissaire concernant l’observation du délai et de renvoyer l’affaire au juge en cabinet pour qu’il statue sur les questions qui n’ont pas déjà été examinées et réglées lors du contrôle judiciaire.  Une cour de justice a l’obligation constitutionnelle de s’assurer que les actes de l’Administration n’outrepassent pas les limites de sa compétence, mais elle doit aussi tenir compte de l’intention du législateur lorsqu’elle détermine la norme de contrôle applicable.  L’analyse relative à la norme de contrôle délimite la légalité des actes du tribunal administratif et circonscrit la fonction de la cour de justice siégeant en révision.  Lorsque la jurisprudence existante ne détermine pas déjà de façon satisfaisante la norme de contrôle applicable à la décision, la cour de justice applique plusieurs considérations pertinentes.  Ces considérations lui permettent de déterminer quelle décision est susceptible de contrôle selon la norme de la décision correcte.  Élever au rang de présomption pour ainsi dire irréfutable l’énoncé général voulant que l’interprétation par un tribunal administratif de sa loi constitutive soulève rarement une question de compétence va beaucoup plus loin qu’affirmer que la déférence est habituellement de mise envers un tribunal administratif qui interprète sa loi constitutive.  L’emploi du mot « compétence » est inutile dans l’analyse relative à la norme de contrôle, mais les questions touchant véritablement à la compétence existent.  Une loi constitutive renferme des dispositions qui soulèvent des questions de droit sur lesquelles le législateur n’a pas voulu que le tribunal administratif ait le dernier mot.  Comme le confirme la jurisprudence récente de la Cour, suivant le droit constitutionnel ou l’intention du législateur, la décision du tribunal administratif sur certaines questions doit être correcte.  La présence du par. 50(5) de la PIPA dans la loi constitutive du commissaire ne soustrait pas la cour de justice siégeant en révision à son obligation de se pencher — par l’examen de la disposition et de toute autre considération pertinente — sur la thèse selon laquelle le législateur a voulu que le contrôle de l’interprétation de la disposition s’effectue selon la norme de la décision correcte.  </w:t>
      </w:r>
    </w:p>
    <w:p w:rsidR="00E75C63" w:rsidRPr="00596C4C" w:rsidRDefault="00E75C63" w:rsidP="00D83441">
      <w:pPr>
        <w:rPr>
          <w:rFonts w:cs="Times New Roman"/>
          <w:sz w:val="20"/>
          <w:szCs w:val="20"/>
          <w:lang w:val="fr-CA"/>
        </w:rPr>
      </w:pPr>
    </w:p>
    <w:p w:rsidR="00596C4C" w:rsidRPr="00596C4C" w:rsidRDefault="00596C4C" w:rsidP="00D83441">
      <w:pPr>
        <w:pStyle w:val="SCCNormalDoubleSpacing"/>
        <w:spacing w:line="240" w:lineRule="auto"/>
        <w:rPr>
          <w:sz w:val="20"/>
          <w:lang w:val="fr-CA"/>
        </w:rPr>
      </w:pPr>
      <w:r w:rsidRPr="00714798">
        <w:rPr>
          <w:sz w:val="20"/>
          <w:lang w:val="fr-CA"/>
        </w:rPr>
        <w:tab/>
      </w:r>
      <w:r w:rsidRPr="00596C4C">
        <w:rPr>
          <w:sz w:val="20"/>
          <w:lang w:val="fr-CA"/>
        </w:rPr>
        <w:t xml:space="preserve">POURVOI contre un arrêt de la Cour d’appel de l’Alberta (les juges </w:t>
      </w:r>
      <w:r w:rsidR="00DB7F13" w:rsidRPr="00596C4C">
        <w:rPr>
          <w:sz w:val="20"/>
        </w:rPr>
        <w:fldChar w:fldCharType="begin"/>
      </w:r>
      <w:r w:rsidRPr="00596C4C">
        <w:rPr>
          <w:sz w:val="20"/>
          <w:lang w:val="fr-CA"/>
        </w:rPr>
        <w:instrText xml:space="preserve"> SEQ CHAPTER \h \r 1</w:instrText>
      </w:r>
      <w:r w:rsidR="00DB7F13" w:rsidRPr="00596C4C">
        <w:rPr>
          <w:sz w:val="20"/>
        </w:rPr>
        <w:fldChar w:fldCharType="end"/>
      </w:r>
      <w:r w:rsidRPr="00596C4C">
        <w:rPr>
          <w:sz w:val="20"/>
          <w:lang w:val="fr-CA"/>
        </w:rPr>
        <w:t xml:space="preserve">Berger, Watson et </w:t>
      </w:r>
      <w:proofErr w:type="spellStart"/>
      <w:r w:rsidRPr="00596C4C">
        <w:rPr>
          <w:sz w:val="20"/>
          <w:lang w:val="fr-CA"/>
        </w:rPr>
        <w:t>Slatter</w:t>
      </w:r>
      <w:proofErr w:type="spellEnd"/>
      <w:r w:rsidRPr="00596C4C">
        <w:rPr>
          <w:sz w:val="20"/>
          <w:lang w:val="fr-CA"/>
        </w:rPr>
        <w:t xml:space="preserve">), </w:t>
      </w:r>
      <w:r w:rsidR="00DB7F13" w:rsidRPr="00596C4C">
        <w:rPr>
          <w:sz w:val="20"/>
        </w:rPr>
        <w:fldChar w:fldCharType="begin"/>
      </w:r>
      <w:r w:rsidRPr="00596C4C">
        <w:rPr>
          <w:sz w:val="20"/>
          <w:lang w:val="fr-CA"/>
        </w:rPr>
        <w:instrText xml:space="preserve"> SEQ CHAPTER \h \r 1</w:instrText>
      </w:r>
      <w:r w:rsidR="00DB7F13" w:rsidRPr="00596C4C">
        <w:rPr>
          <w:sz w:val="20"/>
        </w:rPr>
        <w:fldChar w:fldCharType="end"/>
      </w:r>
      <w:r w:rsidRPr="00596C4C">
        <w:rPr>
          <w:sz w:val="20"/>
          <w:lang w:val="fr-CA"/>
        </w:rPr>
        <w:t xml:space="preserve">2010 ABCA 26, 21 Alta. L.R. (5th) 30, 474 A.R. 169, 479 W.A.C. 169, 316 D.L.R. (4th) 117, [2010] 8 W.W.R. 457, 1 </w:t>
      </w:r>
      <w:proofErr w:type="spellStart"/>
      <w:r w:rsidRPr="00596C4C">
        <w:rPr>
          <w:sz w:val="20"/>
          <w:lang w:val="fr-CA"/>
        </w:rPr>
        <w:t>Admin</w:t>
      </w:r>
      <w:proofErr w:type="spellEnd"/>
      <w:r w:rsidRPr="00596C4C">
        <w:rPr>
          <w:sz w:val="20"/>
          <w:lang w:val="fr-CA"/>
        </w:rPr>
        <w:t xml:space="preserve">. L.R. (5th) 60, [2010] A.J. No. 51 (QL), 2010 </w:t>
      </w:r>
      <w:proofErr w:type="spellStart"/>
      <w:r w:rsidRPr="00596C4C">
        <w:rPr>
          <w:sz w:val="20"/>
          <w:lang w:val="fr-CA"/>
        </w:rPr>
        <w:t>CarswellAlta</w:t>
      </w:r>
      <w:proofErr w:type="spellEnd"/>
      <w:r w:rsidRPr="00596C4C">
        <w:rPr>
          <w:sz w:val="20"/>
          <w:lang w:val="fr-CA"/>
        </w:rPr>
        <w:t xml:space="preserve"> 94, qui a confirmé une décision du juge </w:t>
      </w:r>
      <w:r w:rsidR="00DB7F13" w:rsidRPr="00596C4C">
        <w:rPr>
          <w:sz w:val="20"/>
        </w:rPr>
        <w:fldChar w:fldCharType="begin"/>
      </w:r>
      <w:r w:rsidRPr="00596C4C">
        <w:rPr>
          <w:sz w:val="20"/>
          <w:lang w:val="fr-CA"/>
        </w:rPr>
        <w:instrText xml:space="preserve"> SEQ CHAPTER \h \r 1</w:instrText>
      </w:r>
      <w:r w:rsidR="00DB7F13" w:rsidRPr="00596C4C">
        <w:rPr>
          <w:sz w:val="20"/>
        </w:rPr>
        <w:fldChar w:fldCharType="end"/>
      </w:r>
      <w:r w:rsidRPr="00596C4C">
        <w:rPr>
          <w:sz w:val="20"/>
          <w:lang w:val="fr-CA"/>
        </w:rPr>
        <w:t xml:space="preserve">Marshall (2008), </w:t>
      </w:r>
      <w:r w:rsidR="00DB7F13" w:rsidRPr="00596C4C">
        <w:rPr>
          <w:sz w:val="20"/>
        </w:rPr>
        <w:fldChar w:fldCharType="begin"/>
      </w:r>
      <w:r w:rsidRPr="00596C4C">
        <w:rPr>
          <w:sz w:val="20"/>
          <w:lang w:val="fr-CA"/>
        </w:rPr>
        <w:instrText xml:space="preserve"> SEQ CHAPTER \h \r 1</w:instrText>
      </w:r>
      <w:r w:rsidR="00DB7F13" w:rsidRPr="00596C4C">
        <w:rPr>
          <w:sz w:val="20"/>
        </w:rPr>
        <w:fldChar w:fldCharType="end"/>
      </w:r>
      <w:r w:rsidRPr="00596C4C">
        <w:rPr>
          <w:sz w:val="20"/>
          <w:lang w:val="fr-CA"/>
        </w:rPr>
        <w:t xml:space="preserve">21 Alta. L.R. (5th) 24, 1 </w:t>
      </w:r>
      <w:proofErr w:type="spellStart"/>
      <w:r w:rsidRPr="00596C4C">
        <w:rPr>
          <w:sz w:val="20"/>
          <w:lang w:val="fr-CA"/>
        </w:rPr>
        <w:t>Admin</w:t>
      </w:r>
      <w:proofErr w:type="spellEnd"/>
      <w:r w:rsidRPr="00596C4C">
        <w:rPr>
          <w:sz w:val="20"/>
          <w:lang w:val="fr-CA"/>
        </w:rPr>
        <w:t xml:space="preserve">. L.R. (5th) 85, [2008] A.J. No. 1592 (QL), 2008 </w:t>
      </w:r>
      <w:proofErr w:type="spellStart"/>
      <w:r w:rsidRPr="00596C4C">
        <w:rPr>
          <w:sz w:val="20"/>
          <w:lang w:val="fr-CA"/>
        </w:rPr>
        <w:t>CarswellAlta</w:t>
      </w:r>
      <w:proofErr w:type="spellEnd"/>
      <w:r w:rsidRPr="00596C4C">
        <w:rPr>
          <w:sz w:val="20"/>
          <w:lang w:val="fr-CA"/>
        </w:rPr>
        <w:t xml:space="preserve"> 2300.  Pourvoi </w:t>
      </w:r>
      <w:proofErr w:type="spellStart"/>
      <w:r w:rsidRPr="00596C4C">
        <w:rPr>
          <w:sz w:val="20"/>
          <w:lang w:val="fr-CA"/>
        </w:rPr>
        <w:t>accueillli</w:t>
      </w:r>
      <w:proofErr w:type="spellEnd"/>
      <w:r w:rsidRPr="00596C4C">
        <w:rPr>
          <w:sz w:val="20"/>
          <w:lang w:val="fr-CA"/>
        </w:rPr>
        <w:t>.</w:t>
      </w:r>
    </w:p>
    <w:p w:rsidR="00596C4C" w:rsidRDefault="00596C4C" w:rsidP="00D83441">
      <w:pPr>
        <w:pStyle w:val="SCCNormalDoubleSpacing"/>
        <w:spacing w:line="240" w:lineRule="auto"/>
        <w:rPr>
          <w:i/>
          <w:sz w:val="20"/>
          <w:lang w:val="fr-CA"/>
        </w:rPr>
      </w:pPr>
    </w:p>
    <w:p w:rsidR="00596C4C" w:rsidRPr="00596C4C" w:rsidRDefault="00596C4C" w:rsidP="00D83441">
      <w:pPr>
        <w:pStyle w:val="SCCNormalDoubleSpacing"/>
        <w:spacing w:line="240" w:lineRule="auto"/>
        <w:rPr>
          <w:sz w:val="20"/>
          <w:lang w:val="fr-CA"/>
        </w:rPr>
      </w:pPr>
      <w:r w:rsidRPr="00596C4C">
        <w:rPr>
          <w:i/>
          <w:sz w:val="20"/>
          <w:lang w:val="fr-CA"/>
        </w:rPr>
        <w:tab/>
        <w:t xml:space="preserve">Glenn </w:t>
      </w:r>
      <w:proofErr w:type="spellStart"/>
      <w:r w:rsidRPr="00596C4C">
        <w:rPr>
          <w:i/>
          <w:sz w:val="20"/>
          <w:lang w:val="fr-CA"/>
        </w:rPr>
        <w:t>Solomon</w:t>
      </w:r>
      <w:proofErr w:type="spellEnd"/>
      <w:r w:rsidRPr="00596C4C">
        <w:rPr>
          <w:sz w:val="20"/>
          <w:lang w:val="fr-CA"/>
        </w:rPr>
        <w:t xml:space="preserve">, </w:t>
      </w:r>
      <w:proofErr w:type="gramStart"/>
      <w:r w:rsidRPr="00596C4C">
        <w:rPr>
          <w:i/>
          <w:sz w:val="20"/>
          <w:lang w:val="fr-CA"/>
        </w:rPr>
        <w:t>c.r.</w:t>
      </w:r>
      <w:r w:rsidRPr="00596C4C">
        <w:rPr>
          <w:sz w:val="20"/>
          <w:lang w:val="fr-CA"/>
        </w:rPr>
        <w:t>,</w:t>
      </w:r>
      <w:proofErr w:type="gramEnd"/>
      <w:r w:rsidRPr="00596C4C">
        <w:rPr>
          <w:sz w:val="20"/>
          <w:lang w:val="fr-CA"/>
        </w:rPr>
        <w:t xml:space="preserve"> et </w:t>
      </w:r>
      <w:r w:rsidRPr="00596C4C">
        <w:rPr>
          <w:i/>
          <w:sz w:val="20"/>
          <w:lang w:val="fr-CA"/>
        </w:rPr>
        <w:t>Rob W. Armstrong</w:t>
      </w:r>
      <w:r w:rsidRPr="00596C4C">
        <w:rPr>
          <w:sz w:val="20"/>
          <w:lang w:val="fr-CA"/>
        </w:rPr>
        <w:t>, pour l’appelant.</w:t>
      </w:r>
    </w:p>
    <w:p w:rsidR="00596C4C" w:rsidRDefault="00596C4C" w:rsidP="00D83441">
      <w:pPr>
        <w:pStyle w:val="SCCNormalDoubleSpacing"/>
        <w:spacing w:line="240" w:lineRule="auto"/>
        <w:rPr>
          <w:i/>
          <w:sz w:val="20"/>
          <w:lang w:val="fr-CA"/>
        </w:rPr>
      </w:pPr>
    </w:p>
    <w:p w:rsidR="00596C4C" w:rsidRPr="00596C4C" w:rsidRDefault="00596C4C" w:rsidP="00D83441">
      <w:pPr>
        <w:pStyle w:val="SCCNormalDoubleSpacing"/>
        <w:spacing w:line="240" w:lineRule="auto"/>
        <w:rPr>
          <w:sz w:val="20"/>
          <w:lang w:val="fr-CA"/>
        </w:rPr>
      </w:pPr>
      <w:r w:rsidRPr="00596C4C">
        <w:rPr>
          <w:i/>
          <w:sz w:val="20"/>
          <w:lang w:val="fr-CA"/>
        </w:rPr>
        <w:tab/>
        <w:t>Sandra M. Anderson</w:t>
      </w:r>
      <w:r w:rsidRPr="00596C4C">
        <w:rPr>
          <w:sz w:val="20"/>
          <w:lang w:val="fr-CA"/>
        </w:rPr>
        <w:t xml:space="preserve"> et </w:t>
      </w:r>
      <w:r w:rsidRPr="00596C4C">
        <w:rPr>
          <w:i/>
          <w:sz w:val="20"/>
          <w:lang w:val="fr-CA"/>
        </w:rPr>
        <w:t>Anne L. G. Côté</w:t>
      </w:r>
      <w:r w:rsidRPr="00596C4C">
        <w:rPr>
          <w:sz w:val="20"/>
          <w:lang w:val="fr-CA"/>
        </w:rPr>
        <w:t>, pour l’intimée.</w:t>
      </w:r>
    </w:p>
    <w:p w:rsidR="00596C4C" w:rsidRDefault="00596C4C" w:rsidP="00D83441">
      <w:pPr>
        <w:pStyle w:val="SCCNormalDoubleSpacing"/>
        <w:spacing w:line="240" w:lineRule="auto"/>
        <w:ind w:left="720" w:hanging="720"/>
        <w:rPr>
          <w:i/>
          <w:sz w:val="20"/>
          <w:lang w:val="fr-CA"/>
        </w:rPr>
      </w:pPr>
    </w:p>
    <w:p w:rsidR="00596C4C" w:rsidRPr="00596C4C" w:rsidRDefault="00596C4C" w:rsidP="00D83441">
      <w:pPr>
        <w:pStyle w:val="SCCNormalDoubleSpacing"/>
        <w:spacing w:line="240" w:lineRule="auto"/>
        <w:ind w:left="720" w:hanging="720"/>
        <w:rPr>
          <w:sz w:val="20"/>
          <w:lang w:val="fr-CA"/>
        </w:rPr>
      </w:pPr>
      <w:r w:rsidRPr="00596C4C">
        <w:rPr>
          <w:i/>
          <w:sz w:val="20"/>
          <w:lang w:val="fr-CA"/>
        </w:rPr>
        <w:tab/>
        <w:t xml:space="preserve">Argumentation écrite seulement par David </w:t>
      </w:r>
      <w:proofErr w:type="spellStart"/>
      <w:r w:rsidRPr="00596C4C">
        <w:rPr>
          <w:i/>
          <w:sz w:val="20"/>
          <w:lang w:val="fr-CA"/>
        </w:rPr>
        <w:t>Loukidelis</w:t>
      </w:r>
      <w:proofErr w:type="spellEnd"/>
      <w:r w:rsidRPr="00596C4C">
        <w:rPr>
          <w:i/>
          <w:sz w:val="20"/>
          <w:lang w:val="fr-CA"/>
        </w:rPr>
        <w:t>, c.r., Veronica Jackson et</w:t>
      </w:r>
      <w:r w:rsidRPr="00596C4C">
        <w:rPr>
          <w:sz w:val="20"/>
          <w:lang w:val="fr-CA"/>
        </w:rPr>
        <w:t xml:space="preserve"> </w:t>
      </w:r>
      <w:proofErr w:type="spellStart"/>
      <w:r w:rsidRPr="00596C4C">
        <w:rPr>
          <w:i/>
          <w:sz w:val="20"/>
          <w:lang w:val="fr-CA"/>
        </w:rPr>
        <w:t>Deanna</w:t>
      </w:r>
      <w:proofErr w:type="spellEnd"/>
      <w:r w:rsidRPr="00596C4C">
        <w:rPr>
          <w:i/>
          <w:sz w:val="20"/>
          <w:lang w:val="fr-CA"/>
        </w:rPr>
        <w:t xml:space="preserve"> </w:t>
      </w:r>
      <w:proofErr w:type="spellStart"/>
      <w:r w:rsidRPr="00596C4C">
        <w:rPr>
          <w:i/>
          <w:sz w:val="20"/>
          <w:lang w:val="fr-CA"/>
        </w:rPr>
        <w:t>Billo</w:t>
      </w:r>
      <w:proofErr w:type="spellEnd"/>
      <w:r w:rsidRPr="00596C4C">
        <w:rPr>
          <w:sz w:val="20"/>
          <w:lang w:val="fr-CA"/>
        </w:rPr>
        <w:t xml:space="preserve">, pour l’intervenant le procureur général de la </w:t>
      </w:r>
      <w:proofErr w:type="spellStart"/>
      <w:r w:rsidRPr="00596C4C">
        <w:rPr>
          <w:sz w:val="20"/>
          <w:lang w:val="fr-CA"/>
        </w:rPr>
        <w:t>Colombie</w:t>
      </w:r>
      <w:r w:rsidRPr="00596C4C">
        <w:rPr>
          <w:sz w:val="20"/>
          <w:lang w:val="fr-CA"/>
        </w:rPr>
        <w:noBreakHyphen/>
        <w:t>Britannique</w:t>
      </w:r>
      <w:proofErr w:type="spellEnd"/>
      <w:r w:rsidRPr="00596C4C">
        <w:rPr>
          <w:sz w:val="20"/>
          <w:lang w:val="fr-CA"/>
        </w:rPr>
        <w:t>.</w:t>
      </w:r>
    </w:p>
    <w:p w:rsidR="00596C4C" w:rsidRDefault="00596C4C" w:rsidP="00D83441">
      <w:pPr>
        <w:pStyle w:val="SCCNormalDoubleSpacing"/>
        <w:spacing w:line="240" w:lineRule="auto"/>
        <w:ind w:left="720" w:hanging="720"/>
        <w:rPr>
          <w:i/>
          <w:sz w:val="20"/>
          <w:lang w:val="fr-CA"/>
        </w:rPr>
      </w:pPr>
    </w:p>
    <w:p w:rsidR="00596C4C" w:rsidRPr="00596C4C" w:rsidRDefault="00596C4C" w:rsidP="00D83441">
      <w:pPr>
        <w:pStyle w:val="SCCNormalDoubleSpacing"/>
        <w:spacing w:line="240" w:lineRule="auto"/>
        <w:ind w:left="720" w:hanging="720"/>
        <w:rPr>
          <w:sz w:val="20"/>
          <w:lang w:val="fr-CA"/>
        </w:rPr>
      </w:pPr>
      <w:r w:rsidRPr="00596C4C">
        <w:rPr>
          <w:i/>
          <w:sz w:val="20"/>
          <w:lang w:val="fr-CA"/>
        </w:rPr>
        <w:tab/>
        <w:t xml:space="preserve">Argumentation écrite seulement par Murray </w:t>
      </w:r>
      <w:proofErr w:type="spellStart"/>
      <w:r w:rsidRPr="00596C4C">
        <w:rPr>
          <w:i/>
          <w:sz w:val="20"/>
          <w:lang w:val="fr-CA"/>
        </w:rPr>
        <w:t>Rankin</w:t>
      </w:r>
      <w:proofErr w:type="spellEnd"/>
      <w:r w:rsidRPr="00596C4C">
        <w:rPr>
          <w:i/>
          <w:sz w:val="20"/>
          <w:lang w:val="fr-CA"/>
        </w:rPr>
        <w:t xml:space="preserve">, </w:t>
      </w:r>
      <w:proofErr w:type="gramStart"/>
      <w:r w:rsidRPr="00596C4C">
        <w:rPr>
          <w:i/>
          <w:sz w:val="20"/>
          <w:lang w:val="fr-CA"/>
        </w:rPr>
        <w:t>c.r.,</w:t>
      </w:r>
      <w:proofErr w:type="gramEnd"/>
      <w:r w:rsidRPr="00596C4C">
        <w:rPr>
          <w:sz w:val="20"/>
          <w:lang w:val="fr-CA"/>
        </w:rPr>
        <w:t xml:space="preserve"> et </w:t>
      </w:r>
      <w:proofErr w:type="spellStart"/>
      <w:r w:rsidRPr="00596C4C">
        <w:rPr>
          <w:i/>
          <w:sz w:val="20"/>
          <w:lang w:val="fr-CA"/>
        </w:rPr>
        <w:t>Nitya</w:t>
      </w:r>
      <w:proofErr w:type="spellEnd"/>
      <w:r w:rsidRPr="00596C4C">
        <w:rPr>
          <w:i/>
          <w:sz w:val="20"/>
          <w:lang w:val="fr-CA"/>
        </w:rPr>
        <w:t xml:space="preserve"> </w:t>
      </w:r>
      <w:proofErr w:type="spellStart"/>
      <w:r w:rsidRPr="00596C4C">
        <w:rPr>
          <w:i/>
          <w:sz w:val="20"/>
          <w:lang w:val="fr-CA"/>
        </w:rPr>
        <w:t>Iyer</w:t>
      </w:r>
      <w:proofErr w:type="spellEnd"/>
      <w:r w:rsidRPr="00596C4C">
        <w:rPr>
          <w:sz w:val="20"/>
          <w:lang w:val="fr-CA"/>
        </w:rPr>
        <w:t xml:space="preserve">, pour l’intervenant Information and </w:t>
      </w:r>
      <w:proofErr w:type="spellStart"/>
      <w:r w:rsidRPr="00596C4C">
        <w:rPr>
          <w:sz w:val="20"/>
          <w:lang w:val="fr-CA"/>
        </w:rPr>
        <w:t>Privacy</w:t>
      </w:r>
      <w:proofErr w:type="spellEnd"/>
      <w:r w:rsidRPr="00596C4C">
        <w:rPr>
          <w:sz w:val="20"/>
          <w:lang w:val="fr-CA"/>
        </w:rPr>
        <w:t xml:space="preserve"> </w:t>
      </w:r>
      <w:proofErr w:type="spellStart"/>
      <w:r w:rsidRPr="00596C4C">
        <w:rPr>
          <w:sz w:val="20"/>
          <w:lang w:val="fr-CA"/>
        </w:rPr>
        <w:t>Commissioner</w:t>
      </w:r>
      <w:proofErr w:type="spellEnd"/>
      <w:r w:rsidRPr="00596C4C">
        <w:rPr>
          <w:sz w:val="20"/>
          <w:lang w:val="fr-CA"/>
        </w:rPr>
        <w:t xml:space="preserve"> of British Columbia.</w:t>
      </w:r>
    </w:p>
    <w:p w:rsidR="00596C4C" w:rsidRDefault="00596C4C" w:rsidP="00D83441">
      <w:pPr>
        <w:pStyle w:val="SCCNormalDoubleSpacing"/>
        <w:spacing w:line="240" w:lineRule="auto"/>
        <w:ind w:left="720" w:hanging="720"/>
        <w:rPr>
          <w:i/>
          <w:sz w:val="20"/>
          <w:lang w:val="fr-CA"/>
        </w:rPr>
      </w:pPr>
    </w:p>
    <w:p w:rsidR="00596C4C" w:rsidRPr="00714798" w:rsidRDefault="00596C4C" w:rsidP="00D83441">
      <w:pPr>
        <w:pStyle w:val="SCCNormalDoubleSpacing"/>
        <w:spacing w:line="240" w:lineRule="auto"/>
        <w:ind w:left="720" w:hanging="720"/>
        <w:rPr>
          <w:sz w:val="20"/>
          <w:lang w:val="fr-CA"/>
        </w:rPr>
      </w:pPr>
      <w:r w:rsidRPr="00596C4C">
        <w:rPr>
          <w:i/>
          <w:sz w:val="20"/>
          <w:lang w:val="fr-CA"/>
        </w:rPr>
        <w:tab/>
      </w:r>
      <w:r w:rsidRPr="00714798">
        <w:rPr>
          <w:i/>
          <w:sz w:val="20"/>
          <w:lang w:val="fr-CA"/>
        </w:rPr>
        <w:t xml:space="preserve">Brent B. </w:t>
      </w:r>
      <w:proofErr w:type="spellStart"/>
      <w:r w:rsidRPr="00714798">
        <w:rPr>
          <w:i/>
          <w:sz w:val="20"/>
          <w:lang w:val="fr-CA"/>
        </w:rPr>
        <w:t>Olthuis</w:t>
      </w:r>
      <w:proofErr w:type="spellEnd"/>
      <w:r w:rsidRPr="00714798">
        <w:rPr>
          <w:sz w:val="20"/>
          <w:lang w:val="fr-CA"/>
        </w:rPr>
        <w:t xml:space="preserve"> et </w:t>
      </w:r>
      <w:r w:rsidRPr="00714798">
        <w:rPr>
          <w:i/>
          <w:sz w:val="20"/>
          <w:lang w:val="fr-CA"/>
        </w:rPr>
        <w:t xml:space="preserve">Tam C. </w:t>
      </w:r>
      <w:proofErr w:type="spellStart"/>
      <w:r w:rsidRPr="00714798">
        <w:rPr>
          <w:i/>
          <w:sz w:val="20"/>
          <w:lang w:val="fr-CA"/>
        </w:rPr>
        <w:t>Boyar</w:t>
      </w:r>
      <w:proofErr w:type="spellEnd"/>
      <w:r w:rsidRPr="00714798">
        <w:rPr>
          <w:sz w:val="20"/>
          <w:lang w:val="fr-CA"/>
        </w:rPr>
        <w:t xml:space="preserve">, pour l’intervenante B.C. </w:t>
      </w:r>
      <w:proofErr w:type="spellStart"/>
      <w:r w:rsidRPr="00714798">
        <w:rPr>
          <w:sz w:val="20"/>
          <w:lang w:val="fr-CA"/>
        </w:rPr>
        <w:t>Freedom</w:t>
      </w:r>
      <w:proofErr w:type="spellEnd"/>
      <w:r w:rsidRPr="00714798">
        <w:rPr>
          <w:sz w:val="20"/>
          <w:lang w:val="fr-CA"/>
        </w:rPr>
        <w:t xml:space="preserve"> of Information and </w:t>
      </w:r>
      <w:proofErr w:type="spellStart"/>
      <w:r w:rsidRPr="00714798">
        <w:rPr>
          <w:sz w:val="20"/>
          <w:lang w:val="fr-CA"/>
        </w:rPr>
        <w:t>Privacy</w:t>
      </w:r>
      <w:proofErr w:type="spellEnd"/>
      <w:r w:rsidRPr="00714798">
        <w:rPr>
          <w:sz w:val="20"/>
          <w:lang w:val="fr-CA"/>
        </w:rPr>
        <w:t xml:space="preserve"> Association.</w:t>
      </w:r>
    </w:p>
    <w:p w:rsidR="00596C4C" w:rsidRPr="00714798" w:rsidRDefault="00596C4C" w:rsidP="00D83441">
      <w:pPr>
        <w:pStyle w:val="SCCLawFirm"/>
        <w:spacing w:line="240" w:lineRule="auto"/>
        <w:ind w:left="720" w:hanging="720"/>
        <w:rPr>
          <w:sz w:val="20"/>
          <w:lang w:val="fr-CA"/>
        </w:rPr>
      </w:pPr>
    </w:p>
    <w:p w:rsidR="00596C4C" w:rsidRPr="00596C4C" w:rsidRDefault="00596C4C" w:rsidP="00D83441">
      <w:pPr>
        <w:pStyle w:val="SCCLawFirm"/>
        <w:spacing w:line="240" w:lineRule="auto"/>
        <w:ind w:left="720" w:hanging="720"/>
        <w:rPr>
          <w:sz w:val="20"/>
          <w:lang w:val="fr-CA"/>
        </w:rPr>
      </w:pPr>
      <w:r w:rsidRPr="00714798">
        <w:rPr>
          <w:sz w:val="20"/>
          <w:lang w:val="fr-CA"/>
        </w:rPr>
        <w:tab/>
      </w:r>
      <w:r w:rsidRPr="00596C4C">
        <w:rPr>
          <w:sz w:val="20"/>
          <w:lang w:val="fr-CA"/>
        </w:rPr>
        <w:t xml:space="preserve">Procureurs de l’appelant : Jensen </w:t>
      </w:r>
      <w:proofErr w:type="spellStart"/>
      <w:r w:rsidRPr="00596C4C">
        <w:rPr>
          <w:sz w:val="20"/>
          <w:lang w:val="fr-CA"/>
        </w:rPr>
        <w:t>Shawa</w:t>
      </w:r>
      <w:proofErr w:type="spellEnd"/>
      <w:r w:rsidRPr="00596C4C">
        <w:rPr>
          <w:sz w:val="20"/>
          <w:lang w:val="fr-CA"/>
        </w:rPr>
        <w:t xml:space="preserve"> </w:t>
      </w:r>
      <w:proofErr w:type="spellStart"/>
      <w:r w:rsidRPr="00596C4C">
        <w:rPr>
          <w:sz w:val="20"/>
          <w:lang w:val="fr-CA"/>
        </w:rPr>
        <w:t>Solomon</w:t>
      </w:r>
      <w:proofErr w:type="spellEnd"/>
      <w:r w:rsidRPr="00596C4C">
        <w:rPr>
          <w:sz w:val="20"/>
          <w:lang w:val="fr-CA"/>
        </w:rPr>
        <w:t xml:space="preserve"> </w:t>
      </w:r>
      <w:proofErr w:type="spellStart"/>
      <w:r w:rsidRPr="00596C4C">
        <w:rPr>
          <w:sz w:val="20"/>
          <w:lang w:val="fr-CA"/>
        </w:rPr>
        <w:t>Duguid</w:t>
      </w:r>
      <w:proofErr w:type="spellEnd"/>
      <w:r w:rsidRPr="00596C4C">
        <w:rPr>
          <w:sz w:val="20"/>
          <w:lang w:val="fr-CA"/>
        </w:rPr>
        <w:t xml:space="preserve"> Hawkes, Calgary.</w:t>
      </w:r>
    </w:p>
    <w:p w:rsidR="00596C4C" w:rsidRDefault="00596C4C" w:rsidP="00D83441">
      <w:pPr>
        <w:pStyle w:val="SCCLawFirm"/>
        <w:spacing w:line="240" w:lineRule="auto"/>
        <w:ind w:left="720" w:hanging="720"/>
        <w:rPr>
          <w:sz w:val="20"/>
          <w:lang w:val="fr-CA"/>
        </w:rPr>
      </w:pPr>
    </w:p>
    <w:p w:rsidR="00596C4C" w:rsidRPr="00596C4C" w:rsidRDefault="00596C4C" w:rsidP="00D83441">
      <w:pPr>
        <w:pStyle w:val="SCCLawFirm"/>
        <w:spacing w:line="240" w:lineRule="auto"/>
        <w:ind w:left="720" w:hanging="720"/>
        <w:rPr>
          <w:sz w:val="20"/>
          <w:lang w:val="fr-CA"/>
        </w:rPr>
      </w:pPr>
      <w:r w:rsidRPr="00596C4C">
        <w:rPr>
          <w:sz w:val="20"/>
          <w:lang w:val="fr-CA"/>
        </w:rPr>
        <w:tab/>
        <w:t>Procureurs de l’intimée : Field, Edmonton.</w:t>
      </w:r>
    </w:p>
    <w:p w:rsidR="00596C4C" w:rsidRDefault="00596C4C" w:rsidP="00D83441">
      <w:pPr>
        <w:pStyle w:val="SCCLawFirm"/>
        <w:spacing w:line="240" w:lineRule="auto"/>
        <w:ind w:left="720" w:hanging="720"/>
        <w:rPr>
          <w:sz w:val="20"/>
          <w:lang w:val="fr-CA"/>
        </w:rPr>
      </w:pPr>
    </w:p>
    <w:p w:rsidR="00596C4C" w:rsidRPr="00596C4C" w:rsidRDefault="00596C4C" w:rsidP="00D83441">
      <w:pPr>
        <w:pStyle w:val="SCCLawFirm"/>
        <w:spacing w:line="240" w:lineRule="auto"/>
        <w:ind w:left="720" w:hanging="720"/>
        <w:rPr>
          <w:sz w:val="20"/>
          <w:lang w:val="fr-CA"/>
        </w:rPr>
      </w:pPr>
      <w:r w:rsidRPr="00596C4C">
        <w:rPr>
          <w:sz w:val="20"/>
          <w:lang w:val="fr-CA"/>
        </w:rPr>
        <w:tab/>
        <w:t xml:space="preserve">Procureur de l’intervenant le procureur général de la </w:t>
      </w:r>
      <w:proofErr w:type="spellStart"/>
      <w:r w:rsidRPr="00596C4C">
        <w:rPr>
          <w:sz w:val="20"/>
          <w:lang w:val="fr-CA"/>
        </w:rPr>
        <w:t>Colombie</w:t>
      </w:r>
      <w:r w:rsidRPr="00596C4C">
        <w:rPr>
          <w:sz w:val="20"/>
          <w:lang w:val="fr-CA"/>
        </w:rPr>
        <w:noBreakHyphen/>
        <w:t>Britannique</w:t>
      </w:r>
      <w:proofErr w:type="spellEnd"/>
      <w:r w:rsidRPr="00596C4C">
        <w:rPr>
          <w:sz w:val="20"/>
          <w:lang w:val="fr-CA"/>
        </w:rPr>
        <w:t xml:space="preserve"> : Procureur général de la </w:t>
      </w:r>
      <w:proofErr w:type="spellStart"/>
      <w:r w:rsidRPr="00596C4C">
        <w:rPr>
          <w:sz w:val="20"/>
          <w:lang w:val="fr-CA"/>
        </w:rPr>
        <w:t>Colombie</w:t>
      </w:r>
      <w:r w:rsidRPr="00596C4C">
        <w:rPr>
          <w:sz w:val="20"/>
          <w:lang w:val="fr-CA"/>
        </w:rPr>
        <w:noBreakHyphen/>
        <w:t>Britannique</w:t>
      </w:r>
      <w:proofErr w:type="spellEnd"/>
      <w:r w:rsidRPr="00596C4C">
        <w:rPr>
          <w:sz w:val="20"/>
          <w:lang w:val="fr-CA"/>
        </w:rPr>
        <w:t>, Victoria.</w:t>
      </w:r>
    </w:p>
    <w:p w:rsidR="00596C4C" w:rsidRDefault="00596C4C" w:rsidP="00D83441">
      <w:pPr>
        <w:pStyle w:val="SCCLawFirm"/>
        <w:spacing w:line="240" w:lineRule="auto"/>
        <w:ind w:left="720" w:hanging="720"/>
        <w:rPr>
          <w:sz w:val="20"/>
          <w:lang w:val="fr-CA"/>
        </w:rPr>
      </w:pPr>
    </w:p>
    <w:p w:rsidR="00596C4C" w:rsidRPr="00714798" w:rsidRDefault="00596C4C" w:rsidP="00D83441">
      <w:pPr>
        <w:pStyle w:val="SCCLawFirm"/>
        <w:spacing w:line="240" w:lineRule="auto"/>
        <w:ind w:left="720" w:hanging="720"/>
        <w:rPr>
          <w:sz w:val="20"/>
          <w:lang w:val="fr-CA"/>
        </w:rPr>
      </w:pPr>
      <w:r w:rsidRPr="00596C4C">
        <w:rPr>
          <w:sz w:val="20"/>
          <w:lang w:val="fr-CA"/>
        </w:rPr>
        <w:tab/>
      </w:r>
      <w:r w:rsidRPr="00714798">
        <w:rPr>
          <w:sz w:val="20"/>
          <w:lang w:val="fr-CA"/>
        </w:rPr>
        <w:t xml:space="preserve">Procureurs de l’intervenant Information and </w:t>
      </w:r>
      <w:proofErr w:type="spellStart"/>
      <w:r w:rsidRPr="00714798">
        <w:rPr>
          <w:sz w:val="20"/>
          <w:lang w:val="fr-CA"/>
        </w:rPr>
        <w:t>Privacy</w:t>
      </w:r>
      <w:proofErr w:type="spellEnd"/>
      <w:r w:rsidRPr="00714798">
        <w:rPr>
          <w:sz w:val="20"/>
          <w:lang w:val="fr-CA"/>
        </w:rPr>
        <w:t xml:space="preserve"> </w:t>
      </w:r>
      <w:proofErr w:type="spellStart"/>
      <w:r w:rsidRPr="00714798">
        <w:rPr>
          <w:sz w:val="20"/>
          <w:lang w:val="fr-CA"/>
        </w:rPr>
        <w:t>Commissioner</w:t>
      </w:r>
      <w:proofErr w:type="spellEnd"/>
      <w:r w:rsidRPr="00714798">
        <w:rPr>
          <w:sz w:val="20"/>
          <w:lang w:val="fr-CA"/>
        </w:rPr>
        <w:t xml:space="preserve"> of British Columbia : </w:t>
      </w:r>
      <w:proofErr w:type="spellStart"/>
      <w:r w:rsidRPr="00714798">
        <w:rPr>
          <w:sz w:val="20"/>
          <w:lang w:val="fr-CA"/>
        </w:rPr>
        <w:t>Heenan</w:t>
      </w:r>
      <w:proofErr w:type="spellEnd"/>
      <w:r w:rsidRPr="00714798">
        <w:rPr>
          <w:sz w:val="20"/>
          <w:lang w:val="fr-CA"/>
        </w:rPr>
        <w:t xml:space="preserve"> </w:t>
      </w:r>
      <w:proofErr w:type="spellStart"/>
      <w:r w:rsidRPr="00714798">
        <w:rPr>
          <w:sz w:val="20"/>
          <w:lang w:val="fr-CA"/>
        </w:rPr>
        <w:t>Blaikie</w:t>
      </w:r>
      <w:proofErr w:type="spellEnd"/>
      <w:r w:rsidRPr="00714798">
        <w:rPr>
          <w:sz w:val="20"/>
          <w:lang w:val="fr-CA"/>
        </w:rPr>
        <w:t>, Vancouver.</w:t>
      </w:r>
    </w:p>
    <w:p w:rsidR="00596C4C" w:rsidRPr="00714798" w:rsidRDefault="00596C4C" w:rsidP="00D83441">
      <w:pPr>
        <w:ind w:left="720" w:hanging="720"/>
        <w:rPr>
          <w:sz w:val="20"/>
          <w:szCs w:val="20"/>
          <w:lang w:val="fr-CA"/>
        </w:rPr>
      </w:pPr>
    </w:p>
    <w:p w:rsidR="00E75C63" w:rsidRPr="00D83441" w:rsidRDefault="00596C4C" w:rsidP="00D83441">
      <w:pPr>
        <w:ind w:left="720" w:hanging="720"/>
        <w:rPr>
          <w:rFonts w:cs="Times New Roman"/>
          <w:i/>
          <w:sz w:val="20"/>
          <w:szCs w:val="20"/>
          <w:lang w:val="fr-CA"/>
        </w:rPr>
      </w:pPr>
      <w:r w:rsidRPr="00714798">
        <w:rPr>
          <w:sz w:val="20"/>
          <w:szCs w:val="20"/>
          <w:lang w:val="fr-CA"/>
        </w:rPr>
        <w:tab/>
      </w:r>
      <w:r w:rsidRPr="00D83441">
        <w:rPr>
          <w:i/>
          <w:sz w:val="20"/>
          <w:szCs w:val="20"/>
          <w:lang w:val="fr-CA"/>
        </w:rPr>
        <w:t xml:space="preserve">Procureurs de l’intervenante B.C. </w:t>
      </w:r>
      <w:proofErr w:type="spellStart"/>
      <w:r w:rsidRPr="00D83441">
        <w:rPr>
          <w:i/>
          <w:sz w:val="20"/>
          <w:szCs w:val="20"/>
          <w:lang w:val="fr-CA"/>
        </w:rPr>
        <w:t>Freedom</w:t>
      </w:r>
      <w:proofErr w:type="spellEnd"/>
      <w:r w:rsidRPr="00D83441">
        <w:rPr>
          <w:i/>
          <w:sz w:val="20"/>
          <w:szCs w:val="20"/>
          <w:lang w:val="fr-CA"/>
        </w:rPr>
        <w:t xml:space="preserve"> of Information and </w:t>
      </w:r>
      <w:proofErr w:type="spellStart"/>
      <w:r w:rsidRPr="00D83441">
        <w:rPr>
          <w:i/>
          <w:sz w:val="20"/>
          <w:szCs w:val="20"/>
          <w:lang w:val="fr-CA"/>
        </w:rPr>
        <w:t>Privacy</w:t>
      </w:r>
      <w:proofErr w:type="spellEnd"/>
      <w:r w:rsidRPr="00D83441">
        <w:rPr>
          <w:i/>
          <w:sz w:val="20"/>
          <w:szCs w:val="20"/>
          <w:lang w:val="fr-CA"/>
        </w:rPr>
        <w:t xml:space="preserve"> Association : Hunter </w:t>
      </w:r>
      <w:proofErr w:type="spellStart"/>
      <w:r w:rsidRPr="00D83441">
        <w:rPr>
          <w:i/>
          <w:sz w:val="20"/>
          <w:szCs w:val="20"/>
          <w:lang w:val="fr-CA"/>
        </w:rPr>
        <w:t>Litigation</w:t>
      </w:r>
      <w:proofErr w:type="spellEnd"/>
      <w:r w:rsidRPr="00D83441">
        <w:rPr>
          <w:i/>
          <w:sz w:val="20"/>
          <w:szCs w:val="20"/>
          <w:lang w:val="fr-CA"/>
        </w:rPr>
        <w:t xml:space="preserve"> Chambers Law Corporation, Vancouver.</w:t>
      </w:r>
    </w:p>
    <w:p w:rsidR="003B3977" w:rsidRDefault="003B3977" w:rsidP="005C6840">
      <w:pPr>
        <w:rPr>
          <w:rFonts w:cs="Times New Roman"/>
          <w:sz w:val="20"/>
          <w:szCs w:val="20"/>
          <w:lang w:val="fr-CA"/>
        </w:rPr>
      </w:pPr>
    </w:p>
    <w:p w:rsidR="005C6840" w:rsidRDefault="00DB7F13" w:rsidP="005C6840">
      <w:pPr>
        <w:rPr>
          <w:lang w:val="fr-CA"/>
        </w:rPr>
      </w:pPr>
      <w:r w:rsidRPr="00DB7F13">
        <w:rPr>
          <w:rFonts w:cs="Times New Roman"/>
          <w:sz w:val="20"/>
          <w:szCs w:val="20"/>
          <w:lang w:val="fr-CA"/>
        </w:rPr>
        <w:pict>
          <v:rect id="_x0000_i1081" style="width:144.3pt;height:1pt" o:hrpct="300" o:hralign="center" o:hrstd="t" o:hrnoshade="t" o:hr="t" fillcolor="black [3213]" stroked="f"/>
        </w:pict>
      </w:r>
      <w:r w:rsidR="005C6840">
        <w:rPr>
          <w:lang w:val="fr-CA"/>
        </w:rPr>
        <w:br w:type="page"/>
      </w:r>
    </w:p>
    <w:p w:rsidR="00392678" w:rsidRPr="00392678" w:rsidRDefault="00392678" w:rsidP="004C3439">
      <w:pPr>
        <w:jc w:val="both"/>
        <w:rPr>
          <w:rFonts w:cs="Times New Roman"/>
          <w:i/>
          <w:sz w:val="20"/>
          <w:szCs w:val="20"/>
        </w:rPr>
      </w:pPr>
      <w:proofErr w:type="gramStart"/>
      <w:r w:rsidRPr="00392678">
        <w:rPr>
          <w:rFonts w:cs="Times New Roman"/>
          <w:i/>
          <w:sz w:val="20"/>
          <w:szCs w:val="20"/>
        </w:rPr>
        <w:lastRenderedPageBreak/>
        <w:t>Newfoundland and Labrador Nurses’ Union</w:t>
      </w:r>
      <w:r>
        <w:rPr>
          <w:rFonts w:cs="Times New Roman"/>
          <w:i/>
          <w:sz w:val="20"/>
          <w:szCs w:val="20"/>
        </w:rPr>
        <w:t xml:space="preserve"> v.</w:t>
      </w:r>
      <w:proofErr w:type="gramEnd"/>
      <w:r>
        <w:rPr>
          <w:rFonts w:cs="Times New Roman"/>
          <w:i/>
          <w:sz w:val="20"/>
          <w:szCs w:val="20"/>
        </w:rPr>
        <w:t xml:space="preserve"> </w:t>
      </w:r>
      <w:r w:rsidRPr="00392678">
        <w:rPr>
          <w:rFonts w:cs="Times New Roman"/>
          <w:i/>
          <w:sz w:val="20"/>
          <w:szCs w:val="20"/>
        </w:rPr>
        <w:t xml:space="preserve">Her Majesty </w:t>
      </w:r>
      <w:proofErr w:type="gramStart"/>
      <w:r w:rsidRPr="00392678">
        <w:rPr>
          <w:rFonts w:cs="Times New Roman"/>
          <w:i/>
          <w:sz w:val="20"/>
          <w:szCs w:val="20"/>
        </w:rPr>
        <w:t>The</w:t>
      </w:r>
      <w:proofErr w:type="gramEnd"/>
      <w:r w:rsidRPr="00392678">
        <w:rPr>
          <w:rFonts w:cs="Times New Roman"/>
          <w:i/>
          <w:sz w:val="20"/>
          <w:szCs w:val="20"/>
        </w:rPr>
        <w:t xml:space="preserve"> Queen in Right of Newfoundland and Labrador, </w:t>
      </w:r>
    </w:p>
    <w:p w:rsidR="00F30627" w:rsidRPr="00F30627" w:rsidRDefault="00392678" w:rsidP="004C3439">
      <w:pPr>
        <w:jc w:val="both"/>
        <w:rPr>
          <w:rFonts w:cs="Times New Roman"/>
          <w:i/>
          <w:sz w:val="20"/>
          <w:szCs w:val="20"/>
        </w:rPr>
      </w:pPr>
      <w:proofErr w:type="gramStart"/>
      <w:r w:rsidRPr="00392678">
        <w:rPr>
          <w:rFonts w:cs="Times New Roman"/>
          <w:i/>
          <w:sz w:val="20"/>
          <w:szCs w:val="20"/>
        </w:rPr>
        <w:t>represented</w:t>
      </w:r>
      <w:proofErr w:type="gramEnd"/>
      <w:r w:rsidRPr="00392678">
        <w:rPr>
          <w:rFonts w:cs="Times New Roman"/>
          <w:i/>
          <w:sz w:val="20"/>
          <w:szCs w:val="20"/>
        </w:rPr>
        <w:t xml:space="preserve"> by Treasury Board</w:t>
      </w:r>
      <w:r>
        <w:rPr>
          <w:rFonts w:cs="Times New Roman"/>
          <w:i/>
          <w:sz w:val="20"/>
          <w:szCs w:val="20"/>
        </w:rPr>
        <w:t xml:space="preserve"> et al. </w:t>
      </w:r>
      <w:r w:rsidRPr="00392678">
        <w:rPr>
          <w:rFonts w:cs="Times New Roman"/>
          <w:sz w:val="20"/>
          <w:szCs w:val="20"/>
        </w:rPr>
        <w:t>(N.L.) (33659)</w:t>
      </w:r>
    </w:p>
    <w:p w:rsidR="00392678" w:rsidRPr="00392678" w:rsidRDefault="00392678" w:rsidP="00392678">
      <w:pPr>
        <w:jc w:val="both"/>
        <w:rPr>
          <w:rFonts w:cs="Times New Roman"/>
          <w:b/>
          <w:sz w:val="20"/>
          <w:szCs w:val="20"/>
        </w:rPr>
      </w:pPr>
      <w:r w:rsidRPr="00392678">
        <w:rPr>
          <w:rFonts w:cs="Times New Roman"/>
          <w:b/>
          <w:sz w:val="20"/>
          <w:szCs w:val="20"/>
        </w:rPr>
        <w:t xml:space="preserve">Indexed as:  Newfoundland and Labrador Nurses’ Union v. Newfoundland and Labrador (Treasury Board) </w:t>
      </w:r>
      <w:r w:rsidRPr="00392678">
        <w:rPr>
          <w:rStyle w:val="SCCRespondentForIndexChar"/>
          <w:rFonts w:eastAsiaTheme="minorHAnsi"/>
          <w:sz w:val="20"/>
        </w:rPr>
        <w:t xml:space="preserve">/ </w:t>
      </w:r>
      <w:proofErr w:type="spellStart"/>
      <w:proofErr w:type="gramStart"/>
      <w:r w:rsidRPr="00392678">
        <w:rPr>
          <w:rFonts w:cs="Times New Roman"/>
          <w:b/>
          <w:sz w:val="20"/>
          <w:szCs w:val="20"/>
        </w:rPr>
        <w:t>Répertorié</w:t>
      </w:r>
      <w:proofErr w:type="spellEnd"/>
      <w:r w:rsidRPr="00392678">
        <w:rPr>
          <w:rFonts w:cs="Times New Roman"/>
          <w:b/>
          <w:sz w:val="20"/>
          <w:szCs w:val="20"/>
        </w:rPr>
        <w:t> :</w:t>
      </w:r>
      <w:proofErr w:type="gramEnd"/>
      <w:r w:rsidRPr="00392678">
        <w:rPr>
          <w:rFonts w:cs="Times New Roman"/>
          <w:b/>
          <w:sz w:val="20"/>
          <w:szCs w:val="20"/>
        </w:rPr>
        <w:t xml:space="preserve"> Newfoundland and Labrador Nurses’ Union c. Terre </w:t>
      </w:r>
      <w:proofErr w:type="spellStart"/>
      <w:r w:rsidRPr="00392678">
        <w:rPr>
          <w:rFonts w:cs="Times New Roman"/>
          <w:b/>
          <w:sz w:val="20"/>
          <w:szCs w:val="20"/>
        </w:rPr>
        <w:t>Neuve</w:t>
      </w:r>
      <w:proofErr w:type="spellEnd"/>
      <w:r w:rsidRPr="00392678">
        <w:rPr>
          <w:rFonts w:cs="Times New Roman"/>
          <w:b/>
          <w:sz w:val="20"/>
          <w:szCs w:val="20"/>
        </w:rPr>
        <w:t xml:space="preserve"> et Labrador (</w:t>
      </w:r>
      <w:proofErr w:type="spellStart"/>
      <w:r w:rsidRPr="00392678">
        <w:rPr>
          <w:rFonts w:cs="Times New Roman"/>
          <w:b/>
          <w:sz w:val="20"/>
          <w:szCs w:val="20"/>
        </w:rPr>
        <w:t>Conseil</w:t>
      </w:r>
      <w:proofErr w:type="spellEnd"/>
      <w:r w:rsidRPr="00392678">
        <w:rPr>
          <w:rFonts w:cs="Times New Roman"/>
          <w:b/>
          <w:sz w:val="20"/>
          <w:szCs w:val="20"/>
        </w:rPr>
        <w:t xml:space="preserve"> du </w:t>
      </w:r>
      <w:proofErr w:type="spellStart"/>
      <w:r w:rsidRPr="00392678">
        <w:rPr>
          <w:rFonts w:cs="Times New Roman"/>
          <w:b/>
          <w:sz w:val="20"/>
          <w:szCs w:val="20"/>
        </w:rPr>
        <w:t>Trésor</w:t>
      </w:r>
      <w:proofErr w:type="spellEnd"/>
      <w:r w:rsidRPr="00392678">
        <w:rPr>
          <w:rFonts w:cs="Times New Roman"/>
          <w:b/>
          <w:sz w:val="20"/>
          <w:szCs w:val="20"/>
        </w:rPr>
        <w:t>)</w:t>
      </w:r>
    </w:p>
    <w:p w:rsidR="00392678" w:rsidRPr="00392678" w:rsidRDefault="00392678" w:rsidP="00392678">
      <w:pPr>
        <w:pStyle w:val="SCCSystemYear"/>
        <w:jc w:val="both"/>
        <w:rPr>
          <w:sz w:val="20"/>
        </w:rPr>
      </w:pPr>
      <w:proofErr w:type="spellStart"/>
      <w:r w:rsidRPr="00392678">
        <w:rPr>
          <w:sz w:val="20"/>
        </w:rPr>
        <w:t>Neutral</w:t>
      </w:r>
      <w:proofErr w:type="spellEnd"/>
      <w:r w:rsidRPr="00392678">
        <w:rPr>
          <w:sz w:val="20"/>
        </w:rPr>
        <w:t xml:space="preserve"> citation</w:t>
      </w:r>
      <w:proofErr w:type="gramStart"/>
      <w:r w:rsidRPr="00392678">
        <w:rPr>
          <w:sz w:val="20"/>
        </w:rPr>
        <w:t>:  2011</w:t>
      </w:r>
      <w:proofErr w:type="gramEnd"/>
      <w:r w:rsidRPr="00392678">
        <w:rPr>
          <w:sz w:val="20"/>
        </w:rPr>
        <w:t xml:space="preserve"> SCC 6</w:t>
      </w:r>
      <w:r w:rsidR="00580D5E">
        <w:rPr>
          <w:sz w:val="20"/>
        </w:rPr>
        <w:t>2</w:t>
      </w:r>
      <w:r w:rsidRPr="00392678">
        <w:rPr>
          <w:sz w:val="20"/>
        </w:rPr>
        <w:t xml:space="preserve"> / Référence neutre : 2011 CSC 6</w:t>
      </w:r>
      <w:r w:rsidR="00580D5E">
        <w:rPr>
          <w:sz w:val="20"/>
        </w:rPr>
        <w:t>2</w:t>
      </w:r>
    </w:p>
    <w:p w:rsidR="00392678" w:rsidRPr="00392678" w:rsidRDefault="00392678" w:rsidP="00392678">
      <w:pPr>
        <w:rPr>
          <w:rFonts w:cs="Times New Roman"/>
          <w:sz w:val="20"/>
          <w:szCs w:val="20"/>
          <w:lang w:val="fr-CA"/>
        </w:rPr>
      </w:pPr>
      <w:proofErr w:type="spellStart"/>
      <w:r w:rsidRPr="00392678">
        <w:rPr>
          <w:rFonts w:cs="Times New Roman"/>
          <w:sz w:val="20"/>
          <w:szCs w:val="20"/>
          <w:lang w:val="fr-CA"/>
        </w:rPr>
        <w:t>Hearing</w:t>
      </w:r>
      <w:proofErr w:type="spellEnd"/>
      <w:proofErr w:type="gramStart"/>
      <w:r w:rsidRPr="00392678">
        <w:rPr>
          <w:rFonts w:cs="Times New Roman"/>
          <w:sz w:val="20"/>
          <w:szCs w:val="20"/>
          <w:lang w:val="fr-CA"/>
        </w:rPr>
        <w:t xml:space="preserve">:  </w:t>
      </w:r>
      <w:proofErr w:type="spellStart"/>
      <w:r w:rsidR="00580D5E">
        <w:rPr>
          <w:rFonts w:cs="Times New Roman"/>
          <w:sz w:val="20"/>
          <w:szCs w:val="20"/>
          <w:lang w:val="fr-CA"/>
        </w:rPr>
        <w:t>October</w:t>
      </w:r>
      <w:proofErr w:type="spellEnd"/>
      <w:proofErr w:type="gramEnd"/>
      <w:r w:rsidRPr="00392678">
        <w:rPr>
          <w:rFonts w:cs="Times New Roman"/>
          <w:sz w:val="20"/>
          <w:szCs w:val="20"/>
          <w:lang w:val="fr-CA"/>
        </w:rPr>
        <w:t xml:space="preserve"> 1</w:t>
      </w:r>
      <w:r w:rsidR="00580D5E">
        <w:rPr>
          <w:rFonts w:cs="Times New Roman"/>
          <w:sz w:val="20"/>
          <w:szCs w:val="20"/>
          <w:lang w:val="fr-CA"/>
        </w:rPr>
        <w:t>4</w:t>
      </w:r>
      <w:r w:rsidRPr="00392678">
        <w:rPr>
          <w:rFonts w:cs="Times New Roman"/>
          <w:sz w:val="20"/>
          <w:szCs w:val="20"/>
          <w:lang w:val="fr-CA"/>
        </w:rPr>
        <w:t xml:space="preserve">, 2011 / </w:t>
      </w:r>
      <w:proofErr w:type="spellStart"/>
      <w:r w:rsidRPr="00392678">
        <w:rPr>
          <w:rFonts w:cs="Times New Roman"/>
          <w:sz w:val="20"/>
          <w:szCs w:val="20"/>
          <w:lang w:val="fr-CA"/>
        </w:rPr>
        <w:t>Judgment</w:t>
      </w:r>
      <w:proofErr w:type="spellEnd"/>
      <w:r w:rsidRPr="00392678">
        <w:rPr>
          <w:rFonts w:cs="Times New Roman"/>
          <w:sz w:val="20"/>
          <w:szCs w:val="20"/>
          <w:lang w:val="fr-CA"/>
        </w:rPr>
        <w:t xml:space="preserve">:  </w:t>
      </w:r>
      <w:proofErr w:type="spellStart"/>
      <w:r w:rsidRPr="00392678">
        <w:rPr>
          <w:rFonts w:cs="Times New Roman"/>
          <w:sz w:val="20"/>
          <w:szCs w:val="20"/>
          <w:lang w:val="fr-CA"/>
        </w:rPr>
        <w:t>December</w:t>
      </w:r>
      <w:proofErr w:type="spellEnd"/>
      <w:r w:rsidRPr="00392678">
        <w:rPr>
          <w:rFonts w:cs="Times New Roman"/>
          <w:sz w:val="20"/>
          <w:szCs w:val="20"/>
          <w:lang w:val="fr-CA"/>
        </w:rPr>
        <w:t xml:space="preserve"> 1</w:t>
      </w:r>
      <w:r w:rsidR="00580D5E">
        <w:rPr>
          <w:rFonts w:cs="Times New Roman"/>
          <w:sz w:val="20"/>
          <w:szCs w:val="20"/>
          <w:lang w:val="fr-CA"/>
        </w:rPr>
        <w:t>5</w:t>
      </w:r>
      <w:r w:rsidRPr="00392678">
        <w:rPr>
          <w:rFonts w:cs="Times New Roman"/>
          <w:sz w:val="20"/>
          <w:szCs w:val="20"/>
          <w:lang w:val="fr-CA"/>
        </w:rPr>
        <w:t>, 2011</w:t>
      </w:r>
    </w:p>
    <w:p w:rsidR="00392678" w:rsidRPr="00392678" w:rsidRDefault="00580D5E" w:rsidP="00392678">
      <w:pPr>
        <w:rPr>
          <w:rFonts w:cs="Times New Roman"/>
          <w:sz w:val="20"/>
          <w:szCs w:val="20"/>
          <w:lang w:val="fr-CA"/>
        </w:rPr>
      </w:pPr>
      <w:r>
        <w:rPr>
          <w:rFonts w:cs="Times New Roman"/>
          <w:sz w:val="20"/>
          <w:szCs w:val="20"/>
          <w:lang w:val="fr-CA"/>
        </w:rPr>
        <w:t>Audition : Le 14</w:t>
      </w:r>
      <w:r w:rsidR="00392678" w:rsidRPr="00392678">
        <w:rPr>
          <w:rFonts w:cs="Times New Roman"/>
          <w:sz w:val="20"/>
          <w:szCs w:val="20"/>
          <w:lang w:val="fr-CA"/>
        </w:rPr>
        <w:t xml:space="preserve"> </w:t>
      </w:r>
      <w:r>
        <w:rPr>
          <w:rFonts w:cs="Times New Roman"/>
          <w:sz w:val="20"/>
          <w:szCs w:val="20"/>
          <w:lang w:val="fr-CA"/>
        </w:rPr>
        <w:t>octobre</w:t>
      </w:r>
      <w:r w:rsidR="00392678" w:rsidRPr="00392678">
        <w:rPr>
          <w:rFonts w:cs="Times New Roman"/>
          <w:sz w:val="20"/>
          <w:szCs w:val="20"/>
          <w:lang w:val="fr-CA"/>
        </w:rPr>
        <w:t xml:space="preserve"> 2011 / Jugement : Le 1</w:t>
      </w:r>
      <w:r>
        <w:rPr>
          <w:rFonts w:cs="Times New Roman"/>
          <w:sz w:val="20"/>
          <w:szCs w:val="20"/>
          <w:lang w:val="fr-CA"/>
        </w:rPr>
        <w:t>5</w:t>
      </w:r>
      <w:r w:rsidR="00392678" w:rsidRPr="00392678">
        <w:rPr>
          <w:rFonts w:cs="Times New Roman"/>
          <w:sz w:val="20"/>
          <w:szCs w:val="20"/>
          <w:lang w:val="fr-CA"/>
        </w:rPr>
        <w:t xml:space="preserve"> décembre 2011</w:t>
      </w:r>
    </w:p>
    <w:p w:rsidR="00DC7918" w:rsidRPr="00EA62D3" w:rsidRDefault="00DB7F13" w:rsidP="00DC7918">
      <w:pPr>
        <w:rPr>
          <w:rFonts w:cs="Times New Roman"/>
          <w:color w:val="FF0000"/>
          <w:sz w:val="20"/>
          <w:szCs w:val="20"/>
          <w:lang w:val="fr-CA"/>
        </w:rPr>
      </w:pPr>
      <w:r w:rsidRPr="00DB7F13">
        <w:rPr>
          <w:rFonts w:cs="Times New Roman"/>
          <w:i/>
          <w:color w:val="FF0000"/>
          <w:sz w:val="20"/>
          <w:szCs w:val="20"/>
        </w:rPr>
        <w:pict>
          <v:rect id="_x0000_i1082" style="width:480.95pt;height:1pt" o:hralign="center" o:hrstd="t" o:hrnoshade="t" o:hr="t" fillcolor="black [3213]" stroked="f"/>
        </w:pict>
      </w:r>
    </w:p>
    <w:p w:rsidR="00DC7918" w:rsidRPr="00580D5E" w:rsidRDefault="00DC7918" w:rsidP="00DC7918">
      <w:pPr>
        <w:rPr>
          <w:rFonts w:cs="Times New Roman"/>
          <w:sz w:val="20"/>
          <w:szCs w:val="20"/>
          <w:lang w:val="fr-CA"/>
        </w:rPr>
      </w:pPr>
    </w:p>
    <w:p w:rsidR="00DC7918" w:rsidRDefault="00DC7918" w:rsidP="00DC7918">
      <w:pPr>
        <w:rPr>
          <w:rFonts w:cs="Times New Roman"/>
          <w:sz w:val="20"/>
          <w:szCs w:val="20"/>
        </w:rPr>
      </w:pPr>
      <w:r w:rsidRPr="00580D5E">
        <w:rPr>
          <w:rFonts w:cs="Times New Roman"/>
          <w:sz w:val="20"/>
          <w:szCs w:val="20"/>
        </w:rPr>
        <w:t xml:space="preserve">Present:  </w:t>
      </w:r>
      <w:proofErr w:type="spellStart"/>
      <w:r w:rsidR="00580D5E" w:rsidRPr="00580D5E">
        <w:rPr>
          <w:rFonts w:cs="Times New Roman"/>
          <w:sz w:val="20"/>
          <w:szCs w:val="20"/>
        </w:rPr>
        <w:t>McLachlin</w:t>
      </w:r>
      <w:proofErr w:type="spellEnd"/>
      <w:r w:rsidR="00580D5E" w:rsidRPr="00580D5E">
        <w:rPr>
          <w:rFonts w:cs="Times New Roman"/>
          <w:sz w:val="20"/>
          <w:szCs w:val="20"/>
        </w:rPr>
        <w:t xml:space="preserve"> C.J. and </w:t>
      </w:r>
      <w:proofErr w:type="spellStart"/>
      <w:r w:rsidR="00580D5E" w:rsidRPr="00580D5E">
        <w:rPr>
          <w:rFonts w:cs="Times New Roman"/>
          <w:sz w:val="20"/>
          <w:szCs w:val="20"/>
        </w:rPr>
        <w:t>LeBel</w:t>
      </w:r>
      <w:proofErr w:type="spellEnd"/>
      <w:r w:rsidR="00580D5E" w:rsidRPr="00580D5E">
        <w:rPr>
          <w:rFonts w:cs="Times New Roman"/>
          <w:sz w:val="20"/>
          <w:szCs w:val="20"/>
        </w:rPr>
        <w:t xml:space="preserve">, </w:t>
      </w:r>
      <w:proofErr w:type="spellStart"/>
      <w:r w:rsidR="00580D5E" w:rsidRPr="00580D5E">
        <w:rPr>
          <w:rFonts w:cs="Times New Roman"/>
          <w:sz w:val="20"/>
          <w:szCs w:val="20"/>
        </w:rPr>
        <w:t>Deschamps</w:t>
      </w:r>
      <w:proofErr w:type="spellEnd"/>
      <w:r w:rsidR="00580D5E" w:rsidRPr="00580D5E">
        <w:rPr>
          <w:rFonts w:cs="Times New Roman"/>
          <w:sz w:val="20"/>
          <w:szCs w:val="20"/>
        </w:rPr>
        <w:t xml:space="preserve">, Fish, </w:t>
      </w:r>
      <w:proofErr w:type="spellStart"/>
      <w:r w:rsidR="00580D5E" w:rsidRPr="00580D5E">
        <w:rPr>
          <w:rFonts w:cs="Times New Roman"/>
          <w:sz w:val="20"/>
          <w:szCs w:val="20"/>
        </w:rPr>
        <w:t>Abella</w:t>
      </w:r>
      <w:proofErr w:type="spellEnd"/>
      <w:r w:rsidR="00580D5E" w:rsidRPr="00580D5E">
        <w:rPr>
          <w:rFonts w:cs="Times New Roman"/>
          <w:sz w:val="20"/>
          <w:szCs w:val="20"/>
        </w:rPr>
        <w:t>, Rothstein and Cromwell JJ.</w:t>
      </w:r>
    </w:p>
    <w:p w:rsidR="00580D5E" w:rsidRDefault="00580D5E" w:rsidP="00DC7918">
      <w:pPr>
        <w:rPr>
          <w:rFonts w:cs="Times New Roman"/>
          <w:sz w:val="20"/>
          <w:szCs w:val="20"/>
        </w:rPr>
      </w:pPr>
    </w:p>
    <w:p w:rsidR="00580D5E" w:rsidRDefault="00580D5E" w:rsidP="00580D5E">
      <w:pPr>
        <w:pStyle w:val="SCCNormalDoubleSpacing"/>
        <w:spacing w:line="240" w:lineRule="auto"/>
        <w:rPr>
          <w:i/>
          <w:sz w:val="20"/>
        </w:rPr>
      </w:pPr>
      <w:r w:rsidRPr="00580D5E">
        <w:rPr>
          <w:i/>
          <w:sz w:val="20"/>
        </w:rPr>
        <w:tab/>
        <w:t xml:space="preserve">Administrative law — Role and adequacy of reasons — Procedural fairness — </w:t>
      </w:r>
      <w:proofErr w:type="gramStart"/>
      <w:r w:rsidRPr="00580D5E">
        <w:rPr>
          <w:i/>
          <w:sz w:val="20"/>
        </w:rPr>
        <w:t>Whether</w:t>
      </w:r>
      <w:proofErr w:type="gramEnd"/>
      <w:r w:rsidRPr="00580D5E">
        <w:rPr>
          <w:i/>
          <w:sz w:val="20"/>
        </w:rPr>
        <w:t xml:space="preserve"> reasons satisfy Dunsmuir requirements for “justification, transparency and intelligibility”.</w:t>
      </w:r>
    </w:p>
    <w:p w:rsidR="00580D5E" w:rsidRPr="00580D5E" w:rsidRDefault="00580D5E" w:rsidP="00580D5E">
      <w:pPr>
        <w:pStyle w:val="SCCNormalDoubleSpacing"/>
        <w:spacing w:line="240" w:lineRule="auto"/>
        <w:rPr>
          <w:i/>
          <w:sz w:val="20"/>
        </w:rPr>
      </w:pPr>
    </w:p>
    <w:p w:rsidR="00580D5E" w:rsidRPr="00580D5E" w:rsidRDefault="00580D5E" w:rsidP="00580D5E">
      <w:pPr>
        <w:pStyle w:val="SCCNormalDoubleSpacing"/>
        <w:spacing w:line="240" w:lineRule="auto"/>
        <w:rPr>
          <w:sz w:val="20"/>
        </w:rPr>
      </w:pPr>
      <w:r w:rsidRPr="00580D5E">
        <w:rPr>
          <w:sz w:val="20"/>
        </w:rPr>
        <w:tab/>
        <w:t xml:space="preserve">The union disputed an arbitrator’s award which involved the calculation of vacation benefits.  The issue the arbitrator had to decide was whether time as a casual employee could be credited towards annual leave entitlement if that employee became permanent.  In his decision, the arbitrator concluded that it was not to be included in calculating the length of vacation entitlements.  On judicial review, the arbitrator’s reasons were found to be insufficient and therefore unreasonable and the decision was set aside.  The majority of the Court of Appeal agreed with the arbitrator. </w:t>
      </w:r>
    </w:p>
    <w:p w:rsidR="006955B2" w:rsidRDefault="006955B2" w:rsidP="00580D5E">
      <w:pPr>
        <w:pStyle w:val="SCCNormalDoubleSpacing"/>
        <w:spacing w:line="240" w:lineRule="auto"/>
        <w:rPr>
          <w:i/>
          <w:sz w:val="20"/>
        </w:rPr>
      </w:pPr>
    </w:p>
    <w:p w:rsidR="00580D5E" w:rsidRPr="00580D5E" w:rsidRDefault="00580D5E" w:rsidP="00580D5E">
      <w:pPr>
        <w:pStyle w:val="SCCNormalDoubleSpacing"/>
        <w:spacing w:line="240" w:lineRule="auto"/>
        <w:rPr>
          <w:sz w:val="20"/>
        </w:rPr>
      </w:pPr>
      <w:r w:rsidRPr="00580D5E">
        <w:rPr>
          <w:i/>
          <w:sz w:val="20"/>
        </w:rPr>
        <w:tab/>
        <w:t>Held</w:t>
      </w:r>
      <w:r w:rsidRPr="00580D5E">
        <w:rPr>
          <w:sz w:val="20"/>
        </w:rPr>
        <w:t>:  The appeal should be dismissed.</w:t>
      </w:r>
    </w:p>
    <w:p w:rsidR="006955B2" w:rsidRDefault="006955B2" w:rsidP="00580D5E">
      <w:pPr>
        <w:pStyle w:val="SCCNormalDoubleSpacing"/>
        <w:spacing w:line="240" w:lineRule="auto"/>
        <w:rPr>
          <w:i/>
          <w:sz w:val="20"/>
        </w:rPr>
      </w:pPr>
    </w:p>
    <w:p w:rsidR="00580D5E" w:rsidRPr="00580D5E" w:rsidRDefault="00580D5E" w:rsidP="00580D5E">
      <w:pPr>
        <w:pStyle w:val="SCCNormalDoubleSpacing"/>
        <w:spacing w:line="240" w:lineRule="auto"/>
        <w:rPr>
          <w:sz w:val="20"/>
        </w:rPr>
      </w:pPr>
      <w:r w:rsidRPr="00580D5E">
        <w:rPr>
          <w:i/>
          <w:sz w:val="20"/>
        </w:rPr>
        <w:tab/>
        <w:t>Dunsmuir</w:t>
      </w:r>
      <w:r w:rsidRPr="00580D5E">
        <w:rPr>
          <w:sz w:val="20"/>
        </w:rPr>
        <w:t xml:space="preserve"> confirmed that in determining whether a decision is reasonable, the inquiry for a reviewing court is about “justification, transparency and intelligibility”.  This represents a respectful appreciation that a wide range of specialized </w:t>
      </w:r>
      <w:proofErr w:type="spellStart"/>
      <w:r w:rsidRPr="00580D5E">
        <w:rPr>
          <w:sz w:val="20"/>
        </w:rPr>
        <w:t>decision</w:t>
      </w:r>
      <w:r w:rsidRPr="00580D5E">
        <w:rPr>
          <w:sz w:val="20"/>
        </w:rPr>
        <w:noBreakHyphen/>
        <w:t>makers</w:t>
      </w:r>
      <w:proofErr w:type="spellEnd"/>
      <w:r w:rsidRPr="00580D5E">
        <w:rPr>
          <w:sz w:val="20"/>
        </w:rPr>
        <w:t xml:space="preserve"> render decisions in their respective spheres of expertise, using concepts and language often unique to their areas and rendering decision that are often counter</w:t>
      </w:r>
      <w:r w:rsidRPr="00580D5E">
        <w:rPr>
          <w:sz w:val="20"/>
        </w:rPr>
        <w:noBreakHyphen/>
        <w:t xml:space="preserve">intuitive to a generalist.  </w:t>
      </w:r>
      <w:r w:rsidRPr="00580D5E">
        <w:rPr>
          <w:i/>
          <w:sz w:val="20"/>
        </w:rPr>
        <w:t>Dunsmuir</w:t>
      </w:r>
      <w:r w:rsidRPr="00580D5E">
        <w:rPr>
          <w:sz w:val="20"/>
        </w:rPr>
        <w:t xml:space="preserve"> does not stand for the proposition that the “adequacy” of reasons is a stand</w:t>
      </w:r>
      <w:r w:rsidRPr="00580D5E">
        <w:rPr>
          <w:sz w:val="20"/>
        </w:rPr>
        <w:noBreakHyphen/>
        <w:t xml:space="preserve">alone basis for quashing a decision, or as advocating that a reviewing court undertake two discrete analyses — one for the reasons and a separate one for the result.  It is a more organic exercise — the reasons must be read together with the outcome, and serve the purpose of showing whether the result falls within a range of possible outcomes.  Reasons need not include all the arguments or details the reviewing judge would have preferred, but that does not impugn the validity of either the reasons or the result.  If the reasons allow the reviewing court to understand why the tribunal made its decision and permit it to determine whether the conclusion is within the range of acceptable outcomes, the </w:t>
      </w:r>
      <w:r w:rsidRPr="00580D5E">
        <w:rPr>
          <w:i/>
          <w:sz w:val="20"/>
        </w:rPr>
        <w:t>Dunsmuir</w:t>
      </w:r>
      <w:r w:rsidRPr="00580D5E">
        <w:rPr>
          <w:sz w:val="20"/>
        </w:rPr>
        <w:t xml:space="preserve"> criteria are met.  It is an unhelpful elaboration on </w:t>
      </w:r>
      <w:r w:rsidRPr="00580D5E">
        <w:rPr>
          <w:i/>
          <w:sz w:val="20"/>
        </w:rPr>
        <w:t>Baker</w:t>
      </w:r>
      <w:r w:rsidRPr="00580D5E">
        <w:rPr>
          <w:sz w:val="20"/>
        </w:rPr>
        <w:t xml:space="preserve"> to suggest that alleged deficiencies or flaws in the reasons fall under the category of a breach of the duty of procedural fairness.  Any challenge to the reasoning/result of the decision should be made within the reasonableness analysis.  Here, the reasons showed that the arbitrator was alive to the question at issue and came to a result well within the range of reasonable outcomes.</w:t>
      </w:r>
    </w:p>
    <w:p w:rsidR="006955B2" w:rsidRDefault="006955B2" w:rsidP="00580D5E">
      <w:pPr>
        <w:pStyle w:val="SCCNormalDoubleSpacing"/>
        <w:spacing w:line="240" w:lineRule="auto"/>
        <w:rPr>
          <w:sz w:val="20"/>
        </w:rPr>
      </w:pPr>
    </w:p>
    <w:p w:rsidR="00580D5E" w:rsidRPr="00580D5E" w:rsidRDefault="00580D5E" w:rsidP="00580D5E">
      <w:pPr>
        <w:pStyle w:val="SCCNormalDoubleSpacing"/>
        <w:spacing w:line="240" w:lineRule="auto"/>
        <w:rPr>
          <w:sz w:val="20"/>
        </w:rPr>
      </w:pPr>
      <w:r w:rsidRPr="00580D5E">
        <w:rPr>
          <w:sz w:val="20"/>
        </w:rPr>
        <w:tab/>
        <w:t>APPEAL from a judgment of the Newfoundland and Labrador Court of Appeal (Cameron, Welsh and Mercer JJ.A.), 2010 NLCA 13, 294 Nfld. &amp; P.E.I.R. 161, 908 A.P.R. 161, 190 L.A.C. (4th) 385, 2010 CLLC ¶220</w:t>
      </w:r>
      <w:r w:rsidRPr="00580D5E">
        <w:rPr>
          <w:sz w:val="20"/>
        </w:rPr>
        <w:noBreakHyphen/>
        <w:t xml:space="preserve">017, [2010] N.J. No. 63 (QL), 2010 </w:t>
      </w:r>
      <w:proofErr w:type="spellStart"/>
      <w:r w:rsidRPr="00580D5E">
        <w:rPr>
          <w:sz w:val="20"/>
        </w:rPr>
        <w:t>CarswellNfld</w:t>
      </w:r>
      <w:proofErr w:type="spellEnd"/>
      <w:r w:rsidRPr="00580D5E">
        <w:rPr>
          <w:sz w:val="20"/>
        </w:rPr>
        <w:t xml:space="preserve"> 49, reversing a decision of </w:t>
      </w:r>
      <w:proofErr w:type="spellStart"/>
      <w:r w:rsidRPr="00580D5E">
        <w:rPr>
          <w:sz w:val="20"/>
        </w:rPr>
        <w:t>Orsborn</w:t>
      </w:r>
      <w:proofErr w:type="spellEnd"/>
      <w:r w:rsidRPr="00580D5E">
        <w:rPr>
          <w:sz w:val="20"/>
        </w:rPr>
        <w:t xml:space="preserve"> J., 2008 NLTD 200, 283 Nfld. &amp; P.E.I.R. 170, 873 A.P.R. 170, [2008] N.J. No. 364 (QL), 2008 </w:t>
      </w:r>
      <w:proofErr w:type="spellStart"/>
      <w:r w:rsidRPr="00580D5E">
        <w:rPr>
          <w:sz w:val="20"/>
        </w:rPr>
        <w:t>CarswellNfld</w:t>
      </w:r>
      <w:proofErr w:type="spellEnd"/>
      <w:r w:rsidRPr="00580D5E">
        <w:rPr>
          <w:sz w:val="20"/>
        </w:rPr>
        <w:t xml:space="preserve"> 332.  Appeal dismissed.</w:t>
      </w:r>
    </w:p>
    <w:p w:rsidR="006955B2" w:rsidRDefault="006955B2" w:rsidP="00580D5E">
      <w:pPr>
        <w:pStyle w:val="SCCNormalDoubleSpacing"/>
        <w:spacing w:line="240" w:lineRule="auto"/>
        <w:rPr>
          <w:i/>
          <w:sz w:val="20"/>
        </w:rPr>
      </w:pPr>
    </w:p>
    <w:p w:rsidR="00580D5E" w:rsidRPr="00580D5E" w:rsidRDefault="00580D5E" w:rsidP="00580D5E">
      <w:pPr>
        <w:pStyle w:val="SCCNormalDoubleSpacing"/>
        <w:spacing w:line="240" w:lineRule="auto"/>
        <w:rPr>
          <w:sz w:val="20"/>
        </w:rPr>
      </w:pPr>
      <w:r w:rsidRPr="00580D5E">
        <w:rPr>
          <w:i/>
          <w:sz w:val="20"/>
        </w:rPr>
        <w:tab/>
      </w:r>
      <w:proofErr w:type="gramStart"/>
      <w:r w:rsidRPr="00580D5E">
        <w:rPr>
          <w:i/>
          <w:sz w:val="20"/>
        </w:rPr>
        <w:t>David G. Conway</w:t>
      </w:r>
      <w:r w:rsidRPr="00580D5E">
        <w:rPr>
          <w:sz w:val="20"/>
        </w:rPr>
        <w:t xml:space="preserve"> and </w:t>
      </w:r>
      <w:r w:rsidRPr="00580D5E">
        <w:rPr>
          <w:i/>
          <w:sz w:val="20"/>
        </w:rPr>
        <w:t xml:space="preserve">Tracey L. </w:t>
      </w:r>
      <w:proofErr w:type="spellStart"/>
      <w:r w:rsidRPr="00580D5E">
        <w:rPr>
          <w:i/>
          <w:sz w:val="20"/>
        </w:rPr>
        <w:t>Trahey</w:t>
      </w:r>
      <w:proofErr w:type="spellEnd"/>
      <w:r w:rsidRPr="00580D5E">
        <w:rPr>
          <w:sz w:val="20"/>
        </w:rPr>
        <w:t>, for the appellant.</w:t>
      </w:r>
      <w:proofErr w:type="gramEnd"/>
    </w:p>
    <w:p w:rsidR="006955B2" w:rsidRDefault="006955B2" w:rsidP="00580D5E">
      <w:pPr>
        <w:pStyle w:val="SCCNormalDoubleSpacing"/>
        <w:spacing w:line="240" w:lineRule="auto"/>
        <w:rPr>
          <w:i/>
          <w:sz w:val="20"/>
        </w:rPr>
      </w:pPr>
    </w:p>
    <w:p w:rsidR="00580D5E" w:rsidRPr="00580D5E" w:rsidRDefault="00580D5E" w:rsidP="00580D5E">
      <w:pPr>
        <w:pStyle w:val="SCCNormalDoubleSpacing"/>
        <w:spacing w:line="240" w:lineRule="auto"/>
        <w:rPr>
          <w:sz w:val="20"/>
        </w:rPr>
      </w:pPr>
      <w:r w:rsidRPr="00580D5E">
        <w:rPr>
          <w:i/>
          <w:sz w:val="20"/>
        </w:rPr>
        <w:tab/>
        <w:t xml:space="preserve">Stephen F. Penney and Jeffrey </w:t>
      </w:r>
      <w:proofErr w:type="spellStart"/>
      <w:r w:rsidRPr="00580D5E">
        <w:rPr>
          <w:i/>
          <w:sz w:val="20"/>
        </w:rPr>
        <w:t>Beedell</w:t>
      </w:r>
      <w:proofErr w:type="spellEnd"/>
      <w:r w:rsidRPr="00580D5E">
        <w:rPr>
          <w:sz w:val="20"/>
        </w:rPr>
        <w:t>, for the respondents.</w:t>
      </w:r>
    </w:p>
    <w:p w:rsidR="006955B2" w:rsidRDefault="006955B2" w:rsidP="00580D5E">
      <w:pPr>
        <w:pStyle w:val="SCCLawFirm"/>
        <w:spacing w:line="240" w:lineRule="auto"/>
        <w:rPr>
          <w:sz w:val="20"/>
        </w:rPr>
      </w:pPr>
    </w:p>
    <w:p w:rsidR="00580D5E" w:rsidRPr="00580D5E" w:rsidRDefault="00580D5E" w:rsidP="00580D5E">
      <w:pPr>
        <w:pStyle w:val="SCCLawFirm"/>
        <w:spacing w:line="240" w:lineRule="auto"/>
        <w:rPr>
          <w:sz w:val="20"/>
        </w:rPr>
      </w:pPr>
      <w:r w:rsidRPr="00580D5E">
        <w:rPr>
          <w:sz w:val="20"/>
        </w:rPr>
        <w:tab/>
        <w:t>Solicitor for the appellant:   David G. Conway, St. John’s.</w:t>
      </w:r>
    </w:p>
    <w:p w:rsidR="006955B2" w:rsidRDefault="006955B2" w:rsidP="00580D5E">
      <w:pPr>
        <w:pStyle w:val="SCCNormalDoubleSpacing"/>
        <w:spacing w:line="240" w:lineRule="auto"/>
        <w:rPr>
          <w:sz w:val="20"/>
        </w:rPr>
      </w:pPr>
    </w:p>
    <w:p w:rsidR="00580D5E" w:rsidRPr="004C3439" w:rsidRDefault="00580D5E" w:rsidP="00580D5E">
      <w:pPr>
        <w:pStyle w:val="SCCNormalDoubleSpacing"/>
        <w:spacing w:line="240" w:lineRule="auto"/>
        <w:rPr>
          <w:i/>
          <w:sz w:val="20"/>
        </w:rPr>
      </w:pPr>
      <w:r w:rsidRPr="00580D5E">
        <w:rPr>
          <w:sz w:val="20"/>
        </w:rPr>
        <w:tab/>
      </w:r>
      <w:r w:rsidRPr="004C3439">
        <w:rPr>
          <w:i/>
          <w:sz w:val="20"/>
        </w:rPr>
        <w:t xml:space="preserve">Solicitors for the respondents:  Stewart </w:t>
      </w:r>
      <w:proofErr w:type="spellStart"/>
      <w:r w:rsidRPr="004C3439">
        <w:rPr>
          <w:i/>
          <w:sz w:val="20"/>
        </w:rPr>
        <w:t>McKelvey</w:t>
      </w:r>
      <w:proofErr w:type="spellEnd"/>
      <w:r w:rsidRPr="004C3439">
        <w:rPr>
          <w:i/>
          <w:sz w:val="20"/>
        </w:rPr>
        <w:t>, St. John’s.</w:t>
      </w:r>
    </w:p>
    <w:p w:rsidR="00DC7918" w:rsidRPr="00A078F1" w:rsidRDefault="00DC7918" w:rsidP="00DC7918">
      <w:pPr>
        <w:rPr>
          <w:rFonts w:cs="Times New Roman"/>
          <w:sz w:val="20"/>
          <w:szCs w:val="20"/>
          <w:lang w:val="fr-CA"/>
        </w:rPr>
      </w:pPr>
      <w:r w:rsidRPr="00A078F1">
        <w:rPr>
          <w:rFonts w:cs="Times New Roman"/>
          <w:sz w:val="20"/>
          <w:szCs w:val="20"/>
          <w:lang w:val="fr-CA"/>
        </w:rPr>
        <w:t>________________________</w:t>
      </w:r>
    </w:p>
    <w:p w:rsidR="00DC7918" w:rsidRPr="00A078F1" w:rsidRDefault="00DC7918" w:rsidP="00DC7918">
      <w:pPr>
        <w:rPr>
          <w:rFonts w:cs="Times New Roman"/>
          <w:sz w:val="20"/>
          <w:szCs w:val="20"/>
          <w:lang w:val="fr-CA"/>
        </w:rPr>
      </w:pPr>
    </w:p>
    <w:p w:rsidR="00DC7918" w:rsidRDefault="00DC7918" w:rsidP="00DC7918">
      <w:pPr>
        <w:jc w:val="both"/>
        <w:rPr>
          <w:rFonts w:cs="Times New Roman"/>
          <w:sz w:val="20"/>
          <w:szCs w:val="20"/>
          <w:lang w:val="fr-CA"/>
        </w:rPr>
      </w:pPr>
      <w:r w:rsidRPr="00A078F1">
        <w:rPr>
          <w:rFonts w:cs="Times New Roman"/>
          <w:sz w:val="20"/>
          <w:szCs w:val="20"/>
          <w:lang w:val="fr-CA"/>
        </w:rPr>
        <w:t xml:space="preserve">Présents : </w:t>
      </w:r>
      <w:r w:rsidR="00A078F1" w:rsidRPr="00A078F1">
        <w:rPr>
          <w:rFonts w:cs="Times New Roman"/>
          <w:sz w:val="20"/>
          <w:szCs w:val="20"/>
          <w:lang w:val="fr-CA"/>
        </w:rPr>
        <w:t xml:space="preserve">La juge en chef </w:t>
      </w:r>
      <w:proofErr w:type="spellStart"/>
      <w:r w:rsidR="00A078F1" w:rsidRPr="00A078F1">
        <w:rPr>
          <w:rFonts w:cs="Times New Roman"/>
          <w:sz w:val="20"/>
          <w:szCs w:val="20"/>
          <w:lang w:val="fr-CA"/>
        </w:rPr>
        <w:t>McLachlin</w:t>
      </w:r>
      <w:proofErr w:type="spellEnd"/>
      <w:r w:rsidR="00A078F1" w:rsidRPr="00A078F1">
        <w:rPr>
          <w:rFonts w:cs="Times New Roman"/>
          <w:sz w:val="20"/>
          <w:szCs w:val="20"/>
          <w:lang w:val="fr-CA"/>
        </w:rPr>
        <w:t xml:space="preserve"> et les juges </w:t>
      </w:r>
      <w:proofErr w:type="spellStart"/>
      <w:r w:rsidR="00A078F1" w:rsidRPr="00A078F1">
        <w:rPr>
          <w:rFonts w:cs="Times New Roman"/>
          <w:sz w:val="20"/>
          <w:szCs w:val="20"/>
          <w:lang w:val="fr-CA"/>
        </w:rPr>
        <w:t>LeBel</w:t>
      </w:r>
      <w:proofErr w:type="spellEnd"/>
      <w:r w:rsidR="00A078F1" w:rsidRPr="00A078F1">
        <w:rPr>
          <w:rFonts w:cs="Times New Roman"/>
          <w:sz w:val="20"/>
          <w:szCs w:val="20"/>
          <w:lang w:val="fr-CA"/>
        </w:rPr>
        <w:t xml:space="preserve">, Deschamps, Fish, Abella, </w:t>
      </w:r>
      <w:proofErr w:type="spellStart"/>
      <w:r w:rsidR="00A078F1" w:rsidRPr="00A078F1">
        <w:rPr>
          <w:rFonts w:cs="Times New Roman"/>
          <w:sz w:val="20"/>
          <w:szCs w:val="20"/>
          <w:lang w:val="fr-CA"/>
        </w:rPr>
        <w:t>Rothstein</w:t>
      </w:r>
      <w:proofErr w:type="spellEnd"/>
      <w:r w:rsidR="00A078F1" w:rsidRPr="00A078F1">
        <w:rPr>
          <w:rFonts w:cs="Times New Roman"/>
          <w:sz w:val="20"/>
          <w:szCs w:val="20"/>
          <w:lang w:val="fr-CA"/>
        </w:rPr>
        <w:t xml:space="preserve"> et Cromwell.</w:t>
      </w:r>
    </w:p>
    <w:p w:rsidR="00A078F1" w:rsidRPr="00A078F1" w:rsidRDefault="00A078F1" w:rsidP="00A078F1">
      <w:pPr>
        <w:jc w:val="both"/>
        <w:rPr>
          <w:rFonts w:cs="Times New Roman"/>
          <w:sz w:val="20"/>
          <w:szCs w:val="20"/>
          <w:lang w:val="fr-CA"/>
        </w:rPr>
      </w:pPr>
    </w:p>
    <w:p w:rsidR="00A078F1" w:rsidRDefault="00A078F1" w:rsidP="00A078F1">
      <w:pPr>
        <w:pStyle w:val="SCCNormalDoubleSpacing"/>
        <w:spacing w:line="240" w:lineRule="auto"/>
        <w:rPr>
          <w:i/>
          <w:sz w:val="20"/>
          <w:lang w:val="fr-CA"/>
        </w:rPr>
      </w:pPr>
      <w:r w:rsidRPr="00772A4E">
        <w:rPr>
          <w:sz w:val="20"/>
          <w:lang w:val="fr-CA"/>
        </w:rPr>
        <w:lastRenderedPageBreak/>
        <w:tab/>
      </w:r>
      <w:r w:rsidRPr="00A078F1">
        <w:rPr>
          <w:i/>
          <w:sz w:val="20"/>
          <w:lang w:val="fr-CA"/>
        </w:rPr>
        <w:t xml:space="preserve">Droit administratif — Rôle et suffisance des motifs — Équité procédurale — Les motifs </w:t>
      </w:r>
      <w:proofErr w:type="spellStart"/>
      <w:r w:rsidRPr="00A078F1">
        <w:rPr>
          <w:i/>
          <w:sz w:val="20"/>
          <w:lang w:val="fr-CA"/>
        </w:rPr>
        <w:t>répondaient</w:t>
      </w:r>
      <w:r w:rsidRPr="00A078F1">
        <w:rPr>
          <w:i/>
          <w:sz w:val="20"/>
          <w:lang w:val="fr-CA"/>
        </w:rPr>
        <w:noBreakHyphen/>
        <w:t>ils</w:t>
      </w:r>
      <w:proofErr w:type="spellEnd"/>
      <w:r w:rsidRPr="00A078F1">
        <w:rPr>
          <w:i/>
          <w:sz w:val="20"/>
          <w:lang w:val="fr-CA"/>
        </w:rPr>
        <w:t xml:space="preserve"> aux critères de la justification de la décision et de la transparence et l’intelligibilité du processus décisionnel établis dans </w:t>
      </w:r>
      <w:proofErr w:type="spellStart"/>
      <w:r w:rsidRPr="00A078F1">
        <w:rPr>
          <w:i/>
          <w:sz w:val="20"/>
          <w:lang w:val="fr-CA"/>
        </w:rPr>
        <w:t>Dunsmuir</w:t>
      </w:r>
      <w:proofErr w:type="spellEnd"/>
      <w:r w:rsidRPr="00A078F1">
        <w:rPr>
          <w:i/>
          <w:sz w:val="20"/>
          <w:lang w:val="fr-CA"/>
        </w:rPr>
        <w:t>?</w:t>
      </w:r>
    </w:p>
    <w:p w:rsidR="00A078F1" w:rsidRPr="00A078F1" w:rsidRDefault="00A078F1" w:rsidP="00A078F1">
      <w:pPr>
        <w:pStyle w:val="SCCNormalDoubleSpacing"/>
        <w:spacing w:line="240" w:lineRule="auto"/>
        <w:rPr>
          <w:sz w:val="20"/>
          <w:lang w:val="fr-CA"/>
        </w:rPr>
      </w:pPr>
    </w:p>
    <w:p w:rsidR="00A078F1" w:rsidRDefault="00A078F1" w:rsidP="00A078F1">
      <w:pPr>
        <w:pStyle w:val="SCCNormalDoubleSpacing"/>
        <w:spacing w:line="240" w:lineRule="auto"/>
        <w:rPr>
          <w:sz w:val="20"/>
          <w:lang w:val="fr-FR"/>
        </w:rPr>
      </w:pPr>
      <w:r w:rsidRPr="00A078F1">
        <w:rPr>
          <w:sz w:val="20"/>
          <w:lang w:val="fr-CA"/>
        </w:rPr>
        <w:tab/>
        <w:t xml:space="preserve">Le syndicat a contesté une décision de l’arbitre ayant trait au calcul du nombre de congés annuels payés.  La question que l’arbitre devait trancher était de savoir s’il pouvait être tenu compte, dans le calcul du nombre de congés annuels payés auxquels l’employé occasionnel ayant acquis sa permanence avait droit, des heures durant lesquelles il avait travaillé à ce titre avant d’obtenir sa permanence.  Dans sa décision, l’arbitre a conclu qu’il ne fallait pas tenir compte de ces heures dans ce calcul.  En contrôle judiciaire, </w:t>
      </w:r>
      <w:r w:rsidRPr="00A078F1">
        <w:rPr>
          <w:sz w:val="20"/>
          <w:lang w:val="fr-FR"/>
        </w:rPr>
        <w:t>les motifs de l’arbitre ont été jugés insuffisants et, par conséquent, déraisonnables, et sa décision a été annulée.  Les juges majoritaires de la Cour d’appel se sont dits d’accord avec l’arbitre.</w:t>
      </w:r>
    </w:p>
    <w:p w:rsidR="00A078F1" w:rsidRPr="00A078F1" w:rsidRDefault="00A078F1" w:rsidP="00A078F1">
      <w:pPr>
        <w:pStyle w:val="SCCNormalDoubleSpacing"/>
        <w:spacing w:line="240" w:lineRule="auto"/>
        <w:rPr>
          <w:sz w:val="20"/>
          <w:lang w:val="fr-FR"/>
        </w:rPr>
      </w:pPr>
    </w:p>
    <w:p w:rsidR="00A078F1" w:rsidRDefault="00A078F1" w:rsidP="00A078F1">
      <w:pPr>
        <w:pStyle w:val="SCCNormalDoubleSpacing"/>
        <w:spacing w:line="240" w:lineRule="auto"/>
        <w:rPr>
          <w:sz w:val="20"/>
          <w:lang w:val="fr-CA"/>
        </w:rPr>
      </w:pPr>
      <w:r w:rsidRPr="00A078F1">
        <w:rPr>
          <w:sz w:val="20"/>
          <w:lang w:val="fr-FR"/>
        </w:rPr>
        <w:tab/>
      </w:r>
      <w:r w:rsidRPr="00A078F1">
        <w:rPr>
          <w:i/>
          <w:sz w:val="20"/>
          <w:lang w:val="fr-CA"/>
        </w:rPr>
        <w:t>Arrêt</w:t>
      </w:r>
      <w:r w:rsidRPr="00A078F1">
        <w:rPr>
          <w:sz w:val="20"/>
          <w:lang w:val="fr-CA"/>
        </w:rPr>
        <w:t> : Le pourvoi est rejeté.</w:t>
      </w:r>
    </w:p>
    <w:p w:rsidR="00A078F1" w:rsidRPr="00A078F1" w:rsidRDefault="00A078F1" w:rsidP="00A078F1">
      <w:pPr>
        <w:pStyle w:val="SCCNormalDoubleSpacing"/>
        <w:spacing w:line="240" w:lineRule="auto"/>
        <w:rPr>
          <w:sz w:val="20"/>
          <w:lang w:val="fr-CA"/>
        </w:rPr>
      </w:pPr>
    </w:p>
    <w:p w:rsidR="00A078F1" w:rsidRDefault="00A078F1" w:rsidP="00A078F1">
      <w:pPr>
        <w:pStyle w:val="SCCNormalDoubleSpacing"/>
        <w:spacing w:line="240" w:lineRule="auto"/>
        <w:rPr>
          <w:sz w:val="20"/>
          <w:lang w:val="fr-FR"/>
        </w:rPr>
      </w:pPr>
      <w:r w:rsidRPr="00A078F1">
        <w:rPr>
          <w:sz w:val="20"/>
          <w:lang w:val="fr-CA"/>
        </w:rPr>
        <w:tab/>
      </w:r>
      <w:proofErr w:type="spellStart"/>
      <w:r w:rsidRPr="00A078F1">
        <w:rPr>
          <w:i/>
          <w:sz w:val="20"/>
          <w:lang w:val="fr-CA"/>
        </w:rPr>
        <w:t>Dunsmuir</w:t>
      </w:r>
      <w:proofErr w:type="spellEnd"/>
      <w:r w:rsidRPr="00A078F1">
        <w:rPr>
          <w:sz w:val="20"/>
          <w:lang w:val="fr-CA"/>
        </w:rPr>
        <w:t xml:space="preserve"> a confirmé que la cour de révision appelée à statuer sur le caractère raisonnable d’une décision s’attache à « la justification de la décision, à la transparence et à l’intelligibilité du processus décisionnel ».  Cela t</w:t>
      </w:r>
      <w:proofErr w:type="spellStart"/>
      <w:r w:rsidRPr="00A078F1">
        <w:rPr>
          <w:sz w:val="20"/>
          <w:lang w:val="fr-FR"/>
        </w:rPr>
        <w:t>émoigne</w:t>
      </w:r>
      <w:proofErr w:type="spellEnd"/>
      <w:r w:rsidRPr="00A078F1">
        <w:rPr>
          <w:sz w:val="20"/>
          <w:lang w:val="fr-FR"/>
        </w:rPr>
        <w:t xml:space="preserve"> d’une reconnaissance respectueuse du vaste éventail de décideurs spécialisés qui rendent des décisions — qui paraissent souvent </w:t>
      </w:r>
      <w:proofErr w:type="spellStart"/>
      <w:r w:rsidRPr="00A078F1">
        <w:rPr>
          <w:sz w:val="20"/>
          <w:lang w:val="fr-FR"/>
        </w:rPr>
        <w:t>contre</w:t>
      </w:r>
      <w:r w:rsidRPr="00A078F1">
        <w:rPr>
          <w:sz w:val="20"/>
          <w:lang w:val="fr-FR"/>
        </w:rPr>
        <w:noBreakHyphen/>
        <w:t>intuitives</w:t>
      </w:r>
      <w:proofErr w:type="spellEnd"/>
      <w:r w:rsidRPr="00A078F1">
        <w:rPr>
          <w:sz w:val="20"/>
          <w:lang w:val="fr-FR"/>
        </w:rPr>
        <w:t xml:space="preserve"> aux yeux d’un généraliste — dans leurs sphères d’expertise, et ce en ayant recours à des concepts et des termes souvent propres à leurs champs d’activité</w:t>
      </w:r>
      <w:r w:rsidRPr="00A078F1">
        <w:rPr>
          <w:sz w:val="20"/>
          <w:lang w:val="fr-CA"/>
        </w:rPr>
        <w:t xml:space="preserve">.  </w:t>
      </w:r>
      <w:proofErr w:type="spellStart"/>
      <w:r w:rsidRPr="00A078F1">
        <w:rPr>
          <w:i/>
          <w:sz w:val="20"/>
          <w:lang w:val="fr-FR"/>
        </w:rPr>
        <w:t>Dunsmuir</w:t>
      </w:r>
      <w:proofErr w:type="spellEnd"/>
      <w:r w:rsidRPr="00A078F1">
        <w:rPr>
          <w:sz w:val="20"/>
          <w:lang w:val="fr-FR"/>
        </w:rPr>
        <w:t xml:space="preserve"> ne signifie pas que l’« insuffisance » des motifs permet à elle seule de casser une décision, ou que les cours de révision doivent effectuer deux analyses distinctes, l’une portant sur les motifs et l’autre, sur le résultat.  Il s’agit d’un exercice plus global : les motifs doivent être examinés en corrélation avec le résultat et ils doivent permettre de savoir si ce dernier fait partie des issues possibles.  Il n’est pas nécessaire que les motifs fassent référence à tous les arguments ou détails que le juge siégeant en révision aurait voulu y lire, mais cela ne met pas en doute leur validité ni celle du résultat.  S’ils permettent à la cour de révision de comprendre le fondement de la décision du tribunal et de déterminer si la conclusion fait partie des issues possibles acceptables, les motifs répondent alors aux critères établis dans </w:t>
      </w:r>
      <w:proofErr w:type="spellStart"/>
      <w:r w:rsidRPr="00A078F1">
        <w:rPr>
          <w:i/>
          <w:sz w:val="20"/>
          <w:lang w:val="fr-FR"/>
        </w:rPr>
        <w:t>Dunsmuir</w:t>
      </w:r>
      <w:proofErr w:type="spellEnd"/>
      <w:r w:rsidRPr="00A078F1">
        <w:rPr>
          <w:sz w:val="20"/>
          <w:lang w:val="fr-FR"/>
        </w:rPr>
        <w:t xml:space="preserve">.  </w:t>
      </w:r>
      <w:r w:rsidRPr="00A078F1">
        <w:rPr>
          <w:sz w:val="20"/>
          <w:lang w:val="fr-CA"/>
        </w:rPr>
        <w:t>Il</w:t>
      </w:r>
      <w:r w:rsidRPr="00A078F1">
        <w:rPr>
          <w:sz w:val="20"/>
          <w:lang w:val="fr-FR"/>
        </w:rPr>
        <w:t xml:space="preserve"> est inutile d’expliciter l’arrêt </w:t>
      </w:r>
      <w:r w:rsidRPr="00A078F1">
        <w:rPr>
          <w:i/>
          <w:sz w:val="20"/>
          <w:lang w:val="fr-FR"/>
        </w:rPr>
        <w:t>Baker</w:t>
      </w:r>
      <w:r w:rsidRPr="00A078F1">
        <w:rPr>
          <w:sz w:val="20"/>
          <w:lang w:val="fr-FR"/>
        </w:rPr>
        <w:t xml:space="preserve"> en indiquant que les lacunes ou les vices dont seraient entachés les motifs appartiennent à la catégorie des manquements à l’obligation d’équité procédurale.  Le raisonnement qui </w:t>
      </w:r>
      <w:proofErr w:type="spellStart"/>
      <w:r w:rsidRPr="00A078F1">
        <w:rPr>
          <w:sz w:val="20"/>
          <w:lang w:val="fr-FR"/>
        </w:rPr>
        <w:t>sous</w:t>
      </w:r>
      <w:r w:rsidRPr="00A078F1">
        <w:rPr>
          <w:sz w:val="20"/>
          <w:lang w:val="fr-FR"/>
        </w:rPr>
        <w:noBreakHyphen/>
        <w:t>tend</w:t>
      </w:r>
      <w:proofErr w:type="spellEnd"/>
      <w:r w:rsidRPr="00A078F1">
        <w:rPr>
          <w:sz w:val="20"/>
          <w:lang w:val="fr-FR"/>
        </w:rPr>
        <w:t xml:space="preserve"> la décision/le résultat ne peut être remis en question que dans le cadre de l’analyse du caractère raisonnable de </w:t>
      </w:r>
      <w:proofErr w:type="spellStart"/>
      <w:r w:rsidRPr="00A078F1">
        <w:rPr>
          <w:sz w:val="20"/>
          <w:lang w:val="fr-FR"/>
        </w:rPr>
        <w:t>celle</w:t>
      </w:r>
      <w:r w:rsidRPr="00A078F1">
        <w:rPr>
          <w:sz w:val="20"/>
          <w:lang w:val="fr-FR"/>
        </w:rPr>
        <w:noBreakHyphen/>
        <w:t>ci</w:t>
      </w:r>
      <w:proofErr w:type="spellEnd"/>
      <w:r w:rsidRPr="00A078F1">
        <w:rPr>
          <w:sz w:val="20"/>
          <w:lang w:val="fr-CA"/>
        </w:rPr>
        <w:t xml:space="preserve">.  </w:t>
      </w:r>
      <w:r w:rsidRPr="00A078F1">
        <w:rPr>
          <w:sz w:val="20"/>
          <w:lang w:val="fr-FR"/>
        </w:rPr>
        <w:t>En l’espèce, il ressort des motifs que l’arbitre avait bien saisi la question en litige et qu’il est parvenu à un résultat faisant sans aucun doute partie des issues possibles raisonnables.</w:t>
      </w:r>
    </w:p>
    <w:p w:rsidR="00A078F1" w:rsidRPr="00A078F1" w:rsidRDefault="00A078F1" w:rsidP="00A078F1">
      <w:pPr>
        <w:pStyle w:val="SCCNormalDoubleSpacing"/>
        <w:spacing w:line="240" w:lineRule="auto"/>
        <w:rPr>
          <w:sz w:val="20"/>
          <w:lang w:val="fr-CA"/>
        </w:rPr>
      </w:pPr>
    </w:p>
    <w:p w:rsidR="00A078F1" w:rsidRDefault="00A078F1" w:rsidP="00A078F1">
      <w:pPr>
        <w:pStyle w:val="SCCNormalDoubleSpacing"/>
        <w:spacing w:line="240" w:lineRule="auto"/>
        <w:rPr>
          <w:sz w:val="20"/>
          <w:lang w:val="fr-CA"/>
        </w:rPr>
      </w:pPr>
      <w:r w:rsidRPr="00A078F1">
        <w:rPr>
          <w:sz w:val="20"/>
          <w:lang w:val="fr-CA"/>
        </w:rPr>
        <w:t xml:space="preserve">POURVOI contre un arrêt de la Cour d’appel de </w:t>
      </w:r>
      <w:proofErr w:type="spellStart"/>
      <w:r w:rsidRPr="00A078F1">
        <w:rPr>
          <w:sz w:val="20"/>
          <w:lang w:val="fr-CA"/>
        </w:rPr>
        <w:t>Terre</w:t>
      </w:r>
      <w:r w:rsidRPr="00A078F1">
        <w:rPr>
          <w:sz w:val="20"/>
          <w:lang w:val="fr-CA"/>
        </w:rPr>
        <w:noBreakHyphen/>
        <w:t>Neuve</w:t>
      </w:r>
      <w:r w:rsidRPr="00A078F1">
        <w:rPr>
          <w:sz w:val="20"/>
          <w:lang w:val="fr-CA"/>
        </w:rPr>
        <w:noBreakHyphen/>
        <w:t>et</w:t>
      </w:r>
      <w:r w:rsidRPr="00A078F1">
        <w:rPr>
          <w:sz w:val="20"/>
          <w:lang w:val="fr-CA"/>
        </w:rPr>
        <w:noBreakHyphen/>
        <w:t>Labrador</w:t>
      </w:r>
      <w:proofErr w:type="spellEnd"/>
      <w:r w:rsidRPr="00A078F1">
        <w:rPr>
          <w:sz w:val="20"/>
          <w:lang w:val="fr-CA"/>
        </w:rPr>
        <w:t xml:space="preserve"> (les juges Cameron, </w:t>
      </w:r>
      <w:proofErr w:type="spellStart"/>
      <w:r w:rsidRPr="00A078F1">
        <w:rPr>
          <w:sz w:val="20"/>
          <w:lang w:val="fr-CA"/>
        </w:rPr>
        <w:t>Welsh</w:t>
      </w:r>
      <w:proofErr w:type="spellEnd"/>
      <w:r w:rsidRPr="00A078F1">
        <w:rPr>
          <w:sz w:val="20"/>
          <w:lang w:val="fr-CA"/>
        </w:rPr>
        <w:t xml:space="preserve"> et </w:t>
      </w:r>
      <w:proofErr w:type="spellStart"/>
      <w:r w:rsidRPr="00A078F1">
        <w:rPr>
          <w:sz w:val="20"/>
          <w:lang w:val="fr-CA"/>
        </w:rPr>
        <w:t>Mercer</w:t>
      </w:r>
      <w:proofErr w:type="spellEnd"/>
      <w:r w:rsidRPr="00A078F1">
        <w:rPr>
          <w:sz w:val="20"/>
          <w:lang w:val="fr-CA"/>
        </w:rPr>
        <w:t>), 2010 NLCA 13, 294 Nfld. &amp; P.E.I.R. 161, 908 A.P.R. 161, 190 L.A.C. (4th) 385, 2010 CLLC ¶220</w:t>
      </w:r>
      <w:r w:rsidRPr="00A078F1">
        <w:rPr>
          <w:sz w:val="20"/>
          <w:lang w:val="fr-CA"/>
        </w:rPr>
        <w:noBreakHyphen/>
        <w:t xml:space="preserve">017, [2010] N.J. No. 63 (QL), 2010 </w:t>
      </w:r>
      <w:proofErr w:type="spellStart"/>
      <w:r w:rsidRPr="00A078F1">
        <w:rPr>
          <w:sz w:val="20"/>
          <w:lang w:val="fr-CA"/>
        </w:rPr>
        <w:t>CarswellNfld</w:t>
      </w:r>
      <w:proofErr w:type="spellEnd"/>
      <w:r w:rsidRPr="00A078F1">
        <w:rPr>
          <w:sz w:val="20"/>
          <w:lang w:val="fr-CA"/>
        </w:rPr>
        <w:t xml:space="preserve"> 49, qui a infirmé une décision du juge </w:t>
      </w:r>
      <w:proofErr w:type="spellStart"/>
      <w:r w:rsidRPr="00A078F1">
        <w:rPr>
          <w:sz w:val="20"/>
          <w:lang w:val="fr-CA"/>
        </w:rPr>
        <w:t>Orsborn</w:t>
      </w:r>
      <w:proofErr w:type="spellEnd"/>
      <w:r w:rsidRPr="00A078F1">
        <w:rPr>
          <w:sz w:val="20"/>
          <w:lang w:val="fr-CA"/>
        </w:rPr>
        <w:t xml:space="preserve">, 2008 NLTD 200, 283 Nfld. </w:t>
      </w:r>
      <w:r w:rsidRPr="00A078F1">
        <w:rPr>
          <w:sz w:val="20"/>
          <w:lang w:val="en-US"/>
        </w:rPr>
        <w:t>&amp; P.E.I.R. 170, 873 A.P.R. 170, [2008] N.J. No. </w:t>
      </w:r>
      <w:proofErr w:type="gramStart"/>
      <w:r w:rsidRPr="00A078F1">
        <w:rPr>
          <w:sz w:val="20"/>
          <w:lang w:val="en-US"/>
        </w:rPr>
        <w:t xml:space="preserve">364 (QL), 2008 </w:t>
      </w:r>
      <w:proofErr w:type="spellStart"/>
      <w:r w:rsidRPr="00A078F1">
        <w:rPr>
          <w:sz w:val="20"/>
          <w:lang w:val="en-US"/>
        </w:rPr>
        <w:t>CarswellNfld</w:t>
      </w:r>
      <w:proofErr w:type="spellEnd"/>
      <w:r w:rsidRPr="00A078F1">
        <w:rPr>
          <w:sz w:val="20"/>
          <w:lang w:val="en-US"/>
        </w:rPr>
        <w:t xml:space="preserve"> 332.</w:t>
      </w:r>
      <w:proofErr w:type="gramEnd"/>
      <w:r w:rsidRPr="00A078F1">
        <w:rPr>
          <w:sz w:val="20"/>
          <w:lang w:val="en-US"/>
        </w:rPr>
        <w:t xml:space="preserve">  </w:t>
      </w:r>
      <w:r w:rsidRPr="00A078F1">
        <w:rPr>
          <w:sz w:val="20"/>
          <w:lang w:val="fr-CA"/>
        </w:rPr>
        <w:t>Pourvoi rejeté.</w:t>
      </w:r>
    </w:p>
    <w:p w:rsidR="00A078F1" w:rsidRPr="00A078F1" w:rsidRDefault="00A078F1" w:rsidP="00A078F1">
      <w:pPr>
        <w:pStyle w:val="SCCNormalDoubleSpacing"/>
        <w:spacing w:line="240" w:lineRule="auto"/>
        <w:rPr>
          <w:sz w:val="20"/>
          <w:lang w:val="fr-CA"/>
        </w:rPr>
      </w:pPr>
    </w:p>
    <w:p w:rsidR="00A078F1" w:rsidRDefault="00A078F1" w:rsidP="00A078F1">
      <w:pPr>
        <w:pStyle w:val="SCCNormalDoubleSpacing"/>
        <w:spacing w:line="240" w:lineRule="auto"/>
        <w:rPr>
          <w:sz w:val="20"/>
          <w:lang w:val="fr-CA"/>
        </w:rPr>
      </w:pPr>
      <w:r w:rsidRPr="00A078F1">
        <w:rPr>
          <w:i/>
          <w:sz w:val="20"/>
          <w:lang w:val="fr-CA"/>
        </w:rPr>
        <w:tab/>
        <w:t xml:space="preserve">David G. </w:t>
      </w:r>
      <w:proofErr w:type="spellStart"/>
      <w:r w:rsidRPr="00A078F1">
        <w:rPr>
          <w:i/>
          <w:sz w:val="20"/>
          <w:lang w:val="fr-CA"/>
        </w:rPr>
        <w:t>Conway</w:t>
      </w:r>
      <w:proofErr w:type="spellEnd"/>
      <w:r w:rsidRPr="00A078F1">
        <w:rPr>
          <w:sz w:val="20"/>
          <w:lang w:val="fr-CA"/>
        </w:rPr>
        <w:t xml:space="preserve"> et </w:t>
      </w:r>
      <w:r w:rsidRPr="00A078F1">
        <w:rPr>
          <w:i/>
          <w:sz w:val="20"/>
          <w:lang w:val="fr-CA"/>
        </w:rPr>
        <w:t xml:space="preserve">Tracey L. </w:t>
      </w:r>
      <w:proofErr w:type="spellStart"/>
      <w:r w:rsidRPr="00A078F1">
        <w:rPr>
          <w:i/>
          <w:sz w:val="20"/>
          <w:lang w:val="fr-CA"/>
        </w:rPr>
        <w:t>Trahey</w:t>
      </w:r>
      <w:proofErr w:type="spellEnd"/>
      <w:r w:rsidRPr="00A078F1">
        <w:rPr>
          <w:sz w:val="20"/>
          <w:lang w:val="fr-CA"/>
        </w:rPr>
        <w:t>, pour l’appelante.</w:t>
      </w:r>
    </w:p>
    <w:p w:rsidR="00A078F1" w:rsidRPr="00A078F1" w:rsidRDefault="00A078F1" w:rsidP="00A078F1">
      <w:pPr>
        <w:pStyle w:val="SCCNormalDoubleSpacing"/>
        <w:spacing w:line="240" w:lineRule="auto"/>
        <w:rPr>
          <w:sz w:val="20"/>
          <w:lang w:val="fr-CA"/>
        </w:rPr>
      </w:pPr>
    </w:p>
    <w:p w:rsidR="00A078F1" w:rsidRDefault="00A078F1" w:rsidP="00A078F1">
      <w:pPr>
        <w:pStyle w:val="SCCNormalDoubleSpacing"/>
        <w:spacing w:line="240" w:lineRule="auto"/>
        <w:rPr>
          <w:sz w:val="20"/>
          <w:lang w:val="fr-CA"/>
        </w:rPr>
      </w:pPr>
      <w:r w:rsidRPr="00A078F1">
        <w:rPr>
          <w:i/>
          <w:sz w:val="20"/>
          <w:lang w:val="fr-CA"/>
        </w:rPr>
        <w:tab/>
        <w:t xml:space="preserve">Stephen F. </w:t>
      </w:r>
      <w:proofErr w:type="spellStart"/>
      <w:r w:rsidRPr="00A078F1">
        <w:rPr>
          <w:i/>
          <w:sz w:val="20"/>
          <w:lang w:val="fr-CA"/>
        </w:rPr>
        <w:t>Penney</w:t>
      </w:r>
      <w:proofErr w:type="spellEnd"/>
      <w:r w:rsidRPr="00A078F1">
        <w:rPr>
          <w:i/>
          <w:sz w:val="20"/>
          <w:lang w:val="fr-CA"/>
        </w:rPr>
        <w:t xml:space="preserve"> et Jeffrey </w:t>
      </w:r>
      <w:proofErr w:type="spellStart"/>
      <w:r w:rsidRPr="00A078F1">
        <w:rPr>
          <w:i/>
          <w:sz w:val="20"/>
          <w:lang w:val="fr-CA"/>
        </w:rPr>
        <w:t>Beedell</w:t>
      </w:r>
      <w:proofErr w:type="spellEnd"/>
      <w:r w:rsidRPr="00A078F1">
        <w:rPr>
          <w:sz w:val="20"/>
          <w:lang w:val="fr-CA"/>
        </w:rPr>
        <w:t>, pour les intimées.</w:t>
      </w:r>
    </w:p>
    <w:p w:rsidR="00A078F1" w:rsidRPr="00A078F1" w:rsidRDefault="00A078F1" w:rsidP="00A078F1">
      <w:pPr>
        <w:pStyle w:val="SCCNormalDoubleSpacing"/>
        <w:spacing w:line="240" w:lineRule="auto"/>
        <w:rPr>
          <w:sz w:val="20"/>
          <w:lang w:val="fr-CA"/>
        </w:rPr>
      </w:pPr>
    </w:p>
    <w:p w:rsidR="00A078F1" w:rsidRDefault="00A078F1" w:rsidP="00A078F1">
      <w:pPr>
        <w:pStyle w:val="SCCLawFirm"/>
        <w:spacing w:line="240" w:lineRule="auto"/>
        <w:rPr>
          <w:sz w:val="20"/>
        </w:rPr>
      </w:pPr>
      <w:r w:rsidRPr="00A078F1">
        <w:rPr>
          <w:sz w:val="20"/>
          <w:lang w:val="fr-CA"/>
        </w:rPr>
        <w:tab/>
      </w:r>
      <w:proofErr w:type="spellStart"/>
      <w:r w:rsidRPr="00A078F1">
        <w:rPr>
          <w:sz w:val="20"/>
        </w:rPr>
        <w:t>Procureur</w:t>
      </w:r>
      <w:proofErr w:type="spellEnd"/>
      <w:r w:rsidRPr="00A078F1">
        <w:rPr>
          <w:sz w:val="20"/>
        </w:rPr>
        <w:t xml:space="preserve"> de </w:t>
      </w:r>
      <w:proofErr w:type="spellStart"/>
      <w:proofErr w:type="gramStart"/>
      <w:r w:rsidRPr="00A078F1">
        <w:rPr>
          <w:sz w:val="20"/>
        </w:rPr>
        <w:t>l’appelante</w:t>
      </w:r>
      <w:proofErr w:type="spellEnd"/>
      <w:r w:rsidRPr="00A078F1">
        <w:rPr>
          <w:sz w:val="20"/>
        </w:rPr>
        <w:t> :</w:t>
      </w:r>
      <w:proofErr w:type="gramEnd"/>
      <w:r w:rsidRPr="00A078F1">
        <w:rPr>
          <w:sz w:val="20"/>
        </w:rPr>
        <w:t> David G. Conway, St. John’s.</w:t>
      </w:r>
    </w:p>
    <w:p w:rsidR="00A078F1" w:rsidRDefault="00A078F1" w:rsidP="00A078F1">
      <w:pPr>
        <w:pStyle w:val="SCCLawFirm"/>
        <w:spacing w:line="240" w:lineRule="auto"/>
        <w:rPr>
          <w:sz w:val="20"/>
        </w:rPr>
      </w:pPr>
    </w:p>
    <w:p w:rsidR="00A078F1" w:rsidRPr="00A078F1" w:rsidRDefault="00A078F1" w:rsidP="00A078F1">
      <w:pPr>
        <w:pStyle w:val="SCCLawFirm"/>
        <w:spacing w:line="240" w:lineRule="auto"/>
        <w:rPr>
          <w:sz w:val="20"/>
        </w:rPr>
      </w:pPr>
      <w:r w:rsidRPr="00A078F1">
        <w:rPr>
          <w:sz w:val="20"/>
        </w:rPr>
        <w:tab/>
      </w:r>
      <w:proofErr w:type="spellStart"/>
      <w:r w:rsidRPr="00A078F1">
        <w:rPr>
          <w:sz w:val="20"/>
        </w:rPr>
        <w:t>Procureurs</w:t>
      </w:r>
      <w:proofErr w:type="spellEnd"/>
      <w:r w:rsidRPr="00A078F1">
        <w:rPr>
          <w:sz w:val="20"/>
        </w:rPr>
        <w:t xml:space="preserve"> des </w:t>
      </w:r>
      <w:proofErr w:type="spellStart"/>
      <w:proofErr w:type="gramStart"/>
      <w:r w:rsidRPr="00A078F1">
        <w:rPr>
          <w:sz w:val="20"/>
        </w:rPr>
        <w:t>intimées</w:t>
      </w:r>
      <w:proofErr w:type="spellEnd"/>
      <w:r w:rsidRPr="00A078F1">
        <w:rPr>
          <w:sz w:val="20"/>
        </w:rPr>
        <w:t> :</w:t>
      </w:r>
      <w:proofErr w:type="gramEnd"/>
      <w:r w:rsidRPr="00A078F1">
        <w:rPr>
          <w:sz w:val="20"/>
        </w:rPr>
        <w:t xml:space="preserve"> Stewart </w:t>
      </w:r>
      <w:proofErr w:type="spellStart"/>
      <w:r w:rsidRPr="00A078F1">
        <w:rPr>
          <w:sz w:val="20"/>
        </w:rPr>
        <w:t>McKelvey</w:t>
      </w:r>
      <w:proofErr w:type="spellEnd"/>
      <w:r w:rsidRPr="00A078F1">
        <w:rPr>
          <w:sz w:val="20"/>
        </w:rPr>
        <w:t>, St. John’s.</w:t>
      </w:r>
    </w:p>
    <w:p w:rsidR="00A078F1" w:rsidRPr="00453E72" w:rsidRDefault="00A078F1" w:rsidP="00DC7918">
      <w:pPr>
        <w:jc w:val="both"/>
        <w:rPr>
          <w:rFonts w:cs="Times New Roman"/>
          <w:sz w:val="20"/>
          <w:szCs w:val="20"/>
          <w:lang w:val="fr-CA"/>
        </w:rPr>
      </w:pPr>
    </w:p>
    <w:p w:rsidR="00DC7918" w:rsidRPr="00453E72" w:rsidRDefault="00DB7F13" w:rsidP="00DC7918">
      <w:pPr>
        <w:rPr>
          <w:lang w:val="fr-CA"/>
        </w:rPr>
      </w:pPr>
      <w:r w:rsidRPr="00DB7F13">
        <w:rPr>
          <w:rFonts w:cs="Times New Roman"/>
          <w:sz w:val="20"/>
          <w:szCs w:val="20"/>
          <w:lang w:val="fr-CA"/>
        </w:rPr>
        <w:pict>
          <v:rect id="_x0000_i1083" style="width:144.3pt;height:1pt" o:hrpct="300" o:hralign="center" o:hrstd="t" o:hrnoshade="t" o:hr="t" fillcolor="black [3213]" stroked="f"/>
        </w:pict>
      </w:r>
      <w:r w:rsidR="00DC7918" w:rsidRPr="00453E72">
        <w:rPr>
          <w:lang w:val="fr-CA"/>
        </w:rPr>
        <w:br w:type="page"/>
      </w:r>
    </w:p>
    <w:p w:rsidR="00453E72" w:rsidRDefault="00453E72" w:rsidP="00DC7918">
      <w:pPr>
        <w:rPr>
          <w:rFonts w:cs="Times New Roman"/>
          <w:i/>
          <w:sz w:val="20"/>
          <w:szCs w:val="20"/>
        </w:rPr>
      </w:pPr>
      <w:proofErr w:type="spellStart"/>
      <w:proofErr w:type="gramStart"/>
      <w:r w:rsidRPr="00453E72">
        <w:rPr>
          <w:rFonts w:cs="Times New Roman"/>
          <w:i/>
          <w:sz w:val="20"/>
          <w:szCs w:val="20"/>
        </w:rPr>
        <w:lastRenderedPageBreak/>
        <w:t>Copthorne</w:t>
      </w:r>
      <w:proofErr w:type="spellEnd"/>
      <w:r w:rsidRPr="00453E72">
        <w:rPr>
          <w:rFonts w:cs="Times New Roman"/>
          <w:i/>
          <w:sz w:val="20"/>
          <w:szCs w:val="20"/>
        </w:rPr>
        <w:t xml:space="preserve"> Holdings Ltd. v.</w:t>
      </w:r>
      <w:proofErr w:type="gramEnd"/>
      <w:r w:rsidRPr="00453E72">
        <w:rPr>
          <w:rFonts w:cs="Times New Roman"/>
          <w:i/>
          <w:sz w:val="20"/>
          <w:szCs w:val="20"/>
        </w:rPr>
        <w:t xml:space="preserve"> Her Majesty the Queen </w:t>
      </w:r>
      <w:r w:rsidRPr="00453E72">
        <w:rPr>
          <w:rFonts w:cs="Times New Roman"/>
          <w:sz w:val="20"/>
          <w:szCs w:val="20"/>
        </w:rPr>
        <w:t>(F.C.) (33283)</w:t>
      </w:r>
    </w:p>
    <w:p w:rsidR="00DC7918" w:rsidRPr="00B41058" w:rsidRDefault="00DC7918" w:rsidP="00DC7918">
      <w:pPr>
        <w:jc w:val="both"/>
        <w:rPr>
          <w:rFonts w:cs="Times New Roman"/>
          <w:b/>
          <w:sz w:val="20"/>
          <w:szCs w:val="20"/>
        </w:rPr>
      </w:pPr>
      <w:r w:rsidRPr="00B41058">
        <w:rPr>
          <w:rFonts w:cs="Times New Roman"/>
          <w:b/>
          <w:sz w:val="20"/>
          <w:szCs w:val="20"/>
        </w:rPr>
        <w:t>Indexed as:  </w:t>
      </w:r>
      <w:proofErr w:type="spellStart"/>
      <w:r w:rsidR="00B41058" w:rsidRPr="00B41058">
        <w:rPr>
          <w:rFonts w:cs="Times New Roman"/>
          <w:b/>
          <w:sz w:val="20"/>
          <w:szCs w:val="20"/>
        </w:rPr>
        <w:t>Copthorne</w:t>
      </w:r>
      <w:proofErr w:type="spellEnd"/>
      <w:r w:rsidR="00B41058" w:rsidRPr="00B41058">
        <w:rPr>
          <w:rFonts w:cs="Times New Roman"/>
          <w:b/>
          <w:sz w:val="20"/>
          <w:szCs w:val="20"/>
        </w:rPr>
        <w:t xml:space="preserve"> Holdings Ltd. v. Canada </w:t>
      </w:r>
      <w:r w:rsidRPr="00B41058">
        <w:rPr>
          <w:rStyle w:val="SCCRespondentForIndexChar"/>
          <w:rFonts w:eastAsiaTheme="minorHAnsi"/>
          <w:sz w:val="20"/>
        </w:rPr>
        <w:t xml:space="preserve">/ </w:t>
      </w:r>
      <w:proofErr w:type="spellStart"/>
      <w:proofErr w:type="gramStart"/>
      <w:r w:rsidRPr="00B41058">
        <w:rPr>
          <w:rFonts w:cs="Times New Roman"/>
          <w:b/>
          <w:sz w:val="20"/>
          <w:szCs w:val="20"/>
        </w:rPr>
        <w:t>Répertorié</w:t>
      </w:r>
      <w:proofErr w:type="spellEnd"/>
      <w:r w:rsidRPr="00B41058">
        <w:rPr>
          <w:rFonts w:cs="Times New Roman"/>
          <w:b/>
          <w:sz w:val="20"/>
          <w:szCs w:val="20"/>
        </w:rPr>
        <w:t> :</w:t>
      </w:r>
      <w:proofErr w:type="gramEnd"/>
      <w:r w:rsidRPr="00B41058">
        <w:rPr>
          <w:rFonts w:cs="Times New Roman"/>
          <w:b/>
          <w:sz w:val="20"/>
          <w:szCs w:val="20"/>
        </w:rPr>
        <w:t> </w:t>
      </w:r>
      <w:proofErr w:type="spellStart"/>
      <w:r w:rsidR="00B41058" w:rsidRPr="00B41058">
        <w:rPr>
          <w:rFonts w:cs="Times New Roman"/>
          <w:b/>
          <w:sz w:val="20"/>
          <w:szCs w:val="20"/>
        </w:rPr>
        <w:t>Copthorne</w:t>
      </w:r>
      <w:proofErr w:type="spellEnd"/>
      <w:r w:rsidR="00B41058" w:rsidRPr="00B41058">
        <w:rPr>
          <w:rFonts w:cs="Times New Roman"/>
          <w:b/>
          <w:sz w:val="20"/>
          <w:szCs w:val="20"/>
        </w:rPr>
        <w:t xml:space="preserve"> Holdings Ltd. c. Canada</w:t>
      </w:r>
    </w:p>
    <w:p w:rsidR="00DC7918" w:rsidRPr="00453E72" w:rsidRDefault="00453E72" w:rsidP="00DC7918">
      <w:pPr>
        <w:pStyle w:val="SCCSystemYear"/>
        <w:jc w:val="both"/>
        <w:rPr>
          <w:sz w:val="20"/>
        </w:rPr>
      </w:pPr>
      <w:proofErr w:type="spellStart"/>
      <w:r w:rsidRPr="00B41058">
        <w:rPr>
          <w:sz w:val="20"/>
        </w:rPr>
        <w:t>Neutral</w:t>
      </w:r>
      <w:proofErr w:type="spellEnd"/>
      <w:r w:rsidRPr="00453E72">
        <w:rPr>
          <w:sz w:val="20"/>
        </w:rPr>
        <w:t xml:space="preserve"> citation</w:t>
      </w:r>
      <w:proofErr w:type="gramStart"/>
      <w:r w:rsidRPr="00453E72">
        <w:rPr>
          <w:sz w:val="20"/>
        </w:rPr>
        <w:t>:  2011</w:t>
      </w:r>
      <w:proofErr w:type="gramEnd"/>
      <w:r w:rsidRPr="00453E72">
        <w:rPr>
          <w:sz w:val="20"/>
        </w:rPr>
        <w:t xml:space="preserve"> SCC 63</w:t>
      </w:r>
      <w:r w:rsidR="00DC7918" w:rsidRPr="00453E72">
        <w:rPr>
          <w:sz w:val="20"/>
        </w:rPr>
        <w:t xml:space="preserve"> / Référence neutre : 2011 CSC 6</w:t>
      </w:r>
      <w:r w:rsidRPr="00453E72">
        <w:rPr>
          <w:sz w:val="20"/>
        </w:rPr>
        <w:t>3</w:t>
      </w:r>
    </w:p>
    <w:p w:rsidR="00DC7918" w:rsidRPr="00453E72" w:rsidRDefault="00DC7918" w:rsidP="00DC7918">
      <w:pPr>
        <w:rPr>
          <w:rFonts w:cs="Times New Roman"/>
          <w:sz w:val="20"/>
          <w:szCs w:val="20"/>
          <w:lang w:val="fr-CA"/>
        </w:rPr>
      </w:pPr>
      <w:proofErr w:type="spellStart"/>
      <w:r w:rsidRPr="00453E72">
        <w:rPr>
          <w:rFonts w:cs="Times New Roman"/>
          <w:sz w:val="20"/>
          <w:szCs w:val="20"/>
          <w:lang w:val="fr-CA"/>
        </w:rPr>
        <w:t>Hearing</w:t>
      </w:r>
      <w:proofErr w:type="spellEnd"/>
      <w:proofErr w:type="gramStart"/>
      <w:r w:rsidRPr="00453E72">
        <w:rPr>
          <w:rFonts w:cs="Times New Roman"/>
          <w:sz w:val="20"/>
          <w:szCs w:val="20"/>
          <w:lang w:val="fr-CA"/>
        </w:rPr>
        <w:t xml:space="preserve">:  </w:t>
      </w:r>
      <w:proofErr w:type="spellStart"/>
      <w:r w:rsidR="00453E72" w:rsidRPr="00453E72">
        <w:rPr>
          <w:rFonts w:cs="Times New Roman"/>
          <w:sz w:val="20"/>
          <w:szCs w:val="20"/>
          <w:lang w:val="fr-CA"/>
        </w:rPr>
        <w:t>January</w:t>
      </w:r>
      <w:proofErr w:type="spellEnd"/>
      <w:proofErr w:type="gramEnd"/>
      <w:r w:rsidRPr="00453E72">
        <w:rPr>
          <w:rFonts w:cs="Times New Roman"/>
          <w:sz w:val="20"/>
          <w:szCs w:val="20"/>
          <w:lang w:val="fr-CA"/>
        </w:rPr>
        <w:t xml:space="preserve"> </w:t>
      </w:r>
      <w:r w:rsidR="00453E72" w:rsidRPr="00453E72">
        <w:rPr>
          <w:rFonts w:cs="Times New Roman"/>
          <w:sz w:val="20"/>
          <w:szCs w:val="20"/>
          <w:lang w:val="fr-CA"/>
        </w:rPr>
        <w:t>21</w:t>
      </w:r>
      <w:r w:rsidRPr="00453E72">
        <w:rPr>
          <w:rFonts w:cs="Times New Roman"/>
          <w:sz w:val="20"/>
          <w:szCs w:val="20"/>
          <w:lang w:val="fr-CA"/>
        </w:rPr>
        <w:t xml:space="preserve">, 2011 / </w:t>
      </w:r>
      <w:proofErr w:type="spellStart"/>
      <w:r w:rsidRPr="00453E72">
        <w:rPr>
          <w:rFonts w:cs="Times New Roman"/>
          <w:sz w:val="20"/>
          <w:szCs w:val="20"/>
          <w:lang w:val="fr-CA"/>
        </w:rPr>
        <w:t>Judgment</w:t>
      </w:r>
      <w:proofErr w:type="spellEnd"/>
      <w:r w:rsidRPr="00453E72">
        <w:rPr>
          <w:rFonts w:cs="Times New Roman"/>
          <w:sz w:val="20"/>
          <w:szCs w:val="20"/>
          <w:lang w:val="fr-CA"/>
        </w:rPr>
        <w:t xml:space="preserve">:  </w:t>
      </w:r>
      <w:proofErr w:type="spellStart"/>
      <w:r w:rsidRPr="00453E72">
        <w:rPr>
          <w:rFonts w:cs="Times New Roman"/>
          <w:sz w:val="20"/>
          <w:szCs w:val="20"/>
          <w:lang w:val="fr-CA"/>
        </w:rPr>
        <w:t>December</w:t>
      </w:r>
      <w:proofErr w:type="spellEnd"/>
      <w:r w:rsidRPr="00453E72">
        <w:rPr>
          <w:rFonts w:cs="Times New Roman"/>
          <w:sz w:val="20"/>
          <w:szCs w:val="20"/>
          <w:lang w:val="fr-CA"/>
        </w:rPr>
        <w:t xml:space="preserve"> 1</w:t>
      </w:r>
      <w:r w:rsidR="00453E72" w:rsidRPr="00453E72">
        <w:rPr>
          <w:rFonts w:cs="Times New Roman"/>
          <w:sz w:val="20"/>
          <w:szCs w:val="20"/>
          <w:lang w:val="fr-CA"/>
        </w:rPr>
        <w:t>6</w:t>
      </w:r>
      <w:r w:rsidRPr="00453E72">
        <w:rPr>
          <w:rFonts w:cs="Times New Roman"/>
          <w:sz w:val="20"/>
          <w:szCs w:val="20"/>
          <w:lang w:val="fr-CA"/>
        </w:rPr>
        <w:t>, 2011</w:t>
      </w:r>
    </w:p>
    <w:p w:rsidR="00DC7918" w:rsidRPr="00453E72" w:rsidRDefault="00DC7918" w:rsidP="00DC7918">
      <w:pPr>
        <w:rPr>
          <w:rFonts w:cs="Times New Roman"/>
          <w:sz w:val="20"/>
          <w:szCs w:val="20"/>
          <w:lang w:val="fr-CA"/>
        </w:rPr>
      </w:pPr>
      <w:r w:rsidRPr="00453E72">
        <w:rPr>
          <w:rFonts w:cs="Times New Roman"/>
          <w:sz w:val="20"/>
          <w:szCs w:val="20"/>
          <w:lang w:val="fr-CA"/>
        </w:rPr>
        <w:t xml:space="preserve">Audition : Le </w:t>
      </w:r>
      <w:r w:rsidR="00453E72" w:rsidRPr="00453E72">
        <w:rPr>
          <w:rFonts w:cs="Times New Roman"/>
          <w:sz w:val="20"/>
          <w:szCs w:val="20"/>
          <w:lang w:val="fr-CA"/>
        </w:rPr>
        <w:t>2</w:t>
      </w:r>
      <w:r w:rsidRPr="00453E72">
        <w:rPr>
          <w:rFonts w:cs="Times New Roman"/>
          <w:sz w:val="20"/>
          <w:szCs w:val="20"/>
          <w:lang w:val="fr-CA"/>
        </w:rPr>
        <w:t xml:space="preserve">1 </w:t>
      </w:r>
      <w:r w:rsidR="00453E72" w:rsidRPr="00453E72">
        <w:rPr>
          <w:rFonts w:cs="Times New Roman"/>
          <w:sz w:val="20"/>
          <w:szCs w:val="20"/>
          <w:lang w:val="fr-CA"/>
        </w:rPr>
        <w:t>janvi</w:t>
      </w:r>
      <w:r w:rsidRPr="00453E72">
        <w:rPr>
          <w:rFonts w:cs="Times New Roman"/>
          <w:sz w:val="20"/>
          <w:szCs w:val="20"/>
          <w:lang w:val="fr-CA"/>
        </w:rPr>
        <w:t>er 2011 / Jugement : Le 1</w:t>
      </w:r>
      <w:r w:rsidR="00453E72" w:rsidRPr="00453E72">
        <w:rPr>
          <w:rFonts w:cs="Times New Roman"/>
          <w:sz w:val="20"/>
          <w:szCs w:val="20"/>
          <w:lang w:val="fr-CA"/>
        </w:rPr>
        <w:t>6</w:t>
      </w:r>
      <w:r w:rsidRPr="00453E72">
        <w:rPr>
          <w:rFonts w:cs="Times New Roman"/>
          <w:sz w:val="20"/>
          <w:szCs w:val="20"/>
          <w:lang w:val="fr-CA"/>
        </w:rPr>
        <w:t xml:space="preserve"> décembre 2011</w:t>
      </w:r>
    </w:p>
    <w:p w:rsidR="00DC7918" w:rsidRPr="00EA62D3" w:rsidRDefault="00DB7F13" w:rsidP="00DC7918">
      <w:pPr>
        <w:rPr>
          <w:rFonts w:cs="Times New Roman"/>
          <w:color w:val="FF0000"/>
          <w:sz w:val="20"/>
          <w:szCs w:val="20"/>
          <w:lang w:val="fr-CA"/>
        </w:rPr>
      </w:pPr>
      <w:r w:rsidRPr="00DB7F13">
        <w:rPr>
          <w:rFonts w:cs="Times New Roman"/>
          <w:i/>
          <w:color w:val="FF0000"/>
          <w:sz w:val="20"/>
          <w:szCs w:val="20"/>
        </w:rPr>
        <w:pict>
          <v:rect id="_x0000_i1084" style="width:480.95pt;height:1pt" o:hralign="center" o:hrstd="t" o:hrnoshade="t" o:hr="t" fillcolor="black [3213]" stroked="f"/>
        </w:pict>
      </w:r>
    </w:p>
    <w:p w:rsidR="00DC7918" w:rsidRPr="00B41058" w:rsidRDefault="00DC7918" w:rsidP="00DC7918">
      <w:pPr>
        <w:rPr>
          <w:rFonts w:cs="Times New Roman"/>
          <w:sz w:val="20"/>
          <w:szCs w:val="20"/>
          <w:lang w:val="fr-CA"/>
        </w:rPr>
      </w:pPr>
    </w:p>
    <w:p w:rsidR="00DC7918" w:rsidRPr="00B41058" w:rsidRDefault="00DC7918" w:rsidP="00DC7918">
      <w:pPr>
        <w:rPr>
          <w:rFonts w:cs="Times New Roman"/>
          <w:sz w:val="20"/>
          <w:szCs w:val="20"/>
        </w:rPr>
      </w:pPr>
      <w:r w:rsidRPr="00B41058">
        <w:rPr>
          <w:rFonts w:cs="Times New Roman"/>
          <w:sz w:val="20"/>
          <w:szCs w:val="20"/>
        </w:rPr>
        <w:t xml:space="preserve">Present:  </w:t>
      </w:r>
      <w:proofErr w:type="spellStart"/>
      <w:r w:rsidR="00B41058" w:rsidRPr="00B41058">
        <w:rPr>
          <w:rFonts w:cs="Times New Roman"/>
          <w:sz w:val="20"/>
          <w:szCs w:val="20"/>
        </w:rPr>
        <w:t>McLachlin</w:t>
      </w:r>
      <w:proofErr w:type="spellEnd"/>
      <w:r w:rsidR="00B41058" w:rsidRPr="00B41058">
        <w:rPr>
          <w:rFonts w:cs="Times New Roman"/>
          <w:sz w:val="20"/>
          <w:szCs w:val="20"/>
        </w:rPr>
        <w:t xml:space="preserve"> C.J. and </w:t>
      </w:r>
      <w:proofErr w:type="spellStart"/>
      <w:r w:rsidR="00B41058" w:rsidRPr="00B41058">
        <w:rPr>
          <w:rFonts w:cs="Times New Roman"/>
          <w:sz w:val="20"/>
          <w:szCs w:val="20"/>
        </w:rPr>
        <w:t>Binnie</w:t>
      </w:r>
      <w:proofErr w:type="spellEnd"/>
      <w:r w:rsidR="00B41058" w:rsidRPr="00B41058">
        <w:rPr>
          <w:rFonts w:cs="Times New Roman"/>
          <w:sz w:val="20"/>
          <w:szCs w:val="20"/>
        </w:rPr>
        <w:t xml:space="preserve">, </w:t>
      </w:r>
      <w:proofErr w:type="spellStart"/>
      <w:r w:rsidR="00B41058" w:rsidRPr="00B41058">
        <w:rPr>
          <w:rFonts w:cs="Times New Roman"/>
          <w:sz w:val="20"/>
          <w:szCs w:val="20"/>
        </w:rPr>
        <w:t>LeBel</w:t>
      </w:r>
      <w:proofErr w:type="spellEnd"/>
      <w:r w:rsidR="00B41058" w:rsidRPr="00B41058">
        <w:rPr>
          <w:rFonts w:cs="Times New Roman"/>
          <w:sz w:val="20"/>
          <w:szCs w:val="20"/>
        </w:rPr>
        <w:t xml:space="preserve">, </w:t>
      </w:r>
      <w:proofErr w:type="spellStart"/>
      <w:r w:rsidR="00B41058" w:rsidRPr="00B41058">
        <w:rPr>
          <w:rFonts w:cs="Times New Roman"/>
          <w:sz w:val="20"/>
          <w:szCs w:val="20"/>
        </w:rPr>
        <w:t>Deschamps</w:t>
      </w:r>
      <w:proofErr w:type="spellEnd"/>
      <w:r w:rsidR="00B41058" w:rsidRPr="00B41058">
        <w:rPr>
          <w:rFonts w:cs="Times New Roman"/>
          <w:sz w:val="20"/>
          <w:szCs w:val="20"/>
        </w:rPr>
        <w:t xml:space="preserve">, Fish, </w:t>
      </w:r>
      <w:proofErr w:type="spellStart"/>
      <w:r w:rsidR="00B41058" w:rsidRPr="00B41058">
        <w:rPr>
          <w:rFonts w:cs="Times New Roman"/>
          <w:sz w:val="20"/>
          <w:szCs w:val="20"/>
        </w:rPr>
        <w:t>Abella</w:t>
      </w:r>
      <w:proofErr w:type="spellEnd"/>
      <w:r w:rsidR="00B41058" w:rsidRPr="00B41058">
        <w:rPr>
          <w:rFonts w:cs="Times New Roman"/>
          <w:sz w:val="20"/>
          <w:szCs w:val="20"/>
        </w:rPr>
        <w:t xml:space="preserve">, </w:t>
      </w:r>
      <w:proofErr w:type="spellStart"/>
      <w:r w:rsidR="00B41058" w:rsidRPr="00B41058">
        <w:rPr>
          <w:rFonts w:cs="Times New Roman"/>
          <w:sz w:val="20"/>
          <w:szCs w:val="20"/>
        </w:rPr>
        <w:t>Charron</w:t>
      </w:r>
      <w:proofErr w:type="spellEnd"/>
      <w:r w:rsidR="00B41058" w:rsidRPr="00B41058">
        <w:rPr>
          <w:rFonts w:cs="Times New Roman"/>
          <w:sz w:val="20"/>
          <w:szCs w:val="20"/>
        </w:rPr>
        <w:t>, Rothstein and Cromwell JJ.</w:t>
      </w:r>
    </w:p>
    <w:p w:rsidR="00DC7918" w:rsidRDefault="00DC7918" w:rsidP="00DC7918">
      <w:pPr>
        <w:rPr>
          <w:rFonts w:cs="Times New Roman"/>
          <w:sz w:val="20"/>
          <w:szCs w:val="20"/>
        </w:rPr>
      </w:pPr>
    </w:p>
    <w:p w:rsidR="00B41058" w:rsidRDefault="00B41058" w:rsidP="00B41058">
      <w:pPr>
        <w:pStyle w:val="ParaNoNdepar-AltN"/>
        <w:numPr>
          <w:ilvl w:val="0"/>
          <w:numId w:val="0"/>
        </w:numPr>
        <w:spacing w:before="0" w:after="0" w:line="240" w:lineRule="auto"/>
        <w:rPr>
          <w:rFonts w:eastAsiaTheme="minorHAnsi" w:cs="Times New Roman"/>
          <w:i/>
          <w:sz w:val="20"/>
          <w:szCs w:val="20"/>
          <w:lang w:val="en-US"/>
        </w:rPr>
      </w:pPr>
      <w:r w:rsidRPr="00B41058">
        <w:rPr>
          <w:rFonts w:cs="Times New Roman"/>
          <w:sz w:val="20"/>
          <w:szCs w:val="20"/>
        </w:rPr>
        <w:tab/>
      </w:r>
      <w:r w:rsidRPr="00B41058">
        <w:rPr>
          <w:rFonts w:eastAsiaTheme="minorHAnsi" w:cs="Times New Roman"/>
          <w:i/>
          <w:sz w:val="20"/>
          <w:szCs w:val="20"/>
          <w:lang w:val="en-US"/>
        </w:rPr>
        <w:t xml:space="preserve">Taxation ― Income tax ― Tax avoidance ― Interpretation and application of general </w:t>
      </w:r>
      <w:proofErr w:type="spellStart"/>
      <w:r w:rsidRPr="00B41058">
        <w:rPr>
          <w:rFonts w:eastAsiaTheme="minorHAnsi" w:cs="Times New Roman"/>
          <w:i/>
          <w:sz w:val="20"/>
          <w:szCs w:val="20"/>
          <w:lang w:val="en-US"/>
        </w:rPr>
        <w:t>anti</w:t>
      </w:r>
      <w:r w:rsidRPr="00B41058">
        <w:rPr>
          <w:rFonts w:eastAsiaTheme="minorHAnsi" w:cs="Times New Roman"/>
          <w:i/>
          <w:sz w:val="20"/>
          <w:szCs w:val="20"/>
          <w:lang w:val="en-US"/>
        </w:rPr>
        <w:noBreakHyphen/>
        <w:t>avoidance</w:t>
      </w:r>
      <w:proofErr w:type="spellEnd"/>
      <w:r w:rsidRPr="00B41058">
        <w:rPr>
          <w:rFonts w:eastAsiaTheme="minorHAnsi" w:cs="Times New Roman"/>
          <w:i/>
          <w:sz w:val="20"/>
          <w:szCs w:val="20"/>
          <w:lang w:val="en-US"/>
        </w:rPr>
        <w:t xml:space="preserve"> rule ― Series of transactions involving </w:t>
      </w:r>
      <w:proofErr w:type="spellStart"/>
      <w:r w:rsidRPr="00B41058">
        <w:rPr>
          <w:rFonts w:eastAsiaTheme="minorHAnsi" w:cs="Times New Roman"/>
          <w:i/>
          <w:sz w:val="20"/>
          <w:szCs w:val="20"/>
          <w:lang w:val="en-US"/>
        </w:rPr>
        <w:t>paid</w:t>
      </w:r>
      <w:r w:rsidRPr="00B41058">
        <w:rPr>
          <w:rFonts w:eastAsiaTheme="minorHAnsi" w:cs="Times New Roman"/>
          <w:i/>
          <w:sz w:val="20"/>
          <w:szCs w:val="20"/>
          <w:lang w:val="en-US"/>
        </w:rPr>
        <w:noBreakHyphen/>
        <w:t>up</w:t>
      </w:r>
      <w:proofErr w:type="spellEnd"/>
      <w:r w:rsidRPr="00B41058">
        <w:rPr>
          <w:rFonts w:eastAsiaTheme="minorHAnsi" w:cs="Times New Roman"/>
          <w:i/>
          <w:sz w:val="20"/>
          <w:szCs w:val="20"/>
          <w:lang w:val="en-US"/>
        </w:rPr>
        <w:t xml:space="preserve"> capital of a corporation ― Treatment of </w:t>
      </w:r>
      <w:proofErr w:type="spellStart"/>
      <w:r w:rsidRPr="00B41058">
        <w:rPr>
          <w:rFonts w:eastAsiaTheme="minorHAnsi" w:cs="Times New Roman"/>
          <w:i/>
          <w:sz w:val="20"/>
          <w:szCs w:val="20"/>
          <w:lang w:val="en-US"/>
        </w:rPr>
        <w:t>paid</w:t>
      </w:r>
      <w:r w:rsidRPr="00B41058">
        <w:rPr>
          <w:rFonts w:eastAsiaTheme="minorHAnsi" w:cs="Times New Roman"/>
          <w:i/>
          <w:sz w:val="20"/>
          <w:szCs w:val="20"/>
          <w:lang w:val="en-US"/>
        </w:rPr>
        <w:noBreakHyphen/>
        <w:t>up</w:t>
      </w:r>
      <w:proofErr w:type="spellEnd"/>
      <w:r w:rsidRPr="00B41058">
        <w:rPr>
          <w:rFonts w:eastAsiaTheme="minorHAnsi" w:cs="Times New Roman"/>
          <w:i/>
          <w:sz w:val="20"/>
          <w:szCs w:val="20"/>
          <w:lang w:val="en-US"/>
        </w:rPr>
        <w:t xml:space="preserve"> capital upon amalgamation – Withholding tax on deemed dividend ― Whether these transactions resulted in a tax benefit ― Was the transaction giving rise to tax benefit an avoidance transaction ― Interpretation of “contemplation” in the test for a statutory series ― Whether transaction or series of transactions results in abuse and misuse of Income Tax Act ― Whether general </w:t>
      </w:r>
      <w:proofErr w:type="spellStart"/>
      <w:r w:rsidRPr="00B41058">
        <w:rPr>
          <w:rFonts w:eastAsiaTheme="minorHAnsi" w:cs="Times New Roman"/>
          <w:i/>
          <w:sz w:val="20"/>
          <w:szCs w:val="20"/>
          <w:lang w:val="en-US"/>
        </w:rPr>
        <w:t>anti</w:t>
      </w:r>
      <w:r w:rsidRPr="00B41058">
        <w:rPr>
          <w:rFonts w:eastAsiaTheme="minorHAnsi" w:cs="Times New Roman"/>
          <w:i/>
          <w:sz w:val="20"/>
          <w:szCs w:val="20"/>
          <w:lang w:val="en-US"/>
        </w:rPr>
        <w:noBreakHyphen/>
        <w:t>avoidance</w:t>
      </w:r>
      <w:proofErr w:type="spellEnd"/>
      <w:r w:rsidRPr="00B41058">
        <w:rPr>
          <w:rFonts w:eastAsiaTheme="minorHAnsi" w:cs="Times New Roman"/>
          <w:i/>
          <w:sz w:val="20"/>
          <w:szCs w:val="20"/>
          <w:lang w:val="en-US"/>
        </w:rPr>
        <w:t xml:space="preserve"> rule applicable to deny tax benefit ― Income Tax Act, R.S.C. 1985, c. 1 (5th Supp.), ss. 84(3), 87(3), 89(1), 245(1) to (5), 248(10).</w:t>
      </w:r>
    </w:p>
    <w:p w:rsidR="00B41058" w:rsidRPr="00B41058" w:rsidRDefault="00B41058" w:rsidP="00B41058">
      <w:pPr>
        <w:pStyle w:val="ParaNoNdepar-AltN"/>
        <w:numPr>
          <w:ilvl w:val="0"/>
          <w:numId w:val="0"/>
        </w:numPr>
        <w:spacing w:before="0" w:after="0" w:line="240" w:lineRule="auto"/>
        <w:rPr>
          <w:rFonts w:eastAsiaTheme="minorHAnsi" w:cs="Times New Roman"/>
          <w:i/>
          <w:sz w:val="20"/>
          <w:szCs w:val="20"/>
          <w:lang w:val="en-US"/>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By a series of transactions, two Canadian corporations within the same corporate group (referred to in reasons as </w:t>
      </w:r>
      <w:proofErr w:type="spellStart"/>
      <w:r w:rsidR="00B41058" w:rsidRPr="00B41058">
        <w:rPr>
          <w:rFonts w:cs="Times New Roman"/>
          <w:sz w:val="20"/>
          <w:szCs w:val="20"/>
        </w:rPr>
        <w:t>Copthorne</w:t>
      </w:r>
      <w:proofErr w:type="spellEnd"/>
      <w:r w:rsidR="00B41058" w:rsidRPr="00B41058">
        <w:rPr>
          <w:rFonts w:cs="Times New Roman"/>
          <w:sz w:val="20"/>
          <w:szCs w:val="20"/>
        </w:rPr>
        <w:t xml:space="preserve"> I and VHHC Holdings Ltd.) that had been parent and subsidiary became “sister” corporations — that is, corporations owned directly by the same </w:t>
      </w:r>
      <w:proofErr w:type="spellStart"/>
      <w:r w:rsidR="00B41058" w:rsidRPr="00B41058">
        <w:rPr>
          <w:rFonts w:cs="Times New Roman"/>
          <w:sz w:val="20"/>
          <w:szCs w:val="20"/>
        </w:rPr>
        <w:t>non</w:t>
      </w:r>
      <w:r w:rsidR="00B41058" w:rsidRPr="00B41058">
        <w:rPr>
          <w:rFonts w:cs="Times New Roman"/>
          <w:sz w:val="20"/>
          <w:szCs w:val="20"/>
        </w:rPr>
        <w:noBreakHyphen/>
        <w:t>resident</w:t>
      </w:r>
      <w:proofErr w:type="spellEnd"/>
      <w:r w:rsidR="00B41058" w:rsidRPr="00B41058">
        <w:rPr>
          <w:rFonts w:cs="Times New Roman"/>
          <w:sz w:val="20"/>
          <w:szCs w:val="20"/>
        </w:rPr>
        <w:t xml:space="preserve"> shareholder, Big City B.V.  The sister corporations were then amalgamated — a “horizontal” amalgamation — and the </w:t>
      </w:r>
      <w:proofErr w:type="spellStart"/>
      <w:r w:rsidR="00B41058" w:rsidRPr="00B41058">
        <w:rPr>
          <w:rFonts w:cs="Times New Roman"/>
          <w:sz w:val="20"/>
          <w:szCs w:val="20"/>
        </w:rPr>
        <w:t>paid</w:t>
      </w:r>
      <w:r w:rsidR="00B41058" w:rsidRPr="00B41058">
        <w:rPr>
          <w:rFonts w:cs="Times New Roman"/>
          <w:sz w:val="20"/>
          <w:szCs w:val="20"/>
        </w:rPr>
        <w:noBreakHyphen/>
        <w:t>up</w:t>
      </w:r>
      <w:proofErr w:type="spellEnd"/>
      <w:r w:rsidR="00B41058" w:rsidRPr="00B41058">
        <w:rPr>
          <w:rFonts w:cs="Times New Roman"/>
          <w:sz w:val="20"/>
          <w:szCs w:val="20"/>
        </w:rPr>
        <w:t xml:space="preserve"> capital (“PUC”) of their respective shares was aggregated to form the PUC of the shares of the amalgamated corporation.  Had they remained as parent and subsidiary, the PUC of the shares of the subsidiary would have been cancelled on amalgamation.  The amalgamated corporation then redeemed a large portion of its shares and paid out the aggregate PUC attributable to the redeemed shares to its </w:t>
      </w:r>
      <w:proofErr w:type="spellStart"/>
      <w:r w:rsidR="00B41058" w:rsidRPr="00B41058">
        <w:rPr>
          <w:rFonts w:cs="Times New Roman"/>
          <w:sz w:val="20"/>
          <w:szCs w:val="20"/>
        </w:rPr>
        <w:t>non</w:t>
      </w:r>
      <w:r w:rsidR="00B41058" w:rsidRPr="00B41058">
        <w:rPr>
          <w:rFonts w:cs="Times New Roman"/>
          <w:sz w:val="20"/>
          <w:szCs w:val="20"/>
        </w:rPr>
        <w:noBreakHyphen/>
        <w:t>resident</w:t>
      </w:r>
      <w:proofErr w:type="spellEnd"/>
      <w:r w:rsidR="00B41058" w:rsidRPr="00B41058">
        <w:rPr>
          <w:rFonts w:cs="Times New Roman"/>
          <w:sz w:val="20"/>
          <w:szCs w:val="20"/>
        </w:rPr>
        <w:t xml:space="preserve"> shareholder.  That payment was not treated as taxable income to the shareholder but instead as a return of capital.</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No provision of the </w:t>
      </w:r>
      <w:r w:rsidR="00B41058" w:rsidRPr="00B41058">
        <w:rPr>
          <w:rFonts w:cs="Times New Roman"/>
          <w:i/>
          <w:sz w:val="20"/>
          <w:szCs w:val="20"/>
        </w:rPr>
        <w:t xml:space="preserve">Income Tax Act </w:t>
      </w:r>
      <w:r w:rsidR="00B41058" w:rsidRPr="00B41058">
        <w:rPr>
          <w:rFonts w:cs="Times New Roman"/>
          <w:sz w:val="20"/>
          <w:szCs w:val="20"/>
        </w:rPr>
        <w:t xml:space="preserve">(“Act”) expressly required the return of PUC in this case to be treated as a taxable payment.  Nonetheless, the Minister of National Revenue considered the transactions by which the parent and subsidiary became sister corporations to have circumvented certain provisions of the Act in an abusive manner and thus to have contravened s. 245 of the Act, the general </w:t>
      </w:r>
      <w:proofErr w:type="spellStart"/>
      <w:r w:rsidR="00B41058" w:rsidRPr="00B41058">
        <w:rPr>
          <w:rFonts w:cs="Times New Roman"/>
          <w:sz w:val="20"/>
          <w:szCs w:val="20"/>
        </w:rPr>
        <w:t>anti</w:t>
      </w:r>
      <w:r w:rsidR="00B41058" w:rsidRPr="00B41058">
        <w:rPr>
          <w:rFonts w:cs="Times New Roman"/>
          <w:sz w:val="20"/>
          <w:szCs w:val="20"/>
        </w:rPr>
        <w:noBreakHyphen/>
        <w:t>avoidance</w:t>
      </w:r>
      <w:proofErr w:type="spellEnd"/>
      <w:r w:rsidR="00B41058" w:rsidRPr="00B41058">
        <w:rPr>
          <w:rFonts w:cs="Times New Roman"/>
          <w:sz w:val="20"/>
          <w:szCs w:val="20"/>
        </w:rPr>
        <w:t xml:space="preserve"> rule, or the “GAAR”.  Applying the GAAR, the Minister concluded that the PUC of the shares of the former subsidiary should have been cancelled upon amalgamation with its former parent corporation, as required by s. 87(3).  If the PUC of the shares of the amalgamated corporation was reduced, the amount paid to the shareholder in excess of the reduced PUC would have constituted a deemed dividend subject to tax.  The Minister reassessed the amalgamated corporation for unpaid withholding tax on the deemed dividend portion of the amount paid to the </w:t>
      </w:r>
      <w:proofErr w:type="spellStart"/>
      <w:r w:rsidR="00B41058" w:rsidRPr="00B41058">
        <w:rPr>
          <w:rFonts w:cs="Times New Roman"/>
          <w:sz w:val="20"/>
          <w:szCs w:val="20"/>
        </w:rPr>
        <w:t>non</w:t>
      </w:r>
      <w:r w:rsidR="00B41058" w:rsidRPr="00B41058">
        <w:rPr>
          <w:rFonts w:cs="Times New Roman"/>
          <w:sz w:val="20"/>
          <w:szCs w:val="20"/>
        </w:rPr>
        <w:noBreakHyphen/>
        <w:t>resident</w:t>
      </w:r>
      <w:proofErr w:type="spellEnd"/>
      <w:r w:rsidR="00B41058" w:rsidRPr="00B41058">
        <w:rPr>
          <w:rFonts w:cs="Times New Roman"/>
          <w:sz w:val="20"/>
          <w:szCs w:val="20"/>
        </w:rPr>
        <w:t xml:space="preserve"> shareholder upon redemption.  The Tax Court of Canada and Federal Court of Appeal upheld the reassessments.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i/>
          <w:sz w:val="20"/>
          <w:szCs w:val="20"/>
        </w:rPr>
        <w:tab/>
      </w:r>
      <w:r w:rsidR="00B41058" w:rsidRPr="00B41058">
        <w:rPr>
          <w:rFonts w:cs="Times New Roman"/>
          <w:i/>
          <w:sz w:val="20"/>
          <w:szCs w:val="20"/>
        </w:rPr>
        <w:t>Held</w:t>
      </w:r>
      <w:r w:rsidR="00B41058" w:rsidRPr="00B41058">
        <w:rPr>
          <w:rFonts w:cs="Times New Roman"/>
          <w:sz w:val="20"/>
          <w:szCs w:val="20"/>
        </w:rPr>
        <w:t>:  The appeal should be dismissed.</w:t>
      </w:r>
    </w:p>
    <w:p w:rsidR="00B41058" w:rsidRPr="00B41058" w:rsidRDefault="00B41058" w:rsidP="00B41058">
      <w:pPr>
        <w:pStyle w:val="ParaNoNdepar-AltN"/>
        <w:numPr>
          <w:ilvl w:val="0"/>
          <w:numId w:val="0"/>
        </w:numPr>
        <w:spacing w:before="0" w:after="0" w:line="240" w:lineRule="auto"/>
        <w:rPr>
          <w:rFonts w:cs="Times New Roman"/>
          <w:i/>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The general </w:t>
      </w:r>
      <w:proofErr w:type="spellStart"/>
      <w:r w:rsidR="00B41058" w:rsidRPr="00B41058">
        <w:rPr>
          <w:rFonts w:cs="Times New Roman"/>
          <w:sz w:val="20"/>
          <w:szCs w:val="20"/>
        </w:rPr>
        <w:t>anti</w:t>
      </w:r>
      <w:r w:rsidR="00B41058" w:rsidRPr="00B41058">
        <w:rPr>
          <w:rFonts w:cs="Times New Roman"/>
          <w:sz w:val="20"/>
          <w:szCs w:val="20"/>
        </w:rPr>
        <w:noBreakHyphen/>
        <w:t>avoidance</w:t>
      </w:r>
      <w:proofErr w:type="spellEnd"/>
      <w:r w:rsidR="00B41058" w:rsidRPr="00B41058">
        <w:rPr>
          <w:rFonts w:cs="Times New Roman"/>
          <w:sz w:val="20"/>
          <w:szCs w:val="20"/>
        </w:rPr>
        <w:t xml:space="preserve"> rule (“GAAR”) scheme is set out in ss. 245(1) to (5) of the Act and requires that three questions be decided:  (1) was there a tax benefit; (2) was the transaction giving rise to the tax benefit an avoidance transaction; and (3) was the avoidance transaction giving rise to the tax benefit abusive.  The burden is on the taxpayer to refute the Minister’s assumption of the existence of a tax benefit.  Where, as here, the Tax Court judge has made a finding of fact on the existence of a tax benefit, it is only appropriate for a reviewing court to overturn such a finding where an appellant can show a palpable and overriding error.  The existence of a tax benefit can be established by comparing the taxpayer’s situation with an alternative arrangement that could reasonably have been carried out but for the existence of the tax benefit.  In this case, the vertical amalgamation comparison used by the Minister was appropriate, and the finding of the Tax Court that there was a tax benefit should be affirmed.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Under s. 245(3) of the Act, a transaction will be an avoidance transaction if it results in a tax benefit, and is not undertaken primarily for a </w:t>
      </w:r>
      <w:r w:rsidR="00B41058" w:rsidRPr="00B41058">
        <w:rPr>
          <w:rFonts w:cs="Times New Roman"/>
          <w:i/>
          <w:sz w:val="20"/>
          <w:szCs w:val="20"/>
        </w:rPr>
        <w:t>bona fide</w:t>
      </w:r>
      <w:r w:rsidR="00B41058" w:rsidRPr="00B41058">
        <w:rPr>
          <w:rFonts w:cs="Times New Roman"/>
          <w:sz w:val="20"/>
          <w:szCs w:val="20"/>
        </w:rPr>
        <w:t xml:space="preserve"> non</w:t>
      </w:r>
      <w:r w:rsidR="00B41058" w:rsidRPr="00B41058">
        <w:rPr>
          <w:rFonts w:cs="Times New Roman"/>
          <w:sz w:val="20"/>
          <w:szCs w:val="20"/>
        </w:rPr>
        <w:noBreakHyphen/>
        <w:t xml:space="preserve">tax purpose.  An avoidance transaction may operate alone to produce a tax benefit, or may operate as part of a series of transactions to produce a tax benefit.  Where, as here, the Minister assumes that the tax benefit resulted from a series of transactions rather than a single transaction, it is necessary to determine if there was a series, which transactions make up the series, and whether the tax benefit resulted from the series.  The </w:t>
      </w:r>
      <w:r w:rsidR="00B41058" w:rsidRPr="00B41058">
        <w:rPr>
          <w:rFonts w:cs="Times New Roman"/>
          <w:sz w:val="20"/>
          <w:szCs w:val="20"/>
        </w:rPr>
        <w:lastRenderedPageBreak/>
        <w:t>starting point is the common law test for a series upon which “each transaction in the series is pre</w:t>
      </w:r>
      <w:r w:rsidR="00B41058" w:rsidRPr="00B41058">
        <w:rPr>
          <w:rFonts w:cs="Times New Roman"/>
          <w:sz w:val="20"/>
          <w:szCs w:val="20"/>
        </w:rPr>
        <w:noBreakHyphen/>
        <w:t xml:space="preserve">ordained to produce a final result”.  Section 248(10) of the Act extends the meaning of “series of transactions” to include any related transactions or events completed in “contemplation” of the series.  The Court must decide whether the series was taken into account when the decision was made to undertake the related transaction in the sense that it was done, on a balance of probabilities, “in relation to” or “because of” the series.  Each case will be decided on its own facts.  The length of time between the series and the related transaction may be a relevant consideration in some cases, as would </w:t>
      </w:r>
      <w:proofErr w:type="gramStart"/>
      <w:r w:rsidR="00B41058" w:rsidRPr="00B41058">
        <w:rPr>
          <w:rFonts w:cs="Times New Roman"/>
          <w:sz w:val="20"/>
          <w:szCs w:val="20"/>
        </w:rPr>
        <w:t>intervening</w:t>
      </w:r>
      <w:proofErr w:type="gramEnd"/>
      <w:r w:rsidR="00B41058" w:rsidRPr="00B41058">
        <w:rPr>
          <w:rFonts w:cs="Times New Roman"/>
          <w:sz w:val="20"/>
          <w:szCs w:val="20"/>
        </w:rPr>
        <w:t xml:space="preserve"> events taking place between the series and the completion of the related transaction.  Although the “because of” or “in relation to” test does not require a “strong nexus”, it does require more than a mere possibility or a connection with an extreme degree of remoteness.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“Contemplation” in s. 248(10) should be read both prospectively and retrospectively.  The text and context of s. 248(10) leave open when the contemplation of the series must take place.  Nothing in the text specifies when the related transaction must be completed in relation to the series.  Specifically, nothing suggests that the related transaction must be completed in contemplation of a subsequent series.  Here, the Tax Court and the Federal Court of Appeal correctly concluded that the redemption transaction was part of the same series as the prior sale and amalgamation, and that the series, including the redemption transaction, resulted in the tax benefit.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If there is a series that results, directly or indirectly, in a tax benefit, it will be caught by s. 245(3) as an avoidance transaction unless each transaction within the series could reasonably be considered to have been undertaken or arranged primarily for </w:t>
      </w:r>
      <w:r w:rsidR="00B41058" w:rsidRPr="00B41058">
        <w:rPr>
          <w:rFonts w:cs="Times New Roman"/>
          <w:i/>
          <w:sz w:val="20"/>
          <w:szCs w:val="20"/>
        </w:rPr>
        <w:t>bona fide</w:t>
      </w:r>
      <w:r w:rsidR="00B41058" w:rsidRPr="00B41058">
        <w:rPr>
          <w:rFonts w:cs="Times New Roman"/>
          <w:sz w:val="20"/>
          <w:szCs w:val="20"/>
        </w:rPr>
        <w:t xml:space="preserve"> purposes other than to obtain a tax benefit.  This determination is to be objectively considered, and must be based on all of the evidence available to the court.  Here, the Tax Court judge was correct to find that the sale of the VHHC Holdings shares to the </w:t>
      </w:r>
      <w:proofErr w:type="spellStart"/>
      <w:r w:rsidR="00B41058" w:rsidRPr="00B41058">
        <w:rPr>
          <w:rFonts w:cs="Times New Roman"/>
          <w:sz w:val="20"/>
          <w:szCs w:val="20"/>
        </w:rPr>
        <w:t>non</w:t>
      </w:r>
      <w:r w:rsidR="00B41058" w:rsidRPr="00B41058">
        <w:rPr>
          <w:rFonts w:cs="Times New Roman"/>
          <w:sz w:val="20"/>
          <w:szCs w:val="20"/>
        </w:rPr>
        <w:noBreakHyphen/>
        <w:t>resident</w:t>
      </w:r>
      <w:proofErr w:type="spellEnd"/>
      <w:r w:rsidR="00B41058" w:rsidRPr="00B41058">
        <w:rPr>
          <w:rFonts w:cs="Times New Roman"/>
          <w:sz w:val="20"/>
          <w:szCs w:val="20"/>
        </w:rPr>
        <w:t xml:space="preserve"> parent corporation was not primarily undertaken for a </w:t>
      </w:r>
      <w:r w:rsidR="00B41058" w:rsidRPr="00B41058">
        <w:rPr>
          <w:rFonts w:cs="Times New Roman"/>
          <w:i/>
          <w:sz w:val="20"/>
          <w:szCs w:val="20"/>
        </w:rPr>
        <w:t xml:space="preserve">bona fide </w:t>
      </w:r>
      <w:r w:rsidR="00B41058" w:rsidRPr="00B41058">
        <w:rPr>
          <w:rFonts w:cs="Times New Roman"/>
          <w:sz w:val="20"/>
          <w:szCs w:val="20"/>
        </w:rPr>
        <w:t>non</w:t>
      </w:r>
      <w:r w:rsidR="00B41058" w:rsidRPr="00B41058">
        <w:rPr>
          <w:rFonts w:cs="Times New Roman"/>
          <w:sz w:val="20"/>
          <w:szCs w:val="20"/>
        </w:rPr>
        <w:noBreakHyphen/>
        <w:t>tax purpose.  Because there was a series of transactions which resulted in a tax benefit, the finding that one transaction in the series was an avoidance transaction satisfies the requirements of s. 245(3).</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In order to determine whether a transaction is an abuse or misuse of the Act, a court must first determine the object, spirit or purpose of the provisions that are relied on for the tax benefit, having regard to the scheme of the Act, the relevant provisions and permissible extrinsic aids.  While an avoidance transaction may operate alone to produce a tax benefit, it may also operate as part of a series of transactions that results in the tax benefit.  While the focus must be on the transaction, where it is part of a series, it must be viewed in the context of the series to enable the court to determine whether abusive tax avoidance has occurred.  In such a case, whether a transaction is abusive will only become apparent when it is considered in the context of the series of which it is a part and the overall result that is achieved.  The analysis will lead to a finding of abusive tax avoidance:  (1) where the transaction achieves an outcome the statutory provision was intended to prevent; (2) where the transaction defeats the underlying rationale of the provision; or (3) where the transaction circumvents the provision in a manner that frustrates or defeats its object, spirit or purpose.  These considerations are not independent of one another and may overlap.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To determine if there was abuse in this case, it is s. 87(3) of the Act, which deals with the PUC of shares of amalgamated </w:t>
      </w:r>
      <w:proofErr w:type="gramStart"/>
      <w:r w:rsidR="00B41058" w:rsidRPr="00B41058">
        <w:rPr>
          <w:rFonts w:cs="Times New Roman"/>
          <w:sz w:val="20"/>
          <w:szCs w:val="20"/>
        </w:rPr>
        <w:t>corporations, that</w:t>
      </w:r>
      <w:proofErr w:type="gramEnd"/>
      <w:r w:rsidR="00B41058" w:rsidRPr="00B41058">
        <w:rPr>
          <w:rFonts w:cs="Times New Roman"/>
          <w:sz w:val="20"/>
          <w:szCs w:val="20"/>
        </w:rPr>
        <w:t xml:space="preserve"> must be at the centre of the analysis.  The text of s. 87(3) ensures that in a horizontal amalgamation the PUC of the shares of the amalgamated corporation does not exceed the total of the PUC of the shares of the amalgamating corporations.  Section 87(3) also provides, in its parenthetical clause, that the PUC of the shares of an amalgamating corporation held by another amalgamating corporation is cancelled.  </w:t>
      </w:r>
      <w:r w:rsidR="00B41058" w:rsidRPr="00B41058">
        <w:rPr>
          <w:rFonts w:cs="Times New Roman"/>
          <w:sz w:val="20"/>
          <w:szCs w:val="20"/>
          <w:lang w:val="en-US"/>
        </w:rPr>
        <w:t>Having regard to the text, context and purpose of s. 87(3), the object, spirit and purpose of the</w:t>
      </w:r>
      <w:r w:rsidR="00B41058" w:rsidRPr="00B41058">
        <w:rPr>
          <w:rFonts w:cs="Times New Roman"/>
          <w:sz w:val="20"/>
          <w:szCs w:val="20"/>
        </w:rPr>
        <w:t xml:space="preserve"> parenthetical</w:t>
      </w:r>
      <w:r w:rsidR="00B41058" w:rsidRPr="00B41058">
        <w:rPr>
          <w:rFonts w:cs="Times New Roman"/>
          <w:sz w:val="20"/>
          <w:szCs w:val="20"/>
          <w:lang w:val="en-US"/>
        </w:rPr>
        <w:t xml:space="preserve"> </w:t>
      </w:r>
      <w:r w:rsidR="00B41058" w:rsidRPr="00B41058">
        <w:rPr>
          <w:rFonts w:cs="Times New Roman"/>
          <w:sz w:val="20"/>
          <w:szCs w:val="20"/>
        </w:rPr>
        <w:t xml:space="preserve">portion of the section is to preclude preservation of PUC of the shares of a subsidiary corporation upon amalgamation of the parent and subsidiary where such preservation would permit shareholders, on a redemption of shares by the amalgamated corporation, to be paid amounts as a return of capital without liability for tax, in excess of the amounts invested in the amalgamating corporations with </w:t>
      </w:r>
      <w:proofErr w:type="spellStart"/>
      <w:r w:rsidR="00B41058" w:rsidRPr="00B41058">
        <w:rPr>
          <w:rFonts w:cs="Times New Roman"/>
          <w:sz w:val="20"/>
          <w:szCs w:val="20"/>
        </w:rPr>
        <w:t>tax</w:t>
      </w:r>
      <w:r w:rsidR="00B41058" w:rsidRPr="00B41058">
        <w:rPr>
          <w:rFonts w:cs="Times New Roman"/>
          <w:sz w:val="20"/>
          <w:szCs w:val="20"/>
        </w:rPr>
        <w:noBreakHyphen/>
        <w:t>paid</w:t>
      </w:r>
      <w:proofErr w:type="spellEnd"/>
      <w:r w:rsidR="00B41058" w:rsidRPr="00B41058">
        <w:rPr>
          <w:rFonts w:cs="Times New Roman"/>
          <w:sz w:val="20"/>
          <w:szCs w:val="20"/>
        </w:rPr>
        <w:t xml:space="preserve"> funds. </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tab/>
      </w:r>
      <w:r w:rsidR="00B41058" w:rsidRPr="00B41058">
        <w:rPr>
          <w:rFonts w:cs="Times New Roman"/>
          <w:sz w:val="20"/>
          <w:szCs w:val="20"/>
        </w:rPr>
        <w:t xml:space="preserve">The appellant, </w:t>
      </w:r>
      <w:proofErr w:type="spellStart"/>
      <w:r w:rsidR="00B41058" w:rsidRPr="00B41058">
        <w:rPr>
          <w:rFonts w:cs="Times New Roman"/>
          <w:sz w:val="20"/>
          <w:szCs w:val="20"/>
        </w:rPr>
        <w:t>Copthorne</w:t>
      </w:r>
      <w:proofErr w:type="spellEnd"/>
      <w:r w:rsidR="00B41058" w:rsidRPr="00B41058">
        <w:rPr>
          <w:rFonts w:cs="Times New Roman"/>
          <w:sz w:val="20"/>
          <w:szCs w:val="20"/>
        </w:rPr>
        <w:t xml:space="preserve"> Holdings Ltd. agrees that s. 87(3) would have led to a cancellation of the applicable PUC of the VHHC Holdings shares if it had been vertically amalgamated with </w:t>
      </w:r>
      <w:proofErr w:type="spellStart"/>
      <w:r w:rsidR="00B41058" w:rsidRPr="00B41058">
        <w:rPr>
          <w:rFonts w:cs="Times New Roman"/>
          <w:sz w:val="20"/>
          <w:szCs w:val="20"/>
        </w:rPr>
        <w:t>Copthorne</w:t>
      </w:r>
      <w:proofErr w:type="spellEnd"/>
      <w:r w:rsidR="00B41058" w:rsidRPr="00B41058">
        <w:rPr>
          <w:rFonts w:cs="Times New Roman"/>
          <w:sz w:val="20"/>
          <w:szCs w:val="20"/>
        </w:rPr>
        <w:t xml:space="preserve"> I.  Instead of amalgamating the two companies, </w:t>
      </w:r>
      <w:proofErr w:type="spellStart"/>
      <w:r w:rsidR="00B41058" w:rsidRPr="00B41058">
        <w:rPr>
          <w:rFonts w:cs="Times New Roman"/>
          <w:sz w:val="20"/>
          <w:szCs w:val="20"/>
        </w:rPr>
        <w:t>Copthorne</w:t>
      </w:r>
      <w:proofErr w:type="spellEnd"/>
      <w:r w:rsidR="00B41058" w:rsidRPr="00B41058">
        <w:rPr>
          <w:rFonts w:cs="Times New Roman"/>
          <w:sz w:val="20"/>
          <w:szCs w:val="20"/>
        </w:rPr>
        <w:t xml:space="preserve"> I sold its VHHC Holdings shares to the </w:t>
      </w:r>
      <w:proofErr w:type="spellStart"/>
      <w:r w:rsidR="00B41058" w:rsidRPr="00B41058">
        <w:rPr>
          <w:rFonts w:cs="Times New Roman"/>
          <w:sz w:val="20"/>
          <w:szCs w:val="20"/>
        </w:rPr>
        <w:t>non</w:t>
      </w:r>
      <w:r w:rsidR="00B41058" w:rsidRPr="00B41058">
        <w:rPr>
          <w:rFonts w:cs="Times New Roman"/>
          <w:sz w:val="20"/>
          <w:szCs w:val="20"/>
        </w:rPr>
        <w:noBreakHyphen/>
        <w:t>resident</w:t>
      </w:r>
      <w:proofErr w:type="spellEnd"/>
      <w:r w:rsidR="00B41058" w:rsidRPr="00B41058">
        <w:rPr>
          <w:rFonts w:cs="Times New Roman"/>
          <w:sz w:val="20"/>
          <w:szCs w:val="20"/>
        </w:rPr>
        <w:t xml:space="preserve"> parent corporation in order to avoid the vertical amalgamation and cancellation of the PUC of the shares of VHHC Holdings.  The transaction obviously circumvented application of the parenthetical words of s. 87(3) upon the later amalgamation of </w:t>
      </w:r>
      <w:proofErr w:type="spellStart"/>
      <w:r w:rsidR="00B41058" w:rsidRPr="00B41058">
        <w:rPr>
          <w:rFonts w:cs="Times New Roman"/>
          <w:sz w:val="20"/>
          <w:szCs w:val="20"/>
        </w:rPr>
        <w:t>Copthorne</w:t>
      </w:r>
      <w:proofErr w:type="spellEnd"/>
      <w:r w:rsidR="00B41058" w:rsidRPr="00B41058">
        <w:rPr>
          <w:rFonts w:cs="Times New Roman"/>
          <w:sz w:val="20"/>
          <w:szCs w:val="20"/>
        </w:rPr>
        <w:t> I and VHHC Holdings, now as sister corporations.</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4C3439" w:rsidP="00B41058">
      <w:pPr>
        <w:pStyle w:val="ParaNoNdepar-AltN"/>
        <w:numPr>
          <w:ilvl w:val="0"/>
          <w:numId w:val="0"/>
        </w:numPr>
        <w:spacing w:before="0" w:after="0" w:line="240" w:lineRule="auto"/>
        <w:rPr>
          <w:rFonts w:cs="Times New Roman"/>
          <w:sz w:val="20"/>
          <w:szCs w:val="20"/>
        </w:rPr>
      </w:pPr>
      <w:r>
        <w:rPr>
          <w:rFonts w:cs="Times New Roman"/>
          <w:sz w:val="20"/>
          <w:szCs w:val="20"/>
        </w:rPr>
        <w:lastRenderedPageBreak/>
        <w:tab/>
      </w:r>
      <w:r w:rsidR="00B41058" w:rsidRPr="00B41058">
        <w:rPr>
          <w:rFonts w:cs="Times New Roman"/>
          <w:sz w:val="20"/>
          <w:szCs w:val="20"/>
        </w:rPr>
        <w:t xml:space="preserve">The sale by </w:t>
      </w:r>
      <w:proofErr w:type="spellStart"/>
      <w:r w:rsidR="00B41058" w:rsidRPr="00B41058">
        <w:rPr>
          <w:rFonts w:cs="Times New Roman"/>
          <w:sz w:val="20"/>
          <w:szCs w:val="20"/>
        </w:rPr>
        <w:t>Copthorne</w:t>
      </w:r>
      <w:proofErr w:type="spellEnd"/>
      <w:r w:rsidR="00B41058" w:rsidRPr="00B41058">
        <w:rPr>
          <w:rFonts w:cs="Times New Roman"/>
          <w:sz w:val="20"/>
          <w:szCs w:val="20"/>
        </w:rPr>
        <w:t xml:space="preserve"> I of its VHHC Holdings shares, which was undertaken to protect $67,401,279 of PUC from cancellation, while not contrary to the text of s. 87(3), does frustrate and defeat its purpose.  The </w:t>
      </w:r>
      <w:proofErr w:type="spellStart"/>
      <w:r w:rsidR="00B41058" w:rsidRPr="00B41058">
        <w:rPr>
          <w:rFonts w:cs="Times New Roman"/>
          <w:sz w:val="20"/>
          <w:szCs w:val="20"/>
        </w:rPr>
        <w:t>tax</w:t>
      </w:r>
      <w:r w:rsidR="00B41058" w:rsidRPr="00B41058">
        <w:rPr>
          <w:rFonts w:cs="Times New Roman"/>
          <w:sz w:val="20"/>
          <w:szCs w:val="20"/>
        </w:rPr>
        <w:noBreakHyphen/>
        <w:t>paid</w:t>
      </w:r>
      <w:proofErr w:type="spellEnd"/>
      <w:r w:rsidR="00B41058" w:rsidRPr="00B41058">
        <w:rPr>
          <w:rFonts w:cs="Times New Roman"/>
          <w:sz w:val="20"/>
          <w:szCs w:val="20"/>
        </w:rPr>
        <w:t xml:space="preserve"> investment here was in total $96,736,845.  To allow the aggregation of an additional $67,401,279 to this amount would enable payment, without liability for tax by the shareholders, of amounts well in excess of the investment of </w:t>
      </w:r>
      <w:proofErr w:type="spellStart"/>
      <w:r w:rsidR="00B41058" w:rsidRPr="00B41058">
        <w:rPr>
          <w:rFonts w:cs="Times New Roman"/>
          <w:sz w:val="20"/>
          <w:szCs w:val="20"/>
        </w:rPr>
        <w:t>tax</w:t>
      </w:r>
      <w:r w:rsidR="00B41058" w:rsidRPr="00B41058">
        <w:rPr>
          <w:rFonts w:cs="Times New Roman"/>
          <w:sz w:val="20"/>
          <w:szCs w:val="20"/>
        </w:rPr>
        <w:noBreakHyphen/>
        <w:t>paid</w:t>
      </w:r>
      <w:proofErr w:type="spellEnd"/>
      <w:r w:rsidR="00B41058" w:rsidRPr="00B41058">
        <w:rPr>
          <w:rFonts w:cs="Times New Roman"/>
          <w:sz w:val="20"/>
          <w:szCs w:val="20"/>
        </w:rPr>
        <w:t xml:space="preserve"> funds, contrary to the object, spirit and purpose or the underlying rationale of s. 87(3).  The sale of VHHC Holdings shares circumvented the parenthetical words of s. 87(3) and in the context of the series of which it was a part, achieved a result the section was intended to prevent and thus defeated its underlying rationale.  The transaction was therefore abusive and the assessment based on application of the GAAR was appropriate.</w:t>
      </w:r>
    </w:p>
    <w:p w:rsidR="00B41058" w:rsidRPr="00B41058" w:rsidRDefault="00B41058" w:rsidP="00B41058">
      <w:pPr>
        <w:pStyle w:val="ParaNoNdepar-AltN"/>
        <w:numPr>
          <w:ilvl w:val="0"/>
          <w:numId w:val="0"/>
        </w:numPr>
        <w:spacing w:before="0" w:after="0" w:line="240" w:lineRule="auto"/>
        <w:rPr>
          <w:rFonts w:cs="Times New Roman"/>
          <w:sz w:val="20"/>
          <w:szCs w:val="20"/>
        </w:rPr>
      </w:pPr>
    </w:p>
    <w:p w:rsidR="00B41058" w:rsidRDefault="00B41058" w:rsidP="00B41058">
      <w:pPr>
        <w:pStyle w:val="SCCNormalDoubleSpacing"/>
        <w:spacing w:line="240" w:lineRule="auto"/>
        <w:rPr>
          <w:sz w:val="20"/>
        </w:rPr>
      </w:pPr>
      <w:r w:rsidRPr="00B41058">
        <w:rPr>
          <w:sz w:val="20"/>
        </w:rPr>
        <w:tab/>
        <w:t xml:space="preserve">APPEAL from a judgment of the Federal Court of Appeal (Desjardins, Evans and </w:t>
      </w:r>
      <w:proofErr w:type="spellStart"/>
      <w:r w:rsidRPr="00B41058">
        <w:rPr>
          <w:sz w:val="20"/>
        </w:rPr>
        <w:t>Ryer</w:t>
      </w:r>
      <w:proofErr w:type="spellEnd"/>
      <w:r w:rsidRPr="00B41058">
        <w:rPr>
          <w:sz w:val="20"/>
        </w:rPr>
        <w:t xml:space="preserve"> JJ.A.), 2009 FCA 163, 392 N.R. 29, [2009] 5 C.T.C. 1, 2009 D.T.C. 5101, [2009] F.C.J. No. 625 (QL), 2009 </w:t>
      </w:r>
      <w:proofErr w:type="spellStart"/>
      <w:r w:rsidRPr="00B41058">
        <w:rPr>
          <w:sz w:val="20"/>
        </w:rPr>
        <w:t>CarswellNat</w:t>
      </w:r>
      <w:proofErr w:type="spellEnd"/>
      <w:r w:rsidRPr="00B41058">
        <w:rPr>
          <w:sz w:val="20"/>
        </w:rPr>
        <w:t xml:space="preserve"> 1368, affirming a decision of Campbell J., 2007 TCC 481, [2008] 1 C.T.C. 2001, 2007 D.T.C. 1230, [2007] T.C.J. No. 335 (QL), 2007 </w:t>
      </w:r>
      <w:proofErr w:type="spellStart"/>
      <w:r w:rsidRPr="00B41058">
        <w:rPr>
          <w:sz w:val="20"/>
        </w:rPr>
        <w:t>CarswellNat</w:t>
      </w:r>
      <w:proofErr w:type="spellEnd"/>
      <w:r w:rsidRPr="00B41058">
        <w:rPr>
          <w:sz w:val="20"/>
        </w:rPr>
        <w:t xml:space="preserve"> 2808.  Appeal dismissed.</w:t>
      </w:r>
    </w:p>
    <w:p w:rsidR="00B41058" w:rsidRPr="00B41058" w:rsidRDefault="00B41058" w:rsidP="00B41058">
      <w:pPr>
        <w:pStyle w:val="SCCNormalDoubleSpacing"/>
        <w:spacing w:line="240" w:lineRule="auto"/>
        <w:rPr>
          <w:sz w:val="20"/>
        </w:rPr>
      </w:pPr>
    </w:p>
    <w:p w:rsidR="00B41058" w:rsidRDefault="00B41058" w:rsidP="00B41058">
      <w:pPr>
        <w:pStyle w:val="SCCNormalDoubleSpacing"/>
        <w:spacing w:line="240" w:lineRule="auto"/>
        <w:rPr>
          <w:rStyle w:val="SCCCounselPartyRoleChar"/>
          <w:sz w:val="20"/>
        </w:rPr>
      </w:pPr>
      <w:r w:rsidRPr="00B41058">
        <w:rPr>
          <w:rStyle w:val="SCCCounselNameChar"/>
          <w:rFonts w:eastAsia="Calibri"/>
          <w:sz w:val="20"/>
        </w:rPr>
        <w:tab/>
      </w:r>
      <w:proofErr w:type="gramStart"/>
      <w:r w:rsidRPr="00B41058">
        <w:rPr>
          <w:rStyle w:val="SCCCounselNameChar"/>
          <w:rFonts w:eastAsia="Calibri"/>
          <w:sz w:val="20"/>
        </w:rPr>
        <w:t>Richard W. Pound</w:t>
      </w:r>
      <w:r w:rsidRPr="00B41058">
        <w:rPr>
          <w:rStyle w:val="SCCCounselNameChar"/>
          <w:rFonts w:eastAsia="Calibri"/>
          <w:i w:val="0"/>
          <w:sz w:val="20"/>
        </w:rPr>
        <w:t xml:space="preserve">, </w:t>
      </w:r>
      <w:r w:rsidRPr="00B41058">
        <w:rPr>
          <w:rStyle w:val="SCCCounselNameChar"/>
          <w:rFonts w:eastAsia="Calibri"/>
          <w:sz w:val="20"/>
        </w:rPr>
        <w:t>Q.C.</w:t>
      </w:r>
      <w:r w:rsidRPr="00B41058">
        <w:rPr>
          <w:rStyle w:val="SCCCounselSeparatorChar"/>
          <w:sz w:val="20"/>
          <w:lang w:val="en-US"/>
        </w:rPr>
        <w:t xml:space="preserve">, and </w:t>
      </w:r>
      <w:proofErr w:type="spellStart"/>
      <w:r w:rsidRPr="00B41058">
        <w:rPr>
          <w:rStyle w:val="SCCCounselNameChar"/>
          <w:rFonts w:eastAsia="Calibri"/>
          <w:sz w:val="20"/>
        </w:rPr>
        <w:t>Pierre</w:t>
      </w:r>
      <w:r w:rsidRPr="00B41058">
        <w:rPr>
          <w:rStyle w:val="SCCCounselNameChar"/>
          <w:rFonts w:eastAsia="Calibri"/>
          <w:sz w:val="20"/>
        </w:rPr>
        <w:noBreakHyphen/>
        <w:t>Louis</w:t>
      </w:r>
      <w:proofErr w:type="spellEnd"/>
      <w:r w:rsidRPr="00B41058">
        <w:rPr>
          <w:rStyle w:val="SCCCounselNameChar"/>
          <w:rFonts w:eastAsia="Calibri"/>
          <w:sz w:val="20"/>
        </w:rPr>
        <w:t xml:space="preserve"> Le </w:t>
      </w:r>
      <w:proofErr w:type="spellStart"/>
      <w:r w:rsidRPr="00B41058">
        <w:rPr>
          <w:rStyle w:val="SCCCounselNameChar"/>
          <w:rFonts w:eastAsia="Calibri"/>
          <w:sz w:val="20"/>
        </w:rPr>
        <w:t>Saunier</w:t>
      </w:r>
      <w:proofErr w:type="spellEnd"/>
      <w:r w:rsidRPr="00B41058">
        <w:rPr>
          <w:rStyle w:val="SCCCounselPartyRoleChar"/>
          <w:sz w:val="20"/>
        </w:rPr>
        <w:t>, for the appellant.</w:t>
      </w:r>
      <w:proofErr w:type="gramEnd"/>
    </w:p>
    <w:p w:rsidR="00B41058" w:rsidRPr="00B41058" w:rsidRDefault="00B41058" w:rsidP="00B41058">
      <w:pPr>
        <w:pStyle w:val="SCCNormalDoubleSpacing"/>
        <w:spacing w:line="240" w:lineRule="auto"/>
        <w:rPr>
          <w:sz w:val="20"/>
        </w:rPr>
      </w:pPr>
    </w:p>
    <w:p w:rsidR="00B41058" w:rsidRDefault="00B41058" w:rsidP="00B41058">
      <w:pPr>
        <w:pStyle w:val="SCCNormalDoubleSpacing"/>
        <w:spacing w:line="240" w:lineRule="auto"/>
        <w:rPr>
          <w:rStyle w:val="SCCCounselPartyRoleChar"/>
          <w:sz w:val="20"/>
        </w:rPr>
      </w:pPr>
      <w:r w:rsidRPr="00B41058">
        <w:rPr>
          <w:rStyle w:val="SCCCounselNameChar"/>
          <w:rFonts w:eastAsia="Calibri"/>
          <w:sz w:val="20"/>
        </w:rPr>
        <w:tab/>
      </w:r>
      <w:proofErr w:type="gramStart"/>
      <w:r w:rsidRPr="00B41058">
        <w:rPr>
          <w:rStyle w:val="SCCCounselNameChar"/>
          <w:rFonts w:eastAsia="Calibri"/>
          <w:sz w:val="20"/>
        </w:rPr>
        <w:t>Wendy Burnham</w:t>
      </w:r>
      <w:r w:rsidRPr="00B41058">
        <w:rPr>
          <w:rStyle w:val="SCCCounselSeparatorChar"/>
          <w:sz w:val="20"/>
          <w:lang w:val="en-US"/>
        </w:rPr>
        <w:t xml:space="preserve">, </w:t>
      </w:r>
      <w:proofErr w:type="spellStart"/>
      <w:r w:rsidRPr="00B41058">
        <w:rPr>
          <w:rStyle w:val="SCCCounselNameChar"/>
          <w:rFonts w:eastAsia="Calibri"/>
          <w:sz w:val="20"/>
        </w:rPr>
        <w:t>Deen</w:t>
      </w:r>
      <w:proofErr w:type="spellEnd"/>
      <w:r w:rsidRPr="00B41058">
        <w:rPr>
          <w:rStyle w:val="SCCCounselNameChar"/>
          <w:rFonts w:eastAsia="Calibri"/>
          <w:sz w:val="20"/>
        </w:rPr>
        <w:t xml:space="preserve"> Olsen</w:t>
      </w:r>
      <w:r w:rsidRPr="00B41058">
        <w:rPr>
          <w:rStyle w:val="SCCCounselSeparatorChar"/>
          <w:sz w:val="20"/>
          <w:lang w:val="en-US"/>
        </w:rPr>
        <w:t xml:space="preserve"> and </w:t>
      </w:r>
      <w:r w:rsidRPr="00B41058">
        <w:rPr>
          <w:rStyle w:val="SCCCounselNameChar"/>
          <w:rFonts w:eastAsia="Calibri"/>
          <w:sz w:val="20"/>
        </w:rPr>
        <w:t>Eric Noble</w:t>
      </w:r>
      <w:r w:rsidRPr="00B41058">
        <w:rPr>
          <w:rStyle w:val="SCCCounselPartyRoleChar"/>
          <w:sz w:val="20"/>
        </w:rPr>
        <w:t>, for the respondent.</w:t>
      </w:r>
      <w:proofErr w:type="gramEnd"/>
    </w:p>
    <w:p w:rsidR="00B41058" w:rsidRPr="00B41058" w:rsidRDefault="00B41058" w:rsidP="00B41058">
      <w:pPr>
        <w:pStyle w:val="SCCNormalDoubleSpacing"/>
        <w:spacing w:line="240" w:lineRule="auto"/>
        <w:rPr>
          <w:sz w:val="20"/>
        </w:rPr>
      </w:pPr>
    </w:p>
    <w:p w:rsidR="00B41058" w:rsidRDefault="00B41058" w:rsidP="00B41058">
      <w:pPr>
        <w:pStyle w:val="SCCLawFirm"/>
        <w:spacing w:line="240" w:lineRule="auto"/>
        <w:rPr>
          <w:sz w:val="20"/>
        </w:rPr>
      </w:pPr>
      <w:r w:rsidRPr="00B41058">
        <w:rPr>
          <w:sz w:val="20"/>
        </w:rPr>
        <w:tab/>
        <w:t>Solicitors for the appellant:  </w:t>
      </w:r>
      <w:proofErr w:type="spellStart"/>
      <w:r w:rsidRPr="00B41058">
        <w:rPr>
          <w:sz w:val="20"/>
        </w:rPr>
        <w:t>Stikeman</w:t>
      </w:r>
      <w:proofErr w:type="spellEnd"/>
      <w:r w:rsidRPr="00B41058">
        <w:rPr>
          <w:sz w:val="20"/>
        </w:rPr>
        <w:t xml:space="preserve"> Elliott, Montréal.</w:t>
      </w:r>
    </w:p>
    <w:p w:rsidR="00B41058" w:rsidRPr="00B41058" w:rsidRDefault="00B41058" w:rsidP="00B41058">
      <w:pPr>
        <w:pStyle w:val="SCCNormalDoubleSpacing"/>
        <w:spacing w:line="240" w:lineRule="auto"/>
        <w:rPr>
          <w:sz w:val="20"/>
        </w:rPr>
      </w:pPr>
    </w:p>
    <w:p w:rsidR="00B41058" w:rsidRPr="004C3439" w:rsidRDefault="00B41058" w:rsidP="00B41058">
      <w:pPr>
        <w:rPr>
          <w:rFonts w:cs="Times New Roman"/>
          <w:i/>
          <w:sz w:val="20"/>
          <w:szCs w:val="20"/>
        </w:rPr>
      </w:pPr>
      <w:r w:rsidRPr="00B41058">
        <w:rPr>
          <w:sz w:val="20"/>
          <w:szCs w:val="20"/>
        </w:rPr>
        <w:tab/>
      </w:r>
      <w:r w:rsidRPr="004C3439">
        <w:rPr>
          <w:i/>
          <w:sz w:val="20"/>
          <w:szCs w:val="20"/>
        </w:rPr>
        <w:t>Solicitor for the respondent:  Attorney General of Canada, Ottawa.</w:t>
      </w:r>
    </w:p>
    <w:p w:rsidR="00DC7918" w:rsidRPr="00B41058" w:rsidRDefault="00DC7918" w:rsidP="00DC7918">
      <w:pPr>
        <w:rPr>
          <w:rFonts w:cs="Times New Roman"/>
          <w:sz w:val="20"/>
          <w:szCs w:val="20"/>
          <w:lang w:val="fr-CA"/>
        </w:rPr>
      </w:pPr>
      <w:r w:rsidRPr="00B41058">
        <w:rPr>
          <w:rFonts w:cs="Times New Roman"/>
          <w:sz w:val="20"/>
          <w:szCs w:val="20"/>
          <w:lang w:val="fr-CA"/>
        </w:rPr>
        <w:t>________________________</w:t>
      </w:r>
    </w:p>
    <w:p w:rsidR="00DC7918" w:rsidRPr="00B41058" w:rsidRDefault="00DC7918" w:rsidP="00DC7918">
      <w:pPr>
        <w:rPr>
          <w:rFonts w:cs="Times New Roman"/>
          <w:sz w:val="20"/>
          <w:szCs w:val="20"/>
          <w:lang w:val="fr-CA"/>
        </w:rPr>
      </w:pPr>
    </w:p>
    <w:p w:rsidR="00DC7918" w:rsidRPr="00B41058" w:rsidRDefault="00DC7918" w:rsidP="00DC7918">
      <w:pPr>
        <w:jc w:val="both"/>
        <w:rPr>
          <w:rFonts w:cs="Times New Roman"/>
          <w:sz w:val="20"/>
          <w:szCs w:val="20"/>
          <w:lang w:val="fr-CA"/>
        </w:rPr>
      </w:pPr>
      <w:r w:rsidRPr="00B41058">
        <w:rPr>
          <w:rFonts w:cs="Times New Roman"/>
          <w:sz w:val="20"/>
          <w:szCs w:val="20"/>
          <w:lang w:val="fr-CA"/>
        </w:rPr>
        <w:t xml:space="preserve">Présents : </w:t>
      </w:r>
      <w:r w:rsidR="00B41058" w:rsidRPr="00B41058">
        <w:rPr>
          <w:rFonts w:cs="Times New Roman"/>
          <w:sz w:val="20"/>
          <w:szCs w:val="20"/>
          <w:lang w:val="fr-CA"/>
        </w:rPr>
        <w:t xml:space="preserve">La juge en chef </w:t>
      </w:r>
      <w:proofErr w:type="spellStart"/>
      <w:r w:rsidR="00B41058" w:rsidRPr="00B41058">
        <w:rPr>
          <w:rFonts w:cs="Times New Roman"/>
          <w:sz w:val="20"/>
          <w:szCs w:val="20"/>
          <w:lang w:val="fr-CA"/>
        </w:rPr>
        <w:t>McLachlin</w:t>
      </w:r>
      <w:proofErr w:type="spellEnd"/>
      <w:r w:rsidR="00B41058" w:rsidRPr="00B41058">
        <w:rPr>
          <w:rFonts w:cs="Times New Roman"/>
          <w:sz w:val="20"/>
          <w:szCs w:val="20"/>
          <w:lang w:val="fr-CA"/>
        </w:rPr>
        <w:t xml:space="preserve"> et les juges </w:t>
      </w:r>
      <w:proofErr w:type="spellStart"/>
      <w:r w:rsidR="00B41058" w:rsidRPr="00B41058">
        <w:rPr>
          <w:rFonts w:cs="Times New Roman"/>
          <w:sz w:val="20"/>
          <w:szCs w:val="20"/>
          <w:lang w:val="fr-CA"/>
        </w:rPr>
        <w:t>Binnie</w:t>
      </w:r>
      <w:proofErr w:type="spellEnd"/>
      <w:r w:rsidR="00B41058" w:rsidRPr="00B41058">
        <w:rPr>
          <w:rFonts w:cs="Times New Roman"/>
          <w:sz w:val="20"/>
          <w:szCs w:val="20"/>
          <w:lang w:val="fr-CA"/>
        </w:rPr>
        <w:t xml:space="preserve">, </w:t>
      </w:r>
      <w:proofErr w:type="spellStart"/>
      <w:r w:rsidR="00B41058" w:rsidRPr="00B41058">
        <w:rPr>
          <w:rFonts w:cs="Times New Roman"/>
          <w:sz w:val="20"/>
          <w:szCs w:val="20"/>
          <w:lang w:val="fr-CA"/>
        </w:rPr>
        <w:t>LeBel</w:t>
      </w:r>
      <w:proofErr w:type="spellEnd"/>
      <w:r w:rsidR="00B41058" w:rsidRPr="00B41058">
        <w:rPr>
          <w:rFonts w:cs="Times New Roman"/>
          <w:sz w:val="20"/>
          <w:szCs w:val="20"/>
          <w:lang w:val="fr-CA"/>
        </w:rPr>
        <w:t xml:space="preserve">, Deschamps, Fish, Abella, Charron, </w:t>
      </w:r>
      <w:proofErr w:type="spellStart"/>
      <w:r w:rsidR="00B41058" w:rsidRPr="00B41058">
        <w:rPr>
          <w:rFonts w:cs="Times New Roman"/>
          <w:sz w:val="20"/>
          <w:szCs w:val="20"/>
          <w:lang w:val="fr-CA"/>
        </w:rPr>
        <w:t>Rothstein</w:t>
      </w:r>
      <w:proofErr w:type="spellEnd"/>
      <w:r w:rsidR="00B41058" w:rsidRPr="00B41058">
        <w:rPr>
          <w:rFonts w:cs="Times New Roman"/>
          <w:sz w:val="20"/>
          <w:szCs w:val="20"/>
          <w:lang w:val="fr-CA"/>
        </w:rPr>
        <w:t xml:space="preserve"> et Cromwell.</w:t>
      </w:r>
    </w:p>
    <w:p w:rsidR="00DC7918" w:rsidRPr="00B41058" w:rsidRDefault="00DC7918" w:rsidP="00B41058">
      <w:pPr>
        <w:jc w:val="both"/>
        <w:rPr>
          <w:rFonts w:cs="Times New Roman"/>
          <w:sz w:val="20"/>
          <w:szCs w:val="20"/>
          <w:lang w:val="fr-CA"/>
        </w:rPr>
      </w:pPr>
    </w:p>
    <w:p w:rsidR="00B41058" w:rsidRDefault="00B41058" w:rsidP="00B41058">
      <w:pPr>
        <w:pStyle w:val="SCCNormalDoubleSpacing"/>
        <w:widowControl w:val="0"/>
        <w:spacing w:line="240" w:lineRule="auto"/>
        <w:rPr>
          <w:rFonts w:eastAsiaTheme="minorHAnsi"/>
          <w:i/>
          <w:sz w:val="20"/>
          <w:lang w:val="fr-CA"/>
        </w:rPr>
      </w:pPr>
      <w:r w:rsidRPr="00D6009D">
        <w:rPr>
          <w:sz w:val="20"/>
          <w:lang w:val="fr-CA"/>
        </w:rPr>
        <w:tab/>
      </w:r>
      <w:r w:rsidRPr="00B41058">
        <w:rPr>
          <w:i/>
          <w:sz w:val="20"/>
          <w:lang w:val="fr-CA"/>
        </w:rPr>
        <w:t>Droit fiscal</w:t>
      </w:r>
      <w:r w:rsidRPr="00B41058">
        <w:rPr>
          <w:rFonts w:eastAsiaTheme="minorHAnsi"/>
          <w:i/>
          <w:sz w:val="20"/>
          <w:lang w:val="fr-CA"/>
        </w:rPr>
        <w:t xml:space="preserve"> — Impôt sur le revenu — Évitement fiscal — Interprétation et application de la règle générale anti-évitement — Série d’opérations mettant en jeu le capital versé d’une société — Sort du capital versé en cas de fusion — Retenue d’impôt sur un dividende réputé — Un avantage fiscal a-t-il découlé de ces opérations? — L’opération ayant généré l’avantage fiscal était-elle une opération d’évitement? — Interprétation du terme anglais « contemplation » dans la définition légale d’une série — L’opération ou la série d’opérations constituent-elles un abus dans l’application de la Loi de l’impôt sur le revenu? — La règle générale anti-évitement permet-elle de supprimer l’avantage fiscal? — Loi de l’impôt sur le revenu, L.R.C. 1985, ch. 1 (5</w:t>
      </w:r>
      <w:r w:rsidRPr="00B41058">
        <w:rPr>
          <w:rFonts w:eastAsiaTheme="minorHAnsi"/>
          <w:i/>
          <w:sz w:val="20"/>
          <w:vertAlign w:val="superscript"/>
          <w:lang w:val="fr-CA"/>
        </w:rPr>
        <w:t>e</w:t>
      </w:r>
      <w:r w:rsidRPr="00B41058">
        <w:rPr>
          <w:rFonts w:eastAsiaTheme="minorHAnsi"/>
          <w:i/>
          <w:sz w:val="20"/>
          <w:lang w:val="fr-CA"/>
        </w:rPr>
        <w:t xml:space="preserve"> suppl.), art. 84(3), 87(3), 89(1), 245(1) à (5) et 248(10).</w:t>
      </w:r>
    </w:p>
    <w:p w:rsidR="00B41058" w:rsidRPr="00B41058" w:rsidRDefault="00B41058" w:rsidP="00B41058">
      <w:pPr>
        <w:pStyle w:val="SCCNormalDoubleSpacing"/>
        <w:widowControl w:val="0"/>
        <w:spacing w:line="240" w:lineRule="auto"/>
        <w:rPr>
          <w:rFonts w:eastAsiaTheme="minorHAnsi"/>
          <w:i/>
          <w:sz w:val="20"/>
          <w:lang w:val="fr-CA"/>
        </w:rPr>
      </w:pPr>
    </w:p>
    <w:p w:rsidR="00B41058" w:rsidRPr="00B41058" w:rsidRDefault="00B41058" w:rsidP="00B41058">
      <w:pPr>
        <w:pStyle w:val="SCCNormalDoubleSpacing"/>
        <w:widowControl w:val="0"/>
        <w:spacing w:line="240" w:lineRule="auto"/>
        <w:rPr>
          <w:sz w:val="20"/>
          <w:lang w:val="fr-CA"/>
        </w:rPr>
      </w:pPr>
      <w:r w:rsidRPr="00B41058">
        <w:rPr>
          <w:sz w:val="20"/>
          <w:lang w:val="fr-CA"/>
        </w:rPr>
        <w:tab/>
        <w:t xml:space="preserve">Deux sociétés canadiennes d’un même groupe (appelées </w:t>
      </w:r>
      <w:proofErr w:type="spellStart"/>
      <w:r w:rsidRPr="00B41058">
        <w:rPr>
          <w:sz w:val="20"/>
          <w:lang w:val="fr-CA"/>
        </w:rPr>
        <w:t>Copthorne</w:t>
      </w:r>
      <w:proofErr w:type="spellEnd"/>
      <w:r w:rsidRPr="00B41058">
        <w:rPr>
          <w:sz w:val="20"/>
          <w:lang w:val="fr-CA"/>
        </w:rPr>
        <w:t xml:space="preserve"> I et VHHC Holdings Ltd. dans les motifs) qui étaient société mère et filiale sont devenues, au terme d’une série d’opérations, des sociétés « sœurs », c’est</w:t>
      </w:r>
      <w:r w:rsidRPr="00B41058">
        <w:rPr>
          <w:sz w:val="20"/>
          <w:lang w:val="fr-CA"/>
        </w:rPr>
        <w:noBreakHyphen/>
      </w:r>
      <w:proofErr w:type="spellStart"/>
      <w:r w:rsidRPr="00B41058">
        <w:rPr>
          <w:sz w:val="20"/>
          <w:lang w:val="fr-CA"/>
        </w:rPr>
        <w:t>à</w:t>
      </w:r>
      <w:r w:rsidRPr="00B41058">
        <w:rPr>
          <w:sz w:val="20"/>
          <w:lang w:val="fr-CA"/>
        </w:rPr>
        <w:noBreakHyphen/>
        <w:t>dire</w:t>
      </w:r>
      <w:proofErr w:type="spellEnd"/>
      <w:r w:rsidRPr="00B41058">
        <w:rPr>
          <w:sz w:val="20"/>
          <w:lang w:val="fr-CA"/>
        </w:rPr>
        <w:t xml:space="preserve"> des sociétés appartenant directement au même actionnaire non résident, </w:t>
      </w:r>
      <w:proofErr w:type="spellStart"/>
      <w:r w:rsidRPr="00B41058">
        <w:rPr>
          <w:sz w:val="20"/>
          <w:lang w:val="fr-CA"/>
        </w:rPr>
        <w:t>Big</w:t>
      </w:r>
      <w:proofErr w:type="spellEnd"/>
      <w:r w:rsidRPr="00B41058">
        <w:rPr>
          <w:sz w:val="20"/>
          <w:lang w:val="fr-CA"/>
        </w:rPr>
        <w:t xml:space="preserve"> City B.V. Les sociétés sœurs ont ensuite fusionné « horizontalement », et le capital versé (« CV ») des actions de l’une s’est ajouté au CV des actions de l’autre pour former le CV des actions de la société issue de la fusion.  Si elles avaient encore été une société mère et une filiale, le CV des actions de la filiale aurait été annulé par la fusion.  La société issue de la fusion a ensuite racheté un bloc important de ses actions et versé l’équivalent de leur CV à son actionnaire non résident.  Le paiement n’a pas été considéré comme un revenu imposable, mais plutôt comme un remboursement de capital à l’actionnaire.</w:t>
      </w:r>
    </w:p>
    <w:p w:rsidR="00B41058" w:rsidRDefault="00B41058" w:rsidP="00B41058">
      <w:pPr>
        <w:pStyle w:val="SCCNormalDoubleSpacing"/>
        <w:widowControl w:val="0"/>
        <w:spacing w:line="240" w:lineRule="auto"/>
        <w:rPr>
          <w:sz w:val="20"/>
          <w:lang w:val="fr-CA"/>
        </w:rPr>
      </w:pPr>
    </w:p>
    <w:p w:rsidR="00B41058" w:rsidRPr="00B41058" w:rsidRDefault="00B41058" w:rsidP="00B41058">
      <w:pPr>
        <w:pStyle w:val="SCCNormalDoubleSpacing"/>
        <w:widowControl w:val="0"/>
        <w:spacing w:line="240" w:lineRule="auto"/>
        <w:rPr>
          <w:sz w:val="20"/>
          <w:lang w:val="fr-CA"/>
        </w:rPr>
      </w:pPr>
      <w:r w:rsidRPr="00B41058">
        <w:rPr>
          <w:sz w:val="20"/>
          <w:lang w:val="fr-CA"/>
        </w:rPr>
        <w:tab/>
        <w:t xml:space="preserve">Nulle disposition de la </w:t>
      </w:r>
      <w:r w:rsidRPr="00B41058">
        <w:rPr>
          <w:i/>
          <w:sz w:val="20"/>
          <w:lang w:val="fr-CA"/>
        </w:rPr>
        <w:t>Loi de l’impôt sur le revenu</w:t>
      </w:r>
      <w:r w:rsidRPr="00B41058">
        <w:rPr>
          <w:sz w:val="20"/>
          <w:lang w:val="fr-CA"/>
        </w:rPr>
        <w:t xml:space="preserve"> (« Loi ») n’exigeait expressément, dans ce cas, que le remboursement du CV soit considéré comme un paiement imposable.  Le ministre du Revenu national a néanmoins estimé que les opérations à l’issue desquelles la société mère et sa filiale étaient devenues des sociétés sœurs avaient contourné l’application de certaines dispositions de la Loi de manière abusive et contrevenu ainsi à l’art. 245 de la Loi (la règle générale </w:t>
      </w:r>
      <w:proofErr w:type="spellStart"/>
      <w:r w:rsidRPr="00B41058">
        <w:rPr>
          <w:sz w:val="20"/>
          <w:lang w:val="fr-CA"/>
        </w:rPr>
        <w:t>anti</w:t>
      </w:r>
      <w:r w:rsidRPr="00B41058">
        <w:rPr>
          <w:sz w:val="20"/>
          <w:lang w:val="fr-CA"/>
        </w:rPr>
        <w:noBreakHyphen/>
        <w:t>évitement</w:t>
      </w:r>
      <w:proofErr w:type="spellEnd"/>
      <w:r w:rsidRPr="00B41058">
        <w:rPr>
          <w:sz w:val="20"/>
          <w:lang w:val="fr-CA"/>
        </w:rPr>
        <w:t xml:space="preserve"> ou « RGAÉ »).  En application de la RGAÉ, le ministre a conclu que la fusion de la filiale avec sa société mère aurait dû annuler le CV des actions de la filiale conformément au par. 87(3).  Si le CV des actions de la société issue de la fusion avait été réduit, la tranche de la somme versée à l’actionnaire qui excédait le CV réduit aurait constitué un dividende réputé imposable.  La société issue de la fusion a fait l’objet d’une nouvelle cotisation pour la retenue d’impôt non remise sur la portion </w:t>
      </w:r>
      <w:r w:rsidRPr="00B41058">
        <w:rPr>
          <w:rFonts w:eastAsiaTheme="minorHAnsi"/>
          <w:i/>
          <w:sz w:val="20"/>
          <w:lang w:val="fr-CA"/>
        </w:rPr>
        <w:t>—</w:t>
      </w:r>
      <w:r w:rsidRPr="00B41058">
        <w:rPr>
          <w:rFonts w:eastAsiaTheme="minorHAnsi"/>
          <w:sz w:val="20"/>
          <w:lang w:val="fr-CA"/>
        </w:rPr>
        <w:t xml:space="preserve"> </w:t>
      </w:r>
      <w:r w:rsidRPr="00B41058">
        <w:rPr>
          <w:sz w:val="20"/>
          <w:lang w:val="fr-CA"/>
        </w:rPr>
        <w:t xml:space="preserve">qui constituait un dividende réputé </w:t>
      </w:r>
      <w:r w:rsidRPr="00B41058">
        <w:rPr>
          <w:rFonts w:eastAsiaTheme="minorHAnsi"/>
          <w:i/>
          <w:sz w:val="20"/>
          <w:lang w:val="fr-CA"/>
        </w:rPr>
        <w:t xml:space="preserve">— </w:t>
      </w:r>
      <w:r w:rsidRPr="00B41058">
        <w:rPr>
          <w:sz w:val="20"/>
          <w:lang w:val="fr-CA"/>
        </w:rPr>
        <w:t xml:space="preserve">de la somme touchée par l’actionnaire non résident lors du rachat.  La Cour canadienne de l’impôt et la Cour d’appel fédérale ont confirmé les nouvelles cotisations. </w:t>
      </w:r>
    </w:p>
    <w:p w:rsidR="00B41058" w:rsidRDefault="00B41058" w:rsidP="00B41058">
      <w:pPr>
        <w:pStyle w:val="SCCNormalDoubleSpacing"/>
        <w:spacing w:line="240" w:lineRule="auto"/>
        <w:rPr>
          <w:i/>
          <w:sz w:val="20"/>
          <w:lang w:val="fr-CA"/>
        </w:rPr>
      </w:pPr>
    </w:p>
    <w:p w:rsidR="00B41058" w:rsidRDefault="00B41058" w:rsidP="00B41058">
      <w:pPr>
        <w:pStyle w:val="SCCNormalDoubleSpacing"/>
        <w:spacing w:line="240" w:lineRule="auto"/>
        <w:rPr>
          <w:sz w:val="20"/>
          <w:lang w:val="fr-CA"/>
        </w:rPr>
      </w:pPr>
      <w:r w:rsidRPr="00B41058">
        <w:rPr>
          <w:i/>
          <w:sz w:val="20"/>
          <w:lang w:val="fr-CA"/>
        </w:rPr>
        <w:tab/>
        <w:t>Arrêt</w:t>
      </w:r>
      <w:r w:rsidRPr="00B41058">
        <w:rPr>
          <w:sz w:val="20"/>
          <w:lang w:val="fr-CA"/>
        </w:rPr>
        <w:t> : Le pourvoi est rejeté.</w:t>
      </w:r>
    </w:p>
    <w:p w:rsidR="00B41058" w:rsidRPr="00B41058" w:rsidRDefault="00B41058" w:rsidP="00B41058">
      <w:pPr>
        <w:pStyle w:val="SCCNormalDoubleSpacing"/>
        <w:spacing w:line="240" w:lineRule="auto"/>
        <w:rPr>
          <w:sz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Le régime de la RGAÉ  défini aux par. 245(1) à (5) de la Loi  exige que l’on détermine ce qui suit : (1) y </w:t>
      </w:r>
      <w:proofErr w:type="spellStart"/>
      <w:r w:rsidR="00B41058" w:rsidRPr="00B41058">
        <w:rPr>
          <w:rFonts w:cs="Times New Roman"/>
          <w:sz w:val="20"/>
          <w:szCs w:val="20"/>
          <w:lang w:val="fr-CA"/>
        </w:rPr>
        <w:t>a</w:t>
      </w:r>
      <w:r w:rsidR="00B41058" w:rsidRPr="00B41058">
        <w:rPr>
          <w:rFonts w:cs="Times New Roman"/>
          <w:sz w:val="20"/>
          <w:szCs w:val="20"/>
          <w:lang w:val="fr-CA"/>
        </w:rPr>
        <w:noBreakHyphen/>
        <w:t>t</w:t>
      </w:r>
      <w:r w:rsidR="00B41058" w:rsidRPr="00B41058">
        <w:rPr>
          <w:rFonts w:cs="Times New Roman"/>
          <w:sz w:val="20"/>
          <w:szCs w:val="20"/>
          <w:lang w:val="fr-CA"/>
        </w:rPr>
        <w:noBreakHyphen/>
        <w:t>il</w:t>
      </w:r>
      <w:proofErr w:type="spellEnd"/>
      <w:r w:rsidR="00B41058" w:rsidRPr="00B41058">
        <w:rPr>
          <w:rFonts w:cs="Times New Roman"/>
          <w:sz w:val="20"/>
          <w:szCs w:val="20"/>
          <w:lang w:val="fr-CA"/>
        </w:rPr>
        <w:t xml:space="preserve"> eu avantage fiscal, (2) l’opération ayant généré l’avantage fiscal </w:t>
      </w:r>
      <w:proofErr w:type="spellStart"/>
      <w:r w:rsidR="00B41058" w:rsidRPr="00B41058">
        <w:rPr>
          <w:rFonts w:cs="Times New Roman"/>
          <w:sz w:val="20"/>
          <w:szCs w:val="20"/>
          <w:lang w:val="fr-CA"/>
        </w:rPr>
        <w:t>était</w:t>
      </w:r>
      <w:r w:rsidR="00B41058" w:rsidRPr="00B41058">
        <w:rPr>
          <w:rFonts w:cs="Times New Roman"/>
          <w:sz w:val="20"/>
          <w:szCs w:val="20"/>
          <w:lang w:val="fr-CA"/>
        </w:rPr>
        <w:noBreakHyphen/>
        <w:t>elle</w:t>
      </w:r>
      <w:proofErr w:type="spellEnd"/>
      <w:r w:rsidR="00B41058" w:rsidRPr="00B41058">
        <w:rPr>
          <w:rFonts w:cs="Times New Roman"/>
          <w:sz w:val="20"/>
          <w:szCs w:val="20"/>
          <w:lang w:val="fr-CA"/>
        </w:rPr>
        <w:t xml:space="preserve"> une opération d’évitement et (3) l’opération d’évitement ayant généré l’avantage fiscal </w:t>
      </w:r>
      <w:proofErr w:type="spellStart"/>
      <w:r w:rsidR="00B41058" w:rsidRPr="00B41058">
        <w:rPr>
          <w:rFonts w:cs="Times New Roman"/>
          <w:sz w:val="20"/>
          <w:szCs w:val="20"/>
          <w:lang w:val="fr-CA"/>
        </w:rPr>
        <w:t>était</w:t>
      </w:r>
      <w:r w:rsidR="00B41058" w:rsidRPr="00B41058">
        <w:rPr>
          <w:rFonts w:cs="Times New Roman"/>
          <w:sz w:val="20"/>
          <w:szCs w:val="20"/>
          <w:lang w:val="fr-CA"/>
        </w:rPr>
        <w:noBreakHyphen/>
        <w:t>elle</w:t>
      </w:r>
      <w:proofErr w:type="spellEnd"/>
      <w:r w:rsidR="00B41058" w:rsidRPr="00B41058">
        <w:rPr>
          <w:rFonts w:cs="Times New Roman"/>
          <w:sz w:val="20"/>
          <w:szCs w:val="20"/>
          <w:lang w:val="fr-CA"/>
        </w:rPr>
        <w:t xml:space="preserve"> abusive?  C’est au contribuable qu’il incombe de réfuter la thèse du ministre selon laquelle il y a avantage fiscal.  Lorsque, comme en l’espèce, un juge de la Cour de l’impôt tire la conclusion de fait qu’il existe un avantage fiscal, le tribunal d’appel ne peut infirmer </w:t>
      </w:r>
      <w:proofErr w:type="spellStart"/>
      <w:r w:rsidR="00B41058" w:rsidRPr="00B41058">
        <w:rPr>
          <w:rFonts w:cs="Times New Roman"/>
          <w:sz w:val="20"/>
          <w:szCs w:val="20"/>
          <w:lang w:val="fr-CA"/>
        </w:rPr>
        <w:t>celle</w:t>
      </w:r>
      <w:r w:rsidR="00B41058" w:rsidRPr="00B41058">
        <w:rPr>
          <w:rFonts w:cs="Times New Roman"/>
          <w:sz w:val="20"/>
          <w:szCs w:val="20"/>
          <w:lang w:val="fr-CA"/>
        </w:rPr>
        <w:noBreakHyphen/>
        <w:t>ci</w:t>
      </w:r>
      <w:proofErr w:type="spellEnd"/>
      <w:r w:rsidR="00B41058" w:rsidRPr="00B41058">
        <w:rPr>
          <w:rFonts w:cs="Times New Roman"/>
          <w:sz w:val="20"/>
          <w:szCs w:val="20"/>
          <w:lang w:val="fr-CA"/>
        </w:rPr>
        <w:t xml:space="preserve"> que si l’appelant prouve l’erreur manifeste et dominante.  L’existence d’un avantage fiscal peut être établie en comparant la situation du contribuable à celle produite par un autre mécanisme qui aurait pu raisonnablement avoir été employé n’eût été l’avantage fiscal.  En l’espèce, la comparaison avec la fusion verticale effectuée par le ministre convenait, et la conclusion de la juge de la Cour de l’impôt selon laquelle il existait un avantage fiscal doit être confirmée.  </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Suivant le par. 245(3) de la Loi, constitue une opération d’évitement l’opération dont découle un avantage fiscal et qui n’est pas effectuée principalement pour un objet véritable non fiscal.  Une opération d’évitement peut conférer un avantage fiscal de façon indépendante ou elle peut faire partie d’une série d’opérations qui confère un avantage.  Lorsque, comme en l’espèce, le ministre tient pour acquis que l’avantage fiscal découle d’une série d’opérations et non d’une seule, il faut déterminer s’il y a une série, quelles opérations en font partie et si l’avantage fiscal découle de la série.  Le point de départ réside dans la </w:t>
      </w:r>
      <w:proofErr w:type="spellStart"/>
      <w:r w:rsidR="00B41058" w:rsidRPr="00B41058">
        <w:rPr>
          <w:rFonts w:cs="Times New Roman"/>
          <w:sz w:val="20"/>
          <w:szCs w:val="20"/>
          <w:lang w:val="fr-CA"/>
        </w:rPr>
        <w:t>common</w:t>
      </w:r>
      <w:proofErr w:type="spellEnd"/>
      <w:r w:rsidR="00B41058" w:rsidRPr="00B41058">
        <w:rPr>
          <w:rFonts w:cs="Times New Roman"/>
          <w:sz w:val="20"/>
          <w:szCs w:val="20"/>
          <w:lang w:val="fr-CA"/>
        </w:rPr>
        <w:t xml:space="preserve"> </w:t>
      </w:r>
      <w:proofErr w:type="spellStart"/>
      <w:r w:rsidR="00B41058" w:rsidRPr="00B41058">
        <w:rPr>
          <w:rFonts w:cs="Times New Roman"/>
          <w:sz w:val="20"/>
          <w:szCs w:val="20"/>
          <w:lang w:val="fr-CA"/>
        </w:rPr>
        <w:t>law</w:t>
      </w:r>
      <w:proofErr w:type="spellEnd"/>
      <w:r w:rsidR="00B41058" w:rsidRPr="00B41058">
        <w:rPr>
          <w:rFonts w:cs="Times New Roman"/>
          <w:sz w:val="20"/>
          <w:szCs w:val="20"/>
          <w:lang w:val="fr-CA"/>
        </w:rPr>
        <w:t xml:space="preserve"> anglaise qui définit la série de telle sorte que « </w:t>
      </w:r>
      <w:r w:rsidR="00B41058" w:rsidRPr="00B41058">
        <w:rPr>
          <w:rFonts w:cs="Times New Roman"/>
          <w:sz w:val="20"/>
          <w:szCs w:val="20"/>
          <w:lang w:val="fr-FR"/>
        </w:rPr>
        <w:t xml:space="preserve">chaque opération dans la série est déterminée d’avance pour produire un résultat final ».  Le paragraphe 248(10) élargit le sens de l’expression « série d’opérations » de manière à inclure les opérations ou événements liés terminés « en vue de réaliser la série ».  La Cour doit déterminer, suivant la prépondérance des probabilités, si la série a joué dans la décision d’effectuer l’opération liée, au sens où l’opération est intervenue « en raison de » la série ou « relativement à » celle ci.  </w:t>
      </w:r>
      <w:r w:rsidR="00B41058" w:rsidRPr="00B41058">
        <w:rPr>
          <w:rFonts w:cs="Times New Roman"/>
          <w:sz w:val="20"/>
          <w:szCs w:val="20"/>
          <w:lang w:val="fr-CA"/>
        </w:rPr>
        <w:t xml:space="preserve">Chaque affaire est jugée en fonction des faits qui lui sont propres.  Le temps écoulé entre la série et l’opération liée peut parfois constituer un facteur pertinent, tout comme les événements qui surviennent entre elles.  Bien que le critère de l’opération liée effectuée « en raison de » de la série ou « relativement à » </w:t>
      </w:r>
      <w:proofErr w:type="spellStart"/>
      <w:r w:rsidR="00B41058" w:rsidRPr="00B41058">
        <w:rPr>
          <w:rFonts w:cs="Times New Roman"/>
          <w:sz w:val="20"/>
          <w:szCs w:val="20"/>
          <w:lang w:val="fr-CA"/>
        </w:rPr>
        <w:t>celle</w:t>
      </w:r>
      <w:r w:rsidR="00B41058" w:rsidRPr="00B41058">
        <w:rPr>
          <w:rFonts w:cs="Times New Roman"/>
          <w:sz w:val="20"/>
          <w:szCs w:val="20"/>
          <w:lang w:val="fr-CA"/>
        </w:rPr>
        <w:noBreakHyphen/>
        <w:t>ci</w:t>
      </w:r>
      <w:proofErr w:type="spellEnd"/>
      <w:r w:rsidR="00B41058" w:rsidRPr="00B41058">
        <w:rPr>
          <w:rFonts w:cs="Times New Roman"/>
          <w:sz w:val="20"/>
          <w:szCs w:val="20"/>
          <w:lang w:val="fr-CA"/>
        </w:rPr>
        <w:t xml:space="preserve"> n’exige pas de « lien étroit », il requiert tout de même plus qu’une simple possibilité ou qu’un lien d’un degré d’éloignement extrême. </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Il convient de donner au terme anglais « </w:t>
      </w:r>
      <w:r w:rsidR="00B41058" w:rsidRPr="00B41058">
        <w:rPr>
          <w:rFonts w:cs="Times New Roman"/>
          <w:i/>
          <w:sz w:val="20"/>
          <w:szCs w:val="20"/>
          <w:lang w:val="fr-CA"/>
        </w:rPr>
        <w:t>contemplation</w:t>
      </w:r>
      <w:r w:rsidR="00B41058" w:rsidRPr="00B41058">
        <w:rPr>
          <w:rFonts w:cs="Times New Roman"/>
          <w:sz w:val="20"/>
          <w:szCs w:val="20"/>
          <w:lang w:val="fr-CA"/>
        </w:rPr>
        <w:t> » employé au</w:t>
      </w:r>
      <w:r w:rsidR="00B41058" w:rsidRPr="00B41058">
        <w:rPr>
          <w:rFonts w:cs="Times New Roman"/>
          <w:sz w:val="20"/>
          <w:szCs w:val="20"/>
          <w:lang w:val="fr-CA" w:eastAsia="fr-CA"/>
        </w:rPr>
        <w:t xml:space="preserve"> par. 248(10) </w:t>
      </w:r>
      <w:r w:rsidR="00B41058" w:rsidRPr="00B41058">
        <w:rPr>
          <w:rFonts w:cs="Times New Roman"/>
          <w:sz w:val="20"/>
          <w:szCs w:val="20"/>
          <w:lang w:val="fr-CA"/>
        </w:rPr>
        <w:t>une portée tant prospective que rétrospective.  Le texte et le contexte du par. 248(10) ne précisent pas le moment où la réalisation de la série doit être en vue (« </w:t>
      </w:r>
      <w:proofErr w:type="spellStart"/>
      <w:r w:rsidR="00B41058" w:rsidRPr="00B41058">
        <w:rPr>
          <w:rFonts w:cs="Times New Roman"/>
          <w:i/>
          <w:sz w:val="20"/>
          <w:szCs w:val="20"/>
          <w:lang w:val="fr-CA"/>
        </w:rPr>
        <w:t>contemplated</w:t>
      </w:r>
      <w:proofErr w:type="spellEnd"/>
      <w:r w:rsidR="00B41058" w:rsidRPr="00B41058">
        <w:rPr>
          <w:rFonts w:cs="Times New Roman"/>
          <w:i/>
          <w:sz w:val="20"/>
          <w:szCs w:val="20"/>
          <w:lang w:val="fr-CA"/>
        </w:rPr>
        <w:t> </w:t>
      </w:r>
      <w:r w:rsidR="00B41058" w:rsidRPr="00B41058">
        <w:rPr>
          <w:rFonts w:cs="Times New Roman"/>
          <w:sz w:val="20"/>
          <w:szCs w:val="20"/>
          <w:lang w:val="fr-CA"/>
        </w:rPr>
        <w:t>»).  Aucun élément du texte n’indique à quel moment l’opération liée doit être terminée par rapport à la série. Plus précisément, rien ne donne à penser que l’opération liée doit être terminée en vue (« </w:t>
      </w:r>
      <w:r w:rsidR="00B41058" w:rsidRPr="00B41058">
        <w:rPr>
          <w:rFonts w:cs="Times New Roman"/>
          <w:i/>
          <w:sz w:val="20"/>
          <w:szCs w:val="20"/>
          <w:lang w:val="fr-CA"/>
        </w:rPr>
        <w:t>in contemplation </w:t>
      </w:r>
      <w:r w:rsidR="00B41058" w:rsidRPr="00B41058">
        <w:rPr>
          <w:rFonts w:cs="Times New Roman"/>
          <w:sz w:val="20"/>
          <w:szCs w:val="20"/>
          <w:lang w:val="fr-CA"/>
        </w:rPr>
        <w:t>») d’une série subséquente.  Dans la présente affaire, la Cour de l’impôt et la Cour d’appel fédérale ont eu raison de conclure que le rachat fait partie de la série constituée de la vente et de la fusion antérieures et que la série, une fois le rachat inclus, a procuré un avantage fiscal.</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La série d’opérations dont découle directement ou non un avantage fiscal tombe sous le coup du par. 245(3), sauf s’il est raisonnable de considérer que chacune des opérations de la série est principalement effectuée pour un objet véritable non fiscal.  Il faut se prononcer de façon objective, au vu de l’ensemble de la preuve présentée à la cour.  En l’espèce, la juge de la Cour de l’impôt a eu raison de conclure que la vente des actions de VHHC Holdings à la société mère non résidente n’a pas été principalement effectuée pour un objet véritable non fiscal.  Vu l’existence d’une série d’opérations ayant produit un avantage fiscal, la conclusion qu’une opération de la série est une opération d’évitement satisfait aux exigences du par. 245(3).</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Pour conclure au caractère abusif d’une opération, la cour doit d’abord déterminer l’objet ou l’esprit des dispositions qui sont invoquées pour obtenir l’avantage fiscal, eu égard à l’économie de la Loi, aux dispositions pertinentes et aux moyens extrinsèques admissibles.  Une opération d’évitement peut en soi conférer un avantage fiscal, mais elle peut également faire partie d’une série d’opérations qui en confère un.  Bien que l’accent doive être mis sur elle, l’opération qui fait partie d’une série doit être examinée dans le contexte de la série pour déterminer s’il y a évitement fiscal abusif.  Le caractère abusif d’une opération ne se révèle alors que dans le contexte de la série dans laquelle elle s’inscrit et de l’effet global obtenu.  L’examen fait conclure à l’évitement fiscal abusif lorsque l’opération (1) produit un résultat que la disposition législative vise à empêcher, (2) va à l’encontre de la raison d’être de la disposition ou (3) contourne l’application de la disposition de manière à contrecarrer son objet ou son esprit.  Ces considérations ne jouent pas indépendamment les unes des autres, et elles peuvent se chevaucher.  </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Pour déterminer s’il y a abus en l’espèce, il faut axer l’analyse sur le par. 87(3), qui </w:t>
      </w:r>
      <w:proofErr w:type="gramStart"/>
      <w:r w:rsidR="00B41058" w:rsidRPr="00B41058">
        <w:rPr>
          <w:rFonts w:cs="Times New Roman"/>
          <w:sz w:val="20"/>
          <w:szCs w:val="20"/>
          <w:lang w:val="fr-CA"/>
        </w:rPr>
        <w:t>traite</w:t>
      </w:r>
      <w:proofErr w:type="gramEnd"/>
      <w:r w:rsidR="00B41058" w:rsidRPr="00B41058">
        <w:rPr>
          <w:rFonts w:cs="Times New Roman"/>
          <w:sz w:val="20"/>
          <w:szCs w:val="20"/>
          <w:lang w:val="fr-CA"/>
        </w:rPr>
        <w:t xml:space="preserve"> du CV des actions d’une société issue d’une fusion.  Suivant son libellé, le par. 87(3) fait en sorte que le CV des actions de la société issue d’une fusion horizontale n’excède pas le CV total des actions des sociétés fusionnantes.  Le paragraphe 87(3) prévoit également, entre parenthèses, une exception emportant l’annulation du CV des actions d’une société fusionnante qui sont détenues par une autre société fusionnante.  L’analyse textuelle, contextuelle et téléologique du par. 87(3) permet de conclure que l’objet ou l’esprit de l’exception qui y est prévue est de faire obstacle à la conservation du CV des actions d’une filiale en cas de fusion avec la société mère, lorsqu’elle permettrait à l’actionnaire de toucher, lors du rachat de ses actions par la société issue de la fusion, à titre de remboursement non imposable, une somme supérieure aux fonds libérés d’impôt qu’il a investis dans les sociétés fusionnantes. </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Default="004C3439" w:rsidP="00B41058">
      <w:pPr>
        <w:pStyle w:val="ParaNoNdepar-AltN"/>
        <w:numPr>
          <w:ilvl w:val="0"/>
          <w:numId w:val="0"/>
        </w:numPr>
        <w:spacing w:before="0" w:after="0" w:line="240" w:lineRule="auto"/>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L’appelante, </w:t>
      </w:r>
      <w:proofErr w:type="spellStart"/>
      <w:r w:rsidR="00B41058" w:rsidRPr="00B41058">
        <w:rPr>
          <w:rFonts w:cs="Times New Roman"/>
          <w:sz w:val="20"/>
          <w:szCs w:val="20"/>
          <w:lang w:val="fr-CA"/>
        </w:rPr>
        <w:t>Copthorne</w:t>
      </w:r>
      <w:proofErr w:type="spellEnd"/>
      <w:r w:rsidR="00B41058" w:rsidRPr="00B41058">
        <w:rPr>
          <w:rFonts w:cs="Times New Roman"/>
          <w:sz w:val="20"/>
          <w:szCs w:val="20"/>
          <w:lang w:val="fr-CA"/>
        </w:rPr>
        <w:t xml:space="preserve"> Holdings Ltd., convient que le par. 87(3) aurait entraîné l’annulation du CV des actions de VHHC Holdings s’il y avait eu fusion verticale entre cette dernière et </w:t>
      </w:r>
      <w:proofErr w:type="spellStart"/>
      <w:r w:rsidR="00B41058" w:rsidRPr="00B41058">
        <w:rPr>
          <w:rFonts w:cs="Times New Roman"/>
          <w:sz w:val="20"/>
          <w:szCs w:val="20"/>
          <w:lang w:val="fr-CA"/>
        </w:rPr>
        <w:t>Copthorne</w:t>
      </w:r>
      <w:proofErr w:type="spellEnd"/>
      <w:r w:rsidR="00B41058" w:rsidRPr="00B41058">
        <w:rPr>
          <w:rFonts w:cs="Times New Roman"/>
          <w:sz w:val="20"/>
          <w:szCs w:val="20"/>
          <w:lang w:val="fr-CA"/>
        </w:rPr>
        <w:t xml:space="preserve"> I.  </w:t>
      </w:r>
      <w:proofErr w:type="spellStart"/>
      <w:r w:rsidR="00B41058" w:rsidRPr="00B41058">
        <w:rPr>
          <w:rFonts w:cs="Times New Roman"/>
          <w:sz w:val="20"/>
          <w:szCs w:val="20"/>
          <w:lang w:val="fr-CA"/>
        </w:rPr>
        <w:t>Copthorne</w:t>
      </w:r>
      <w:proofErr w:type="spellEnd"/>
      <w:r w:rsidR="00B41058" w:rsidRPr="00B41058">
        <w:rPr>
          <w:rFonts w:cs="Times New Roman"/>
          <w:sz w:val="20"/>
          <w:szCs w:val="20"/>
          <w:lang w:val="fr-CA"/>
        </w:rPr>
        <w:t xml:space="preserve"> I a plutôt vendu ses actions de VHHC Holdings à la société mère non résidente afin d’éviter la fusion verticale et l’annulation du CV des actions de VHHC Holdings.  L’opération a manifestement contourné l’application de l’exception prévue au par. 87(3) lors de la fusion subséquente de </w:t>
      </w:r>
      <w:proofErr w:type="spellStart"/>
      <w:r w:rsidR="00B41058" w:rsidRPr="00B41058">
        <w:rPr>
          <w:rFonts w:cs="Times New Roman"/>
          <w:sz w:val="20"/>
          <w:szCs w:val="20"/>
          <w:lang w:val="fr-CA"/>
        </w:rPr>
        <w:t>Copthorne</w:t>
      </w:r>
      <w:proofErr w:type="spellEnd"/>
      <w:r w:rsidR="00B41058" w:rsidRPr="00B41058">
        <w:rPr>
          <w:rFonts w:cs="Times New Roman"/>
          <w:sz w:val="20"/>
          <w:szCs w:val="20"/>
          <w:lang w:val="fr-CA"/>
        </w:rPr>
        <w:t> I et de VHHC Holdings, alors devenues sociétés sœurs.</w:t>
      </w:r>
    </w:p>
    <w:p w:rsidR="00B41058" w:rsidRPr="00B41058" w:rsidRDefault="00B41058" w:rsidP="00B41058">
      <w:pPr>
        <w:pStyle w:val="ParaNoNdepar-AltN"/>
        <w:numPr>
          <w:ilvl w:val="0"/>
          <w:numId w:val="0"/>
        </w:numPr>
        <w:spacing w:before="0" w:after="0" w:line="240" w:lineRule="auto"/>
        <w:rPr>
          <w:rFonts w:cs="Times New Roman"/>
          <w:sz w:val="20"/>
          <w:szCs w:val="20"/>
          <w:lang w:val="fr-CA"/>
        </w:rPr>
      </w:pPr>
    </w:p>
    <w:p w:rsidR="00B41058" w:rsidRPr="00B41058" w:rsidRDefault="004C3439" w:rsidP="00B41058">
      <w:pPr>
        <w:jc w:val="both"/>
        <w:rPr>
          <w:rFonts w:cs="Times New Roman"/>
          <w:sz w:val="20"/>
          <w:szCs w:val="20"/>
          <w:lang w:val="fr-CA"/>
        </w:rPr>
      </w:pPr>
      <w:r>
        <w:rPr>
          <w:rFonts w:cs="Times New Roman"/>
          <w:sz w:val="20"/>
          <w:szCs w:val="20"/>
          <w:lang w:val="fr-CA"/>
        </w:rPr>
        <w:tab/>
      </w:r>
      <w:r w:rsidR="00B41058" w:rsidRPr="00B41058">
        <w:rPr>
          <w:rFonts w:cs="Times New Roman"/>
          <w:sz w:val="20"/>
          <w:szCs w:val="20"/>
          <w:lang w:val="fr-CA"/>
        </w:rPr>
        <w:t xml:space="preserve">La vente par </w:t>
      </w:r>
      <w:proofErr w:type="spellStart"/>
      <w:r w:rsidR="00B41058" w:rsidRPr="00B41058">
        <w:rPr>
          <w:rFonts w:cs="Times New Roman"/>
          <w:sz w:val="20"/>
          <w:szCs w:val="20"/>
          <w:lang w:val="fr-CA"/>
        </w:rPr>
        <w:t>Copthorne</w:t>
      </w:r>
      <w:proofErr w:type="spellEnd"/>
      <w:r w:rsidR="00B41058" w:rsidRPr="00B41058">
        <w:rPr>
          <w:rFonts w:cs="Times New Roman"/>
          <w:sz w:val="20"/>
          <w:szCs w:val="20"/>
          <w:lang w:val="fr-CA"/>
        </w:rPr>
        <w:t> I de ses actions de VHHC Holdings, effectuée pour empêcher l’annulation du CV de 67 401 279 $, bien qu’elle n’aille pas à l’encontre de la lettre du par. 87(3), est contraire à son objet.  L’investissement de fonds libérés d’impôt totalisait 96 736 845 $.  Autoriser l’ajout de 67 401 279 $ à cette somme permettrait le versement à l’actionnaire, en franchise d’impôt, d’une somme bien supérieure aux fonds libérés d’impôt investis, ce qui se révèle contraire à l’objet ou à l’esprit du par. 87(3), voire à sa raison d’être.  La vente des actions de VHHC Holdings a contourné l’application de l’exception prévue au par. 87(3) et, eu égard à la série d’opérations dont elle faisait partie, elle a produit un résultat que la disposition visait à empêcher, de sorte qu’elle va à l’encontre de la raison d’être du par. 87(3).  Il s’ensuit que l’opération était abusive et que la cotisation fondée sur la RGAÉ était valable.</w:t>
      </w:r>
    </w:p>
    <w:p w:rsidR="00B41058" w:rsidRPr="00B41058" w:rsidRDefault="00B41058" w:rsidP="00B41058">
      <w:pPr>
        <w:jc w:val="both"/>
        <w:rPr>
          <w:rFonts w:cs="Times New Roman"/>
          <w:sz w:val="20"/>
          <w:szCs w:val="20"/>
          <w:lang w:val="fr-CA"/>
        </w:rPr>
      </w:pPr>
    </w:p>
    <w:p w:rsidR="00B41058" w:rsidRDefault="00B41058" w:rsidP="00B41058">
      <w:pPr>
        <w:pStyle w:val="SCCNormalDoubleSpacing"/>
        <w:spacing w:line="240" w:lineRule="auto"/>
        <w:rPr>
          <w:sz w:val="20"/>
          <w:lang w:val="fr-CA"/>
        </w:rPr>
      </w:pPr>
      <w:r w:rsidRPr="00D6009D">
        <w:rPr>
          <w:sz w:val="20"/>
          <w:lang w:val="fr-CA"/>
        </w:rPr>
        <w:tab/>
      </w:r>
      <w:r w:rsidRPr="00B41058">
        <w:rPr>
          <w:sz w:val="20"/>
          <w:lang w:val="fr-CA"/>
        </w:rPr>
        <w:t xml:space="preserve">POURVOI contre un arrêt de la Cour d’appel fédérale (les juges Desjardins, Evans et </w:t>
      </w:r>
      <w:proofErr w:type="spellStart"/>
      <w:r w:rsidRPr="00B41058">
        <w:rPr>
          <w:sz w:val="20"/>
          <w:lang w:val="fr-CA"/>
        </w:rPr>
        <w:t>Ryer</w:t>
      </w:r>
      <w:proofErr w:type="spellEnd"/>
      <w:r w:rsidRPr="00B41058">
        <w:rPr>
          <w:sz w:val="20"/>
          <w:lang w:val="fr-CA"/>
        </w:rPr>
        <w:t>), 2009 CAF 163, 392 N.R. 29, [2009] 5 C.T.C. 1, 2009 D.T.C. 5101, [2009] A.C.F. n</w:t>
      </w:r>
      <w:r w:rsidRPr="00B41058">
        <w:rPr>
          <w:sz w:val="20"/>
          <w:vertAlign w:val="superscript"/>
          <w:lang w:val="fr-CA"/>
        </w:rPr>
        <w:t>o</w:t>
      </w:r>
      <w:r w:rsidRPr="00B41058">
        <w:rPr>
          <w:sz w:val="20"/>
          <w:lang w:val="fr-CA"/>
        </w:rPr>
        <w:t xml:space="preserve"> 625 (QL), 2009 </w:t>
      </w:r>
      <w:proofErr w:type="spellStart"/>
      <w:r w:rsidRPr="00B41058">
        <w:rPr>
          <w:sz w:val="20"/>
          <w:lang w:val="fr-CA"/>
        </w:rPr>
        <w:t>CarswellNat</w:t>
      </w:r>
      <w:proofErr w:type="spellEnd"/>
      <w:r w:rsidRPr="00B41058">
        <w:rPr>
          <w:sz w:val="20"/>
          <w:lang w:val="fr-CA"/>
        </w:rPr>
        <w:t xml:space="preserve"> 3910, qui a confirmé une décision de la juge Campbell, 2007 CCI 481, [2008] 1 C.T.C. 2001, 2007 D.T.C. 1230, [2007] A.C.I. n</w:t>
      </w:r>
      <w:r w:rsidRPr="00B41058">
        <w:rPr>
          <w:sz w:val="20"/>
          <w:vertAlign w:val="superscript"/>
          <w:lang w:val="fr-CA"/>
        </w:rPr>
        <w:t>o</w:t>
      </w:r>
      <w:r w:rsidRPr="00B41058">
        <w:rPr>
          <w:sz w:val="20"/>
          <w:lang w:val="fr-CA"/>
        </w:rPr>
        <w:t xml:space="preserve"> 335 (QL), 2007 </w:t>
      </w:r>
      <w:proofErr w:type="spellStart"/>
      <w:r w:rsidRPr="00B41058">
        <w:rPr>
          <w:sz w:val="20"/>
          <w:lang w:val="fr-CA"/>
        </w:rPr>
        <w:t>CarswellNat</w:t>
      </w:r>
      <w:proofErr w:type="spellEnd"/>
      <w:r w:rsidRPr="00B41058">
        <w:rPr>
          <w:sz w:val="20"/>
          <w:lang w:val="fr-CA"/>
        </w:rPr>
        <w:t xml:space="preserve"> 6138.  Pourvoi rejeté.</w:t>
      </w:r>
    </w:p>
    <w:p w:rsidR="00776AFD" w:rsidRPr="00B41058" w:rsidRDefault="00776AFD" w:rsidP="00B41058">
      <w:pPr>
        <w:pStyle w:val="SCCNormalDoubleSpacing"/>
        <w:spacing w:line="240" w:lineRule="auto"/>
        <w:rPr>
          <w:sz w:val="20"/>
          <w:lang w:val="fr-CA"/>
        </w:rPr>
      </w:pPr>
    </w:p>
    <w:p w:rsidR="00B41058" w:rsidRDefault="00B41058" w:rsidP="00776AFD">
      <w:pPr>
        <w:pStyle w:val="SCCNormalDoubleSpacing"/>
        <w:spacing w:line="240" w:lineRule="auto"/>
        <w:rPr>
          <w:rStyle w:val="SCCCounselPartyRoleChar"/>
          <w:sz w:val="20"/>
          <w:lang w:val="fr-CA"/>
        </w:rPr>
      </w:pPr>
      <w:r w:rsidRPr="00B41058">
        <w:rPr>
          <w:rStyle w:val="SCCCounselNameChar"/>
          <w:rFonts w:eastAsia="Calibri"/>
          <w:sz w:val="20"/>
          <w:lang w:val="fr-CA"/>
        </w:rPr>
        <w:tab/>
        <w:t>Richard W. Pound</w:t>
      </w:r>
      <w:r w:rsidRPr="00B41058">
        <w:rPr>
          <w:rStyle w:val="SCCCounselNameChar"/>
          <w:rFonts w:eastAsia="Calibri"/>
          <w:i w:val="0"/>
          <w:sz w:val="20"/>
          <w:lang w:val="fr-CA"/>
        </w:rPr>
        <w:t xml:space="preserve">, </w:t>
      </w:r>
      <w:proofErr w:type="gramStart"/>
      <w:r w:rsidRPr="00B41058">
        <w:rPr>
          <w:rStyle w:val="SCCCounselNameChar"/>
          <w:rFonts w:eastAsia="Calibri"/>
          <w:sz w:val="20"/>
          <w:lang w:val="fr-CA"/>
        </w:rPr>
        <w:t>c.r.</w:t>
      </w:r>
      <w:r w:rsidRPr="00B41058">
        <w:rPr>
          <w:rStyle w:val="SCCCounselSeparatorChar"/>
          <w:sz w:val="20"/>
        </w:rPr>
        <w:t>,</w:t>
      </w:r>
      <w:proofErr w:type="gramEnd"/>
      <w:r w:rsidRPr="00B41058">
        <w:rPr>
          <w:rStyle w:val="SCCCounselSeparatorChar"/>
          <w:sz w:val="20"/>
        </w:rPr>
        <w:t xml:space="preserve"> et </w:t>
      </w:r>
      <w:proofErr w:type="spellStart"/>
      <w:r w:rsidRPr="00B41058">
        <w:rPr>
          <w:rStyle w:val="SCCCounselNameChar"/>
          <w:rFonts w:eastAsia="Calibri"/>
          <w:sz w:val="20"/>
          <w:lang w:val="fr-CA"/>
        </w:rPr>
        <w:t>Pierre</w:t>
      </w:r>
      <w:r w:rsidRPr="00B41058">
        <w:rPr>
          <w:rStyle w:val="SCCCounselNameChar"/>
          <w:rFonts w:eastAsia="Calibri"/>
          <w:sz w:val="20"/>
          <w:lang w:val="fr-CA"/>
        </w:rPr>
        <w:noBreakHyphen/>
        <w:t>Louis</w:t>
      </w:r>
      <w:proofErr w:type="spellEnd"/>
      <w:r w:rsidRPr="00B41058">
        <w:rPr>
          <w:rStyle w:val="SCCCounselNameChar"/>
          <w:rFonts w:eastAsia="Calibri"/>
          <w:sz w:val="20"/>
          <w:lang w:val="fr-CA"/>
        </w:rPr>
        <w:t xml:space="preserve"> Le Saunier</w:t>
      </w:r>
      <w:r w:rsidRPr="00B41058">
        <w:rPr>
          <w:rStyle w:val="SCCCounselPartyRoleChar"/>
          <w:sz w:val="20"/>
          <w:lang w:val="fr-CA"/>
        </w:rPr>
        <w:t>, pour l’appelante.</w:t>
      </w:r>
    </w:p>
    <w:p w:rsidR="00776AFD" w:rsidRPr="00B41058" w:rsidRDefault="00776AFD" w:rsidP="00776AFD">
      <w:pPr>
        <w:pStyle w:val="SCCNormalDoubleSpacing"/>
        <w:spacing w:line="240" w:lineRule="auto"/>
        <w:rPr>
          <w:sz w:val="20"/>
          <w:lang w:val="fr-CA"/>
        </w:rPr>
      </w:pPr>
    </w:p>
    <w:p w:rsidR="00B41058" w:rsidRDefault="00B41058" w:rsidP="00776AFD">
      <w:pPr>
        <w:pStyle w:val="SCCNormalDoubleSpacing"/>
        <w:spacing w:line="240" w:lineRule="auto"/>
        <w:rPr>
          <w:rStyle w:val="SCCCounselPartyRoleChar"/>
          <w:sz w:val="20"/>
          <w:lang w:val="fr-CA"/>
        </w:rPr>
      </w:pPr>
      <w:r w:rsidRPr="00B41058">
        <w:rPr>
          <w:rStyle w:val="SCCCounselNameChar"/>
          <w:rFonts w:eastAsia="Calibri"/>
          <w:sz w:val="20"/>
          <w:lang w:val="fr-CA"/>
        </w:rPr>
        <w:tab/>
        <w:t>Wendy Burnham</w:t>
      </w:r>
      <w:r w:rsidRPr="00B41058">
        <w:rPr>
          <w:rStyle w:val="SCCCounselSeparatorChar"/>
          <w:sz w:val="20"/>
        </w:rPr>
        <w:t xml:space="preserve">, </w:t>
      </w:r>
      <w:proofErr w:type="spellStart"/>
      <w:r w:rsidRPr="00B41058">
        <w:rPr>
          <w:rStyle w:val="SCCCounselNameChar"/>
          <w:rFonts w:eastAsia="Calibri"/>
          <w:sz w:val="20"/>
          <w:lang w:val="fr-CA"/>
        </w:rPr>
        <w:t>Deen</w:t>
      </w:r>
      <w:proofErr w:type="spellEnd"/>
      <w:r w:rsidRPr="00B41058">
        <w:rPr>
          <w:rStyle w:val="SCCCounselNameChar"/>
          <w:rFonts w:eastAsia="Calibri"/>
          <w:sz w:val="20"/>
          <w:lang w:val="fr-CA"/>
        </w:rPr>
        <w:t xml:space="preserve"> Olsen</w:t>
      </w:r>
      <w:r w:rsidRPr="00B41058">
        <w:rPr>
          <w:rStyle w:val="SCCCounselSeparatorChar"/>
          <w:sz w:val="20"/>
        </w:rPr>
        <w:t xml:space="preserve"> et </w:t>
      </w:r>
      <w:proofErr w:type="spellStart"/>
      <w:r w:rsidRPr="00B41058">
        <w:rPr>
          <w:rStyle w:val="SCCCounselNameChar"/>
          <w:rFonts w:eastAsia="Calibri"/>
          <w:sz w:val="20"/>
          <w:lang w:val="fr-CA"/>
        </w:rPr>
        <w:t>Eric</w:t>
      </w:r>
      <w:proofErr w:type="spellEnd"/>
      <w:r w:rsidRPr="00B41058">
        <w:rPr>
          <w:rStyle w:val="SCCCounselNameChar"/>
          <w:rFonts w:eastAsia="Calibri"/>
          <w:sz w:val="20"/>
          <w:lang w:val="fr-CA"/>
        </w:rPr>
        <w:t xml:space="preserve"> Noble</w:t>
      </w:r>
      <w:r w:rsidRPr="00B41058">
        <w:rPr>
          <w:rStyle w:val="SCCCounselPartyRoleChar"/>
          <w:sz w:val="20"/>
          <w:lang w:val="fr-CA"/>
        </w:rPr>
        <w:t>, pour l’intimée.</w:t>
      </w:r>
    </w:p>
    <w:p w:rsidR="00776AFD" w:rsidRPr="00B41058" w:rsidRDefault="00776AFD" w:rsidP="00776AFD">
      <w:pPr>
        <w:pStyle w:val="SCCNormalDoubleSpacing"/>
        <w:spacing w:line="240" w:lineRule="auto"/>
        <w:rPr>
          <w:sz w:val="20"/>
          <w:lang w:val="fr-CA"/>
        </w:rPr>
      </w:pPr>
    </w:p>
    <w:p w:rsidR="00B41058" w:rsidRPr="00776AFD" w:rsidRDefault="00B41058" w:rsidP="00776AFD">
      <w:pPr>
        <w:pStyle w:val="SCCLawFirm"/>
        <w:spacing w:line="240" w:lineRule="auto"/>
        <w:rPr>
          <w:sz w:val="20"/>
          <w:lang w:val="fr-CA"/>
        </w:rPr>
      </w:pPr>
      <w:r w:rsidRPr="00776AFD">
        <w:rPr>
          <w:sz w:val="20"/>
          <w:lang w:val="fr-CA"/>
        </w:rPr>
        <w:tab/>
        <w:t>Procureurs de l’appelante : </w:t>
      </w:r>
      <w:proofErr w:type="spellStart"/>
      <w:r w:rsidRPr="00776AFD">
        <w:rPr>
          <w:sz w:val="20"/>
          <w:lang w:val="fr-CA"/>
        </w:rPr>
        <w:t>Stikeman</w:t>
      </w:r>
      <w:proofErr w:type="spellEnd"/>
      <w:r w:rsidRPr="00776AFD">
        <w:rPr>
          <w:sz w:val="20"/>
          <w:lang w:val="fr-CA"/>
        </w:rPr>
        <w:t xml:space="preserve"> Elliott, Montréal.</w:t>
      </w:r>
    </w:p>
    <w:p w:rsidR="00776AFD" w:rsidRPr="00776AFD" w:rsidRDefault="00776AFD" w:rsidP="00776AFD">
      <w:pPr>
        <w:pStyle w:val="SCCNormalDoubleSpacing"/>
        <w:spacing w:line="240" w:lineRule="auto"/>
        <w:rPr>
          <w:lang w:val="fr-CA"/>
        </w:rPr>
      </w:pPr>
    </w:p>
    <w:p w:rsidR="00B41058" w:rsidRPr="004C3439" w:rsidRDefault="00B41058" w:rsidP="00776AFD">
      <w:pPr>
        <w:jc w:val="both"/>
        <w:rPr>
          <w:rFonts w:cs="Times New Roman"/>
          <w:i/>
          <w:sz w:val="20"/>
          <w:szCs w:val="20"/>
          <w:lang w:val="fr-CA"/>
        </w:rPr>
      </w:pPr>
      <w:r w:rsidRPr="00776AFD">
        <w:rPr>
          <w:sz w:val="20"/>
          <w:szCs w:val="20"/>
          <w:lang w:val="fr-CA"/>
        </w:rPr>
        <w:tab/>
      </w:r>
      <w:r w:rsidRPr="004C3439">
        <w:rPr>
          <w:i/>
          <w:sz w:val="20"/>
          <w:szCs w:val="20"/>
          <w:lang w:val="fr-CA"/>
        </w:rPr>
        <w:t>Procureur de l’intimée : Procureur général du Canada, Ottawa.</w:t>
      </w:r>
    </w:p>
    <w:p w:rsidR="00B41058" w:rsidRPr="00776AFD" w:rsidRDefault="00B41058" w:rsidP="00776AFD">
      <w:pPr>
        <w:jc w:val="both"/>
        <w:rPr>
          <w:rFonts w:cs="Times New Roman"/>
          <w:sz w:val="20"/>
          <w:szCs w:val="20"/>
          <w:lang w:val="fr-CA"/>
        </w:rPr>
      </w:pPr>
    </w:p>
    <w:p w:rsidR="003B3977" w:rsidRPr="00776AFD" w:rsidRDefault="00DB7F13" w:rsidP="003B3977">
      <w:pPr>
        <w:rPr>
          <w:sz w:val="20"/>
          <w:szCs w:val="20"/>
        </w:rPr>
      </w:pPr>
      <w:r w:rsidRPr="00DB7F13">
        <w:rPr>
          <w:rFonts w:cs="Times New Roman"/>
          <w:sz w:val="20"/>
          <w:szCs w:val="20"/>
          <w:lang w:val="fr-CA"/>
        </w:rPr>
        <w:pict>
          <v:rect id="_x0000_i1085" style="width:144.3pt;height:1pt" o:hrpct="300" o:hralign="center" o:hrstd="t" o:hrnoshade="t" o:hr="t" fillcolor="black [3213]" stroked="f"/>
        </w:pict>
      </w:r>
    </w:p>
    <w:p w:rsidR="005C6840" w:rsidRPr="00776AFD"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p w:rsidR="00E903A1" w:rsidRPr="002E0C7E" w:rsidRDefault="00DB7F1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33" w:rsidRDefault="00396C33" w:rsidP="00A87207">
      <w:r>
        <w:separator/>
      </w:r>
    </w:p>
  </w:endnote>
  <w:endnote w:type="continuationSeparator" w:id="0">
    <w:p w:rsidR="00396C33" w:rsidRDefault="00396C3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pStyle w:val="Footer"/>
      <w:rPr>
        <w:lang w:val="fr-CA"/>
      </w:rPr>
    </w:pPr>
    <w:r w:rsidRPr="00DB7F13">
      <w:rPr>
        <w:lang w:val="fr-CA"/>
      </w:rPr>
      <w:pict>
        <v:rect id="_x0000_i1053" style="width:480.95pt;height:1pt" o:hralign="center" o:hrstd="t" o:hrnoshade="t" o:hr="t" fillcolor="black [3213]" stroked="f"/>
      </w:pict>
    </w:r>
  </w:p>
  <w:p w:rsidR="00396C33" w:rsidRDefault="00396C33" w:rsidP="00245129">
    <w:pPr>
      <w:tabs>
        <w:tab w:val="center" w:pos="4680"/>
      </w:tabs>
    </w:pPr>
    <w:r>
      <w:tab/>
    </w:r>
    <w:r w:rsidRPr="0009648D">
      <w:t xml:space="preserve">- </w:t>
    </w:r>
    <w:fldSimple w:instr=" PAGE   \* MERGEFORMAT ">
      <w:r w:rsidR="00FF4B6E">
        <w:rPr>
          <w:noProof/>
        </w:rPr>
        <w:t>1874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755F22">
    <w:pPr>
      <w:tabs>
        <w:tab w:val="left" w:pos="-1440"/>
        <w:tab w:val="left" w:pos="-720"/>
      </w:tabs>
    </w:pPr>
    <w:r>
      <w:pict>
        <v:rect id="_x0000_i1061" style="width:480.95pt;height:1pt" o:hralign="center" o:hrstd="t" o:hrnoshade="t" o:hr="t" fillcolor="black [3213]" stroked="f"/>
      </w:pict>
    </w:r>
  </w:p>
  <w:p w:rsidR="00396C33" w:rsidRDefault="00396C33" w:rsidP="00EB2B90">
    <w:pPr>
      <w:tabs>
        <w:tab w:val="center" w:pos="4680"/>
      </w:tabs>
    </w:pPr>
    <w:r>
      <w:tab/>
      <w:t xml:space="preserve">- </w:t>
    </w:r>
    <w:fldSimple w:instr=" PAGE   \* MERGEFORMAT ">
      <w:r w:rsidR="00FF4B6E">
        <w:rPr>
          <w:noProof/>
        </w:rPr>
        <w:t>1889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EB2B90">
    <w:pPr>
      <w:tabs>
        <w:tab w:val="center" w:pos="4680"/>
      </w:tabs>
    </w:pPr>
    <w:r>
      <w:pict>
        <v:rect id="_x0000_i1062" style="width:480.95pt;height:1pt" o:hralign="center" o:hrstd="t" o:hrnoshade="t" o:hr="t" fillcolor="black [3213]" stroked="f"/>
      </w:pict>
    </w:r>
  </w:p>
  <w:p w:rsidR="00396C33" w:rsidRPr="0031432F" w:rsidRDefault="00396C33" w:rsidP="00EB2B90">
    <w:pPr>
      <w:tabs>
        <w:tab w:val="center" w:pos="4680"/>
      </w:tabs>
    </w:pPr>
    <w:r>
      <w:tab/>
      <w:t xml:space="preserve">- </w:t>
    </w:r>
    <w:fldSimple w:instr=" PAGE   \* MERGEFORMAT ">
      <w:r w:rsidR="00FF4B6E">
        <w:rPr>
          <w:noProof/>
        </w:rPr>
        <w:t>1885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7F13">
      <w:rPr>
        <w:lang w:val="fr-CA"/>
      </w:rPr>
      <w:pict>
        <v:rect id="_x0000_i1064" style="width:480.95pt;height:1pt" o:hralign="center" o:hrstd="t" o:hrnoshade="t" o:hr="t" fillcolor="black [3213]" stroked="f"/>
      </w:pict>
    </w:r>
  </w:p>
  <w:p w:rsidR="00396C33" w:rsidRDefault="00396C33"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pStyle w:val="Footer"/>
      <w:rPr>
        <w:lang w:val="fr-CA"/>
      </w:rPr>
    </w:pPr>
    <w:r w:rsidRPr="00DB7F13">
      <w:rPr>
        <w:lang w:val="fr-CA"/>
      </w:rPr>
      <w:pict>
        <v:rect id="_x0000_i1065" style="width:480.95pt;height:1pt" o:hralign="center" o:hrstd="t" o:hrnoshade="t" o:hr="t" fillcolor="black [3213]" stroked="f"/>
      </w:pict>
    </w:r>
  </w:p>
  <w:p w:rsidR="00396C33" w:rsidRDefault="00396C33" w:rsidP="00EB2B90">
    <w:pPr>
      <w:tabs>
        <w:tab w:val="center" w:pos="4680"/>
      </w:tabs>
    </w:pPr>
    <w:r>
      <w:tab/>
      <w:t xml:space="preserve">- </w:t>
    </w:r>
    <w:fldSimple w:instr=" PAGE   \* MERGEFORMAT ">
      <w:r w:rsidR="00FF4B6E">
        <w:rPr>
          <w:noProof/>
        </w:rPr>
        <w:t>1890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732DB7">
    <w:r>
      <w:pict>
        <v:rect id="_x0000_i1073" style="width:480.95pt;height:1pt" o:hralign="center" o:hrstd="t" o:hrnoshade="t" o:hr="t" fillcolor="black" stroked="f"/>
      </w:pict>
    </w:r>
  </w:p>
  <w:p w:rsidR="00396C33" w:rsidRDefault="00396C3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pStyle w:val="Footer"/>
    </w:pPr>
    <w:r>
      <w:pict>
        <v:rect id="_x0000_i1074" style="width:480.95pt;height:1pt" o:hralign="center" o:hrstd="t" o:hrnoshade="t" o:hr="t" fillcolor="black" stroked="f"/>
      </w:pict>
    </w:r>
  </w:p>
  <w:p w:rsidR="00396C33" w:rsidRPr="00283C52" w:rsidRDefault="00396C33">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732DB7">
    <w:r>
      <w:pict>
        <v:rect id="_x0000_i1078" style="width:480.95pt;height:1pt" o:hralign="center" o:hrstd="t" o:hrnoshade="t" o:hr="t" fillcolor="black" stroked="f"/>
      </w:pict>
    </w:r>
  </w:p>
  <w:p w:rsidR="00396C33" w:rsidRDefault="00396C33">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pStyle w:val="Footer"/>
    </w:pPr>
    <w:r>
      <w:pict>
        <v:rect id="_x0000_i1079" style="width:480.95pt;height:1pt" o:hralign="center" o:hrstd="t" o:hrnoshade="t" o:hr="t" fillcolor="black [3213]" stroked="f"/>
      </w:pict>
    </w:r>
  </w:p>
  <w:p w:rsidR="00396C33" w:rsidRPr="003C2C0F" w:rsidRDefault="00396C33" w:rsidP="00697C62">
    <w:pPr>
      <w:tabs>
        <w:tab w:val="center" w:pos="4680"/>
      </w:tabs>
    </w:pPr>
    <w:r>
      <w:tab/>
      <w:t xml:space="preserve">- </w:t>
    </w:r>
    <w:fldSimple w:instr=" PAGE   \* MERGEFORMAT ">
      <w:r w:rsidR="00FF4B6E">
        <w:rPr>
          <w:noProof/>
        </w:rPr>
        <w:t>1897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C33" w:rsidRDefault="00DB7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6" style="width:480.95pt;height:1pt" o:hralign="center" o:hrstd="t" o:hrnoshade="t" o:hr="t" fillcolor="black [3213]" stroked="f"/>
      </w:pict>
    </w:r>
  </w:p>
  <w:p w:rsidR="00396C33" w:rsidRDefault="00396C33" w:rsidP="00782AE4">
    <w:pPr>
      <w:tabs>
        <w:tab w:val="center" w:pos="4680"/>
      </w:tabs>
    </w:pPr>
    <w:r>
      <w:tab/>
      <w:t xml:space="preserve">- </w:t>
    </w:r>
    <w:r w:rsidR="00DB7F13" w:rsidRPr="001775C1">
      <w:rPr>
        <w:szCs w:val="24"/>
      </w:rPr>
      <w:fldChar w:fldCharType="begin"/>
    </w:r>
    <w:r w:rsidRPr="001775C1">
      <w:rPr>
        <w:szCs w:val="24"/>
      </w:rPr>
      <w:instrText xml:space="preserve"> PAGE   \* MERGEFORMAT </w:instrText>
    </w:r>
    <w:r w:rsidR="00DB7F13" w:rsidRPr="001775C1">
      <w:rPr>
        <w:szCs w:val="24"/>
      </w:rPr>
      <w:fldChar w:fldCharType="separate"/>
    </w:r>
    <w:r w:rsidR="00FF4B6E">
      <w:rPr>
        <w:noProof/>
        <w:szCs w:val="24"/>
      </w:rPr>
      <w:t>1912</w:t>
    </w:r>
    <w:r w:rsidR="00DB7F13"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782AE4">
    <w:pPr>
      <w:tabs>
        <w:tab w:val="center" w:pos="4680"/>
      </w:tabs>
    </w:pPr>
    <w:r>
      <w:pict>
        <v:rect id="_x0000_i1087" style="width:480.95pt;height:1pt" o:hralign="center" o:hrstd="t" o:hrnoshade="t" o:hr="t" fillcolor="black [3213]" stroked="f"/>
      </w:pict>
    </w:r>
  </w:p>
  <w:p w:rsidR="00396C33" w:rsidRDefault="00396C33" w:rsidP="00782AE4">
    <w:pPr>
      <w:tabs>
        <w:tab w:val="center" w:pos="4680"/>
      </w:tabs>
    </w:pPr>
    <w:r>
      <w:tab/>
      <w:t xml:space="preserve">- </w:t>
    </w:r>
    <w:r w:rsidR="00DB7F13" w:rsidRPr="001775C1">
      <w:rPr>
        <w:szCs w:val="24"/>
      </w:rPr>
      <w:fldChar w:fldCharType="begin"/>
    </w:r>
    <w:r w:rsidRPr="001775C1">
      <w:rPr>
        <w:szCs w:val="24"/>
      </w:rPr>
      <w:instrText xml:space="preserve"> PAGE   \* MERGEFORMAT </w:instrText>
    </w:r>
    <w:r w:rsidR="00DB7F13" w:rsidRPr="001775C1">
      <w:rPr>
        <w:szCs w:val="24"/>
      </w:rPr>
      <w:fldChar w:fldCharType="separate"/>
    </w:r>
    <w:r w:rsidR="00FF4B6E">
      <w:rPr>
        <w:noProof/>
        <w:szCs w:val="24"/>
      </w:rPr>
      <w:t>1899</w:t>
    </w:r>
    <w:r w:rsidR="00DB7F13"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Pr="00924065" w:rsidRDefault="00396C3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A87207">
    <w:pPr>
      <w:pStyle w:val="Footer"/>
    </w:pPr>
    <w:r>
      <w:pict>
        <v:rect id="_x0000_i1035" style="width:480.95pt;height:1pt" o:hralign="center" o:hrstd="t" o:hrnoshade="t" o:hr="t" fillcolor="black [3213]" stroked="f"/>
      </w:pict>
    </w:r>
  </w:p>
  <w:p w:rsidR="00396C33" w:rsidRPr="00B7374B" w:rsidRDefault="00396C33" w:rsidP="00B7374B">
    <w:pPr>
      <w:tabs>
        <w:tab w:val="center" w:pos="4680"/>
      </w:tabs>
      <w:rPr>
        <w:szCs w:val="24"/>
      </w:rPr>
    </w:pPr>
    <w:r w:rsidRPr="00954D22">
      <w:rPr>
        <w:szCs w:val="24"/>
      </w:rPr>
      <w:tab/>
      <w:t xml:space="preserve">- </w:t>
    </w:r>
    <w:r w:rsidR="00DB7F13" w:rsidRPr="00954D22">
      <w:rPr>
        <w:szCs w:val="24"/>
      </w:rPr>
      <w:fldChar w:fldCharType="begin"/>
    </w:r>
    <w:r w:rsidRPr="00954D22">
      <w:rPr>
        <w:szCs w:val="24"/>
      </w:rPr>
      <w:instrText xml:space="preserve"> PAGE   \* MERGEFORMAT </w:instrText>
    </w:r>
    <w:r w:rsidR="00DB7F13" w:rsidRPr="00954D22">
      <w:rPr>
        <w:szCs w:val="24"/>
      </w:rPr>
      <w:fldChar w:fldCharType="separate"/>
    </w:r>
    <w:r w:rsidR="00FF4B6E">
      <w:rPr>
        <w:noProof/>
        <w:szCs w:val="24"/>
      </w:rPr>
      <w:t>1872</w:t>
    </w:r>
    <w:r w:rsidR="00DB7F1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755F22">
    <w:pPr>
      <w:tabs>
        <w:tab w:val="left" w:pos="-1440"/>
        <w:tab w:val="left" w:pos="-720"/>
      </w:tabs>
    </w:pPr>
    <w:r>
      <w:pict>
        <v:rect id="_x0000_i1036" style="width:480.95pt;height:1pt" o:hralign="center" o:hrstd="t" o:hrnoshade="t" o:hr="t" fillcolor="black [3213]" stroked="f"/>
      </w:pict>
    </w:r>
  </w:p>
  <w:p w:rsidR="00396C33" w:rsidRPr="00954D22" w:rsidRDefault="00396C33" w:rsidP="00B7374B">
    <w:pPr>
      <w:tabs>
        <w:tab w:val="center" w:pos="4680"/>
      </w:tabs>
      <w:rPr>
        <w:szCs w:val="24"/>
      </w:rPr>
    </w:pPr>
    <w:r w:rsidRPr="00954D22">
      <w:rPr>
        <w:szCs w:val="24"/>
      </w:rPr>
      <w:tab/>
      <w:t xml:space="preserve">- </w:t>
    </w:r>
    <w:r w:rsidR="00DB7F13">
      <w:rPr>
        <w:szCs w:val="24"/>
      </w:rPr>
      <w:fldChar w:fldCharType="begin"/>
    </w:r>
    <w:r>
      <w:rPr>
        <w:szCs w:val="24"/>
      </w:rPr>
      <w:instrText xml:space="preserve"> PAGE   \* MERGEFORMAT </w:instrText>
    </w:r>
    <w:r w:rsidR="00DB7F13">
      <w:rPr>
        <w:szCs w:val="24"/>
      </w:rPr>
      <w:fldChar w:fldCharType="separate"/>
    </w:r>
    <w:r w:rsidR="00FF4B6E">
      <w:rPr>
        <w:noProof/>
        <w:szCs w:val="24"/>
      </w:rPr>
      <w:t>1871</w:t>
    </w:r>
    <w:r w:rsidR="00DB7F13">
      <w:rPr>
        <w:szCs w:val="24"/>
      </w:rPr>
      <w:fldChar w:fldCharType="end"/>
    </w:r>
    <w:r w:rsidRPr="00954D22">
      <w:rPr>
        <w:szCs w:val="24"/>
      </w:rPr>
      <w:t xml:space="preserve"> -</w:t>
    </w:r>
  </w:p>
  <w:p w:rsidR="00396C33" w:rsidRDefault="00396C3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A87207">
    <w:pPr>
      <w:pStyle w:val="Footer"/>
    </w:pPr>
    <w:r>
      <w:pict>
        <v:rect id="_x0000_i1038" style="width:480.95pt;height:1pt" o:hralign="center" o:hrstd="t" o:hrnoshade="t" o:hr="t" fillcolor="black [3213]" stroked="f"/>
      </w:pict>
    </w:r>
  </w:p>
  <w:p w:rsidR="00396C33" w:rsidRPr="00B7374B" w:rsidRDefault="00396C33" w:rsidP="00B7374B">
    <w:pPr>
      <w:tabs>
        <w:tab w:val="center" w:pos="4680"/>
      </w:tabs>
      <w:rPr>
        <w:szCs w:val="24"/>
      </w:rPr>
    </w:pPr>
    <w:r w:rsidRPr="00954D22">
      <w:rPr>
        <w:szCs w:val="24"/>
      </w:rPr>
      <w:tab/>
      <w:t xml:space="preserve">- </w:t>
    </w:r>
    <w:r w:rsidR="00DB7F13" w:rsidRPr="00954D22">
      <w:rPr>
        <w:szCs w:val="24"/>
      </w:rPr>
      <w:fldChar w:fldCharType="begin"/>
    </w:r>
    <w:r w:rsidRPr="00954D22">
      <w:rPr>
        <w:szCs w:val="24"/>
      </w:rPr>
      <w:instrText xml:space="preserve"> PAGE   \* MERGEFORMAT </w:instrText>
    </w:r>
    <w:r w:rsidR="00DB7F13" w:rsidRPr="00954D22">
      <w:rPr>
        <w:szCs w:val="24"/>
      </w:rPr>
      <w:fldChar w:fldCharType="separate"/>
    </w:r>
    <w:r>
      <w:rPr>
        <w:noProof/>
        <w:szCs w:val="24"/>
      </w:rPr>
      <w:t>1874</w:t>
    </w:r>
    <w:r w:rsidR="00DB7F1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396C33" w:rsidRPr="00954D22" w:rsidRDefault="00396C33" w:rsidP="00B7374B">
    <w:pPr>
      <w:tabs>
        <w:tab w:val="center" w:pos="4680"/>
      </w:tabs>
      <w:rPr>
        <w:szCs w:val="24"/>
      </w:rPr>
    </w:pPr>
    <w:r w:rsidRPr="00954D22">
      <w:rPr>
        <w:szCs w:val="24"/>
      </w:rPr>
      <w:tab/>
      <w:t xml:space="preserve">- </w:t>
    </w:r>
    <w:r w:rsidR="00DB7F13" w:rsidRPr="00954D22">
      <w:rPr>
        <w:szCs w:val="24"/>
      </w:rPr>
      <w:fldChar w:fldCharType="begin"/>
    </w:r>
    <w:r w:rsidRPr="00954D22">
      <w:rPr>
        <w:szCs w:val="24"/>
      </w:rPr>
      <w:instrText xml:space="preserve"> PAGE   \* MERGEFORMAT </w:instrText>
    </w:r>
    <w:r w:rsidR="00DB7F13" w:rsidRPr="00954D22">
      <w:rPr>
        <w:szCs w:val="24"/>
      </w:rPr>
      <w:fldChar w:fldCharType="separate"/>
    </w:r>
    <w:r w:rsidR="00FF4B6E">
      <w:rPr>
        <w:noProof/>
        <w:szCs w:val="24"/>
      </w:rPr>
      <w:t>1873</w:t>
    </w:r>
    <w:r w:rsidR="00DB7F1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C33" w:rsidRDefault="00396C33">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DB7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7F13">
      <w:rPr>
        <w:lang w:val="fr-CA"/>
      </w:rPr>
      <w:pict>
        <v:rect id="_x0000_i1052" style="width:480.95pt;height:1pt" o:hralign="center" o:hrstd="t" o:hrnoshade="t" o:hr="t" fillcolor="black [3213]" stroked="f"/>
      </w:pict>
    </w:r>
  </w:p>
  <w:p w:rsidR="00396C33" w:rsidRPr="0009648D" w:rsidRDefault="00396C33" w:rsidP="00ED7E83">
    <w:pPr>
      <w:tabs>
        <w:tab w:val="center" w:pos="4680"/>
      </w:tabs>
    </w:pPr>
    <w:r>
      <w:tab/>
    </w:r>
    <w:r w:rsidRPr="0009648D">
      <w:t xml:space="preserve">- </w:t>
    </w:r>
    <w:fldSimple w:instr=" PAGE   \* MERGEFORMAT ">
      <w:r w:rsidR="00FF4B6E">
        <w:rPr>
          <w:noProof/>
        </w:rPr>
        <w:t>1884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33" w:rsidRDefault="00396C33" w:rsidP="00A87207">
      <w:r>
        <w:separator/>
      </w:r>
    </w:p>
  </w:footnote>
  <w:footnote w:type="continuationSeparator" w:id="0">
    <w:p w:rsidR="00396C33" w:rsidRDefault="00396C3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6C33">
      <w:tc>
        <w:tcPr>
          <w:tcW w:w="423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96C33"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C33"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96C33">
      <w:trPr>
        <w:gridAfter w:val="2"/>
        <w:wAfter w:w="5250" w:type="dxa"/>
      </w:trPr>
      <w:tc>
        <w:tcPr>
          <w:tcW w:w="4230" w:type="dxa"/>
          <w:tcMar>
            <w:left w:w="0" w:type="dxa"/>
            <w:right w:w="0" w:type="dxa"/>
          </w:tcMar>
        </w:tcPr>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6C33" w:rsidRPr="00755F22" w:rsidTr="00245129">
      <w:tc>
        <w:tcPr>
          <w:tcW w:w="4230" w:type="dxa"/>
          <w:tcMar>
            <w:left w:w="0" w:type="dxa"/>
            <w:right w:w="0" w:type="dxa"/>
          </w:tcMar>
        </w:tcPr>
        <w:p w:rsidR="00396C33" w:rsidRPr="00755F22" w:rsidRDefault="00396C33" w:rsidP="00831CA9">
          <w:pPr>
            <w:keepNext/>
            <w:keepLines/>
            <w:rPr>
              <w:sz w:val="20"/>
              <w:szCs w:val="20"/>
            </w:rPr>
          </w:pPr>
          <w:r w:rsidRPr="00755F22">
            <w:rPr>
              <w:sz w:val="20"/>
              <w:szCs w:val="20"/>
            </w:rPr>
            <w:t>MOTIONS</w:t>
          </w:r>
        </w:p>
      </w:tc>
      <w:tc>
        <w:tcPr>
          <w:tcW w:w="1170" w:type="dxa"/>
          <w:tcMar>
            <w:left w:w="0" w:type="dxa"/>
            <w:right w:w="0" w:type="dxa"/>
          </w:tcMar>
        </w:tcPr>
        <w:p w:rsidR="00396C33" w:rsidRPr="00755F22" w:rsidRDefault="00396C33" w:rsidP="00831CA9">
          <w:pPr>
            <w:keepLines/>
            <w:jc w:val="center"/>
            <w:rPr>
              <w:sz w:val="20"/>
              <w:szCs w:val="20"/>
            </w:rPr>
          </w:pPr>
        </w:p>
        <w:p w:rsidR="00396C33" w:rsidRPr="00755F22" w:rsidRDefault="00396C33" w:rsidP="00831CA9">
          <w:pPr>
            <w:keepLines/>
            <w:tabs>
              <w:tab w:val="left" w:pos="-1440"/>
              <w:tab w:val="left" w:pos="-720"/>
            </w:tabs>
            <w:jc w:val="center"/>
            <w:rPr>
              <w:sz w:val="20"/>
              <w:szCs w:val="20"/>
            </w:rPr>
          </w:pPr>
        </w:p>
      </w:tc>
      <w:tc>
        <w:tcPr>
          <w:tcW w:w="4080" w:type="dxa"/>
          <w:tcMar>
            <w:left w:w="0" w:type="dxa"/>
            <w:right w:w="0" w:type="dxa"/>
          </w:tcMar>
        </w:tcPr>
        <w:p w:rsidR="00396C33" w:rsidRPr="00BA6468" w:rsidRDefault="00396C33" w:rsidP="00BA6468">
          <w:pPr>
            <w:keepLines/>
            <w:rPr>
              <w:sz w:val="20"/>
              <w:szCs w:val="20"/>
              <w:lang w:val="fr-CA"/>
            </w:rPr>
          </w:pPr>
          <w:r w:rsidRPr="00BA6468">
            <w:rPr>
              <w:sz w:val="20"/>
              <w:szCs w:val="20"/>
              <w:lang w:val="fr-CA"/>
            </w:rPr>
            <w:t>REQUÊTES</w:t>
          </w:r>
        </w:p>
      </w:tc>
    </w:tr>
  </w:tbl>
  <w:p w:rsidR="00396C33" w:rsidRDefault="00396C33"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6C33" w:rsidRPr="00AC606E">
      <w:tc>
        <w:tcPr>
          <w:tcW w:w="4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C33" w:rsidRPr="00B01A03"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96C33" w:rsidRPr="00B01A0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96C33" w:rsidRPr="00B01A0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96C33" w:rsidRPr="00AC606E" w:rsidTr="00245129">
      <w:tc>
        <w:tcPr>
          <w:tcW w:w="4200" w:type="dxa"/>
          <w:tcMar>
            <w:left w:w="0" w:type="dxa"/>
            <w:right w:w="0" w:type="dxa"/>
          </w:tcMar>
        </w:tcPr>
        <w:p w:rsidR="00396C33" w:rsidRPr="00F40249" w:rsidRDefault="00396C3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96C33" w:rsidRDefault="00396C33" w:rsidP="00102926">
          <w:pPr>
            <w:keepNext/>
            <w:keepLines/>
            <w:tabs>
              <w:tab w:val="left" w:pos="-1440"/>
              <w:tab w:val="left" w:pos="-720"/>
            </w:tabs>
            <w:jc w:val="center"/>
            <w:rPr>
              <w:sz w:val="20"/>
              <w:szCs w:val="20"/>
            </w:rPr>
          </w:pPr>
        </w:p>
        <w:p w:rsidR="00396C33" w:rsidRDefault="00396C33" w:rsidP="00102926">
          <w:pPr>
            <w:keepNext/>
            <w:keepLines/>
            <w:tabs>
              <w:tab w:val="left" w:pos="-1440"/>
              <w:tab w:val="left" w:pos="-720"/>
            </w:tabs>
            <w:jc w:val="center"/>
            <w:rPr>
              <w:sz w:val="20"/>
              <w:szCs w:val="20"/>
            </w:rPr>
          </w:pPr>
        </w:p>
        <w:p w:rsidR="00396C33" w:rsidRPr="00F40249" w:rsidRDefault="00396C33" w:rsidP="00102926">
          <w:pPr>
            <w:keepNext/>
            <w:keepLines/>
            <w:tabs>
              <w:tab w:val="left" w:pos="-1440"/>
              <w:tab w:val="left" w:pos="-720"/>
            </w:tabs>
            <w:jc w:val="center"/>
            <w:rPr>
              <w:sz w:val="20"/>
              <w:szCs w:val="20"/>
            </w:rPr>
          </w:pPr>
        </w:p>
      </w:tc>
      <w:tc>
        <w:tcPr>
          <w:tcW w:w="4230" w:type="dxa"/>
          <w:tcMar>
            <w:left w:w="0" w:type="dxa"/>
            <w:right w:w="0" w:type="dxa"/>
          </w:tcMar>
        </w:tcPr>
        <w:p w:rsidR="00396C33" w:rsidRPr="00F40249" w:rsidRDefault="00396C3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96C33" w:rsidRPr="00B01A03" w:rsidRDefault="00396C3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6C33" w:rsidRPr="00AC606E">
      <w:tc>
        <w:tcPr>
          <w:tcW w:w="4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C33" w:rsidRPr="00283C52"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96C33" w:rsidRPr="00283C52"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96C33" w:rsidRPr="00283C52"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6C33" w:rsidRPr="00AC606E" w:rsidTr="00245129">
      <w:tc>
        <w:tcPr>
          <w:tcW w:w="4200" w:type="dxa"/>
          <w:tcMar>
            <w:left w:w="0" w:type="dxa"/>
            <w:right w:w="0" w:type="dxa"/>
          </w:tcMar>
        </w:tcPr>
        <w:p w:rsidR="00396C33" w:rsidRPr="00732DB7" w:rsidRDefault="00396C3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96C33" w:rsidRPr="00732DB7" w:rsidRDefault="00396C33" w:rsidP="00732DB7">
          <w:pPr>
            <w:keepNext/>
            <w:keepLines/>
            <w:tabs>
              <w:tab w:val="left" w:pos="-1440"/>
              <w:tab w:val="left" w:pos="-720"/>
            </w:tabs>
            <w:jc w:val="center"/>
            <w:rPr>
              <w:sz w:val="20"/>
              <w:szCs w:val="20"/>
            </w:rPr>
          </w:pPr>
        </w:p>
        <w:p w:rsidR="00396C33" w:rsidRPr="00732DB7" w:rsidRDefault="00396C33" w:rsidP="00732DB7">
          <w:pPr>
            <w:keepNext/>
            <w:keepLines/>
            <w:tabs>
              <w:tab w:val="left" w:pos="-1440"/>
              <w:tab w:val="left" w:pos="-720"/>
            </w:tabs>
            <w:jc w:val="center"/>
            <w:rPr>
              <w:sz w:val="20"/>
              <w:szCs w:val="20"/>
            </w:rPr>
          </w:pPr>
        </w:p>
        <w:p w:rsidR="00396C33" w:rsidRPr="00732DB7" w:rsidRDefault="00396C33" w:rsidP="00732DB7">
          <w:pPr>
            <w:keepNext/>
            <w:keepLines/>
            <w:tabs>
              <w:tab w:val="left" w:pos="-1440"/>
              <w:tab w:val="left" w:pos="-720"/>
            </w:tabs>
            <w:jc w:val="center"/>
            <w:rPr>
              <w:sz w:val="20"/>
              <w:szCs w:val="20"/>
            </w:rPr>
          </w:pPr>
        </w:p>
      </w:tc>
      <w:tc>
        <w:tcPr>
          <w:tcW w:w="4080" w:type="dxa"/>
          <w:tcMar>
            <w:left w:w="0" w:type="dxa"/>
            <w:right w:w="0" w:type="dxa"/>
          </w:tcMar>
        </w:tcPr>
        <w:p w:rsidR="00396C33" w:rsidRPr="00732DB7" w:rsidRDefault="00396C3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96C33" w:rsidRPr="00283C52" w:rsidRDefault="00396C3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6C33" w:rsidRPr="00AC606E">
      <w:tc>
        <w:tcPr>
          <w:tcW w:w="4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96C33" w:rsidRPr="003C2C0F"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96C33" w:rsidRPr="003C2C0F"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96C33" w:rsidRPr="003C2C0F"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6C33" w:rsidRPr="00AC606E" w:rsidTr="00245129">
      <w:tc>
        <w:tcPr>
          <w:tcW w:w="4200" w:type="dxa"/>
          <w:tcMar>
            <w:left w:w="0" w:type="dxa"/>
            <w:right w:w="0" w:type="dxa"/>
          </w:tcMar>
        </w:tcPr>
        <w:p w:rsidR="00396C33" w:rsidRPr="00FF6EEC" w:rsidRDefault="00396C33" w:rsidP="00FF6EEC">
          <w:pPr>
            <w:rPr>
              <w:sz w:val="20"/>
              <w:szCs w:val="20"/>
            </w:rPr>
          </w:pPr>
          <w:r w:rsidRPr="00FF6EEC">
            <w:rPr>
              <w:sz w:val="20"/>
              <w:szCs w:val="20"/>
            </w:rPr>
            <w:t>PRONOUNCEMENTS OF APPEALS RESERVED</w:t>
          </w:r>
        </w:p>
      </w:tc>
      <w:tc>
        <w:tcPr>
          <w:tcW w:w="1200" w:type="dxa"/>
          <w:tcMar>
            <w:left w:w="0" w:type="dxa"/>
            <w:right w:w="0" w:type="dxa"/>
          </w:tcMar>
        </w:tcPr>
        <w:p w:rsidR="00396C33" w:rsidRPr="00FF6EEC" w:rsidRDefault="00396C33" w:rsidP="00FF6EEC">
          <w:pPr>
            <w:jc w:val="center"/>
            <w:rPr>
              <w:sz w:val="20"/>
              <w:szCs w:val="20"/>
            </w:rPr>
          </w:pPr>
        </w:p>
        <w:p w:rsidR="00396C33" w:rsidRPr="00FF6EEC" w:rsidRDefault="00396C33" w:rsidP="00FF6EEC">
          <w:pPr>
            <w:jc w:val="center"/>
            <w:rPr>
              <w:sz w:val="20"/>
              <w:szCs w:val="20"/>
            </w:rPr>
          </w:pPr>
        </w:p>
        <w:p w:rsidR="00396C33" w:rsidRPr="00FF6EEC" w:rsidRDefault="00396C33" w:rsidP="00FF6EEC">
          <w:pPr>
            <w:jc w:val="center"/>
            <w:rPr>
              <w:sz w:val="20"/>
              <w:szCs w:val="20"/>
            </w:rPr>
          </w:pPr>
        </w:p>
      </w:tc>
      <w:tc>
        <w:tcPr>
          <w:tcW w:w="4080" w:type="dxa"/>
          <w:tcMar>
            <w:left w:w="0" w:type="dxa"/>
            <w:right w:w="0" w:type="dxa"/>
          </w:tcMar>
        </w:tcPr>
        <w:p w:rsidR="00396C33" w:rsidRPr="00FF6EEC" w:rsidRDefault="00396C33" w:rsidP="00FF6EEC">
          <w:pPr>
            <w:rPr>
              <w:sz w:val="20"/>
              <w:szCs w:val="20"/>
              <w:lang w:val="fr-CA"/>
            </w:rPr>
          </w:pPr>
          <w:r w:rsidRPr="00FF6EEC">
            <w:rPr>
              <w:sz w:val="20"/>
              <w:szCs w:val="20"/>
              <w:lang w:val="fr-CA"/>
            </w:rPr>
            <w:t>JUGEMENTS RENDUS SUR LES APPELS EN DÉLIBÉRÉ</w:t>
          </w:r>
        </w:p>
      </w:tc>
    </w:tr>
  </w:tbl>
  <w:p w:rsidR="00396C33" w:rsidRPr="003C2C0F" w:rsidRDefault="00396C3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6C33">
      <w:tc>
        <w:tcPr>
          <w:tcW w:w="423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6C33"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6C33"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6C33" w:rsidRPr="00782AE4" w:rsidTr="00245129">
      <w:tc>
        <w:tcPr>
          <w:tcW w:w="4230" w:type="dxa"/>
          <w:tcMar>
            <w:left w:w="0" w:type="dxa"/>
            <w:right w:w="0" w:type="dxa"/>
          </w:tcMar>
        </w:tcPr>
        <w:p w:rsidR="00396C33" w:rsidRPr="00782AE4" w:rsidRDefault="00396C33" w:rsidP="00102926">
          <w:pPr>
            <w:keepNext/>
            <w:keepLines/>
            <w:tabs>
              <w:tab w:val="left" w:pos="-1440"/>
              <w:tab w:val="left" w:pos="-720"/>
            </w:tabs>
            <w:rPr>
              <w:sz w:val="20"/>
              <w:szCs w:val="20"/>
            </w:rPr>
          </w:pPr>
          <w:r w:rsidRPr="00782AE4">
            <w:rPr>
              <w:sz w:val="20"/>
              <w:szCs w:val="20"/>
            </w:rPr>
            <w:t xml:space="preserve">HEADNOTES OF RECENT </w:t>
          </w:r>
        </w:p>
        <w:p w:rsidR="00396C33" w:rsidRPr="00782AE4"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6C33" w:rsidRDefault="00396C33" w:rsidP="00102926">
          <w:pPr>
            <w:keepNext/>
            <w:keepLines/>
            <w:tabs>
              <w:tab w:val="left" w:pos="-1440"/>
              <w:tab w:val="left" w:pos="-720"/>
            </w:tabs>
            <w:jc w:val="center"/>
            <w:rPr>
              <w:sz w:val="20"/>
              <w:szCs w:val="20"/>
            </w:rPr>
          </w:pPr>
        </w:p>
        <w:p w:rsidR="00396C33" w:rsidRDefault="00396C33" w:rsidP="00102926">
          <w:pPr>
            <w:keepNext/>
            <w:keepLines/>
            <w:tabs>
              <w:tab w:val="left" w:pos="-1440"/>
              <w:tab w:val="left" w:pos="-720"/>
            </w:tabs>
            <w:jc w:val="center"/>
            <w:rPr>
              <w:sz w:val="20"/>
              <w:szCs w:val="20"/>
            </w:rPr>
          </w:pPr>
        </w:p>
        <w:p w:rsidR="00396C33" w:rsidRPr="00782AE4" w:rsidRDefault="00396C33" w:rsidP="00102926">
          <w:pPr>
            <w:keepNext/>
            <w:keepLines/>
            <w:tabs>
              <w:tab w:val="left" w:pos="-1440"/>
              <w:tab w:val="left" w:pos="-720"/>
            </w:tabs>
            <w:jc w:val="center"/>
            <w:rPr>
              <w:sz w:val="20"/>
              <w:szCs w:val="20"/>
            </w:rPr>
          </w:pPr>
        </w:p>
      </w:tc>
      <w:tc>
        <w:tcPr>
          <w:tcW w:w="4080" w:type="dxa"/>
          <w:tcMar>
            <w:left w:w="0" w:type="dxa"/>
            <w:right w:w="0" w:type="dxa"/>
          </w:tcMar>
        </w:tcPr>
        <w:p w:rsidR="00396C33" w:rsidRPr="00102926"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6C33" w:rsidRPr="00782AE4" w:rsidRDefault="00396C33" w:rsidP="00102926">
          <w:pPr>
            <w:keepLines/>
            <w:tabs>
              <w:tab w:val="left" w:pos="-1440"/>
              <w:tab w:val="left" w:pos="-720"/>
            </w:tabs>
            <w:rPr>
              <w:sz w:val="20"/>
              <w:szCs w:val="20"/>
            </w:rPr>
          </w:pPr>
          <w:r w:rsidRPr="00102926">
            <w:rPr>
              <w:sz w:val="20"/>
              <w:szCs w:val="20"/>
              <w:lang w:val="fr-CA"/>
            </w:rPr>
            <w:t>RÉCENTS</w:t>
          </w:r>
        </w:p>
      </w:tc>
    </w:tr>
  </w:tbl>
  <w:p w:rsidR="00396C33" w:rsidRDefault="00396C3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96C33" w:rsidRPr="0044776A" w:rsidTr="00245129">
      <w:tc>
        <w:tcPr>
          <w:tcW w:w="4290" w:type="dxa"/>
          <w:tcMar>
            <w:left w:w="0" w:type="dxa"/>
            <w:right w:w="0" w:type="dxa"/>
          </w:tcMar>
        </w:tcPr>
        <w:p w:rsidR="00396C33" w:rsidRPr="0044776A" w:rsidRDefault="00396C3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96C33" w:rsidRPr="0044776A" w:rsidRDefault="00396C33" w:rsidP="002E2327">
          <w:pPr>
            <w:keepNext/>
            <w:keepLines/>
            <w:tabs>
              <w:tab w:val="left" w:pos="-1440"/>
              <w:tab w:val="left" w:pos="-720"/>
            </w:tabs>
            <w:jc w:val="center"/>
            <w:rPr>
              <w:sz w:val="20"/>
              <w:szCs w:val="20"/>
            </w:rPr>
          </w:pPr>
        </w:p>
        <w:p w:rsidR="00396C33" w:rsidRPr="0044776A" w:rsidRDefault="00396C33" w:rsidP="002E2327">
          <w:pPr>
            <w:keepNext/>
            <w:keepLines/>
            <w:tabs>
              <w:tab w:val="left" w:pos="-1440"/>
              <w:tab w:val="left" w:pos="-720"/>
            </w:tabs>
            <w:jc w:val="center"/>
            <w:rPr>
              <w:sz w:val="20"/>
              <w:szCs w:val="20"/>
            </w:rPr>
          </w:pPr>
        </w:p>
        <w:p w:rsidR="00396C33" w:rsidRPr="0044776A" w:rsidRDefault="00396C33" w:rsidP="002E2327">
          <w:pPr>
            <w:keepNext/>
            <w:keepLines/>
            <w:tabs>
              <w:tab w:val="left" w:pos="-1440"/>
              <w:tab w:val="left" w:pos="-720"/>
            </w:tabs>
            <w:jc w:val="center"/>
            <w:rPr>
              <w:sz w:val="20"/>
              <w:szCs w:val="20"/>
            </w:rPr>
          </w:pPr>
        </w:p>
      </w:tc>
      <w:tc>
        <w:tcPr>
          <w:tcW w:w="4320" w:type="dxa"/>
          <w:tcMar>
            <w:left w:w="0" w:type="dxa"/>
            <w:right w:w="0" w:type="dxa"/>
          </w:tcMar>
        </w:tcPr>
        <w:p w:rsidR="00396C33" w:rsidRPr="0044776A" w:rsidRDefault="00396C33" w:rsidP="002E2327">
          <w:pPr>
            <w:keepLines/>
            <w:rPr>
              <w:sz w:val="20"/>
              <w:szCs w:val="20"/>
              <w:lang w:val="fr-CA"/>
            </w:rPr>
          </w:pPr>
          <w:r w:rsidRPr="0044776A">
            <w:rPr>
              <w:sz w:val="20"/>
              <w:szCs w:val="20"/>
              <w:lang w:val="fr-CA"/>
            </w:rPr>
            <w:t>DEMANDES D'AUTORISATION D'APPEL DÉPOSÉES</w:t>
          </w:r>
        </w:p>
      </w:tc>
    </w:tr>
  </w:tbl>
  <w:p w:rsidR="00396C33" w:rsidRDefault="00396C3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6C33" w:rsidRPr="00AC606E" w:rsidTr="00245129">
      <w:tc>
        <w:tcPr>
          <w:tcW w:w="4200" w:type="dxa"/>
          <w:tcMar>
            <w:left w:w="0" w:type="dxa"/>
            <w:right w:w="0" w:type="dxa"/>
          </w:tcMar>
        </w:tcPr>
        <w:p w:rsidR="00396C33" w:rsidRPr="0044776A" w:rsidRDefault="00396C33" w:rsidP="0044776A">
          <w:pPr>
            <w:keepNext/>
            <w:keepLines/>
            <w:widowControl w:val="0"/>
            <w:rPr>
              <w:sz w:val="20"/>
              <w:szCs w:val="20"/>
            </w:rPr>
          </w:pPr>
          <w:r>
            <w:rPr>
              <w:sz w:val="20"/>
              <w:szCs w:val="20"/>
            </w:rPr>
            <w:t>APPLICATIONS FOR LEAVE</w:t>
          </w:r>
        </w:p>
        <w:p w:rsidR="00396C33" w:rsidRPr="0044776A" w:rsidRDefault="00396C3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96C33" w:rsidRPr="0044776A" w:rsidRDefault="00396C33" w:rsidP="0044776A">
          <w:pPr>
            <w:keepNext/>
            <w:keepLines/>
            <w:widowControl w:val="0"/>
            <w:jc w:val="center"/>
            <w:rPr>
              <w:sz w:val="20"/>
              <w:szCs w:val="20"/>
            </w:rPr>
          </w:pPr>
        </w:p>
        <w:p w:rsidR="00396C33" w:rsidRPr="0044776A" w:rsidRDefault="00396C33" w:rsidP="0044776A">
          <w:pPr>
            <w:keepNext/>
            <w:keepLines/>
            <w:widowControl w:val="0"/>
            <w:jc w:val="center"/>
            <w:rPr>
              <w:sz w:val="20"/>
              <w:szCs w:val="20"/>
            </w:rPr>
          </w:pPr>
        </w:p>
        <w:p w:rsidR="00396C33" w:rsidRPr="0044776A" w:rsidRDefault="00396C33" w:rsidP="0044776A">
          <w:pPr>
            <w:keepNext/>
            <w:keepLines/>
            <w:widowControl w:val="0"/>
            <w:jc w:val="center"/>
            <w:rPr>
              <w:sz w:val="20"/>
              <w:szCs w:val="20"/>
            </w:rPr>
          </w:pPr>
        </w:p>
      </w:tc>
      <w:tc>
        <w:tcPr>
          <w:tcW w:w="4080" w:type="dxa"/>
          <w:tcMar>
            <w:left w:w="0" w:type="dxa"/>
            <w:right w:w="0" w:type="dxa"/>
          </w:tcMar>
        </w:tcPr>
        <w:p w:rsidR="00396C33" w:rsidRPr="0044776A" w:rsidRDefault="00396C33" w:rsidP="0044776A">
          <w:pPr>
            <w:keepLines/>
            <w:widowControl w:val="0"/>
            <w:rPr>
              <w:sz w:val="20"/>
              <w:szCs w:val="20"/>
              <w:lang w:val="fr-CA"/>
            </w:rPr>
          </w:pPr>
          <w:r w:rsidRPr="0044776A">
            <w:rPr>
              <w:sz w:val="20"/>
              <w:szCs w:val="20"/>
              <w:lang w:val="fr-CA"/>
            </w:rPr>
            <w:t>DEMANDES SOUMISES À LA COUR DEPUIS LA DERNIÈRE PARUTION</w:t>
          </w:r>
        </w:p>
        <w:p w:rsidR="00396C33" w:rsidRPr="0044776A" w:rsidRDefault="00396C33" w:rsidP="0044776A">
          <w:pPr>
            <w:widowControl w:val="0"/>
            <w:rPr>
              <w:sz w:val="20"/>
              <w:szCs w:val="20"/>
              <w:lang w:val="fr-CA"/>
            </w:rPr>
          </w:pPr>
        </w:p>
      </w:tc>
    </w:tr>
  </w:tbl>
  <w:p w:rsidR="00396C33" w:rsidRPr="002E2327" w:rsidRDefault="00396C3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33" w:rsidRDefault="00396C3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6C33" w:rsidRPr="00AC606E">
      <w:tc>
        <w:tcPr>
          <w:tcW w:w="4200" w:type="dxa"/>
          <w:tcMar>
            <w:left w:w="0" w:type="dxa"/>
            <w:right w:w="0" w:type="dxa"/>
          </w:tcMar>
        </w:tcPr>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6C33"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6C33"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C33" w:rsidRPr="00FF6BA5"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6C33" w:rsidRPr="00FF6BA5"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6C33" w:rsidRPr="00FF6BA5"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6C33" w:rsidRPr="00FF6BA5" w:rsidRDefault="00396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6C33" w:rsidRPr="00AC606E" w:rsidTr="00245129">
      <w:tc>
        <w:tcPr>
          <w:tcW w:w="4200" w:type="dxa"/>
          <w:tcMar>
            <w:left w:w="0" w:type="dxa"/>
            <w:right w:w="0" w:type="dxa"/>
          </w:tcMar>
        </w:tcPr>
        <w:p w:rsidR="00396C33" w:rsidRPr="00755F22"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96C33" w:rsidRPr="00755F22" w:rsidRDefault="00396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96C33" w:rsidRPr="00755F22" w:rsidRDefault="00396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6C33" w:rsidRPr="00755F22" w:rsidRDefault="00396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6C33" w:rsidRPr="00755F22" w:rsidRDefault="00396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6C33" w:rsidRPr="00755F22" w:rsidRDefault="00396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96C33" w:rsidRPr="00FF6BA5" w:rsidRDefault="00396C33"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7D0A20"/>
    <w:multiLevelType w:val="hybridMultilevel"/>
    <w:tmpl w:val="C5805F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1698F"/>
    <w:multiLevelType w:val="hybridMultilevel"/>
    <w:tmpl w:val="F8C0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A8B7824"/>
    <w:multiLevelType w:val="hybridMultilevel"/>
    <w:tmpl w:val="A974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E2BA5"/>
    <w:multiLevelType w:val="hybridMultilevel"/>
    <w:tmpl w:val="C5805F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881"/>
  </w:hdrShapeDefaults>
  <w:footnotePr>
    <w:footnote w:id="-1"/>
    <w:footnote w:id="0"/>
  </w:footnotePr>
  <w:endnotePr>
    <w:endnote w:id="-1"/>
    <w:endnote w:id="0"/>
  </w:endnotePr>
  <w:compat/>
  <w:rsids>
    <w:rsidRoot w:val="00E461BB"/>
    <w:rsid w:val="000222D2"/>
    <w:rsid w:val="00023D8D"/>
    <w:rsid w:val="000255DC"/>
    <w:rsid w:val="0003223B"/>
    <w:rsid w:val="000327B2"/>
    <w:rsid w:val="00036CFF"/>
    <w:rsid w:val="000476C2"/>
    <w:rsid w:val="00062C2A"/>
    <w:rsid w:val="00096BD9"/>
    <w:rsid w:val="000B3C9A"/>
    <w:rsid w:val="000B40A2"/>
    <w:rsid w:val="000C0ACD"/>
    <w:rsid w:val="000D0033"/>
    <w:rsid w:val="000D040C"/>
    <w:rsid w:val="000E033A"/>
    <w:rsid w:val="00102926"/>
    <w:rsid w:val="0010587F"/>
    <w:rsid w:val="001071C7"/>
    <w:rsid w:val="00111C6B"/>
    <w:rsid w:val="001136FA"/>
    <w:rsid w:val="001163A6"/>
    <w:rsid w:val="0012102B"/>
    <w:rsid w:val="0013369E"/>
    <w:rsid w:val="0016015D"/>
    <w:rsid w:val="00164E6D"/>
    <w:rsid w:val="00183FF2"/>
    <w:rsid w:val="00187E6D"/>
    <w:rsid w:val="00196FB1"/>
    <w:rsid w:val="001B157C"/>
    <w:rsid w:val="001B2E88"/>
    <w:rsid w:val="001B5C23"/>
    <w:rsid w:val="001C1BF8"/>
    <w:rsid w:val="001C408F"/>
    <w:rsid w:val="001D0D5F"/>
    <w:rsid w:val="001D6B8C"/>
    <w:rsid w:val="001E651D"/>
    <w:rsid w:val="001F1F83"/>
    <w:rsid w:val="001F5350"/>
    <w:rsid w:val="002021A9"/>
    <w:rsid w:val="002139A7"/>
    <w:rsid w:val="00215F7C"/>
    <w:rsid w:val="0022323B"/>
    <w:rsid w:val="00235F2E"/>
    <w:rsid w:val="002410B8"/>
    <w:rsid w:val="00242AEE"/>
    <w:rsid w:val="00245129"/>
    <w:rsid w:val="00245879"/>
    <w:rsid w:val="00267ABC"/>
    <w:rsid w:val="00267FD5"/>
    <w:rsid w:val="002868D0"/>
    <w:rsid w:val="002A27D1"/>
    <w:rsid w:val="002A2CC3"/>
    <w:rsid w:val="002A4AFA"/>
    <w:rsid w:val="002B516C"/>
    <w:rsid w:val="002D72EB"/>
    <w:rsid w:val="002E2327"/>
    <w:rsid w:val="002E3583"/>
    <w:rsid w:val="002E5576"/>
    <w:rsid w:val="00306FCD"/>
    <w:rsid w:val="003101A6"/>
    <w:rsid w:val="003149D7"/>
    <w:rsid w:val="00331B52"/>
    <w:rsid w:val="003359D3"/>
    <w:rsid w:val="00355967"/>
    <w:rsid w:val="00382C47"/>
    <w:rsid w:val="00384384"/>
    <w:rsid w:val="003866AE"/>
    <w:rsid w:val="00391AFB"/>
    <w:rsid w:val="00392678"/>
    <w:rsid w:val="00396C33"/>
    <w:rsid w:val="003A7907"/>
    <w:rsid w:val="003B16A6"/>
    <w:rsid w:val="003B3977"/>
    <w:rsid w:val="003C1C05"/>
    <w:rsid w:val="003F42B4"/>
    <w:rsid w:val="00400859"/>
    <w:rsid w:val="00404A5B"/>
    <w:rsid w:val="00410798"/>
    <w:rsid w:val="00432989"/>
    <w:rsid w:val="00440E24"/>
    <w:rsid w:val="0044776A"/>
    <w:rsid w:val="00453E72"/>
    <w:rsid w:val="00457F38"/>
    <w:rsid w:val="00460A17"/>
    <w:rsid w:val="00460AFC"/>
    <w:rsid w:val="0047471F"/>
    <w:rsid w:val="00477247"/>
    <w:rsid w:val="00490B20"/>
    <w:rsid w:val="004B060A"/>
    <w:rsid w:val="004B66B4"/>
    <w:rsid w:val="004B7F60"/>
    <w:rsid w:val="004C1AAC"/>
    <w:rsid w:val="004C3439"/>
    <w:rsid w:val="004F090E"/>
    <w:rsid w:val="00506022"/>
    <w:rsid w:val="005122B2"/>
    <w:rsid w:val="00512FE3"/>
    <w:rsid w:val="00522FDA"/>
    <w:rsid w:val="00527CC7"/>
    <w:rsid w:val="0056602A"/>
    <w:rsid w:val="00571CA4"/>
    <w:rsid w:val="00580D5E"/>
    <w:rsid w:val="00582136"/>
    <w:rsid w:val="005827DB"/>
    <w:rsid w:val="005848DA"/>
    <w:rsid w:val="00586B07"/>
    <w:rsid w:val="00596C4C"/>
    <w:rsid w:val="005A17C9"/>
    <w:rsid w:val="005C43C7"/>
    <w:rsid w:val="005C6840"/>
    <w:rsid w:val="005F263E"/>
    <w:rsid w:val="00600252"/>
    <w:rsid w:val="00612A40"/>
    <w:rsid w:val="006306E6"/>
    <w:rsid w:val="006515E9"/>
    <w:rsid w:val="00667131"/>
    <w:rsid w:val="00675479"/>
    <w:rsid w:val="0069434C"/>
    <w:rsid w:val="006955B2"/>
    <w:rsid w:val="00696BF9"/>
    <w:rsid w:val="00697C62"/>
    <w:rsid w:val="006A329B"/>
    <w:rsid w:val="006A7EB8"/>
    <w:rsid w:val="006B6926"/>
    <w:rsid w:val="006C2D13"/>
    <w:rsid w:val="006C3F47"/>
    <w:rsid w:val="006C5F7A"/>
    <w:rsid w:val="006E06AF"/>
    <w:rsid w:val="006E076F"/>
    <w:rsid w:val="006F350F"/>
    <w:rsid w:val="00711D3A"/>
    <w:rsid w:val="00714798"/>
    <w:rsid w:val="00732DB7"/>
    <w:rsid w:val="00741F70"/>
    <w:rsid w:val="0074238B"/>
    <w:rsid w:val="00755F22"/>
    <w:rsid w:val="007617E3"/>
    <w:rsid w:val="00766E4A"/>
    <w:rsid w:val="00772A4E"/>
    <w:rsid w:val="007744CA"/>
    <w:rsid w:val="00776AFD"/>
    <w:rsid w:val="007820CE"/>
    <w:rsid w:val="00782AE4"/>
    <w:rsid w:val="007845F3"/>
    <w:rsid w:val="0079367A"/>
    <w:rsid w:val="0079724F"/>
    <w:rsid w:val="007A3EAE"/>
    <w:rsid w:val="007A77FF"/>
    <w:rsid w:val="007C04FC"/>
    <w:rsid w:val="007D3E0F"/>
    <w:rsid w:val="007D6A45"/>
    <w:rsid w:val="007E6660"/>
    <w:rsid w:val="007F387B"/>
    <w:rsid w:val="00802863"/>
    <w:rsid w:val="00815B3C"/>
    <w:rsid w:val="00817303"/>
    <w:rsid w:val="0082783A"/>
    <w:rsid w:val="00831CA9"/>
    <w:rsid w:val="00845C7D"/>
    <w:rsid w:val="00850E1F"/>
    <w:rsid w:val="0085476B"/>
    <w:rsid w:val="00861016"/>
    <w:rsid w:val="00876AF0"/>
    <w:rsid w:val="00890FEB"/>
    <w:rsid w:val="008A57B9"/>
    <w:rsid w:val="008D292F"/>
    <w:rsid w:val="008E03DC"/>
    <w:rsid w:val="008E4D6D"/>
    <w:rsid w:val="0090140A"/>
    <w:rsid w:val="00907703"/>
    <w:rsid w:val="00916421"/>
    <w:rsid w:val="00924065"/>
    <w:rsid w:val="00930D68"/>
    <w:rsid w:val="00932DB4"/>
    <w:rsid w:val="009416FF"/>
    <w:rsid w:val="00941A4B"/>
    <w:rsid w:val="00943205"/>
    <w:rsid w:val="00946242"/>
    <w:rsid w:val="0095096B"/>
    <w:rsid w:val="00970CD3"/>
    <w:rsid w:val="009723FA"/>
    <w:rsid w:val="009729BE"/>
    <w:rsid w:val="00984546"/>
    <w:rsid w:val="00996510"/>
    <w:rsid w:val="009D1F15"/>
    <w:rsid w:val="009D555E"/>
    <w:rsid w:val="009E4FBB"/>
    <w:rsid w:val="009E6CCE"/>
    <w:rsid w:val="009F0F14"/>
    <w:rsid w:val="00A0355E"/>
    <w:rsid w:val="00A0680F"/>
    <w:rsid w:val="00A078F1"/>
    <w:rsid w:val="00A15023"/>
    <w:rsid w:val="00A375D1"/>
    <w:rsid w:val="00A51D10"/>
    <w:rsid w:val="00A52A83"/>
    <w:rsid w:val="00A55552"/>
    <w:rsid w:val="00A6552C"/>
    <w:rsid w:val="00A714AC"/>
    <w:rsid w:val="00A77E69"/>
    <w:rsid w:val="00A87207"/>
    <w:rsid w:val="00A935AA"/>
    <w:rsid w:val="00AB2201"/>
    <w:rsid w:val="00AC606E"/>
    <w:rsid w:val="00AD3259"/>
    <w:rsid w:val="00AF1715"/>
    <w:rsid w:val="00AF3904"/>
    <w:rsid w:val="00B010C0"/>
    <w:rsid w:val="00B22940"/>
    <w:rsid w:val="00B31C78"/>
    <w:rsid w:val="00B41058"/>
    <w:rsid w:val="00B4740D"/>
    <w:rsid w:val="00B61629"/>
    <w:rsid w:val="00B7374B"/>
    <w:rsid w:val="00B83460"/>
    <w:rsid w:val="00B90DC0"/>
    <w:rsid w:val="00BA116A"/>
    <w:rsid w:val="00BA3CC8"/>
    <w:rsid w:val="00BA5582"/>
    <w:rsid w:val="00BA6468"/>
    <w:rsid w:val="00BB0C26"/>
    <w:rsid w:val="00BB5749"/>
    <w:rsid w:val="00BD06DA"/>
    <w:rsid w:val="00BD4217"/>
    <w:rsid w:val="00BD6B5E"/>
    <w:rsid w:val="00BE0DC2"/>
    <w:rsid w:val="00BF0993"/>
    <w:rsid w:val="00BF25F3"/>
    <w:rsid w:val="00C13119"/>
    <w:rsid w:val="00C1697B"/>
    <w:rsid w:val="00C21CB5"/>
    <w:rsid w:val="00C2665B"/>
    <w:rsid w:val="00C360D0"/>
    <w:rsid w:val="00C50A5C"/>
    <w:rsid w:val="00C50FDF"/>
    <w:rsid w:val="00C51DA5"/>
    <w:rsid w:val="00C673BE"/>
    <w:rsid w:val="00C73E1B"/>
    <w:rsid w:val="00C759B4"/>
    <w:rsid w:val="00C77713"/>
    <w:rsid w:val="00C77DA1"/>
    <w:rsid w:val="00C814E7"/>
    <w:rsid w:val="00C908B3"/>
    <w:rsid w:val="00C9449A"/>
    <w:rsid w:val="00CA75C8"/>
    <w:rsid w:val="00CB43D5"/>
    <w:rsid w:val="00CC2C3E"/>
    <w:rsid w:val="00CC4D84"/>
    <w:rsid w:val="00CD36A1"/>
    <w:rsid w:val="00CE2AA7"/>
    <w:rsid w:val="00CE2DDF"/>
    <w:rsid w:val="00D14752"/>
    <w:rsid w:val="00D15977"/>
    <w:rsid w:val="00D16D3C"/>
    <w:rsid w:val="00D6009D"/>
    <w:rsid w:val="00D64901"/>
    <w:rsid w:val="00D76BDF"/>
    <w:rsid w:val="00D813A8"/>
    <w:rsid w:val="00D83441"/>
    <w:rsid w:val="00D862C1"/>
    <w:rsid w:val="00D93B50"/>
    <w:rsid w:val="00D94670"/>
    <w:rsid w:val="00DA46F6"/>
    <w:rsid w:val="00DB021A"/>
    <w:rsid w:val="00DB7F13"/>
    <w:rsid w:val="00DC7918"/>
    <w:rsid w:val="00DD0B49"/>
    <w:rsid w:val="00DE2656"/>
    <w:rsid w:val="00E06DFA"/>
    <w:rsid w:val="00E20A0A"/>
    <w:rsid w:val="00E356C7"/>
    <w:rsid w:val="00E35EA0"/>
    <w:rsid w:val="00E45FE4"/>
    <w:rsid w:val="00E461BB"/>
    <w:rsid w:val="00E64FA7"/>
    <w:rsid w:val="00E75C63"/>
    <w:rsid w:val="00E770CB"/>
    <w:rsid w:val="00E903A1"/>
    <w:rsid w:val="00E940EB"/>
    <w:rsid w:val="00EA0408"/>
    <w:rsid w:val="00EA5C5F"/>
    <w:rsid w:val="00EA62D3"/>
    <w:rsid w:val="00EA63AB"/>
    <w:rsid w:val="00EB2B90"/>
    <w:rsid w:val="00EC1BB8"/>
    <w:rsid w:val="00ED7E83"/>
    <w:rsid w:val="00EF4B63"/>
    <w:rsid w:val="00EF668D"/>
    <w:rsid w:val="00F0068D"/>
    <w:rsid w:val="00F0576D"/>
    <w:rsid w:val="00F14275"/>
    <w:rsid w:val="00F14E6D"/>
    <w:rsid w:val="00F1553E"/>
    <w:rsid w:val="00F15EA8"/>
    <w:rsid w:val="00F16C8D"/>
    <w:rsid w:val="00F22BDC"/>
    <w:rsid w:val="00F26C61"/>
    <w:rsid w:val="00F30627"/>
    <w:rsid w:val="00F33CCE"/>
    <w:rsid w:val="00F3528E"/>
    <w:rsid w:val="00F40249"/>
    <w:rsid w:val="00F526C8"/>
    <w:rsid w:val="00F658D9"/>
    <w:rsid w:val="00F77819"/>
    <w:rsid w:val="00F90A4D"/>
    <w:rsid w:val="00F9272D"/>
    <w:rsid w:val="00F9518C"/>
    <w:rsid w:val="00FA316E"/>
    <w:rsid w:val="00FA59EF"/>
    <w:rsid w:val="00FB19A2"/>
    <w:rsid w:val="00FF4B6E"/>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paragraph" w:customStyle="1" w:styleId="SCCSsoc">
    <w:name w:val="SCC.Ssoc"/>
    <w:basedOn w:val="Normal"/>
    <w:next w:val="Normal"/>
    <w:link w:val="SCCSsocChar"/>
    <w:rsid w:val="00E461BB"/>
    <w:rPr>
      <w:rFonts w:eastAsia="Calibri" w:cs="Times New Roman"/>
      <w:i/>
      <w:sz w:val="20"/>
      <w:szCs w:val="20"/>
    </w:rPr>
  </w:style>
  <w:style w:type="character" w:customStyle="1" w:styleId="SCCSsocChar">
    <w:name w:val="SCC.Ssoc Char"/>
    <w:basedOn w:val="DefaultParagraphFont"/>
    <w:link w:val="SCCSsoc"/>
    <w:rsid w:val="00E461BB"/>
    <w:rPr>
      <w:rFonts w:eastAsia="Calibri" w:cs="Times New Roman"/>
      <w:i/>
      <w:sz w:val="20"/>
      <w:szCs w:val="20"/>
      <w:lang w:val="en-CA"/>
    </w:rPr>
  </w:style>
  <w:style w:type="table" w:customStyle="1" w:styleId="TableGrid1">
    <w:name w:val="Table Grid1"/>
    <w:basedOn w:val="TableNormal"/>
    <w:next w:val="TableGrid"/>
    <w:uiPriority w:val="59"/>
    <w:rsid w:val="0056602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E35EA0"/>
    <w:pPr>
      <w:jc w:val="center"/>
    </w:pPr>
    <w:rPr>
      <w:rFonts w:eastAsia="Calibri" w:cs="Times New Roman"/>
      <w:lang w:val="fr-CA"/>
    </w:rPr>
  </w:style>
  <w:style w:type="character" w:customStyle="1" w:styleId="SCCLsocPartyChar">
    <w:name w:val="SCC.Lsoc.Party Char"/>
    <w:basedOn w:val="DefaultParagraphFont"/>
    <w:link w:val="SCCLsocParty"/>
    <w:rsid w:val="00E35EA0"/>
    <w:rPr>
      <w:rFonts w:eastAsia="Calibri" w:cs="Times New Roman"/>
      <w:lang w:val="fr-CA"/>
    </w:rPr>
  </w:style>
  <w:style w:type="paragraph" w:customStyle="1" w:styleId="Level1">
    <w:name w:val="Level 1"/>
    <w:basedOn w:val="Normal"/>
    <w:rsid w:val="00861016"/>
    <w:pPr>
      <w:widowControl w:val="0"/>
    </w:pPr>
    <w:rPr>
      <w:rFonts w:eastAsia="Times New Roman" w:cs="Times New Roman"/>
      <w:sz w:val="20"/>
      <w:szCs w:val="20"/>
      <w:lang w:val="en-US" w:eastAsia="en-CA"/>
    </w:rPr>
  </w:style>
  <w:style w:type="paragraph" w:customStyle="1" w:styleId="SCCAppellantInfoAppellantInfo">
    <w:name w:val="SCC.AppellantInfo.AppellantInfo"/>
    <w:basedOn w:val="Normal"/>
    <w:next w:val="Normal"/>
    <w:link w:val="SCCAppellantInfoAppellantInfoChar"/>
    <w:rsid w:val="00741F70"/>
    <w:rPr>
      <w:szCs w:val="24"/>
    </w:rPr>
  </w:style>
  <w:style w:type="character" w:customStyle="1" w:styleId="SCCAppellantInfoAppellantInfoChar">
    <w:name w:val="SCC.AppellantInfo.AppellantInfo Char"/>
    <w:basedOn w:val="DefaultParagraphFont"/>
    <w:link w:val="SCCAppellantInfoAppellantInfo"/>
    <w:rsid w:val="00741F70"/>
    <w:rPr>
      <w:szCs w:val="24"/>
      <w:lang w:val="en-CA"/>
    </w:rPr>
  </w:style>
  <w:style w:type="paragraph" w:customStyle="1" w:styleId="SCCLsocOtherPartySeparator">
    <w:name w:val="SCC.Lsoc.OtherPartySeparator"/>
    <w:basedOn w:val="Normal"/>
    <w:next w:val="Normal"/>
    <w:link w:val="SCCLsocOtherPartySeparatorChar"/>
    <w:rsid w:val="00580D5E"/>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580D5E"/>
    <w:rPr>
      <w:rFonts w:eastAsia="Times New Roman" w:cs="Times New Roman"/>
      <w:szCs w:val="20"/>
      <w:lang w:val="en-CA" w:eastAsia="en-CA"/>
    </w:rPr>
  </w:style>
  <w:style w:type="paragraph" w:customStyle="1" w:styleId="ParaNoNdepar-AltN">
    <w:name w:val="Para. No. / Nº de par. - Alt N"/>
    <w:qFormat/>
    <w:rsid w:val="00B41058"/>
    <w:pPr>
      <w:numPr>
        <w:numId w:val="7"/>
      </w:numPr>
      <w:spacing w:before="480" w:after="480" w:line="480" w:lineRule="auto"/>
      <w:jc w:val="both"/>
    </w:pPr>
    <w:rPr>
      <w:rFonts w:eastAsiaTheme="minorEastAsia"/>
      <w:lang w:val="en-CA"/>
    </w:rPr>
  </w:style>
  <w:style w:type="table" w:customStyle="1" w:styleId="TableGrid2">
    <w:name w:val="Table Grid2"/>
    <w:basedOn w:val="TableNormal"/>
    <w:next w:val="TableGrid"/>
    <w:uiPriority w:val="59"/>
    <w:rsid w:val="00457F3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7F3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617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617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617E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715856">
      <w:bodyDiv w:val="1"/>
      <w:marLeft w:val="0"/>
      <w:marRight w:val="0"/>
      <w:marTop w:val="0"/>
      <w:marBottom w:val="0"/>
      <w:divBdr>
        <w:top w:val="none" w:sz="0" w:space="0" w:color="auto"/>
        <w:left w:val="none" w:sz="0" w:space="0" w:color="auto"/>
        <w:bottom w:val="none" w:sz="0" w:space="0" w:color="auto"/>
        <w:right w:val="none" w:sz="0" w:space="0" w:color="auto"/>
      </w:divBdr>
    </w:div>
    <w:div w:id="9208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18886</Words>
  <Characters>107651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2011-12-20T19:30:00Z</dcterms:created>
  <dcterms:modified xsi:type="dcterms:W3CDTF">2011-12-20T19:30:00Z</dcterms:modified>
</cp:coreProperties>
</file>