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F8135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8135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8135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F8135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8135D" w:rsidTr="002E5576">
        <w:tc>
          <w:tcPr>
            <w:tcW w:w="4518" w:type="dxa"/>
          </w:tcPr>
          <w:p w:rsidR="00BF25F3" w:rsidRPr="002E2327" w:rsidRDefault="009019DC"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9019DC"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F8135D" w:rsidTr="002E5576">
        <w:tc>
          <w:tcPr>
            <w:tcW w:w="4518" w:type="dxa"/>
          </w:tcPr>
          <w:p w:rsidR="009F3024" w:rsidRPr="00560C73" w:rsidRDefault="009F3024" w:rsidP="009F3024">
            <w:pPr>
              <w:tabs>
                <w:tab w:val="left" w:pos="6075"/>
              </w:tabs>
              <w:rPr>
                <w:rFonts w:cs="Times New Roman"/>
                <w:szCs w:val="24"/>
                <w:lang w:val="fr-CA"/>
              </w:rPr>
            </w:pPr>
          </w:p>
          <w:p w:rsidR="009F3024" w:rsidRPr="00560C73" w:rsidRDefault="009F3024" w:rsidP="009F3024">
            <w:pPr>
              <w:tabs>
                <w:tab w:val="left" w:pos="6075"/>
              </w:tabs>
              <w:rPr>
                <w:rFonts w:cs="Times New Roman"/>
                <w:szCs w:val="24"/>
                <w:lang w:val="fr-CA"/>
              </w:rPr>
            </w:pPr>
          </w:p>
        </w:tc>
        <w:tc>
          <w:tcPr>
            <w:tcW w:w="630" w:type="dxa"/>
          </w:tcPr>
          <w:p w:rsidR="009F3024" w:rsidRPr="00560C73"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F8135D"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560C73" w:rsidP="00F0068D">
      <w:pPr>
        <w:pBdr>
          <w:bottom w:val="single" w:sz="6" w:space="1" w:color="auto"/>
        </w:pBdr>
        <w:tabs>
          <w:tab w:val="center" w:pos="4680"/>
          <w:tab w:val="right" w:pos="9360"/>
        </w:tabs>
        <w:rPr>
          <w:lang w:val="fr-CA"/>
        </w:rPr>
      </w:pPr>
      <w:r>
        <w:rPr>
          <w:lang w:val="fr-CA"/>
        </w:rPr>
        <w:t>M</w:t>
      </w:r>
      <w:r w:rsidR="00C73D06">
        <w:rPr>
          <w:lang w:val="fr-CA"/>
        </w:rPr>
        <w:t>ar</w:t>
      </w:r>
      <w:r>
        <w:rPr>
          <w:lang w:val="fr-CA"/>
        </w:rPr>
        <w:t>ch</w:t>
      </w:r>
      <w:r w:rsidR="00440E24" w:rsidRPr="00675479">
        <w:rPr>
          <w:lang w:val="fr-CA"/>
        </w:rPr>
        <w:t xml:space="preserve"> </w:t>
      </w:r>
      <w:r w:rsidR="003359D3">
        <w:rPr>
          <w:lang w:val="fr-CA"/>
        </w:rPr>
        <w:t>1</w:t>
      </w:r>
      <w:r>
        <w:rPr>
          <w:lang w:val="fr-CA"/>
        </w:rPr>
        <w:t>6</w:t>
      </w:r>
      <w:r w:rsidR="00440E24" w:rsidRPr="00675479">
        <w:rPr>
          <w:lang w:val="fr-CA"/>
        </w:rPr>
        <w:t>, 201</w:t>
      </w:r>
      <w:r w:rsidR="00C73D06">
        <w:rPr>
          <w:lang w:val="fr-CA"/>
        </w:rPr>
        <w:t>2</w:t>
      </w:r>
      <w:r w:rsidR="00F0068D" w:rsidRPr="00675479">
        <w:rPr>
          <w:lang w:val="fr-CA"/>
        </w:rPr>
        <w:tab/>
      </w:r>
      <w:r>
        <w:rPr>
          <w:lang w:val="fr-CA"/>
        </w:rPr>
        <w:t>350</w:t>
      </w:r>
      <w:r w:rsidR="00F0068D" w:rsidRPr="00675479">
        <w:rPr>
          <w:lang w:val="fr-CA"/>
        </w:rPr>
        <w:t xml:space="preserve"> - </w:t>
      </w:r>
      <w:r w:rsidR="00EF177C">
        <w:rPr>
          <w:lang w:val="fr-CA"/>
        </w:rPr>
        <w:t>380</w:t>
      </w:r>
      <w:r w:rsidR="00440E24" w:rsidRPr="00675479">
        <w:rPr>
          <w:lang w:val="fr-CA"/>
        </w:rPr>
        <w:tab/>
      </w:r>
      <w:r w:rsidR="00440E24" w:rsidRPr="002E2327">
        <w:rPr>
          <w:lang w:val="fr-CA"/>
        </w:rPr>
        <w:t>Le</w:t>
      </w:r>
      <w:r w:rsidR="00C73D06">
        <w:rPr>
          <w:lang w:val="fr-CA"/>
        </w:rPr>
        <w:t xml:space="preserve"> </w:t>
      </w:r>
      <w:r w:rsidR="003359D3">
        <w:rPr>
          <w:lang w:val="fr-CA"/>
        </w:rPr>
        <w:t>1</w:t>
      </w:r>
      <w:r>
        <w:rPr>
          <w:lang w:val="fr-CA"/>
        </w:rPr>
        <w:t>6 m</w:t>
      </w:r>
      <w:r w:rsidR="00440E24" w:rsidRPr="002E2327">
        <w:rPr>
          <w:lang w:val="fr-CA"/>
        </w:rPr>
        <w:t>a</w:t>
      </w:r>
      <w:r w:rsidR="00C73D06">
        <w:rPr>
          <w:lang w:val="fr-CA"/>
        </w:rPr>
        <w:t>r</w:t>
      </w:r>
      <w:r>
        <w:rPr>
          <w:lang w:val="fr-CA"/>
        </w:rPr>
        <w:t>s</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560C73" w:rsidRDefault="00440E24" w:rsidP="00440E24">
      <w:pPr>
        <w:pBdr>
          <w:bottom w:val="single" w:sz="6" w:space="1" w:color="auto"/>
        </w:pBdr>
        <w:tabs>
          <w:tab w:val="right" w:pos="9360"/>
        </w:tabs>
        <w:rPr>
          <w:sz w:val="18"/>
          <w:szCs w:val="18"/>
        </w:rPr>
      </w:pPr>
      <w:r w:rsidRPr="00560C73">
        <w:rPr>
          <w:sz w:val="18"/>
          <w:szCs w:val="18"/>
        </w:rPr>
        <w:t>© Supreme Court of Canada (201</w:t>
      </w:r>
      <w:r w:rsidR="00C73D06" w:rsidRPr="00560C73">
        <w:rPr>
          <w:sz w:val="18"/>
          <w:szCs w:val="18"/>
        </w:rPr>
        <w:t>2</w:t>
      </w:r>
      <w:r w:rsidRPr="00560C73">
        <w:rPr>
          <w:sz w:val="18"/>
          <w:szCs w:val="18"/>
        </w:rPr>
        <w:t>)</w:t>
      </w:r>
      <w:r w:rsidRPr="00560C73">
        <w:rPr>
          <w:sz w:val="18"/>
          <w:szCs w:val="18"/>
        </w:rPr>
        <w:tab/>
        <w:t>© Cour suprême du Canada (201</w:t>
      </w:r>
      <w:r w:rsidR="00C73D06" w:rsidRPr="00560C73">
        <w:rPr>
          <w:sz w:val="18"/>
          <w:szCs w:val="18"/>
        </w:rPr>
        <w:t>2</w:t>
      </w:r>
      <w:r w:rsidRPr="00560C73">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570455">
            <w:pPr>
              <w:tabs>
                <w:tab w:val="right" w:pos="9360"/>
              </w:tabs>
              <w:rPr>
                <w:rFonts w:cs="Times New Roman"/>
                <w:sz w:val="20"/>
                <w:szCs w:val="20"/>
              </w:rPr>
            </w:pPr>
          </w:p>
        </w:tc>
        <w:tc>
          <w:tcPr>
            <w:tcW w:w="1980" w:type="dxa"/>
          </w:tcPr>
          <w:p w:rsidR="0095096B" w:rsidRPr="002E2327" w:rsidRDefault="00560C73" w:rsidP="0095096B">
            <w:pPr>
              <w:jc w:val="center"/>
              <w:rPr>
                <w:rFonts w:cs="Times New Roman"/>
                <w:sz w:val="20"/>
                <w:szCs w:val="20"/>
              </w:rPr>
            </w:pPr>
            <w:r>
              <w:rPr>
                <w:rFonts w:cs="Times New Roman"/>
                <w:sz w:val="20"/>
                <w:szCs w:val="20"/>
              </w:rPr>
              <w:t>350</w:t>
            </w:r>
            <w:r w:rsidR="009019DC" w:rsidRPr="002E2327">
              <w:rPr>
                <w:rFonts w:cs="Times New Roman"/>
                <w:sz w:val="20"/>
                <w:szCs w:val="20"/>
              </w:rPr>
              <w:fldChar w:fldCharType="begin"/>
            </w:r>
            <w:r w:rsidR="0095096B" w:rsidRPr="002E2327">
              <w:rPr>
                <w:rFonts w:cs="Times New Roman"/>
                <w:sz w:val="20"/>
                <w:szCs w:val="20"/>
              </w:rPr>
              <w:instrText xml:space="preserve"> SEQ CHAPTER \h \r 1</w:instrText>
            </w:r>
            <w:r w:rsidR="009019DC"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70455" w:rsidP="0095096B">
            <w:pPr>
              <w:jc w:val="center"/>
              <w:rPr>
                <w:rFonts w:cs="Times New Roman"/>
                <w:sz w:val="20"/>
                <w:szCs w:val="20"/>
              </w:rPr>
            </w:pPr>
            <w:r>
              <w:rPr>
                <w:rFonts w:cs="Times New Roman"/>
                <w:sz w:val="20"/>
                <w:szCs w:val="20"/>
              </w:rPr>
              <w:t>351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70455" w:rsidP="0095096B">
            <w:pPr>
              <w:jc w:val="center"/>
              <w:rPr>
                <w:rFonts w:cs="Times New Roman"/>
                <w:sz w:val="20"/>
                <w:szCs w:val="20"/>
              </w:rPr>
            </w:pPr>
            <w:r>
              <w:rPr>
                <w:rFonts w:cs="Times New Roman"/>
                <w:sz w:val="20"/>
                <w:szCs w:val="20"/>
              </w:rPr>
              <w:t xml:space="preserve">352 </w:t>
            </w:r>
            <w:r w:rsidR="0095096B" w:rsidRPr="002E2327">
              <w:rPr>
                <w:rFonts w:cs="Times New Roman"/>
                <w:sz w:val="20"/>
                <w:szCs w:val="20"/>
              </w:rPr>
              <w:t>-</w:t>
            </w:r>
            <w:r w:rsidR="003214BC">
              <w:rPr>
                <w:rFonts w:cs="Times New Roman"/>
                <w:sz w:val="20"/>
                <w:szCs w:val="20"/>
              </w:rPr>
              <w:t xml:space="preserve"> 3</w:t>
            </w:r>
            <w:r w:rsidR="00A630D6">
              <w:rPr>
                <w:rFonts w:cs="Times New Roman"/>
                <w:sz w:val="20"/>
                <w:szCs w:val="20"/>
              </w:rPr>
              <w:t>60</w:t>
            </w:r>
          </w:p>
          <w:p w:rsidR="0095096B" w:rsidRPr="002E2327" w:rsidRDefault="0095096B" w:rsidP="0095096B">
            <w:pPr>
              <w:jc w:val="center"/>
              <w:rPr>
                <w:rFonts w:cs="Times New Roman"/>
                <w:sz w:val="20"/>
                <w:szCs w:val="20"/>
              </w:rPr>
            </w:pPr>
          </w:p>
          <w:p w:rsidR="003214BC" w:rsidRDefault="003214BC" w:rsidP="0095096B">
            <w:pPr>
              <w:jc w:val="center"/>
              <w:rPr>
                <w:rFonts w:cs="Times New Roman"/>
                <w:sz w:val="20"/>
                <w:szCs w:val="20"/>
              </w:rPr>
            </w:pPr>
          </w:p>
          <w:p w:rsidR="0095096B" w:rsidRPr="002E2327" w:rsidRDefault="003214BC" w:rsidP="0095096B">
            <w:pPr>
              <w:jc w:val="center"/>
              <w:rPr>
                <w:rFonts w:cs="Times New Roman"/>
                <w:sz w:val="20"/>
                <w:szCs w:val="20"/>
              </w:rPr>
            </w:pPr>
            <w:r>
              <w:rPr>
                <w:rFonts w:cs="Times New Roman"/>
                <w:sz w:val="20"/>
                <w:szCs w:val="20"/>
              </w:rPr>
              <w:t>36</w:t>
            </w:r>
            <w:r w:rsidR="00A630D6">
              <w:rPr>
                <w:rFonts w:cs="Times New Roman"/>
                <w:sz w:val="20"/>
                <w:szCs w:val="20"/>
              </w:rPr>
              <w:t>1</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36</w:t>
            </w:r>
            <w:r w:rsidR="00A630D6">
              <w:rPr>
                <w:rFonts w:cs="Times New Roman"/>
                <w:sz w:val="20"/>
                <w:szCs w:val="20"/>
              </w:rPr>
              <w:t>8</w:t>
            </w:r>
          </w:p>
          <w:p w:rsidR="0095096B" w:rsidRPr="002E2327" w:rsidRDefault="0095096B" w:rsidP="0095096B">
            <w:pPr>
              <w:jc w:val="center"/>
              <w:rPr>
                <w:rFonts w:cs="Times New Roman"/>
                <w:sz w:val="20"/>
                <w:szCs w:val="20"/>
              </w:rPr>
            </w:pPr>
          </w:p>
          <w:p w:rsidR="0095096B" w:rsidRPr="002E2327" w:rsidRDefault="003214BC" w:rsidP="0095096B">
            <w:pPr>
              <w:jc w:val="center"/>
              <w:rPr>
                <w:rFonts w:cs="Times New Roman"/>
                <w:sz w:val="20"/>
                <w:szCs w:val="20"/>
              </w:rPr>
            </w:pPr>
            <w:r>
              <w:rPr>
                <w:rFonts w:cs="Times New Roman"/>
                <w:sz w:val="20"/>
                <w:szCs w:val="20"/>
              </w:rPr>
              <w:t>36</w:t>
            </w:r>
            <w:r w:rsidR="00A630D6">
              <w:rPr>
                <w:rFonts w:cs="Times New Roman"/>
                <w:sz w:val="20"/>
                <w:szCs w:val="20"/>
              </w:rPr>
              <w:t>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214BC" w:rsidP="0095096B">
            <w:pPr>
              <w:jc w:val="center"/>
              <w:rPr>
                <w:rFonts w:cs="Times New Roman"/>
                <w:sz w:val="20"/>
                <w:szCs w:val="20"/>
              </w:rPr>
            </w:pPr>
            <w:r>
              <w:rPr>
                <w:rFonts w:cs="Times New Roman"/>
                <w:sz w:val="20"/>
                <w:szCs w:val="20"/>
              </w:rPr>
              <w:t>3</w:t>
            </w:r>
            <w:r w:rsidR="00A630D6">
              <w:rPr>
                <w:rFonts w:cs="Times New Roman"/>
                <w:sz w:val="20"/>
                <w:szCs w:val="20"/>
              </w:rPr>
              <w:t>70</w:t>
            </w:r>
            <w:r>
              <w:rPr>
                <w:rFonts w:cs="Times New Roman"/>
                <w:sz w:val="20"/>
                <w:szCs w:val="20"/>
              </w:rPr>
              <w:t xml:space="preserve"> </w:t>
            </w:r>
            <w:r w:rsidR="0095096B" w:rsidRPr="002E2327">
              <w:rPr>
                <w:rFonts w:cs="Times New Roman"/>
                <w:sz w:val="20"/>
                <w:szCs w:val="20"/>
              </w:rPr>
              <w:t>-</w:t>
            </w:r>
            <w:r w:rsidR="00EF177C">
              <w:rPr>
                <w:rFonts w:cs="Times New Roman"/>
                <w:sz w:val="20"/>
                <w:szCs w:val="20"/>
              </w:rPr>
              <w:t xml:space="preserve"> 373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F177C" w:rsidP="0095096B">
            <w:pPr>
              <w:jc w:val="center"/>
              <w:rPr>
                <w:rFonts w:cs="Times New Roman"/>
                <w:sz w:val="20"/>
                <w:szCs w:val="20"/>
              </w:rPr>
            </w:pPr>
            <w:r>
              <w:rPr>
                <w:rFonts w:cs="Times New Roman"/>
                <w:sz w:val="20"/>
                <w:szCs w:val="20"/>
              </w:rPr>
              <w:t>374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F177C" w:rsidP="0095096B">
            <w:pPr>
              <w:jc w:val="center"/>
              <w:rPr>
                <w:rFonts w:cs="Times New Roman"/>
                <w:sz w:val="20"/>
                <w:szCs w:val="20"/>
              </w:rPr>
            </w:pPr>
            <w:r>
              <w:rPr>
                <w:rFonts w:cs="Times New Roman"/>
                <w:sz w:val="20"/>
                <w:szCs w:val="20"/>
              </w:rPr>
              <w:t xml:space="preserve">375 </w:t>
            </w:r>
            <w:r w:rsidR="0095096B" w:rsidRPr="002E2327">
              <w:rPr>
                <w:rFonts w:cs="Times New Roman"/>
                <w:sz w:val="20"/>
                <w:szCs w:val="20"/>
              </w:rPr>
              <w:t>-</w:t>
            </w:r>
            <w:r>
              <w:rPr>
                <w:rFonts w:cs="Times New Roman"/>
                <w:sz w:val="20"/>
                <w:szCs w:val="20"/>
              </w:rPr>
              <w:t xml:space="preserve"> 380</w:t>
            </w:r>
          </w:p>
          <w:p w:rsidR="00A87207" w:rsidRPr="002E2327" w:rsidRDefault="00A87207" w:rsidP="00570455">
            <w:pPr>
              <w:jc w:val="center"/>
              <w:rPr>
                <w:rFonts w:cs="Times New Roman"/>
                <w:sz w:val="20"/>
                <w:szCs w:val="20"/>
              </w:rPr>
            </w:pPr>
          </w:p>
        </w:tc>
        <w:tc>
          <w:tcPr>
            <w:tcW w:w="3888" w:type="dxa"/>
          </w:tcPr>
          <w:p w:rsidR="0095096B" w:rsidRPr="002E2327" w:rsidRDefault="009019DC"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570455">
            <w:pPr>
              <w:tabs>
                <w:tab w:val="right" w:pos="9360"/>
              </w:tabs>
              <w:rPr>
                <w:rFonts w:cs="Times New Roman"/>
                <w:sz w:val="20"/>
                <w:szCs w:val="20"/>
                <w:lang w:val="fr-CA"/>
              </w:rPr>
            </w:pPr>
          </w:p>
        </w:tc>
      </w:tr>
    </w:tbl>
    <w:p w:rsidR="0095096B" w:rsidRDefault="0095096B" w:rsidP="0095096B">
      <w:pPr>
        <w:tabs>
          <w:tab w:val="right" w:pos="9360"/>
        </w:tabs>
      </w:pPr>
    </w:p>
    <w:p w:rsidR="00570455" w:rsidRDefault="00570455" w:rsidP="0095096B">
      <w:pPr>
        <w:tabs>
          <w:tab w:val="right" w:pos="9360"/>
        </w:tabs>
      </w:pPr>
    </w:p>
    <w:p w:rsidR="00570455" w:rsidRDefault="00570455" w:rsidP="0095096B">
      <w:pPr>
        <w:tabs>
          <w:tab w:val="right" w:pos="9360"/>
        </w:tabs>
      </w:pPr>
    </w:p>
    <w:p w:rsidR="00570455" w:rsidRDefault="00570455" w:rsidP="0095096B">
      <w:pPr>
        <w:tabs>
          <w:tab w:val="right" w:pos="9360"/>
        </w:tabs>
      </w:pPr>
    </w:p>
    <w:p w:rsidR="00570455" w:rsidRDefault="00570455" w:rsidP="0095096B">
      <w:pPr>
        <w:tabs>
          <w:tab w:val="right" w:pos="9360"/>
        </w:tabs>
      </w:pPr>
    </w:p>
    <w:p w:rsidR="00570455" w:rsidRPr="002E2327" w:rsidRDefault="00570455" w:rsidP="0095096B">
      <w:pPr>
        <w:tabs>
          <w:tab w:val="right" w:pos="9360"/>
        </w:tabs>
      </w:pPr>
    </w:p>
    <w:tbl>
      <w:tblPr>
        <w:tblStyle w:val="TableGrid"/>
        <w:tblW w:w="0" w:type="auto"/>
        <w:tblLook w:val="04A0"/>
      </w:tblPr>
      <w:tblGrid>
        <w:gridCol w:w="9576"/>
      </w:tblGrid>
      <w:tr w:rsidR="0079724F" w:rsidRPr="00F8135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CB0DA3" w:rsidP="003B3977">
            <w:pPr>
              <w:rPr>
                <w:b/>
                <w:sz w:val="20"/>
                <w:szCs w:val="20"/>
              </w:rPr>
            </w:pPr>
            <w:r>
              <w:rPr>
                <w:b/>
                <w:sz w:val="20"/>
                <w:szCs w:val="20"/>
              </w:rPr>
              <w:t>Greenway Estates Homes Ltd.</w:t>
            </w:r>
          </w:p>
          <w:p w:rsidR="00242AEE" w:rsidRPr="00A935AA" w:rsidRDefault="00242AEE" w:rsidP="003B3977">
            <w:pPr>
              <w:tabs>
                <w:tab w:val="left" w:pos="-1440"/>
                <w:tab w:val="left" w:pos="-720"/>
              </w:tabs>
              <w:rPr>
                <w:sz w:val="20"/>
                <w:szCs w:val="20"/>
              </w:rPr>
            </w:pPr>
            <w:r w:rsidRPr="00A935AA">
              <w:rPr>
                <w:sz w:val="20"/>
                <w:szCs w:val="20"/>
              </w:rPr>
              <w:tab/>
            </w:r>
            <w:r w:rsidR="00CB0DA3">
              <w:rPr>
                <w:sz w:val="20"/>
                <w:szCs w:val="20"/>
              </w:rPr>
              <w:t>Vittorio Vacca</w:t>
            </w:r>
          </w:p>
          <w:p w:rsidR="00242AEE" w:rsidRPr="00A935AA" w:rsidRDefault="00242AEE" w:rsidP="003B3977">
            <w:pPr>
              <w:tabs>
                <w:tab w:val="left" w:pos="-1440"/>
                <w:tab w:val="left" w:pos="-720"/>
              </w:tabs>
              <w:rPr>
                <w:sz w:val="20"/>
                <w:szCs w:val="20"/>
              </w:rPr>
            </w:pPr>
            <w:r w:rsidRPr="00A935AA">
              <w:rPr>
                <w:sz w:val="20"/>
                <w:szCs w:val="20"/>
              </w:rPr>
              <w:tab/>
            </w:r>
            <w:r w:rsidR="00CB0DA3">
              <w:rPr>
                <w:sz w:val="20"/>
                <w:szCs w:val="20"/>
              </w:rPr>
              <w:t>Greenway Estates Homes Ltd.</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560C73">
              <w:rPr>
                <w:sz w:val="20"/>
                <w:szCs w:val="20"/>
              </w:rPr>
              <w:t>46</w:t>
            </w:r>
            <w:r w:rsidR="00CB0DA3">
              <w:rPr>
                <w:sz w:val="20"/>
                <w:szCs w:val="20"/>
              </w:rPr>
              <w:t>90</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CB0DA3" w:rsidP="003B3977">
            <w:pPr>
              <w:tabs>
                <w:tab w:val="left" w:pos="-1440"/>
                <w:tab w:val="left" w:pos="-720"/>
              </w:tabs>
              <w:rPr>
                <w:b/>
                <w:sz w:val="20"/>
                <w:szCs w:val="20"/>
              </w:rPr>
            </w:pPr>
            <w:r>
              <w:rPr>
                <w:b/>
                <w:sz w:val="20"/>
                <w:szCs w:val="20"/>
              </w:rPr>
              <w:t xml:space="preserve">William McDonald et al.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CB0DA3">
              <w:rPr>
                <w:sz w:val="20"/>
                <w:szCs w:val="20"/>
              </w:rPr>
              <w:t>Lionel Gray</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CB0DA3">
              <w:rPr>
                <w:sz w:val="20"/>
                <w:szCs w:val="20"/>
              </w:rPr>
              <w:t>03</w:t>
            </w:r>
            <w:r w:rsidRPr="00A935AA">
              <w:rPr>
                <w:sz w:val="20"/>
                <w:szCs w:val="20"/>
              </w:rPr>
              <w:t>.0</w:t>
            </w:r>
            <w:r w:rsidR="00560C73">
              <w:rPr>
                <w:sz w:val="20"/>
                <w:szCs w:val="20"/>
              </w:rPr>
              <w:t>2</w:t>
            </w:r>
            <w:r w:rsidRPr="00A935AA">
              <w:rPr>
                <w:sz w:val="20"/>
                <w:szCs w:val="20"/>
              </w:rPr>
              <w:t>.201</w:t>
            </w:r>
            <w:r w:rsidR="00560C73">
              <w:rPr>
                <w:sz w:val="20"/>
                <w:szCs w:val="20"/>
              </w:rPr>
              <w:t>2</w:t>
            </w:r>
          </w:p>
          <w:p w:rsidR="00242AEE" w:rsidRPr="00A935AA" w:rsidRDefault="009019DC" w:rsidP="003B3977">
            <w:pPr>
              <w:rPr>
                <w:sz w:val="20"/>
                <w:szCs w:val="20"/>
              </w:rPr>
            </w:pPr>
            <w:r w:rsidRPr="009019DC">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CB0DA3" w:rsidP="003B3977">
            <w:pPr>
              <w:keepNext/>
              <w:keepLines/>
              <w:tabs>
                <w:tab w:val="left" w:pos="-1440"/>
                <w:tab w:val="left" w:pos="-720"/>
              </w:tabs>
              <w:rPr>
                <w:b/>
                <w:sz w:val="20"/>
                <w:szCs w:val="20"/>
              </w:rPr>
            </w:pPr>
            <w:r>
              <w:rPr>
                <w:b/>
                <w:sz w:val="20"/>
                <w:szCs w:val="20"/>
              </w:rPr>
              <w:t>A.R.M.</w:t>
            </w:r>
          </w:p>
          <w:p w:rsidR="00242AEE" w:rsidRPr="00A935AA" w:rsidRDefault="00242AEE" w:rsidP="003B3977">
            <w:pPr>
              <w:keepNext/>
              <w:keepLines/>
              <w:tabs>
                <w:tab w:val="left" w:pos="-1440"/>
                <w:tab w:val="left" w:pos="-720"/>
              </w:tabs>
              <w:rPr>
                <w:sz w:val="20"/>
                <w:szCs w:val="20"/>
              </w:rPr>
            </w:pPr>
            <w:r w:rsidRPr="00A935AA">
              <w:rPr>
                <w:sz w:val="20"/>
                <w:szCs w:val="20"/>
              </w:rPr>
              <w:tab/>
            </w:r>
            <w:r w:rsidR="00CB0DA3">
              <w:rPr>
                <w:sz w:val="20"/>
                <w:szCs w:val="20"/>
              </w:rPr>
              <w:t>Mona T. Duckett</w:t>
            </w:r>
          </w:p>
          <w:p w:rsidR="00242AEE" w:rsidRPr="00A935AA" w:rsidRDefault="00242AEE" w:rsidP="003B3977">
            <w:pPr>
              <w:keepNext/>
              <w:keepLines/>
              <w:tabs>
                <w:tab w:val="left" w:pos="-1440"/>
                <w:tab w:val="left" w:pos="-720"/>
              </w:tabs>
              <w:rPr>
                <w:sz w:val="20"/>
                <w:szCs w:val="20"/>
              </w:rPr>
            </w:pPr>
            <w:r w:rsidRPr="00A935AA">
              <w:rPr>
                <w:sz w:val="20"/>
                <w:szCs w:val="20"/>
              </w:rPr>
              <w:tab/>
            </w:r>
            <w:r w:rsidR="00CB0DA3">
              <w:rPr>
                <w:sz w:val="20"/>
                <w:szCs w:val="20"/>
              </w:rPr>
              <w:t>Dawson Stevens Duckett &amp; Shaigec</w:t>
            </w:r>
          </w:p>
          <w:p w:rsidR="00242AEE" w:rsidRPr="00A935AA" w:rsidRDefault="00242AEE" w:rsidP="003B3977">
            <w:pPr>
              <w:keepNext/>
              <w:keepLines/>
              <w:tabs>
                <w:tab w:val="left" w:pos="-1440"/>
                <w:tab w:val="left" w:pos="-720"/>
              </w:tabs>
              <w:rPr>
                <w:sz w:val="20"/>
                <w:szCs w:val="20"/>
              </w:rPr>
            </w:pPr>
          </w:p>
          <w:p w:rsidR="00242AEE" w:rsidRPr="00CB0DA3" w:rsidRDefault="00242AEE" w:rsidP="003B3977">
            <w:pPr>
              <w:keepNext/>
              <w:keepLines/>
              <w:tabs>
                <w:tab w:val="left" w:pos="-1440"/>
                <w:tab w:val="left" w:pos="-720"/>
              </w:tabs>
              <w:rPr>
                <w:sz w:val="20"/>
                <w:szCs w:val="20"/>
              </w:rPr>
            </w:pPr>
            <w:r w:rsidRPr="00A935AA">
              <w:rPr>
                <w:sz w:val="20"/>
                <w:szCs w:val="20"/>
              </w:rPr>
              <w:tab/>
            </w:r>
            <w:r w:rsidRPr="00CB0DA3">
              <w:rPr>
                <w:sz w:val="20"/>
                <w:szCs w:val="20"/>
              </w:rPr>
              <w:t>v. (3</w:t>
            </w:r>
            <w:r w:rsidR="00560C73" w:rsidRPr="00CB0DA3">
              <w:rPr>
                <w:sz w:val="20"/>
                <w:szCs w:val="20"/>
              </w:rPr>
              <w:t>46</w:t>
            </w:r>
            <w:r w:rsidR="00CB0DA3">
              <w:rPr>
                <w:sz w:val="20"/>
                <w:szCs w:val="20"/>
              </w:rPr>
              <w:t>82</w:t>
            </w:r>
            <w:r w:rsidRPr="00CB0DA3">
              <w:rPr>
                <w:sz w:val="20"/>
                <w:szCs w:val="20"/>
              </w:rPr>
              <w:t>)</w:t>
            </w:r>
          </w:p>
          <w:p w:rsidR="00242AEE" w:rsidRPr="00CB0DA3" w:rsidRDefault="00242AEE" w:rsidP="003B3977">
            <w:pPr>
              <w:keepNext/>
              <w:keepLines/>
              <w:tabs>
                <w:tab w:val="left" w:pos="-1440"/>
                <w:tab w:val="left" w:pos="-720"/>
              </w:tabs>
              <w:rPr>
                <w:sz w:val="20"/>
                <w:szCs w:val="20"/>
              </w:rPr>
            </w:pPr>
          </w:p>
          <w:p w:rsidR="00242AEE" w:rsidRPr="00CB0DA3" w:rsidRDefault="00CB0DA3" w:rsidP="003B3977">
            <w:pPr>
              <w:keepNext/>
              <w:keepLines/>
              <w:tabs>
                <w:tab w:val="left" w:pos="-1440"/>
                <w:tab w:val="left" w:pos="-720"/>
              </w:tabs>
              <w:rPr>
                <w:b/>
                <w:sz w:val="20"/>
                <w:szCs w:val="20"/>
              </w:rPr>
            </w:pPr>
            <w:r>
              <w:rPr>
                <w:b/>
                <w:sz w:val="20"/>
                <w:szCs w:val="20"/>
              </w:rPr>
              <w:t xml:space="preserve">Her Majesty the Queen </w:t>
            </w:r>
            <w:r w:rsidR="00242AEE" w:rsidRPr="00CB0DA3">
              <w:rPr>
                <w:b/>
                <w:sz w:val="20"/>
                <w:szCs w:val="20"/>
              </w:rPr>
              <w:t>(</w:t>
            </w:r>
            <w:r>
              <w:rPr>
                <w:b/>
                <w:sz w:val="20"/>
                <w:szCs w:val="20"/>
              </w:rPr>
              <w:t>Al</w:t>
            </w:r>
            <w:r w:rsidR="00242AEE" w:rsidRPr="00CB0DA3">
              <w:rPr>
                <w:b/>
                <w:sz w:val="20"/>
                <w:szCs w:val="20"/>
              </w:rPr>
              <w:t>t</w:t>
            </w:r>
            <w:r>
              <w:rPr>
                <w:b/>
                <w:sz w:val="20"/>
                <w:szCs w:val="20"/>
              </w:rPr>
              <w:t>a</w:t>
            </w:r>
            <w:r w:rsidR="00242AEE" w:rsidRPr="00CB0DA3">
              <w:rPr>
                <w:b/>
                <w:sz w:val="20"/>
                <w:szCs w:val="20"/>
              </w:rPr>
              <w:t>.)</w:t>
            </w:r>
          </w:p>
          <w:p w:rsidR="00242AEE" w:rsidRPr="00CB0DA3" w:rsidRDefault="00242AEE" w:rsidP="003B3977">
            <w:pPr>
              <w:keepNext/>
              <w:keepLines/>
              <w:tabs>
                <w:tab w:val="left" w:pos="-1440"/>
                <w:tab w:val="left" w:pos="-720"/>
              </w:tabs>
              <w:rPr>
                <w:sz w:val="20"/>
                <w:szCs w:val="20"/>
              </w:rPr>
            </w:pPr>
            <w:r w:rsidRPr="00CB0DA3">
              <w:rPr>
                <w:sz w:val="20"/>
                <w:szCs w:val="20"/>
              </w:rPr>
              <w:tab/>
            </w:r>
            <w:r w:rsidR="00CB0DA3">
              <w:rPr>
                <w:sz w:val="20"/>
                <w:szCs w:val="20"/>
              </w:rPr>
              <w:t>Troy Couillard</w:t>
            </w:r>
          </w:p>
          <w:p w:rsidR="00242AEE" w:rsidRPr="00CB0DA3" w:rsidRDefault="00560C73" w:rsidP="003B3977">
            <w:pPr>
              <w:keepNext/>
              <w:keepLines/>
              <w:tabs>
                <w:tab w:val="left" w:pos="-1440"/>
                <w:tab w:val="left" w:pos="-720"/>
              </w:tabs>
              <w:rPr>
                <w:sz w:val="20"/>
                <w:szCs w:val="20"/>
              </w:rPr>
            </w:pPr>
            <w:r w:rsidRPr="00CB0DA3">
              <w:rPr>
                <w:sz w:val="20"/>
                <w:szCs w:val="20"/>
              </w:rPr>
              <w:tab/>
            </w:r>
            <w:r w:rsidR="00CB0DA3">
              <w:rPr>
                <w:sz w:val="20"/>
                <w:szCs w:val="20"/>
              </w:rPr>
              <w:t>A.G. of Alberta</w:t>
            </w:r>
          </w:p>
          <w:p w:rsidR="00242AEE" w:rsidRPr="00CB0DA3" w:rsidRDefault="00242AEE" w:rsidP="003B3977">
            <w:pPr>
              <w:keepNext/>
              <w:keepLines/>
              <w:tabs>
                <w:tab w:val="left" w:pos="-1440"/>
                <w:tab w:val="left" w:pos="-720"/>
              </w:tabs>
              <w:rPr>
                <w:sz w:val="20"/>
                <w:szCs w:val="20"/>
              </w:rPr>
            </w:pPr>
          </w:p>
          <w:p w:rsidR="00242AEE" w:rsidRPr="00A935AA" w:rsidRDefault="00242AEE" w:rsidP="00CB0DA3">
            <w:pPr>
              <w:rPr>
                <w:sz w:val="20"/>
                <w:szCs w:val="20"/>
              </w:rPr>
            </w:pPr>
            <w:r w:rsidRPr="00A935AA">
              <w:rPr>
                <w:sz w:val="20"/>
                <w:szCs w:val="20"/>
              </w:rPr>
              <w:t xml:space="preserve">FILING DATE: </w:t>
            </w:r>
            <w:r w:rsidR="00CB0DA3">
              <w:rPr>
                <w:sz w:val="20"/>
                <w:szCs w:val="20"/>
              </w:rPr>
              <w:t>16</w:t>
            </w:r>
            <w:r w:rsidRPr="00A935AA">
              <w:rPr>
                <w:sz w:val="20"/>
                <w:szCs w:val="20"/>
              </w:rPr>
              <w:t>.0</w:t>
            </w:r>
            <w:r w:rsidR="00560C73">
              <w:rPr>
                <w:sz w:val="20"/>
                <w:szCs w:val="20"/>
              </w:rPr>
              <w:t>2</w:t>
            </w:r>
            <w:r w:rsidRPr="00A935AA">
              <w:rPr>
                <w:sz w:val="20"/>
                <w:szCs w:val="20"/>
              </w:rPr>
              <w:t>.201</w:t>
            </w:r>
            <w:r w:rsidR="00560C73">
              <w:rPr>
                <w:sz w:val="20"/>
                <w:szCs w:val="20"/>
              </w:rPr>
              <w:t>2</w:t>
            </w:r>
            <w:r w:rsidR="009019DC" w:rsidRPr="009019DC">
              <w:rPr>
                <w:sz w:val="20"/>
                <w:szCs w:val="20"/>
                <w:lang w:val="fr-CA"/>
              </w:rPr>
              <w:pict>
                <v:rect id="_x0000_i1026" style="width:108pt;height:1pt" o:hrpct="0" o:hralign="center" o:hrstd="t" o:hrnoshade="t" o:hr="t" fillcolor="black [3213]" stroked="f"/>
              </w:pict>
            </w:r>
          </w:p>
        </w:tc>
      </w:tr>
      <w:tr w:rsidR="00560C73" w:rsidRPr="00A935AA" w:rsidTr="003B3977">
        <w:tc>
          <w:tcPr>
            <w:tcW w:w="4320" w:type="dxa"/>
            <w:shd w:val="clear" w:color="auto" w:fill="auto"/>
          </w:tcPr>
          <w:p w:rsidR="00560C73" w:rsidRPr="00A935AA" w:rsidRDefault="00CB0DA3" w:rsidP="00560C73">
            <w:pPr>
              <w:rPr>
                <w:b/>
                <w:sz w:val="20"/>
                <w:szCs w:val="20"/>
              </w:rPr>
            </w:pPr>
            <w:r>
              <w:rPr>
                <w:b/>
                <w:sz w:val="20"/>
                <w:szCs w:val="20"/>
              </w:rPr>
              <w:t>Harvey A. Bablitz</w:t>
            </w:r>
          </w:p>
          <w:p w:rsidR="00560C73" w:rsidRPr="00A935AA" w:rsidRDefault="00560C73" w:rsidP="00560C73">
            <w:pPr>
              <w:tabs>
                <w:tab w:val="left" w:pos="-1440"/>
                <w:tab w:val="left" w:pos="-720"/>
              </w:tabs>
              <w:rPr>
                <w:sz w:val="20"/>
                <w:szCs w:val="20"/>
              </w:rPr>
            </w:pPr>
            <w:r w:rsidRPr="00A935AA">
              <w:rPr>
                <w:sz w:val="20"/>
                <w:szCs w:val="20"/>
              </w:rPr>
              <w:tab/>
            </w:r>
            <w:r w:rsidR="00CB0DA3">
              <w:rPr>
                <w:sz w:val="20"/>
                <w:szCs w:val="20"/>
              </w:rPr>
              <w:t>Simon Johnson</w:t>
            </w:r>
          </w:p>
          <w:p w:rsidR="00560C73" w:rsidRDefault="00CB0DA3" w:rsidP="00560C73">
            <w:pPr>
              <w:tabs>
                <w:tab w:val="left" w:pos="-1440"/>
                <w:tab w:val="left" w:pos="-720"/>
              </w:tabs>
              <w:rPr>
                <w:sz w:val="20"/>
                <w:szCs w:val="20"/>
              </w:rPr>
            </w:pPr>
            <w:r>
              <w:rPr>
                <w:sz w:val="20"/>
                <w:szCs w:val="20"/>
              </w:rPr>
              <w:tab/>
              <w:t>Bennett Jones LLP</w:t>
            </w:r>
          </w:p>
          <w:p w:rsidR="00CB0DA3" w:rsidRPr="00A935AA" w:rsidRDefault="00CB0DA3" w:rsidP="00560C73">
            <w:pPr>
              <w:tabs>
                <w:tab w:val="left" w:pos="-1440"/>
                <w:tab w:val="left" w:pos="-720"/>
              </w:tabs>
              <w:rPr>
                <w:sz w:val="20"/>
                <w:szCs w:val="20"/>
              </w:rPr>
            </w:pPr>
          </w:p>
          <w:p w:rsidR="00560C73" w:rsidRPr="00A935AA" w:rsidRDefault="00560C73" w:rsidP="00560C73">
            <w:pPr>
              <w:tabs>
                <w:tab w:val="left" w:pos="-1440"/>
                <w:tab w:val="left" w:pos="-720"/>
              </w:tabs>
              <w:rPr>
                <w:sz w:val="20"/>
                <w:szCs w:val="20"/>
              </w:rPr>
            </w:pPr>
            <w:r w:rsidRPr="00A935AA">
              <w:rPr>
                <w:sz w:val="20"/>
                <w:szCs w:val="20"/>
              </w:rPr>
              <w:tab/>
              <w:t>v. (3</w:t>
            </w:r>
            <w:r>
              <w:rPr>
                <w:sz w:val="20"/>
                <w:szCs w:val="20"/>
              </w:rPr>
              <w:t>46</w:t>
            </w:r>
            <w:r w:rsidR="00CB0DA3">
              <w:rPr>
                <w:sz w:val="20"/>
                <w:szCs w:val="20"/>
              </w:rPr>
              <w:t>77</w:t>
            </w:r>
            <w:r w:rsidRPr="00A935AA">
              <w:rPr>
                <w:sz w:val="20"/>
                <w:szCs w:val="20"/>
              </w:rPr>
              <w:t>)</w:t>
            </w:r>
          </w:p>
          <w:p w:rsidR="00560C73" w:rsidRPr="00A935AA" w:rsidRDefault="00560C73" w:rsidP="00560C73">
            <w:pPr>
              <w:tabs>
                <w:tab w:val="left" w:pos="-1440"/>
                <w:tab w:val="left" w:pos="-720"/>
              </w:tabs>
              <w:rPr>
                <w:sz w:val="20"/>
                <w:szCs w:val="20"/>
              </w:rPr>
            </w:pPr>
          </w:p>
          <w:p w:rsidR="00560C73" w:rsidRPr="00A935AA" w:rsidRDefault="00CB0DA3" w:rsidP="00560C73">
            <w:pPr>
              <w:tabs>
                <w:tab w:val="left" w:pos="-1440"/>
                <w:tab w:val="left" w:pos="-720"/>
              </w:tabs>
              <w:rPr>
                <w:b/>
                <w:sz w:val="20"/>
                <w:szCs w:val="20"/>
              </w:rPr>
            </w:pPr>
            <w:r>
              <w:rPr>
                <w:b/>
                <w:sz w:val="20"/>
                <w:szCs w:val="20"/>
              </w:rPr>
              <w:t xml:space="preserve">Montana Niketa Phillip, a minor by her next friend Yvonne Bertha Phillip et al. </w:t>
            </w:r>
            <w:r w:rsidR="00560C73" w:rsidRPr="00A935AA">
              <w:rPr>
                <w:b/>
                <w:sz w:val="20"/>
                <w:szCs w:val="20"/>
              </w:rPr>
              <w:t>(</w:t>
            </w:r>
            <w:r>
              <w:rPr>
                <w:b/>
                <w:sz w:val="20"/>
                <w:szCs w:val="20"/>
              </w:rPr>
              <w:t>Alta.</w:t>
            </w:r>
            <w:r w:rsidR="00560C73" w:rsidRPr="00A935AA">
              <w:rPr>
                <w:b/>
                <w:sz w:val="20"/>
                <w:szCs w:val="20"/>
              </w:rPr>
              <w:t>)</w:t>
            </w:r>
          </w:p>
          <w:p w:rsidR="00560C73" w:rsidRPr="00A935AA" w:rsidRDefault="00560C73" w:rsidP="00560C73">
            <w:pPr>
              <w:tabs>
                <w:tab w:val="left" w:pos="-1440"/>
                <w:tab w:val="left" w:pos="-720"/>
              </w:tabs>
              <w:rPr>
                <w:sz w:val="20"/>
                <w:szCs w:val="20"/>
              </w:rPr>
            </w:pPr>
            <w:r w:rsidRPr="00A935AA">
              <w:rPr>
                <w:sz w:val="20"/>
                <w:szCs w:val="20"/>
              </w:rPr>
              <w:tab/>
            </w:r>
            <w:r w:rsidR="00CB0DA3">
              <w:rPr>
                <w:sz w:val="20"/>
                <w:szCs w:val="20"/>
              </w:rPr>
              <w:t>Harold W. Veale, Q.C.</w:t>
            </w:r>
          </w:p>
          <w:p w:rsidR="00560C73" w:rsidRPr="00F416DC" w:rsidRDefault="00560C73" w:rsidP="00560C73">
            <w:pPr>
              <w:tabs>
                <w:tab w:val="left" w:pos="-1440"/>
                <w:tab w:val="left" w:pos="-720"/>
              </w:tabs>
              <w:rPr>
                <w:sz w:val="20"/>
                <w:szCs w:val="20"/>
              </w:rPr>
            </w:pPr>
            <w:r>
              <w:rPr>
                <w:sz w:val="20"/>
                <w:szCs w:val="20"/>
              </w:rPr>
              <w:tab/>
            </w:r>
            <w:r w:rsidR="00CB0DA3" w:rsidRPr="00F416DC">
              <w:rPr>
                <w:sz w:val="20"/>
                <w:szCs w:val="20"/>
              </w:rPr>
              <w:t>Ogilvie LLP</w:t>
            </w:r>
          </w:p>
          <w:p w:rsidR="00560C73" w:rsidRPr="00F416DC" w:rsidRDefault="00560C73" w:rsidP="00560C73">
            <w:pPr>
              <w:tabs>
                <w:tab w:val="left" w:pos="-1440"/>
                <w:tab w:val="left" w:pos="-720"/>
              </w:tabs>
              <w:rPr>
                <w:sz w:val="20"/>
                <w:szCs w:val="20"/>
              </w:rPr>
            </w:pPr>
          </w:p>
          <w:p w:rsidR="00560C73" w:rsidRPr="00F416DC" w:rsidRDefault="00560C73" w:rsidP="00560C73">
            <w:pPr>
              <w:rPr>
                <w:sz w:val="20"/>
                <w:szCs w:val="20"/>
              </w:rPr>
            </w:pPr>
            <w:r w:rsidRPr="00F416DC">
              <w:rPr>
                <w:sz w:val="20"/>
                <w:szCs w:val="20"/>
              </w:rPr>
              <w:t xml:space="preserve">FILING DATE: </w:t>
            </w:r>
            <w:r w:rsidR="00CB0DA3" w:rsidRPr="00F416DC">
              <w:rPr>
                <w:sz w:val="20"/>
                <w:szCs w:val="20"/>
              </w:rPr>
              <w:t>1</w:t>
            </w:r>
            <w:r w:rsidRPr="00F416DC">
              <w:rPr>
                <w:sz w:val="20"/>
                <w:szCs w:val="20"/>
              </w:rPr>
              <w:t>7.02.2012</w:t>
            </w:r>
          </w:p>
          <w:p w:rsidR="00560C73" w:rsidRPr="00A935AA" w:rsidRDefault="009019DC" w:rsidP="00560C73">
            <w:pPr>
              <w:rPr>
                <w:sz w:val="20"/>
                <w:szCs w:val="20"/>
              </w:rPr>
            </w:pPr>
            <w:r w:rsidRPr="009019DC">
              <w:rPr>
                <w:sz w:val="20"/>
                <w:szCs w:val="20"/>
                <w:lang w:val="fr-CA"/>
              </w:rPr>
              <w:pict>
                <v:rect id="_x0000_i1027" style="width:108pt;height:1pt" o:hrpct="0" o:hralign="center" o:hrstd="t" o:hrnoshade="t" o:hr="t" fillcolor="black [3213]" stroked="f"/>
              </w:pict>
            </w:r>
          </w:p>
        </w:tc>
        <w:tc>
          <w:tcPr>
            <w:tcW w:w="1181" w:type="dxa"/>
            <w:shd w:val="clear" w:color="auto" w:fill="auto"/>
          </w:tcPr>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tc>
        <w:tc>
          <w:tcPr>
            <w:tcW w:w="4320" w:type="dxa"/>
            <w:shd w:val="clear" w:color="auto" w:fill="auto"/>
          </w:tcPr>
          <w:p w:rsidR="00CB0DA3" w:rsidRDefault="00CB0DA3" w:rsidP="00560C73">
            <w:pPr>
              <w:keepNext/>
              <w:keepLines/>
              <w:tabs>
                <w:tab w:val="left" w:pos="-1440"/>
                <w:tab w:val="left" w:pos="-720"/>
              </w:tabs>
              <w:rPr>
                <w:b/>
                <w:sz w:val="20"/>
                <w:szCs w:val="20"/>
              </w:rPr>
            </w:pPr>
          </w:p>
          <w:p w:rsidR="00560C73" w:rsidRPr="00A935AA" w:rsidRDefault="00CB0DA3" w:rsidP="00560C73">
            <w:pPr>
              <w:keepNext/>
              <w:keepLines/>
              <w:tabs>
                <w:tab w:val="left" w:pos="-1440"/>
                <w:tab w:val="left" w:pos="-720"/>
              </w:tabs>
              <w:rPr>
                <w:b/>
                <w:sz w:val="20"/>
                <w:szCs w:val="20"/>
              </w:rPr>
            </w:pPr>
            <w:r>
              <w:rPr>
                <w:b/>
                <w:sz w:val="20"/>
                <w:szCs w:val="20"/>
              </w:rPr>
              <w:t>Mohammed Tibilla</w:t>
            </w:r>
          </w:p>
          <w:p w:rsidR="00560C73" w:rsidRPr="00A935AA" w:rsidRDefault="00560C73" w:rsidP="00560C73">
            <w:pPr>
              <w:keepNext/>
              <w:keepLines/>
              <w:tabs>
                <w:tab w:val="left" w:pos="-1440"/>
                <w:tab w:val="left" w:pos="-720"/>
              </w:tabs>
              <w:rPr>
                <w:sz w:val="20"/>
                <w:szCs w:val="20"/>
              </w:rPr>
            </w:pPr>
            <w:r w:rsidRPr="00A935AA">
              <w:rPr>
                <w:sz w:val="20"/>
                <w:szCs w:val="20"/>
              </w:rPr>
              <w:tab/>
            </w:r>
            <w:r w:rsidR="00CB0DA3">
              <w:rPr>
                <w:sz w:val="20"/>
                <w:szCs w:val="20"/>
              </w:rPr>
              <w:t>Mohammed Tibilla</w:t>
            </w:r>
          </w:p>
          <w:p w:rsidR="00560C73" w:rsidRPr="00A935AA" w:rsidRDefault="00560C73" w:rsidP="00560C73">
            <w:pPr>
              <w:keepNext/>
              <w:keepLines/>
              <w:tabs>
                <w:tab w:val="left" w:pos="-1440"/>
                <w:tab w:val="left" w:pos="-720"/>
              </w:tabs>
              <w:rPr>
                <w:sz w:val="20"/>
                <w:szCs w:val="20"/>
              </w:rPr>
            </w:pPr>
          </w:p>
          <w:p w:rsidR="00560C73" w:rsidRPr="00CB0DA3" w:rsidRDefault="00560C73" w:rsidP="00560C73">
            <w:pPr>
              <w:keepNext/>
              <w:keepLines/>
              <w:tabs>
                <w:tab w:val="left" w:pos="-1440"/>
                <w:tab w:val="left" w:pos="-720"/>
              </w:tabs>
              <w:rPr>
                <w:sz w:val="20"/>
                <w:szCs w:val="20"/>
              </w:rPr>
            </w:pPr>
            <w:r w:rsidRPr="00A935AA">
              <w:rPr>
                <w:sz w:val="20"/>
                <w:szCs w:val="20"/>
              </w:rPr>
              <w:tab/>
            </w:r>
            <w:r w:rsidRPr="00CB0DA3">
              <w:rPr>
                <w:sz w:val="20"/>
                <w:szCs w:val="20"/>
              </w:rPr>
              <w:t>v. (346</w:t>
            </w:r>
            <w:r w:rsidR="00CB0DA3">
              <w:rPr>
                <w:sz w:val="20"/>
                <w:szCs w:val="20"/>
              </w:rPr>
              <w:t>86</w:t>
            </w:r>
            <w:r w:rsidRPr="00CB0DA3">
              <w:rPr>
                <w:sz w:val="20"/>
                <w:szCs w:val="20"/>
              </w:rPr>
              <w:t>)</w:t>
            </w:r>
          </w:p>
          <w:p w:rsidR="00560C73" w:rsidRPr="00CB0DA3" w:rsidRDefault="00560C73" w:rsidP="00560C73">
            <w:pPr>
              <w:keepNext/>
              <w:keepLines/>
              <w:tabs>
                <w:tab w:val="left" w:pos="-1440"/>
                <w:tab w:val="left" w:pos="-720"/>
              </w:tabs>
              <w:rPr>
                <w:sz w:val="20"/>
                <w:szCs w:val="20"/>
              </w:rPr>
            </w:pPr>
          </w:p>
          <w:p w:rsidR="00560C73" w:rsidRPr="00CB0DA3" w:rsidRDefault="00CB0DA3" w:rsidP="00560C73">
            <w:pPr>
              <w:keepNext/>
              <w:keepLines/>
              <w:tabs>
                <w:tab w:val="left" w:pos="-1440"/>
                <w:tab w:val="left" w:pos="-720"/>
              </w:tabs>
              <w:rPr>
                <w:b/>
                <w:sz w:val="20"/>
                <w:szCs w:val="20"/>
              </w:rPr>
            </w:pPr>
            <w:r>
              <w:rPr>
                <w:b/>
                <w:sz w:val="20"/>
                <w:szCs w:val="20"/>
              </w:rPr>
              <w:t xml:space="preserve">Attorney General of Canada </w:t>
            </w:r>
            <w:r w:rsidR="00560C73" w:rsidRPr="00CB0DA3">
              <w:rPr>
                <w:b/>
                <w:sz w:val="20"/>
                <w:szCs w:val="20"/>
              </w:rPr>
              <w:t>(</w:t>
            </w:r>
            <w:r>
              <w:rPr>
                <w:b/>
                <w:sz w:val="20"/>
                <w:szCs w:val="20"/>
              </w:rPr>
              <w:t>F.C</w:t>
            </w:r>
            <w:r w:rsidR="00560C73" w:rsidRPr="00CB0DA3">
              <w:rPr>
                <w:b/>
                <w:sz w:val="20"/>
                <w:szCs w:val="20"/>
              </w:rPr>
              <w:t>.)</w:t>
            </w:r>
          </w:p>
          <w:p w:rsidR="00560C73" w:rsidRPr="00CB0DA3" w:rsidRDefault="00560C73" w:rsidP="00560C73">
            <w:pPr>
              <w:keepNext/>
              <w:keepLines/>
              <w:tabs>
                <w:tab w:val="left" w:pos="-1440"/>
                <w:tab w:val="left" w:pos="-720"/>
              </w:tabs>
              <w:rPr>
                <w:sz w:val="20"/>
                <w:szCs w:val="20"/>
              </w:rPr>
            </w:pPr>
            <w:r w:rsidRPr="00CB0DA3">
              <w:rPr>
                <w:sz w:val="20"/>
                <w:szCs w:val="20"/>
              </w:rPr>
              <w:tab/>
            </w:r>
            <w:r w:rsidR="00CB0DA3">
              <w:rPr>
                <w:sz w:val="20"/>
                <w:szCs w:val="20"/>
              </w:rPr>
              <w:t>Anne-Marie Duquette</w:t>
            </w:r>
          </w:p>
          <w:p w:rsidR="00560C73" w:rsidRPr="00CB0DA3" w:rsidRDefault="00560C73" w:rsidP="00560C73">
            <w:pPr>
              <w:keepNext/>
              <w:keepLines/>
              <w:tabs>
                <w:tab w:val="left" w:pos="-1440"/>
                <w:tab w:val="left" w:pos="-720"/>
              </w:tabs>
              <w:rPr>
                <w:sz w:val="20"/>
                <w:szCs w:val="20"/>
              </w:rPr>
            </w:pPr>
            <w:r w:rsidRPr="00CB0DA3">
              <w:rPr>
                <w:sz w:val="20"/>
                <w:szCs w:val="20"/>
              </w:rPr>
              <w:tab/>
            </w:r>
            <w:r w:rsidR="00CB0DA3">
              <w:rPr>
                <w:sz w:val="20"/>
                <w:szCs w:val="20"/>
              </w:rPr>
              <w:t>A.G. of Canada</w:t>
            </w:r>
          </w:p>
          <w:p w:rsidR="00560C73" w:rsidRPr="00CB0DA3" w:rsidRDefault="00560C73" w:rsidP="00560C73">
            <w:pPr>
              <w:keepNext/>
              <w:keepLines/>
              <w:tabs>
                <w:tab w:val="left" w:pos="-1440"/>
                <w:tab w:val="left" w:pos="-720"/>
              </w:tabs>
              <w:rPr>
                <w:sz w:val="20"/>
                <w:szCs w:val="20"/>
              </w:rPr>
            </w:pPr>
          </w:p>
          <w:p w:rsidR="00560C73" w:rsidRPr="00A935AA" w:rsidRDefault="00560C73" w:rsidP="00CB0DA3">
            <w:pPr>
              <w:rPr>
                <w:sz w:val="20"/>
                <w:szCs w:val="20"/>
              </w:rPr>
            </w:pPr>
            <w:r w:rsidRPr="00A935AA">
              <w:rPr>
                <w:sz w:val="20"/>
                <w:szCs w:val="20"/>
              </w:rPr>
              <w:t xml:space="preserve">FILING DATE: </w:t>
            </w:r>
            <w:r w:rsidR="00CB0DA3">
              <w:rPr>
                <w:sz w:val="20"/>
                <w:szCs w:val="20"/>
              </w:rPr>
              <w:t>16</w:t>
            </w:r>
            <w:r w:rsidRPr="00A935AA">
              <w:rPr>
                <w:sz w:val="20"/>
                <w:szCs w:val="20"/>
              </w:rPr>
              <w:t>.0</w:t>
            </w:r>
            <w:r>
              <w:rPr>
                <w:sz w:val="20"/>
                <w:szCs w:val="20"/>
              </w:rPr>
              <w:t>2</w:t>
            </w:r>
            <w:r w:rsidRPr="00A935AA">
              <w:rPr>
                <w:sz w:val="20"/>
                <w:szCs w:val="20"/>
              </w:rPr>
              <w:t>.201</w:t>
            </w:r>
            <w:r>
              <w:rPr>
                <w:sz w:val="20"/>
                <w:szCs w:val="20"/>
              </w:rPr>
              <w:t>2</w:t>
            </w:r>
            <w:r w:rsidR="009019DC" w:rsidRPr="009019DC">
              <w:rPr>
                <w:sz w:val="20"/>
                <w:szCs w:val="20"/>
                <w:lang w:val="fr-CA"/>
              </w:rPr>
              <w:pict>
                <v:rect id="_x0000_i1028" style="width:108pt;height:1pt" o:hrpct="0" o:hralign="center" o:hrstd="t" o:hrnoshade="t" o:hr="t" fillcolor="black [3213]" stroked="f"/>
              </w:pict>
            </w:r>
          </w:p>
        </w:tc>
      </w:tr>
      <w:tr w:rsidR="0081476E" w:rsidRPr="00A935AA" w:rsidTr="003B3977">
        <w:tc>
          <w:tcPr>
            <w:tcW w:w="4320" w:type="dxa"/>
            <w:shd w:val="clear" w:color="auto" w:fill="auto"/>
          </w:tcPr>
          <w:p w:rsidR="0081476E" w:rsidRPr="0081476E" w:rsidRDefault="0081476E" w:rsidP="00560C73">
            <w:pPr>
              <w:rPr>
                <w:sz w:val="20"/>
                <w:szCs w:val="20"/>
              </w:rPr>
            </w:pPr>
          </w:p>
          <w:p w:rsidR="0081476E" w:rsidRDefault="0081476E" w:rsidP="00560C73">
            <w:pPr>
              <w:rPr>
                <w:sz w:val="20"/>
                <w:szCs w:val="20"/>
              </w:rPr>
            </w:pPr>
            <w:r>
              <w:rPr>
                <w:b/>
                <w:sz w:val="20"/>
                <w:szCs w:val="20"/>
              </w:rPr>
              <w:t>Regional Municipality of Halton et al.</w:t>
            </w:r>
          </w:p>
          <w:p w:rsidR="0081476E" w:rsidRPr="00A935AA" w:rsidRDefault="0081476E" w:rsidP="0081476E">
            <w:pPr>
              <w:keepNext/>
              <w:keepLines/>
              <w:tabs>
                <w:tab w:val="left" w:pos="-1440"/>
                <w:tab w:val="left" w:pos="-720"/>
              </w:tabs>
              <w:rPr>
                <w:sz w:val="20"/>
                <w:szCs w:val="20"/>
              </w:rPr>
            </w:pPr>
            <w:r>
              <w:rPr>
                <w:sz w:val="20"/>
                <w:szCs w:val="20"/>
              </w:rPr>
              <w:tab/>
              <w:t>C. Kirk Boggs</w:t>
            </w:r>
          </w:p>
          <w:p w:rsidR="0081476E" w:rsidRPr="00A935AA" w:rsidRDefault="0081476E" w:rsidP="0081476E">
            <w:pPr>
              <w:keepNext/>
              <w:keepLines/>
              <w:tabs>
                <w:tab w:val="left" w:pos="-1440"/>
                <w:tab w:val="left" w:pos="-720"/>
              </w:tabs>
              <w:rPr>
                <w:sz w:val="20"/>
                <w:szCs w:val="20"/>
              </w:rPr>
            </w:pPr>
            <w:r w:rsidRPr="00A935AA">
              <w:rPr>
                <w:sz w:val="20"/>
                <w:szCs w:val="20"/>
              </w:rPr>
              <w:tab/>
            </w:r>
            <w:r>
              <w:rPr>
                <w:sz w:val="20"/>
                <w:szCs w:val="20"/>
              </w:rPr>
              <w:t>Lerners LLP</w:t>
            </w:r>
          </w:p>
          <w:p w:rsidR="0081476E" w:rsidRPr="00A935AA" w:rsidRDefault="0081476E" w:rsidP="0081476E">
            <w:pPr>
              <w:keepNext/>
              <w:keepLines/>
              <w:tabs>
                <w:tab w:val="left" w:pos="-1440"/>
                <w:tab w:val="left" w:pos="-720"/>
              </w:tabs>
              <w:rPr>
                <w:sz w:val="20"/>
                <w:szCs w:val="20"/>
              </w:rPr>
            </w:pPr>
          </w:p>
          <w:p w:rsidR="0081476E" w:rsidRPr="008C4DFF" w:rsidRDefault="0081476E" w:rsidP="0081476E">
            <w:pPr>
              <w:keepNext/>
              <w:keepLines/>
              <w:tabs>
                <w:tab w:val="left" w:pos="-1440"/>
                <w:tab w:val="left" w:pos="-720"/>
              </w:tabs>
              <w:rPr>
                <w:sz w:val="20"/>
                <w:szCs w:val="20"/>
              </w:rPr>
            </w:pPr>
            <w:r w:rsidRPr="00A935AA">
              <w:rPr>
                <w:sz w:val="20"/>
                <w:szCs w:val="20"/>
              </w:rPr>
              <w:tab/>
            </w:r>
            <w:r w:rsidRPr="008C4DFF">
              <w:rPr>
                <w:sz w:val="20"/>
                <w:szCs w:val="20"/>
              </w:rPr>
              <w:t>v. (346</w:t>
            </w:r>
            <w:r>
              <w:rPr>
                <w:sz w:val="20"/>
                <w:szCs w:val="20"/>
              </w:rPr>
              <w:t>80</w:t>
            </w:r>
            <w:r w:rsidRPr="008C4DFF">
              <w:rPr>
                <w:sz w:val="20"/>
                <w:szCs w:val="20"/>
              </w:rPr>
              <w:t>)</w:t>
            </w:r>
          </w:p>
          <w:p w:rsidR="0081476E" w:rsidRDefault="0081476E" w:rsidP="00560C73">
            <w:pPr>
              <w:rPr>
                <w:sz w:val="20"/>
                <w:szCs w:val="20"/>
              </w:rPr>
            </w:pPr>
          </w:p>
          <w:p w:rsidR="0081476E" w:rsidRPr="0081476E" w:rsidRDefault="0081476E" w:rsidP="0081476E">
            <w:pPr>
              <w:keepNext/>
              <w:keepLines/>
              <w:tabs>
                <w:tab w:val="left" w:pos="-1440"/>
                <w:tab w:val="left" w:pos="-720"/>
              </w:tabs>
              <w:rPr>
                <w:b/>
                <w:sz w:val="20"/>
                <w:szCs w:val="20"/>
                <w:lang w:val="fr-CA"/>
              </w:rPr>
            </w:pPr>
            <w:r w:rsidRPr="0081476E">
              <w:rPr>
                <w:b/>
                <w:sz w:val="20"/>
                <w:szCs w:val="20"/>
                <w:lang w:val="fr-CA"/>
              </w:rPr>
              <w:t>Patrizia Giulani et al.</w:t>
            </w:r>
            <w:r>
              <w:rPr>
                <w:b/>
                <w:sz w:val="20"/>
                <w:szCs w:val="20"/>
                <w:lang w:val="fr-CA"/>
              </w:rPr>
              <w:t xml:space="preserve"> </w:t>
            </w:r>
            <w:r w:rsidRPr="0081476E">
              <w:rPr>
                <w:b/>
                <w:sz w:val="20"/>
                <w:szCs w:val="20"/>
                <w:lang w:val="fr-CA"/>
              </w:rPr>
              <w:t>(Ont.)</w:t>
            </w:r>
          </w:p>
          <w:p w:rsidR="0081476E" w:rsidRPr="0081476E" w:rsidRDefault="0081476E" w:rsidP="0081476E">
            <w:pPr>
              <w:keepNext/>
              <w:keepLines/>
              <w:tabs>
                <w:tab w:val="left" w:pos="-1440"/>
                <w:tab w:val="left" w:pos="-720"/>
              </w:tabs>
              <w:rPr>
                <w:sz w:val="20"/>
                <w:szCs w:val="20"/>
                <w:lang w:val="fr-CA"/>
              </w:rPr>
            </w:pPr>
            <w:r w:rsidRPr="0081476E">
              <w:rPr>
                <w:sz w:val="20"/>
                <w:szCs w:val="20"/>
                <w:lang w:val="fr-CA"/>
              </w:rPr>
              <w:tab/>
            </w:r>
            <w:r>
              <w:rPr>
                <w:sz w:val="20"/>
                <w:szCs w:val="20"/>
                <w:lang w:val="fr-CA"/>
              </w:rPr>
              <w:t>Allan Rouben</w:t>
            </w:r>
          </w:p>
          <w:p w:rsidR="0081476E" w:rsidRPr="0081476E" w:rsidRDefault="0081476E" w:rsidP="0081476E">
            <w:pPr>
              <w:keepNext/>
              <w:keepLines/>
              <w:tabs>
                <w:tab w:val="left" w:pos="-1440"/>
                <w:tab w:val="left" w:pos="-720"/>
              </w:tabs>
              <w:rPr>
                <w:sz w:val="20"/>
                <w:szCs w:val="20"/>
                <w:lang w:val="fr-CA"/>
              </w:rPr>
            </w:pPr>
          </w:p>
          <w:p w:rsidR="0081476E" w:rsidRDefault="0081476E" w:rsidP="0081476E">
            <w:pPr>
              <w:rPr>
                <w:sz w:val="20"/>
                <w:szCs w:val="20"/>
              </w:rPr>
            </w:pPr>
            <w:r w:rsidRPr="00A935AA">
              <w:rPr>
                <w:sz w:val="20"/>
                <w:szCs w:val="20"/>
              </w:rPr>
              <w:t>FILING DATE: 2</w:t>
            </w:r>
            <w:r>
              <w:rPr>
                <w:sz w:val="20"/>
                <w:szCs w:val="20"/>
              </w:rPr>
              <w:t>0</w:t>
            </w:r>
            <w:r w:rsidRPr="00A935AA">
              <w:rPr>
                <w:sz w:val="20"/>
                <w:szCs w:val="20"/>
              </w:rPr>
              <w:t>.0</w:t>
            </w:r>
            <w:r>
              <w:rPr>
                <w:sz w:val="20"/>
                <w:szCs w:val="20"/>
              </w:rPr>
              <w:t>2</w:t>
            </w:r>
            <w:r w:rsidRPr="00A935AA">
              <w:rPr>
                <w:sz w:val="20"/>
                <w:szCs w:val="20"/>
              </w:rPr>
              <w:t>.201</w:t>
            </w:r>
            <w:r>
              <w:rPr>
                <w:sz w:val="20"/>
                <w:szCs w:val="20"/>
              </w:rPr>
              <w:t>2</w:t>
            </w:r>
          </w:p>
          <w:p w:rsidR="0081476E" w:rsidRDefault="009019DC" w:rsidP="0081476E">
            <w:pPr>
              <w:rPr>
                <w:sz w:val="20"/>
                <w:szCs w:val="20"/>
                <w:lang w:val="fr-CA"/>
              </w:rPr>
            </w:pPr>
            <w:r w:rsidRPr="009019DC">
              <w:rPr>
                <w:sz w:val="20"/>
                <w:szCs w:val="20"/>
                <w:lang w:val="fr-CA"/>
              </w:rPr>
              <w:pict>
                <v:rect id="_x0000_i1029" style="width:108pt;height:1pt" o:hrpct="0" o:hralign="center" o:hrstd="t" o:hrnoshade="t" o:hr="t" fillcolor="black [3213]" stroked="f"/>
              </w:pict>
            </w:r>
          </w:p>
          <w:p w:rsidR="00F416DC" w:rsidRDefault="00F416DC" w:rsidP="0081476E">
            <w:pPr>
              <w:rPr>
                <w:sz w:val="20"/>
                <w:szCs w:val="20"/>
                <w:lang w:val="fr-CA"/>
              </w:rPr>
            </w:pPr>
          </w:p>
          <w:p w:rsidR="00F416DC" w:rsidRPr="00F416DC" w:rsidRDefault="00F416DC" w:rsidP="0081476E">
            <w:pPr>
              <w:rPr>
                <w:b/>
                <w:sz w:val="20"/>
                <w:szCs w:val="20"/>
                <w:lang w:val="fr-CA"/>
              </w:rPr>
            </w:pPr>
            <w:r w:rsidRPr="00F416DC">
              <w:rPr>
                <w:b/>
                <w:sz w:val="20"/>
                <w:szCs w:val="20"/>
                <w:lang w:val="fr-CA"/>
              </w:rPr>
              <w:t>Naim Sawaged</w:t>
            </w:r>
          </w:p>
          <w:p w:rsidR="0081476E" w:rsidRPr="0081476E" w:rsidRDefault="00F416DC" w:rsidP="0081476E">
            <w:pPr>
              <w:rPr>
                <w:sz w:val="20"/>
                <w:szCs w:val="20"/>
              </w:rPr>
            </w:pPr>
            <w:r>
              <w:rPr>
                <w:sz w:val="20"/>
                <w:szCs w:val="20"/>
              </w:rPr>
              <w:tab/>
              <w:t>Naim Sawaged</w:t>
            </w:r>
          </w:p>
        </w:tc>
        <w:tc>
          <w:tcPr>
            <w:tcW w:w="1181" w:type="dxa"/>
            <w:shd w:val="clear" w:color="auto" w:fill="auto"/>
          </w:tcPr>
          <w:p w:rsidR="0081476E" w:rsidRDefault="0081476E" w:rsidP="00242AEE">
            <w:pPr>
              <w:jc w:val="center"/>
              <w:rPr>
                <w:sz w:val="20"/>
                <w:szCs w:val="20"/>
              </w:rPr>
            </w:pPr>
          </w:p>
          <w:p w:rsidR="0081476E" w:rsidRDefault="0081476E" w:rsidP="00242AEE">
            <w:pPr>
              <w:jc w:val="center"/>
              <w:rPr>
                <w:sz w:val="20"/>
                <w:szCs w:val="20"/>
              </w:rPr>
            </w:pPr>
          </w:p>
          <w:p w:rsidR="0081476E" w:rsidRDefault="0081476E" w:rsidP="00242AEE">
            <w:pPr>
              <w:jc w:val="center"/>
              <w:rPr>
                <w:sz w:val="20"/>
                <w:szCs w:val="20"/>
              </w:rPr>
            </w:pPr>
          </w:p>
          <w:p w:rsidR="0081476E" w:rsidRDefault="0081476E" w:rsidP="00242AEE">
            <w:pPr>
              <w:jc w:val="center"/>
              <w:rPr>
                <w:sz w:val="20"/>
                <w:szCs w:val="20"/>
              </w:rPr>
            </w:pPr>
          </w:p>
          <w:p w:rsidR="0081476E" w:rsidRDefault="0081476E" w:rsidP="00242AEE">
            <w:pPr>
              <w:jc w:val="center"/>
              <w:rPr>
                <w:sz w:val="20"/>
                <w:szCs w:val="20"/>
              </w:rPr>
            </w:pPr>
          </w:p>
          <w:p w:rsidR="0081476E" w:rsidRDefault="0081476E" w:rsidP="00242AEE">
            <w:pPr>
              <w:jc w:val="center"/>
              <w:rPr>
                <w:sz w:val="20"/>
                <w:szCs w:val="20"/>
              </w:rPr>
            </w:pPr>
          </w:p>
          <w:p w:rsidR="0081476E" w:rsidRDefault="0081476E" w:rsidP="00242AEE">
            <w:pPr>
              <w:jc w:val="center"/>
              <w:rPr>
                <w:sz w:val="20"/>
                <w:szCs w:val="20"/>
              </w:rPr>
            </w:pPr>
          </w:p>
          <w:p w:rsidR="0081476E" w:rsidRDefault="0081476E" w:rsidP="00242AEE">
            <w:pPr>
              <w:jc w:val="center"/>
              <w:rPr>
                <w:sz w:val="20"/>
                <w:szCs w:val="20"/>
              </w:rPr>
            </w:pPr>
          </w:p>
          <w:p w:rsidR="0081476E" w:rsidRDefault="0081476E" w:rsidP="00242AEE">
            <w:pPr>
              <w:jc w:val="center"/>
              <w:rPr>
                <w:sz w:val="20"/>
                <w:szCs w:val="20"/>
              </w:rPr>
            </w:pPr>
          </w:p>
          <w:p w:rsidR="0081476E" w:rsidRDefault="0081476E" w:rsidP="00242AEE">
            <w:pPr>
              <w:jc w:val="center"/>
              <w:rPr>
                <w:sz w:val="20"/>
                <w:szCs w:val="20"/>
              </w:rPr>
            </w:pPr>
          </w:p>
          <w:p w:rsidR="0081476E" w:rsidRDefault="0081476E" w:rsidP="00242AEE">
            <w:pPr>
              <w:jc w:val="center"/>
              <w:rPr>
                <w:sz w:val="20"/>
                <w:szCs w:val="20"/>
              </w:rPr>
            </w:pPr>
          </w:p>
          <w:p w:rsidR="0081476E" w:rsidRDefault="0081476E" w:rsidP="00242AEE">
            <w:pPr>
              <w:jc w:val="center"/>
              <w:rPr>
                <w:sz w:val="20"/>
                <w:szCs w:val="20"/>
              </w:rPr>
            </w:pPr>
          </w:p>
          <w:p w:rsidR="0081476E" w:rsidRDefault="0081476E" w:rsidP="00242AEE">
            <w:pPr>
              <w:jc w:val="center"/>
              <w:rPr>
                <w:sz w:val="20"/>
                <w:szCs w:val="20"/>
              </w:rPr>
            </w:pPr>
          </w:p>
          <w:p w:rsidR="0081476E" w:rsidRDefault="0081476E" w:rsidP="00242AEE">
            <w:pPr>
              <w:jc w:val="center"/>
              <w:rPr>
                <w:sz w:val="20"/>
                <w:szCs w:val="20"/>
              </w:rPr>
            </w:pPr>
          </w:p>
          <w:p w:rsidR="0081476E" w:rsidRPr="00A935AA" w:rsidRDefault="0081476E" w:rsidP="00242AEE">
            <w:pPr>
              <w:jc w:val="center"/>
              <w:rPr>
                <w:sz w:val="20"/>
                <w:szCs w:val="20"/>
              </w:rPr>
            </w:pPr>
          </w:p>
        </w:tc>
        <w:tc>
          <w:tcPr>
            <w:tcW w:w="4320" w:type="dxa"/>
            <w:shd w:val="clear" w:color="auto" w:fill="auto"/>
          </w:tcPr>
          <w:p w:rsidR="0081476E" w:rsidRDefault="0081476E" w:rsidP="00560C73">
            <w:pPr>
              <w:keepNext/>
              <w:keepLines/>
              <w:tabs>
                <w:tab w:val="left" w:pos="-1440"/>
                <w:tab w:val="left" w:pos="-720"/>
              </w:tabs>
              <w:rPr>
                <w:sz w:val="20"/>
                <w:szCs w:val="20"/>
              </w:rPr>
            </w:pPr>
            <w:r>
              <w:rPr>
                <w:b/>
                <w:sz w:val="20"/>
                <w:szCs w:val="20"/>
              </w:rPr>
              <w:t>Sable Offshore Energy Inc., as agent for and on behalf of the Working Interest Owners of the Sable Offshore Energy Project et al.</w:t>
            </w:r>
          </w:p>
          <w:p w:rsidR="0081476E" w:rsidRPr="00CB0DA3" w:rsidRDefault="0081476E" w:rsidP="0081476E">
            <w:pPr>
              <w:tabs>
                <w:tab w:val="left" w:pos="-1440"/>
                <w:tab w:val="left" w:pos="-720"/>
              </w:tabs>
              <w:rPr>
                <w:sz w:val="20"/>
                <w:szCs w:val="20"/>
                <w:lang w:val="fr-CA"/>
              </w:rPr>
            </w:pPr>
            <w:r>
              <w:rPr>
                <w:sz w:val="20"/>
                <w:szCs w:val="20"/>
              </w:rPr>
              <w:tab/>
            </w:r>
            <w:r w:rsidRPr="00CB0DA3">
              <w:rPr>
                <w:sz w:val="20"/>
                <w:szCs w:val="20"/>
                <w:lang w:val="fr-CA"/>
              </w:rPr>
              <w:t>Robert G. Belliveau, Q.C.</w:t>
            </w:r>
          </w:p>
          <w:p w:rsidR="0081476E" w:rsidRPr="008C4DFF" w:rsidRDefault="0081476E" w:rsidP="0081476E">
            <w:pPr>
              <w:tabs>
                <w:tab w:val="left" w:pos="-1440"/>
                <w:tab w:val="left" w:pos="-720"/>
              </w:tabs>
              <w:rPr>
                <w:sz w:val="20"/>
                <w:szCs w:val="20"/>
              </w:rPr>
            </w:pPr>
            <w:r w:rsidRPr="00CB0DA3">
              <w:rPr>
                <w:sz w:val="20"/>
                <w:szCs w:val="20"/>
                <w:lang w:val="fr-CA"/>
              </w:rPr>
              <w:tab/>
            </w:r>
            <w:r w:rsidRPr="008C4DFF">
              <w:rPr>
                <w:sz w:val="20"/>
                <w:szCs w:val="20"/>
              </w:rPr>
              <w:t>McInnes Cooper</w:t>
            </w:r>
          </w:p>
          <w:p w:rsidR="0081476E" w:rsidRPr="008C4DFF" w:rsidRDefault="0081476E" w:rsidP="0081476E">
            <w:pPr>
              <w:tabs>
                <w:tab w:val="left" w:pos="-1440"/>
                <w:tab w:val="left" w:pos="-720"/>
              </w:tabs>
              <w:rPr>
                <w:sz w:val="20"/>
                <w:szCs w:val="20"/>
              </w:rPr>
            </w:pPr>
          </w:p>
          <w:p w:rsidR="0081476E" w:rsidRPr="00A935AA" w:rsidRDefault="0081476E" w:rsidP="0081476E">
            <w:pPr>
              <w:tabs>
                <w:tab w:val="left" w:pos="-1440"/>
                <w:tab w:val="left" w:pos="-720"/>
              </w:tabs>
              <w:rPr>
                <w:sz w:val="20"/>
                <w:szCs w:val="20"/>
              </w:rPr>
            </w:pPr>
            <w:r w:rsidRPr="008C4DFF">
              <w:rPr>
                <w:sz w:val="20"/>
                <w:szCs w:val="20"/>
              </w:rPr>
              <w:tab/>
            </w:r>
            <w:r w:rsidRPr="00A935AA">
              <w:rPr>
                <w:sz w:val="20"/>
                <w:szCs w:val="20"/>
              </w:rPr>
              <w:t>v. (3</w:t>
            </w:r>
            <w:r>
              <w:rPr>
                <w:sz w:val="20"/>
                <w:szCs w:val="20"/>
              </w:rPr>
              <w:t>4678</w:t>
            </w:r>
            <w:r w:rsidRPr="00A935AA">
              <w:rPr>
                <w:sz w:val="20"/>
                <w:szCs w:val="20"/>
              </w:rPr>
              <w:t>)</w:t>
            </w:r>
          </w:p>
          <w:p w:rsidR="0081476E" w:rsidRDefault="0081476E" w:rsidP="00560C73">
            <w:pPr>
              <w:keepNext/>
              <w:keepLines/>
              <w:tabs>
                <w:tab w:val="left" w:pos="-1440"/>
                <w:tab w:val="left" w:pos="-720"/>
              </w:tabs>
              <w:rPr>
                <w:sz w:val="20"/>
                <w:szCs w:val="20"/>
              </w:rPr>
            </w:pPr>
          </w:p>
          <w:p w:rsidR="0081476E" w:rsidRPr="00A935AA" w:rsidRDefault="0081476E" w:rsidP="0081476E">
            <w:pPr>
              <w:tabs>
                <w:tab w:val="left" w:pos="-1440"/>
                <w:tab w:val="left" w:pos="-720"/>
              </w:tabs>
              <w:rPr>
                <w:b/>
                <w:sz w:val="20"/>
                <w:szCs w:val="20"/>
              </w:rPr>
            </w:pPr>
            <w:r w:rsidRPr="00F416DC">
              <w:rPr>
                <w:b/>
                <w:sz w:val="20"/>
                <w:szCs w:val="20"/>
              </w:rPr>
              <w:t xml:space="preserve">Ameron International Corporation et al. </w:t>
            </w:r>
            <w:r w:rsidRPr="00A935AA">
              <w:rPr>
                <w:b/>
                <w:sz w:val="20"/>
                <w:szCs w:val="20"/>
              </w:rPr>
              <w:t>(</w:t>
            </w:r>
            <w:r>
              <w:rPr>
                <w:b/>
                <w:sz w:val="20"/>
                <w:szCs w:val="20"/>
              </w:rPr>
              <w:t>N</w:t>
            </w:r>
            <w:r w:rsidRPr="00A935AA">
              <w:rPr>
                <w:b/>
                <w:sz w:val="20"/>
                <w:szCs w:val="20"/>
              </w:rPr>
              <w:t>.</w:t>
            </w:r>
            <w:r>
              <w:rPr>
                <w:b/>
                <w:sz w:val="20"/>
                <w:szCs w:val="20"/>
              </w:rPr>
              <w:t>S</w:t>
            </w:r>
            <w:r w:rsidRPr="00A935AA">
              <w:rPr>
                <w:b/>
                <w:sz w:val="20"/>
                <w:szCs w:val="20"/>
              </w:rPr>
              <w:t>.)</w:t>
            </w:r>
          </w:p>
          <w:p w:rsidR="0081476E" w:rsidRPr="00A935AA" w:rsidRDefault="0081476E" w:rsidP="0081476E">
            <w:pPr>
              <w:tabs>
                <w:tab w:val="left" w:pos="-1440"/>
                <w:tab w:val="left" w:pos="-720"/>
              </w:tabs>
              <w:rPr>
                <w:sz w:val="20"/>
                <w:szCs w:val="20"/>
              </w:rPr>
            </w:pPr>
            <w:r w:rsidRPr="00A935AA">
              <w:rPr>
                <w:sz w:val="20"/>
                <w:szCs w:val="20"/>
              </w:rPr>
              <w:tab/>
            </w:r>
            <w:r>
              <w:rPr>
                <w:sz w:val="20"/>
                <w:szCs w:val="20"/>
              </w:rPr>
              <w:t>John P. Merrick, Q.C.</w:t>
            </w:r>
          </w:p>
          <w:p w:rsidR="0081476E" w:rsidRPr="00A935AA" w:rsidRDefault="0081476E" w:rsidP="0081476E">
            <w:pPr>
              <w:tabs>
                <w:tab w:val="left" w:pos="-1440"/>
                <w:tab w:val="left" w:pos="-720"/>
              </w:tabs>
              <w:rPr>
                <w:sz w:val="20"/>
                <w:szCs w:val="20"/>
              </w:rPr>
            </w:pPr>
            <w:r>
              <w:rPr>
                <w:sz w:val="20"/>
                <w:szCs w:val="20"/>
              </w:rPr>
              <w:tab/>
              <w:t xml:space="preserve">Merrick Jamieson Sterns Washington &amp; </w:t>
            </w:r>
            <w:r>
              <w:rPr>
                <w:sz w:val="20"/>
                <w:szCs w:val="20"/>
              </w:rPr>
              <w:tab/>
              <w:t>Mahody</w:t>
            </w:r>
          </w:p>
          <w:p w:rsidR="0081476E" w:rsidRPr="00A935AA" w:rsidRDefault="0081476E" w:rsidP="0081476E">
            <w:pPr>
              <w:tabs>
                <w:tab w:val="left" w:pos="-1440"/>
                <w:tab w:val="left" w:pos="-720"/>
              </w:tabs>
              <w:rPr>
                <w:sz w:val="20"/>
                <w:szCs w:val="20"/>
              </w:rPr>
            </w:pPr>
          </w:p>
          <w:p w:rsidR="0081476E" w:rsidRPr="00A935AA" w:rsidRDefault="0081476E" w:rsidP="0081476E">
            <w:pPr>
              <w:rPr>
                <w:sz w:val="20"/>
                <w:szCs w:val="20"/>
              </w:rPr>
            </w:pPr>
            <w:r w:rsidRPr="00A935AA">
              <w:rPr>
                <w:sz w:val="20"/>
                <w:szCs w:val="20"/>
              </w:rPr>
              <w:t>FILING DATE: 2</w:t>
            </w:r>
            <w:r>
              <w:rPr>
                <w:sz w:val="20"/>
                <w:szCs w:val="20"/>
              </w:rPr>
              <w:t>0</w:t>
            </w:r>
            <w:r w:rsidRPr="00A935AA">
              <w:rPr>
                <w:sz w:val="20"/>
                <w:szCs w:val="20"/>
              </w:rPr>
              <w:t>.0</w:t>
            </w:r>
            <w:r>
              <w:rPr>
                <w:sz w:val="20"/>
                <w:szCs w:val="20"/>
              </w:rPr>
              <w:t>2</w:t>
            </w:r>
            <w:r w:rsidRPr="00A935AA">
              <w:rPr>
                <w:sz w:val="20"/>
                <w:szCs w:val="20"/>
              </w:rPr>
              <w:t>.201</w:t>
            </w:r>
            <w:r>
              <w:rPr>
                <w:sz w:val="20"/>
                <w:szCs w:val="20"/>
              </w:rPr>
              <w:t>2</w:t>
            </w:r>
          </w:p>
          <w:p w:rsidR="0081476E" w:rsidRPr="0081476E" w:rsidRDefault="009019DC" w:rsidP="0081476E">
            <w:pPr>
              <w:keepNext/>
              <w:keepLines/>
              <w:tabs>
                <w:tab w:val="left" w:pos="-1440"/>
                <w:tab w:val="left" w:pos="-720"/>
              </w:tabs>
              <w:rPr>
                <w:sz w:val="20"/>
                <w:szCs w:val="20"/>
              </w:rPr>
            </w:pPr>
            <w:r w:rsidRPr="009019DC">
              <w:rPr>
                <w:sz w:val="20"/>
                <w:szCs w:val="20"/>
                <w:lang w:val="fr-CA"/>
              </w:rPr>
              <w:pict>
                <v:rect id="_x0000_i1030" style="width:108pt;height:1pt" o:hrpct="0" o:hralign="center" o:hrstd="t" o:hrnoshade="t" o:hr="t" fillcolor="black [3213]" stroked="f"/>
              </w:pict>
            </w:r>
          </w:p>
        </w:tc>
      </w:tr>
      <w:tr w:rsidR="00560C73" w:rsidRPr="00A935AA" w:rsidTr="003B3977">
        <w:trPr>
          <w:cantSplit/>
        </w:trPr>
        <w:tc>
          <w:tcPr>
            <w:tcW w:w="4320" w:type="dxa"/>
            <w:shd w:val="clear" w:color="auto" w:fill="auto"/>
          </w:tcPr>
          <w:p w:rsidR="00560C73" w:rsidRPr="00A935AA" w:rsidRDefault="00560C73" w:rsidP="00560C73">
            <w:pPr>
              <w:tabs>
                <w:tab w:val="left" w:pos="-1440"/>
                <w:tab w:val="left" w:pos="-720"/>
              </w:tabs>
              <w:rPr>
                <w:sz w:val="20"/>
                <w:szCs w:val="20"/>
              </w:rPr>
            </w:pPr>
            <w:r w:rsidRPr="00A935AA">
              <w:rPr>
                <w:sz w:val="20"/>
                <w:szCs w:val="20"/>
              </w:rPr>
              <w:tab/>
            </w:r>
          </w:p>
          <w:p w:rsidR="00560C73" w:rsidRPr="00A935AA" w:rsidRDefault="00560C73" w:rsidP="00560C73">
            <w:pPr>
              <w:tabs>
                <w:tab w:val="left" w:pos="-1440"/>
                <w:tab w:val="left" w:pos="-720"/>
              </w:tabs>
              <w:rPr>
                <w:sz w:val="20"/>
                <w:szCs w:val="20"/>
              </w:rPr>
            </w:pPr>
            <w:r w:rsidRPr="00A935AA">
              <w:rPr>
                <w:sz w:val="20"/>
                <w:szCs w:val="20"/>
              </w:rPr>
              <w:tab/>
              <w:t>v. (3</w:t>
            </w:r>
            <w:r>
              <w:rPr>
                <w:sz w:val="20"/>
                <w:szCs w:val="20"/>
              </w:rPr>
              <w:t>46</w:t>
            </w:r>
            <w:r w:rsidR="00F416DC">
              <w:rPr>
                <w:sz w:val="20"/>
                <w:szCs w:val="20"/>
              </w:rPr>
              <w:t>84</w:t>
            </w:r>
            <w:r w:rsidRPr="00A935AA">
              <w:rPr>
                <w:sz w:val="20"/>
                <w:szCs w:val="20"/>
              </w:rPr>
              <w:t>)</w:t>
            </w:r>
          </w:p>
          <w:p w:rsidR="00560C73" w:rsidRPr="00A935AA" w:rsidRDefault="00560C73" w:rsidP="00560C73">
            <w:pPr>
              <w:tabs>
                <w:tab w:val="left" w:pos="-1440"/>
                <w:tab w:val="left" w:pos="-720"/>
              </w:tabs>
              <w:rPr>
                <w:sz w:val="20"/>
                <w:szCs w:val="20"/>
              </w:rPr>
            </w:pPr>
          </w:p>
          <w:p w:rsidR="00F416DC" w:rsidRDefault="00F416DC" w:rsidP="00560C73">
            <w:pPr>
              <w:tabs>
                <w:tab w:val="left" w:pos="-1440"/>
                <w:tab w:val="left" w:pos="-720"/>
              </w:tabs>
              <w:rPr>
                <w:b/>
                <w:sz w:val="20"/>
                <w:szCs w:val="20"/>
              </w:rPr>
            </w:pPr>
            <w:r>
              <w:rPr>
                <w:b/>
                <w:sz w:val="20"/>
                <w:szCs w:val="20"/>
              </w:rPr>
              <w:t xml:space="preserve">IPC (Investment Planning Counsel) et al. </w:t>
            </w:r>
          </w:p>
          <w:p w:rsidR="00560C73" w:rsidRPr="00A935AA" w:rsidRDefault="00560C73" w:rsidP="00560C73">
            <w:pPr>
              <w:tabs>
                <w:tab w:val="left" w:pos="-1440"/>
                <w:tab w:val="left" w:pos="-720"/>
              </w:tabs>
              <w:rPr>
                <w:b/>
                <w:sz w:val="20"/>
                <w:szCs w:val="20"/>
              </w:rPr>
            </w:pPr>
            <w:r w:rsidRPr="00A935AA">
              <w:rPr>
                <w:b/>
                <w:sz w:val="20"/>
                <w:szCs w:val="20"/>
              </w:rPr>
              <w:t>(</w:t>
            </w:r>
            <w:r w:rsidR="00F416DC">
              <w:rPr>
                <w:b/>
                <w:sz w:val="20"/>
                <w:szCs w:val="20"/>
              </w:rPr>
              <w:t>Ont</w:t>
            </w:r>
            <w:r w:rsidRPr="00A935AA">
              <w:rPr>
                <w:b/>
                <w:sz w:val="20"/>
                <w:szCs w:val="20"/>
              </w:rPr>
              <w:t>.)</w:t>
            </w:r>
          </w:p>
          <w:p w:rsidR="00560C73" w:rsidRPr="00A935AA" w:rsidRDefault="00560C73" w:rsidP="00560C73">
            <w:pPr>
              <w:tabs>
                <w:tab w:val="left" w:pos="-1440"/>
                <w:tab w:val="left" w:pos="-720"/>
              </w:tabs>
              <w:rPr>
                <w:sz w:val="20"/>
                <w:szCs w:val="20"/>
              </w:rPr>
            </w:pPr>
            <w:r w:rsidRPr="00A935AA">
              <w:rPr>
                <w:sz w:val="20"/>
                <w:szCs w:val="20"/>
              </w:rPr>
              <w:tab/>
            </w:r>
            <w:r w:rsidR="00C71792">
              <w:rPr>
                <w:sz w:val="20"/>
                <w:szCs w:val="20"/>
              </w:rPr>
              <w:t>Meredith L. Hayward</w:t>
            </w:r>
          </w:p>
          <w:p w:rsidR="00560C73" w:rsidRPr="00A935AA" w:rsidRDefault="00560C73" w:rsidP="00560C73">
            <w:pPr>
              <w:tabs>
                <w:tab w:val="left" w:pos="-1440"/>
                <w:tab w:val="left" w:pos="-720"/>
              </w:tabs>
              <w:rPr>
                <w:sz w:val="20"/>
                <w:szCs w:val="20"/>
              </w:rPr>
            </w:pPr>
            <w:r>
              <w:rPr>
                <w:sz w:val="20"/>
                <w:szCs w:val="20"/>
              </w:rPr>
              <w:tab/>
            </w:r>
            <w:r w:rsidR="00C71792">
              <w:rPr>
                <w:sz w:val="20"/>
                <w:szCs w:val="20"/>
              </w:rPr>
              <w:t>Affleck Greene McMurtry LLP</w:t>
            </w:r>
          </w:p>
          <w:p w:rsidR="00560C73" w:rsidRPr="00A935AA" w:rsidRDefault="00560C73" w:rsidP="00560C73">
            <w:pPr>
              <w:tabs>
                <w:tab w:val="left" w:pos="-1440"/>
                <w:tab w:val="left" w:pos="-720"/>
              </w:tabs>
              <w:rPr>
                <w:sz w:val="20"/>
                <w:szCs w:val="20"/>
              </w:rPr>
            </w:pPr>
          </w:p>
          <w:p w:rsidR="00560C73" w:rsidRPr="00A935AA" w:rsidRDefault="00560C73" w:rsidP="00560C73">
            <w:pPr>
              <w:rPr>
                <w:sz w:val="20"/>
                <w:szCs w:val="20"/>
              </w:rPr>
            </w:pPr>
            <w:r w:rsidRPr="00A935AA">
              <w:rPr>
                <w:sz w:val="20"/>
                <w:szCs w:val="20"/>
              </w:rPr>
              <w:t>FILING DATE: 2</w:t>
            </w:r>
            <w:r w:rsidR="00C71792">
              <w:rPr>
                <w:sz w:val="20"/>
                <w:szCs w:val="20"/>
              </w:rPr>
              <w:t>0</w:t>
            </w:r>
            <w:r w:rsidRPr="00A935AA">
              <w:rPr>
                <w:sz w:val="20"/>
                <w:szCs w:val="20"/>
              </w:rPr>
              <w:t>.0</w:t>
            </w:r>
            <w:r>
              <w:rPr>
                <w:sz w:val="20"/>
                <w:szCs w:val="20"/>
              </w:rPr>
              <w:t>2</w:t>
            </w:r>
            <w:r w:rsidRPr="00A935AA">
              <w:rPr>
                <w:sz w:val="20"/>
                <w:szCs w:val="20"/>
              </w:rPr>
              <w:t>.201</w:t>
            </w:r>
            <w:r>
              <w:rPr>
                <w:sz w:val="20"/>
                <w:szCs w:val="20"/>
              </w:rPr>
              <w:t>2</w:t>
            </w:r>
          </w:p>
          <w:p w:rsidR="00560C73" w:rsidRPr="00A935AA" w:rsidRDefault="009019DC" w:rsidP="00560C73">
            <w:pPr>
              <w:rPr>
                <w:sz w:val="20"/>
                <w:szCs w:val="20"/>
              </w:rPr>
            </w:pPr>
            <w:r w:rsidRPr="009019DC">
              <w:rPr>
                <w:sz w:val="20"/>
                <w:szCs w:val="20"/>
                <w:lang w:val="fr-CA"/>
              </w:rPr>
              <w:pict>
                <v:rect id="_x0000_i1031" style="width:108pt;height:1pt" o:hrpct="0" o:hralign="center" o:hrstd="t" o:hrnoshade="t" o:hr="t" fillcolor="black [3213]" stroked="f"/>
              </w:pict>
            </w:r>
          </w:p>
        </w:tc>
        <w:tc>
          <w:tcPr>
            <w:tcW w:w="1181" w:type="dxa"/>
            <w:shd w:val="clear" w:color="auto" w:fill="auto"/>
          </w:tcPr>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p w:rsidR="00560C73" w:rsidRPr="00A935AA" w:rsidRDefault="00560C73" w:rsidP="00242AEE">
            <w:pPr>
              <w:jc w:val="center"/>
              <w:rPr>
                <w:sz w:val="20"/>
                <w:szCs w:val="20"/>
              </w:rPr>
            </w:pPr>
          </w:p>
        </w:tc>
        <w:tc>
          <w:tcPr>
            <w:tcW w:w="4320" w:type="dxa"/>
            <w:shd w:val="clear" w:color="auto" w:fill="auto"/>
          </w:tcPr>
          <w:p w:rsidR="00560C73" w:rsidRDefault="00560C73" w:rsidP="00560C73">
            <w:pPr>
              <w:keepNext/>
              <w:keepLines/>
              <w:tabs>
                <w:tab w:val="left" w:pos="-1440"/>
                <w:tab w:val="left" w:pos="-720"/>
              </w:tabs>
              <w:rPr>
                <w:b/>
                <w:sz w:val="20"/>
                <w:szCs w:val="20"/>
              </w:rPr>
            </w:pPr>
          </w:p>
          <w:p w:rsidR="00C71792" w:rsidRPr="00A935AA" w:rsidRDefault="00C71792" w:rsidP="00560C73">
            <w:pPr>
              <w:keepNext/>
              <w:keepLines/>
              <w:tabs>
                <w:tab w:val="left" w:pos="-1440"/>
                <w:tab w:val="left" w:pos="-720"/>
              </w:tabs>
              <w:rPr>
                <w:b/>
                <w:sz w:val="20"/>
                <w:szCs w:val="20"/>
              </w:rPr>
            </w:pPr>
            <w:r>
              <w:rPr>
                <w:b/>
                <w:sz w:val="20"/>
                <w:szCs w:val="20"/>
              </w:rPr>
              <w:t>Edward Lac</w:t>
            </w:r>
          </w:p>
          <w:p w:rsidR="00560C73" w:rsidRPr="00A935AA" w:rsidRDefault="00560C73" w:rsidP="00560C73">
            <w:pPr>
              <w:keepNext/>
              <w:keepLines/>
              <w:tabs>
                <w:tab w:val="left" w:pos="-1440"/>
                <w:tab w:val="left" w:pos="-720"/>
              </w:tabs>
              <w:rPr>
                <w:sz w:val="20"/>
                <w:szCs w:val="20"/>
              </w:rPr>
            </w:pPr>
            <w:r w:rsidRPr="00A935AA">
              <w:rPr>
                <w:sz w:val="20"/>
                <w:szCs w:val="20"/>
              </w:rPr>
              <w:tab/>
            </w:r>
            <w:r w:rsidR="00C71792">
              <w:rPr>
                <w:sz w:val="20"/>
                <w:szCs w:val="20"/>
              </w:rPr>
              <w:t>Edward Lac</w:t>
            </w:r>
          </w:p>
          <w:p w:rsidR="00560C73" w:rsidRPr="00A935AA" w:rsidRDefault="00560C73" w:rsidP="00560C73">
            <w:pPr>
              <w:keepNext/>
              <w:keepLines/>
              <w:tabs>
                <w:tab w:val="left" w:pos="-1440"/>
                <w:tab w:val="left" w:pos="-720"/>
              </w:tabs>
              <w:rPr>
                <w:sz w:val="20"/>
                <w:szCs w:val="20"/>
              </w:rPr>
            </w:pPr>
          </w:p>
          <w:p w:rsidR="00560C73" w:rsidRPr="00F416DC" w:rsidRDefault="00560C73" w:rsidP="00560C73">
            <w:pPr>
              <w:keepNext/>
              <w:keepLines/>
              <w:tabs>
                <w:tab w:val="left" w:pos="-1440"/>
                <w:tab w:val="left" w:pos="-720"/>
              </w:tabs>
              <w:rPr>
                <w:sz w:val="20"/>
                <w:szCs w:val="20"/>
              </w:rPr>
            </w:pPr>
            <w:r w:rsidRPr="00A935AA">
              <w:rPr>
                <w:sz w:val="20"/>
                <w:szCs w:val="20"/>
              </w:rPr>
              <w:tab/>
            </w:r>
            <w:r w:rsidRPr="00F416DC">
              <w:rPr>
                <w:sz w:val="20"/>
                <w:szCs w:val="20"/>
              </w:rPr>
              <w:t>v. (346</w:t>
            </w:r>
            <w:r w:rsidR="00C71792">
              <w:rPr>
                <w:sz w:val="20"/>
                <w:szCs w:val="20"/>
              </w:rPr>
              <w:t>85</w:t>
            </w:r>
            <w:r w:rsidRPr="00F416DC">
              <w:rPr>
                <w:sz w:val="20"/>
                <w:szCs w:val="20"/>
              </w:rPr>
              <w:t>)</w:t>
            </w:r>
          </w:p>
          <w:p w:rsidR="00560C73" w:rsidRPr="00F416DC" w:rsidRDefault="00560C73" w:rsidP="00560C73">
            <w:pPr>
              <w:keepNext/>
              <w:keepLines/>
              <w:tabs>
                <w:tab w:val="left" w:pos="-1440"/>
                <w:tab w:val="left" w:pos="-720"/>
              </w:tabs>
              <w:rPr>
                <w:sz w:val="20"/>
                <w:szCs w:val="20"/>
              </w:rPr>
            </w:pPr>
          </w:p>
          <w:p w:rsidR="00560C73" w:rsidRPr="00F416DC" w:rsidRDefault="00C71792" w:rsidP="00560C73">
            <w:pPr>
              <w:keepNext/>
              <w:keepLines/>
              <w:tabs>
                <w:tab w:val="left" w:pos="-1440"/>
                <w:tab w:val="left" w:pos="-720"/>
              </w:tabs>
              <w:rPr>
                <w:b/>
                <w:sz w:val="20"/>
                <w:szCs w:val="20"/>
              </w:rPr>
            </w:pPr>
            <w:r>
              <w:rPr>
                <w:b/>
                <w:sz w:val="20"/>
                <w:szCs w:val="20"/>
              </w:rPr>
              <w:t xml:space="preserve">Her Majesty the Queen </w:t>
            </w:r>
            <w:r w:rsidR="00560C73" w:rsidRPr="00F416DC">
              <w:rPr>
                <w:b/>
                <w:sz w:val="20"/>
                <w:szCs w:val="20"/>
              </w:rPr>
              <w:t>(</w:t>
            </w:r>
            <w:r>
              <w:rPr>
                <w:b/>
                <w:sz w:val="20"/>
                <w:szCs w:val="20"/>
              </w:rPr>
              <w:t>B</w:t>
            </w:r>
            <w:r w:rsidR="00560C73" w:rsidRPr="00F416DC">
              <w:rPr>
                <w:b/>
                <w:sz w:val="20"/>
                <w:szCs w:val="20"/>
              </w:rPr>
              <w:t>.</w:t>
            </w:r>
            <w:r>
              <w:rPr>
                <w:b/>
                <w:sz w:val="20"/>
                <w:szCs w:val="20"/>
              </w:rPr>
              <w:t>C.</w:t>
            </w:r>
            <w:r w:rsidR="00560C73" w:rsidRPr="00F416DC">
              <w:rPr>
                <w:b/>
                <w:sz w:val="20"/>
                <w:szCs w:val="20"/>
              </w:rPr>
              <w:t>)</w:t>
            </w:r>
          </w:p>
          <w:p w:rsidR="00560C73" w:rsidRPr="00F416DC" w:rsidRDefault="00560C73" w:rsidP="00560C73">
            <w:pPr>
              <w:keepNext/>
              <w:keepLines/>
              <w:tabs>
                <w:tab w:val="left" w:pos="-1440"/>
                <w:tab w:val="left" w:pos="-720"/>
              </w:tabs>
              <w:rPr>
                <w:sz w:val="20"/>
                <w:szCs w:val="20"/>
              </w:rPr>
            </w:pPr>
            <w:r w:rsidRPr="00F416DC">
              <w:rPr>
                <w:sz w:val="20"/>
                <w:szCs w:val="20"/>
              </w:rPr>
              <w:tab/>
            </w:r>
            <w:r w:rsidR="00C71792">
              <w:rPr>
                <w:sz w:val="20"/>
                <w:szCs w:val="20"/>
              </w:rPr>
              <w:t>W.J. Scott Bell</w:t>
            </w:r>
          </w:p>
          <w:p w:rsidR="00560C73" w:rsidRPr="00F416DC" w:rsidRDefault="00560C73" w:rsidP="00560C73">
            <w:pPr>
              <w:keepNext/>
              <w:keepLines/>
              <w:tabs>
                <w:tab w:val="left" w:pos="-1440"/>
                <w:tab w:val="left" w:pos="-720"/>
              </w:tabs>
              <w:rPr>
                <w:sz w:val="20"/>
                <w:szCs w:val="20"/>
              </w:rPr>
            </w:pPr>
            <w:r w:rsidRPr="00F416DC">
              <w:rPr>
                <w:sz w:val="20"/>
                <w:szCs w:val="20"/>
              </w:rPr>
              <w:tab/>
            </w:r>
            <w:r w:rsidR="00C71792">
              <w:rPr>
                <w:sz w:val="20"/>
                <w:szCs w:val="20"/>
              </w:rPr>
              <w:t>A.G. of British Columbia</w:t>
            </w:r>
          </w:p>
          <w:p w:rsidR="00560C73" w:rsidRPr="00F416DC" w:rsidRDefault="00560C73" w:rsidP="00560C73">
            <w:pPr>
              <w:keepNext/>
              <w:keepLines/>
              <w:tabs>
                <w:tab w:val="left" w:pos="-1440"/>
                <w:tab w:val="left" w:pos="-720"/>
              </w:tabs>
              <w:rPr>
                <w:sz w:val="20"/>
                <w:szCs w:val="20"/>
              </w:rPr>
            </w:pPr>
          </w:p>
          <w:p w:rsidR="00560C73" w:rsidRPr="00A935AA" w:rsidRDefault="00560C73" w:rsidP="00C71792">
            <w:pPr>
              <w:rPr>
                <w:sz w:val="20"/>
                <w:szCs w:val="20"/>
              </w:rPr>
            </w:pPr>
            <w:r w:rsidRPr="00A935AA">
              <w:rPr>
                <w:sz w:val="20"/>
                <w:szCs w:val="20"/>
              </w:rPr>
              <w:t>FILING DATE: 2</w:t>
            </w:r>
            <w:r w:rsidR="00C71792">
              <w:rPr>
                <w:sz w:val="20"/>
                <w:szCs w:val="20"/>
              </w:rPr>
              <w:t>3</w:t>
            </w:r>
            <w:r w:rsidRPr="00A935AA">
              <w:rPr>
                <w:sz w:val="20"/>
                <w:szCs w:val="20"/>
              </w:rPr>
              <w:t>.0</w:t>
            </w:r>
            <w:r>
              <w:rPr>
                <w:sz w:val="20"/>
                <w:szCs w:val="20"/>
              </w:rPr>
              <w:t>2</w:t>
            </w:r>
            <w:r w:rsidRPr="00A935AA">
              <w:rPr>
                <w:sz w:val="20"/>
                <w:szCs w:val="20"/>
              </w:rPr>
              <w:t>.201</w:t>
            </w:r>
            <w:r>
              <w:rPr>
                <w:sz w:val="20"/>
                <w:szCs w:val="20"/>
              </w:rPr>
              <w:t>2</w:t>
            </w:r>
            <w:r w:rsidR="009019DC" w:rsidRPr="009019DC">
              <w:rPr>
                <w:sz w:val="20"/>
                <w:szCs w:val="20"/>
                <w:lang w:val="fr-CA"/>
              </w:rPr>
              <w:pict>
                <v:rect id="_x0000_i1032" style="width:108pt;height:1pt" o:hrpct="0" o:hralign="center" o:hrstd="t" o:hrnoshade="t" o:hr="t" fillcolor="black [3213]" stroked="f"/>
              </w:pict>
            </w: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560C73">
          <w:headerReference w:type="default" r:id="rId16"/>
          <w:footerReference w:type="default" r:id="rId17"/>
          <w:headerReference w:type="first" r:id="rId18"/>
          <w:footerReference w:type="first" r:id="rId19"/>
          <w:pgSz w:w="12240" w:h="15840"/>
          <w:pgMar w:top="720" w:right="965" w:bottom="1080" w:left="1656" w:header="706" w:footer="706" w:gutter="0"/>
          <w:pgNumType w:start="35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F8135D"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4B7F60" w:rsidP="004B7F60">
      <w:pPr>
        <w:widowControl w:val="0"/>
        <w:rPr>
          <w:b/>
          <w:sz w:val="20"/>
          <w:szCs w:val="20"/>
        </w:rPr>
      </w:pPr>
      <w:r>
        <w:rPr>
          <w:b/>
          <w:sz w:val="20"/>
          <w:szCs w:val="20"/>
        </w:rPr>
        <w:t>M</w:t>
      </w:r>
      <w:r w:rsidR="00E82950">
        <w:rPr>
          <w:b/>
          <w:sz w:val="20"/>
          <w:szCs w:val="20"/>
        </w:rPr>
        <w:t>A</w:t>
      </w:r>
      <w:r>
        <w:rPr>
          <w:b/>
          <w:sz w:val="20"/>
          <w:szCs w:val="20"/>
        </w:rPr>
        <w:t>R</w:t>
      </w:r>
      <w:r w:rsidR="00E82950">
        <w:rPr>
          <w:b/>
          <w:sz w:val="20"/>
          <w:szCs w:val="20"/>
        </w:rPr>
        <w:t>CH</w:t>
      </w:r>
      <w:r w:rsidRPr="00C50A5C">
        <w:rPr>
          <w:b/>
          <w:sz w:val="20"/>
          <w:szCs w:val="20"/>
        </w:rPr>
        <w:t xml:space="preserve"> </w:t>
      </w:r>
      <w:r w:rsidR="00E82950">
        <w:rPr>
          <w:b/>
          <w:sz w:val="20"/>
          <w:szCs w:val="20"/>
        </w:rPr>
        <w:t>12</w:t>
      </w:r>
      <w:r w:rsidRPr="00C50A5C">
        <w:rPr>
          <w:b/>
          <w:sz w:val="20"/>
          <w:szCs w:val="20"/>
        </w:rPr>
        <w:t>, 201</w:t>
      </w:r>
      <w:r w:rsidR="00E82950">
        <w:rPr>
          <w:b/>
          <w:sz w:val="20"/>
          <w:szCs w:val="20"/>
        </w:rPr>
        <w:t>2</w:t>
      </w:r>
      <w:r w:rsidRPr="00C50A5C">
        <w:rPr>
          <w:b/>
          <w:sz w:val="20"/>
          <w:szCs w:val="20"/>
        </w:rPr>
        <w:t xml:space="preserve"> / LE </w:t>
      </w:r>
      <w:r w:rsidR="00E82950">
        <w:rPr>
          <w:b/>
          <w:sz w:val="20"/>
          <w:szCs w:val="20"/>
        </w:rPr>
        <w:t xml:space="preserve">12 </w:t>
      </w:r>
      <w:r>
        <w:rPr>
          <w:b/>
          <w:sz w:val="20"/>
          <w:szCs w:val="20"/>
        </w:rPr>
        <w:t>M</w:t>
      </w:r>
      <w:r w:rsidR="00E82950">
        <w:rPr>
          <w:b/>
          <w:sz w:val="20"/>
          <w:szCs w:val="20"/>
        </w:rPr>
        <w:t>ARS</w:t>
      </w:r>
      <w:r w:rsidRPr="00C50A5C">
        <w:rPr>
          <w:b/>
          <w:sz w:val="20"/>
          <w:szCs w:val="20"/>
        </w:rPr>
        <w:t xml:space="preserve"> 201</w:t>
      </w:r>
      <w:r w:rsidR="00E82950">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3F4F9C" w:rsidP="004B7F60">
      <w:pPr>
        <w:pStyle w:val="ListParagraph"/>
        <w:widowControl w:val="0"/>
        <w:numPr>
          <w:ilvl w:val="0"/>
          <w:numId w:val="1"/>
        </w:numPr>
        <w:ind w:hanging="720"/>
        <w:jc w:val="both"/>
        <w:rPr>
          <w:sz w:val="20"/>
          <w:szCs w:val="20"/>
        </w:rPr>
      </w:pPr>
      <w:r w:rsidRPr="003F4F9C">
        <w:rPr>
          <w:i/>
          <w:sz w:val="20"/>
          <w:szCs w:val="20"/>
        </w:rPr>
        <w:t>Lisa Koerner v. Capital Health Authority et al.</w:t>
      </w:r>
      <w:r w:rsidRPr="003F4F9C">
        <w:rPr>
          <w:sz w:val="20"/>
          <w:szCs w:val="20"/>
        </w:rPr>
        <w:t xml:space="preserve"> (Alta.) (Civil) (By Leave)</w:t>
      </w:r>
      <w:r>
        <w:rPr>
          <w:sz w:val="20"/>
          <w:szCs w:val="20"/>
        </w:rPr>
        <w:t xml:space="preserve"> </w:t>
      </w:r>
      <w:r w:rsidR="004B7F60" w:rsidRPr="00C50A5C">
        <w:rPr>
          <w:sz w:val="20"/>
          <w:szCs w:val="20"/>
        </w:rPr>
        <w:t>(3</w:t>
      </w:r>
      <w:r w:rsidR="004B7F60">
        <w:rPr>
          <w:sz w:val="20"/>
          <w:szCs w:val="20"/>
        </w:rPr>
        <w:t>4</w:t>
      </w:r>
      <w:r>
        <w:rPr>
          <w:sz w:val="20"/>
          <w:szCs w:val="20"/>
        </w:rPr>
        <w:t>573</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3F4F9C" w:rsidP="004B7F60">
      <w:pPr>
        <w:pStyle w:val="ListParagraph"/>
        <w:widowControl w:val="0"/>
        <w:numPr>
          <w:ilvl w:val="0"/>
          <w:numId w:val="1"/>
        </w:numPr>
        <w:ind w:hanging="720"/>
        <w:jc w:val="both"/>
        <w:rPr>
          <w:sz w:val="20"/>
          <w:szCs w:val="20"/>
        </w:rPr>
      </w:pPr>
      <w:r w:rsidRPr="003F4F9C">
        <w:rPr>
          <w:i/>
          <w:sz w:val="20"/>
          <w:szCs w:val="20"/>
          <w:lang w:val="fr-CA"/>
        </w:rPr>
        <w:t>Julie Marjorie Ladner v. Harvey Wolfson et al.</w:t>
      </w:r>
      <w:r w:rsidRPr="003F4F9C">
        <w:rPr>
          <w:sz w:val="20"/>
          <w:szCs w:val="20"/>
          <w:lang w:val="fr-CA"/>
        </w:rPr>
        <w:t xml:space="preserve"> </w:t>
      </w:r>
      <w:r w:rsidRPr="003F4F9C">
        <w:rPr>
          <w:sz w:val="20"/>
          <w:szCs w:val="20"/>
        </w:rPr>
        <w:t>(B.C.) (Civil) (By Leave)</w:t>
      </w:r>
      <w:r>
        <w:rPr>
          <w:sz w:val="20"/>
          <w:szCs w:val="20"/>
        </w:rPr>
        <w:t xml:space="preserve"> (34509</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3F4F9C" w:rsidP="004B7F60">
      <w:pPr>
        <w:pStyle w:val="ListParagraph"/>
        <w:widowControl w:val="0"/>
        <w:numPr>
          <w:ilvl w:val="0"/>
          <w:numId w:val="1"/>
        </w:numPr>
        <w:ind w:hanging="720"/>
        <w:jc w:val="both"/>
        <w:rPr>
          <w:sz w:val="20"/>
          <w:szCs w:val="20"/>
        </w:rPr>
      </w:pPr>
      <w:r w:rsidRPr="003F4F9C">
        <w:rPr>
          <w:i/>
          <w:sz w:val="20"/>
          <w:szCs w:val="20"/>
        </w:rPr>
        <w:t>Terry Tremaine v. Canadian Human Rights Commission et al.</w:t>
      </w:r>
      <w:r w:rsidRPr="003F4F9C">
        <w:rPr>
          <w:sz w:val="20"/>
          <w:szCs w:val="20"/>
        </w:rPr>
        <w:t xml:space="preserve"> (F</w:t>
      </w:r>
      <w:r>
        <w:rPr>
          <w:sz w:val="20"/>
          <w:szCs w:val="20"/>
        </w:rPr>
        <w:t>.</w:t>
      </w:r>
      <w:r w:rsidRPr="003F4F9C">
        <w:rPr>
          <w:sz w:val="20"/>
          <w:szCs w:val="20"/>
        </w:rPr>
        <w:t>C</w:t>
      </w:r>
      <w:r>
        <w:rPr>
          <w:sz w:val="20"/>
          <w:szCs w:val="20"/>
        </w:rPr>
        <w:t>.</w:t>
      </w:r>
      <w:r w:rsidRPr="003F4F9C">
        <w:rPr>
          <w:sz w:val="20"/>
          <w:szCs w:val="20"/>
        </w:rPr>
        <w:t>) (Civil) (By Leave)</w:t>
      </w:r>
      <w:r w:rsidRPr="00940CAD">
        <w:rPr>
          <w:sz w:val="20"/>
          <w:szCs w:val="20"/>
        </w:rPr>
        <w:t xml:space="preserve"> </w:t>
      </w:r>
      <w:r w:rsidR="004B7F60" w:rsidRPr="00940CAD">
        <w:rPr>
          <w:sz w:val="20"/>
          <w:szCs w:val="20"/>
        </w:rPr>
        <w:t>(34</w:t>
      </w:r>
      <w:r>
        <w:rPr>
          <w:sz w:val="20"/>
          <w:szCs w:val="20"/>
        </w:rPr>
        <w:t>542</w:t>
      </w:r>
      <w:r w:rsidR="004B7F60" w:rsidRPr="00940CAD">
        <w:rPr>
          <w:sz w:val="20"/>
          <w:szCs w:val="20"/>
        </w:rPr>
        <w:t>)</w:t>
      </w:r>
    </w:p>
    <w:p w:rsidR="004B7F60" w:rsidRDefault="004B7F60" w:rsidP="004B7F60">
      <w:pPr>
        <w:widowControl w:val="0"/>
        <w:rPr>
          <w:sz w:val="20"/>
          <w:szCs w:val="20"/>
        </w:rPr>
      </w:pPr>
    </w:p>
    <w:p w:rsidR="003F4F9C" w:rsidRDefault="003F4F9C" w:rsidP="004B7F60">
      <w:pPr>
        <w:widowControl w:val="0"/>
        <w:rPr>
          <w:sz w:val="20"/>
          <w:szCs w:val="20"/>
        </w:rPr>
      </w:pPr>
    </w:p>
    <w:p w:rsidR="003F4F9C" w:rsidRPr="00C50A5C" w:rsidRDefault="003F4F9C" w:rsidP="003F4F9C">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3F4F9C" w:rsidRPr="00C50A5C" w:rsidRDefault="003F4F9C" w:rsidP="003F4F9C">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3F4F9C" w:rsidRPr="003F4F9C" w:rsidRDefault="003F4F9C" w:rsidP="004B7F60">
      <w:pPr>
        <w:widowControl w:val="0"/>
        <w:rPr>
          <w:sz w:val="20"/>
          <w:szCs w:val="20"/>
          <w:lang w:val="fr-CA"/>
        </w:rPr>
      </w:pPr>
    </w:p>
    <w:p w:rsidR="004B7F60" w:rsidRPr="00C50A5C" w:rsidRDefault="003F4F9C" w:rsidP="004B7F60">
      <w:pPr>
        <w:pStyle w:val="ListParagraph"/>
        <w:widowControl w:val="0"/>
        <w:numPr>
          <w:ilvl w:val="0"/>
          <w:numId w:val="1"/>
        </w:numPr>
        <w:ind w:hanging="720"/>
        <w:jc w:val="both"/>
        <w:rPr>
          <w:sz w:val="20"/>
          <w:szCs w:val="20"/>
        </w:rPr>
      </w:pPr>
      <w:r w:rsidRPr="003F4F9C">
        <w:rPr>
          <w:i/>
          <w:sz w:val="20"/>
          <w:szCs w:val="20"/>
        </w:rPr>
        <w:t>R.D.R. v. Her Majesty the Queen</w:t>
      </w:r>
      <w:r w:rsidRPr="003F4F9C">
        <w:rPr>
          <w:sz w:val="20"/>
          <w:szCs w:val="20"/>
        </w:rPr>
        <w:t xml:space="preserve"> (N.S.) (Crim</w:t>
      </w:r>
      <w:r>
        <w:rPr>
          <w:sz w:val="20"/>
          <w:szCs w:val="20"/>
        </w:rPr>
        <w:t>.</w:t>
      </w:r>
      <w:r w:rsidRPr="003F4F9C">
        <w:rPr>
          <w:sz w:val="20"/>
          <w:szCs w:val="20"/>
        </w:rPr>
        <w:t>) (By Leave)</w:t>
      </w:r>
      <w:r w:rsidRPr="00C50A5C">
        <w:rPr>
          <w:sz w:val="20"/>
          <w:szCs w:val="20"/>
        </w:rPr>
        <w:t xml:space="preserve"> </w:t>
      </w:r>
      <w:r w:rsidR="004B7F60" w:rsidRPr="00C50A5C">
        <w:rPr>
          <w:sz w:val="20"/>
          <w:szCs w:val="20"/>
        </w:rPr>
        <w:t>(3</w:t>
      </w:r>
      <w:r w:rsidR="004B7F60">
        <w:rPr>
          <w:sz w:val="20"/>
          <w:szCs w:val="20"/>
        </w:rPr>
        <w:t>4</w:t>
      </w:r>
      <w:r>
        <w:rPr>
          <w:sz w:val="20"/>
          <w:szCs w:val="20"/>
        </w:rPr>
        <w:t>5</w:t>
      </w:r>
      <w:r w:rsidR="004B7F60">
        <w:rPr>
          <w:sz w:val="20"/>
          <w:szCs w:val="20"/>
        </w:rPr>
        <w:t>3</w:t>
      </w:r>
      <w:r>
        <w:rPr>
          <w:sz w:val="20"/>
          <w:szCs w:val="20"/>
        </w:rPr>
        <w:t>8</w:t>
      </w:r>
      <w:r w:rsidR="004B7F60" w:rsidRPr="00C50A5C">
        <w:rPr>
          <w:sz w:val="20"/>
          <w:szCs w:val="20"/>
        </w:rPr>
        <w:t>)</w:t>
      </w:r>
    </w:p>
    <w:p w:rsidR="004B7F60" w:rsidRPr="003F4F9C" w:rsidRDefault="004B7F60" w:rsidP="004B7F60">
      <w:pPr>
        <w:widowControl w:val="0"/>
        <w:jc w:val="both"/>
        <w:rPr>
          <w:sz w:val="20"/>
          <w:szCs w:val="20"/>
        </w:rPr>
      </w:pPr>
    </w:p>
    <w:p w:rsidR="004B7F60" w:rsidRPr="00C612D0" w:rsidRDefault="003F4F9C" w:rsidP="004B7F60">
      <w:pPr>
        <w:pStyle w:val="ListParagraph"/>
        <w:widowControl w:val="0"/>
        <w:numPr>
          <w:ilvl w:val="0"/>
          <w:numId w:val="1"/>
        </w:numPr>
        <w:ind w:hanging="720"/>
        <w:jc w:val="both"/>
        <w:rPr>
          <w:sz w:val="20"/>
          <w:szCs w:val="20"/>
          <w:lang w:val="fr-CA"/>
        </w:rPr>
      </w:pPr>
      <w:r w:rsidRPr="003F4F9C">
        <w:rPr>
          <w:i/>
          <w:sz w:val="20"/>
          <w:szCs w:val="20"/>
          <w:lang w:val="fr-CA"/>
        </w:rPr>
        <w:t>Jessy Domond c. Fonds d'assurance responsabilité professionnelle du Barreau du Québec</w:t>
      </w:r>
      <w:r w:rsidRPr="003F4F9C">
        <w:rPr>
          <w:sz w:val="20"/>
          <w:szCs w:val="20"/>
          <w:lang w:val="fr-CA"/>
        </w:rPr>
        <w:t xml:space="preserve"> (Qc) (Civile) (Autorisation)</w:t>
      </w:r>
      <w:r w:rsidRPr="00C612D0">
        <w:rPr>
          <w:sz w:val="20"/>
          <w:szCs w:val="20"/>
          <w:lang w:val="fr-CA"/>
        </w:rPr>
        <w:t xml:space="preserve"> </w:t>
      </w:r>
      <w:r w:rsidR="004B7F60" w:rsidRPr="00C612D0">
        <w:rPr>
          <w:sz w:val="20"/>
          <w:szCs w:val="20"/>
          <w:lang w:val="fr-CA"/>
        </w:rPr>
        <w:t>(34</w:t>
      </w:r>
      <w:r>
        <w:rPr>
          <w:sz w:val="20"/>
          <w:szCs w:val="20"/>
          <w:lang w:val="fr-CA"/>
        </w:rPr>
        <w:t>5</w:t>
      </w:r>
      <w:r w:rsidR="004B7F60" w:rsidRPr="00C612D0">
        <w:rPr>
          <w:sz w:val="20"/>
          <w:szCs w:val="20"/>
          <w:lang w:val="fr-CA"/>
        </w:rPr>
        <w:t>4</w:t>
      </w:r>
      <w:r>
        <w:rPr>
          <w:sz w:val="20"/>
          <w:szCs w:val="20"/>
          <w:lang w:val="fr-CA"/>
        </w:rPr>
        <w:t>7</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3F4F9C" w:rsidRDefault="003F4F9C" w:rsidP="004B7F60">
      <w:pPr>
        <w:pStyle w:val="ListParagraph"/>
        <w:widowControl w:val="0"/>
        <w:numPr>
          <w:ilvl w:val="0"/>
          <w:numId w:val="1"/>
        </w:numPr>
        <w:ind w:hanging="720"/>
        <w:jc w:val="both"/>
        <w:rPr>
          <w:sz w:val="20"/>
          <w:szCs w:val="20"/>
        </w:rPr>
      </w:pPr>
      <w:r w:rsidRPr="003F4F9C">
        <w:rPr>
          <w:i/>
          <w:sz w:val="20"/>
          <w:szCs w:val="20"/>
        </w:rPr>
        <w:t xml:space="preserve">Investment Administration Solution Inc. v. Silver Gold Glatt &amp; Grosman LLP et al. </w:t>
      </w:r>
      <w:r w:rsidRPr="003F4F9C">
        <w:rPr>
          <w:sz w:val="20"/>
          <w:szCs w:val="20"/>
        </w:rPr>
        <w:t xml:space="preserve">(Ont.) (Civil) (By Leave) </w:t>
      </w:r>
      <w:r w:rsidR="004B7F60" w:rsidRPr="003F4F9C">
        <w:rPr>
          <w:sz w:val="20"/>
          <w:szCs w:val="20"/>
        </w:rPr>
        <w:t>(345</w:t>
      </w:r>
      <w:r w:rsidRPr="003F4F9C">
        <w:rPr>
          <w:sz w:val="20"/>
          <w:szCs w:val="20"/>
        </w:rPr>
        <w:t>84</w:t>
      </w:r>
      <w:r w:rsidR="004B7F60" w:rsidRPr="003F4F9C">
        <w:rPr>
          <w:sz w:val="20"/>
          <w:szCs w:val="20"/>
        </w:rPr>
        <w:t>)</w:t>
      </w:r>
    </w:p>
    <w:p w:rsidR="004B7F60" w:rsidRPr="003F4F9C" w:rsidRDefault="004B7F60" w:rsidP="004B7F60">
      <w:pPr>
        <w:widowControl w:val="0"/>
        <w:jc w:val="both"/>
        <w:rPr>
          <w:sz w:val="20"/>
          <w:szCs w:val="20"/>
        </w:rPr>
      </w:pPr>
    </w:p>
    <w:p w:rsidR="004B7F60" w:rsidRPr="003F4F9C" w:rsidRDefault="003F4F9C" w:rsidP="004B7F60">
      <w:pPr>
        <w:pStyle w:val="ListParagraph"/>
        <w:widowControl w:val="0"/>
        <w:numPr>
          <w:ilvl w:val="0"/>
          <w:numId w:val="1"/>
        </w:numPr>
        <w:ind w:hanging="720"/>
        <w:jc w:val="both"/>
        <w:rPr>
          <w:sz w:val="20"/>
          <w:szCs w:val="20"/>
        </w:rPr>
      </w:pPr>
      <w:r w:rsidRPr="00B41692">
        <w:rPr>
          <w:i/>
          <w:sz w:val="20"/>
          <w:szCs w:val="20"/>
        </w:rPr>
        <w:t xml:space="preserve">Drum Head Estates Limited et al. v. George E. Mills Jr., Trustee of the Estate of Stephen Beal Chapin, a Bankrupt </w:t>
      </w:r>
      <w:r w:rsidR="00B41692">
        <w:rPr>
          <w:sz w:val="20"/>
          <w:szCs w:val="20"/>
        </w:rPr>
        <w:t>(</w:t>
      </w:r>
      <w:r w:rsidRPr="003F4F9C">
        <w:rPr>
          <w:sz w:val="20"/>
          <w:szCs w:val="20"/>
        </w:rPr>
        <w:t>N.S.) (Civil) (By Leave)</w:t>
      </w:r>
      <w:r>
        <w:rPr>
          <w:sz w:val="20"/>
          <w:szCs w:val="20"/>
        </w:rPr>
        <w:t xml:space="preserve"> </w:t>
      </w:r>
      <w:r w:rsidR="004B7F60" w:rsidRPr="003F4F9C">
        <w:rPr>
          <w:sz w:val="20"/>
          <w:szCs w:val="20"/>
        </w:rPr>
        <w:t>(345</w:t>
      </w:r>
      <w:r w:rsidRPr="003F4F9C">
        <w:rPr>
          <w:sz w:val="20"/>
          <w:szCs w:val="20"/>
        </w:rPr>
        <w:t>83</w:t>
      </w:r>
      <w:r w:rsidR="004B7F60" w:rsidRPr="003F4F9C">
        <w:rPr>
          <w:sz w:val="20"/>
          <w:szCs w:val="20"/>
        </w:rPr>
        <w:t>)</w:t>
      </w:r>
    </w:p>
    <w:p w:rsidR="004B7F60" w:rsidRPr="003F4F9C" w:rsidRDefault="004B7F60" w:rsidP="004B7F60">
      <w:pPr>
        <w:widowControl w:val="0"/>
        <w:jc w:val="both"/>
        <w:rPr>
          <w:sz w:val="20"/>
          <w:szCs w:val="20"/>
        </w:rPr>
      </w:pPr>
    </w:p>
    <w:p w:rsidR="003F4F9C" w:rsidRPr="003F4F9C" w:rsidRDefault="003F4F9C" w:rsidP="004B7F60">
      <w:pPr>
        <w:widowControl w:val="0"/>
        <w:jc w:val="both"/>
        <w:rPr>
          <w:sz w:val="20"/>
          <w:szCs w:val="20"/>
        </w:rPr>
      </w:pPr>
    </w:p>
    <w:p w:rsidR="003F4F9C" w:rsidRPr="00C50A5C" w:rsidRDefault="003F4F9C" w:rsidP="003F4F9C">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3F4F9C" w:rsidRPr="00C50A5C" w:rsidRDefault="003F4F9C" w:rsidP="003F4F9C">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3F4F9C" w:rsidRPr="00115C9E" w:rsidRDefault="003F4F9C" w:rsidP="004B7F60">
      <w:pPr>
        <w:widowControl w:val="0"/>
        <w:jc w:val="both"/>
        <w:rPr>
          <w:sz w:val="20"/>
          <w:szCs w:val="20"/>
          <w:lang w:val="fr-CA"/>
        </w:rPr>
      </w:pPr>
    </w:p>
    <w:p w:rsidR="004B7F60" w:rsidRPr="00C50A5C" w:rsidRDefault="00B41692" w:rsidP="004B7F60">
      <w:pPr>
        <w:pStyle w:val="ListParagraph"/>
        <w:widowControl w:val="0"/>
        <w:numPr>
          <w:ilvl w:val="0"/>
          <w:numId w:val="1"/>
        </w:numPr>
        <w:ind w:hanging="720"/>
        <w:jc w:val="both"/>
        <w:rPr>
          <w:sz w:val="20"/>
          <w:szCs w:val="20"/>
          <w:lang w:val="fr-CA"/>
        </w:rPr>
      </w:pPr>
      <w:r w:rsidRPr="00B41692">
        <w:rPr>
          <w:i/>
          <w:sz w:val="20"/>
          <w:szCs w:val="20"/>
          <w:lang w:val="fr-CA"/>
        </w:rPr>
        <w:t>Huguette Lepage et autre c. Valeurs mobilières Desjardins Inc. et autre</w:t>
      </w:r>
      <w:r w:rsidRPr="003F4F9C">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sidR="004B7F60">
        <w:rPr>
          <w:sz w:val="20"/>
          <w:szCs w:val="20"/>
          <w:lang w:val="fr-CA"/>
        </w:rPr>
        <w:t>4</w:t>
      </w:r>
      <w:r w:rsidR="003F4F9C">
        <w:rPr>
          <w:sz w:val="20"/>
          <w:szCs w:val="20"/>
          <w:lang w:val="fr-CA"/>
        </w:rPr>
        <w:t>565</w:t>
      </w:r>
      <w:r w:rsidR="004B7F60" w:rsidRPr="00C50A5C">
        <w:rPr>
          <w:sz w:val="20"/>
          <w:szCs w:val="20"/>
          <w:lang w:val="fr-CA"/>
        </w:rPr>
        <w:t>)</w:t>
      </w:r>
    </w:p>
    <w:p w:rsidR="004B7F60" w:rsidRDefault="004B7F60" w:rsidP="004B7F60">
      <w:pPr>
        <w:widowControl w:val="0"/>
        <w:rPr>
          <w:sz w:val="20"/>
          <w:szCs w:val="20"/>
          <w:lang w:val="fr-CA"/>
        </w:rPr>
      </w:pPr>
    </w:p>
    <w:p w:rsidR="004B7F60" w:rsidRPr="00C50A5C" w:rsidRDefault="00B41692" w:rsidP="004B7F60">
      <w:pPr>
        <w:pStyle w:val="ListParagraph"/>
        <w:widowControl w:val="0"/>
        <w:numPr>
          <w:ilvl w:val="0"/>
          <w:numId w:val="1"/>
        </w:numPr>
        <w:ind w:hanging="720"/>
        <w:jc w:val="both"/>
        <w:rPr>
          <w:sz w:val="20"/>
          <w:szCs w:val="20"/>
          <w:lang w:val="fr-CA"/>
        </w:rPr>
      </w:pPr>
      <w:r w:rsidRPr="00B41692">
        <w:rPr>
          <w:i/>
          <w:sz w:val="20"/>
          <w:szCs w:val="20"/>
          <w:lang w:val="fr-CA"/>
        </w:rPr>
        <w:t>Peter Michalakopoulos v. Fonds d'assurance responsabilité professionnelle du Barreau du Québec</w:t>
      </w:r>
      <w:r w:rsidRPr="003F4F9C">
        <w:rPr>
          <w:sz w:val="20"/>
          <w:szCs w:val="20"/>
          <w:lang w:val="fr-CA"/>
        </w:rPr>
        <w:t xml:space="preserve"> (Que.) (Civil) (By Leave)</w:t>
      </w:r>
      <w:r w:rsidRPr="00C50A5C">
        <w:rPr>
          <w:sz w:val="20"/>
          <w:szCs w:val="20"/>
          <w:lang w:val="fr-CA"/>
        </w:rPr>
        <w:t xml:space="preserve"> </w:t>
      </w:r>
      <w:r w:rsidR="004B7F60" w:rsidRPr="00C50A5C">
        <w:rPr>
          <w:sz w:val="20"/>
          <w:szCs w:val="20"/>
          <w:lang w:val="fr-CA"/>
        </w:rPr>
        <w:t>(3</w:t>
      </w:r>
      <w:r w:rsidR="004B7F60">
        <w:rPr>
          <w:sz w:val="20"/>
          <w:szCs w:val="20"/>
          <w:lang w:val="fr-CA"/>
        </w:rPr>
        <w:t>4</w:t>
      </w:r>
      <w:r w:rsidR="003F4F9C">
        <w:rPr>
          <w:sz w:val="20"/>
          <w:szCs w:val="20"/>
          <w:lang w:val="fr-CA"/>
        </w:rPr>
        <w:t>601</w:t>
      </w:r>
      <w:r w:rsidR="004B7F60" w:rsidRPr="00C50A5C">
        <w:rPr>
          <w:sz w:val="20"/>
          <w:szCs w:val="20"/>
          <w:lang w:val="fr-CA"/>
        </w:rPr>
        <w:t>)</w:t>
      </w:r>
    </w:p>
    <w:p w:rsidR="004B7F60" w:rsidRDefault="004B7F60" w:rsidP="004B7F60">
      <w:pPr>
        <w:widowControl w:val="0"/>
        <w:jc w:val="both"/>
        <w:rPr>
          <w:sz w:val="20"/>
          <w:szCs w:val="20"/>
          <w:lang w:val="fr-CA"/>
        </w:rPr>
      </w:pPr>
    </w:p>
    <w:p w:rsidR="004B7F60" w:rsidRPr="00115C9E" w:rsidRDefault="00B41692" w:rsidP="004B7F60">
      <w:pPr>
        <w:pStyle w:val="ListParagraph"/>
        <w:widowControl w:val="0"/>
        <w:numPr>
          <w:ilvl w:val="0"/>
          <w:numId w:val="1"/>
        </w:numPr>
        <w:ind w:hanging="720"/>
        <w:jc w:val="both"/>
        <w:rPr>
          <w:sz w:val="20"/>
          <w:szCs w:val="20"/>
        </w:rPr>
      </w:pPr>
      <w:r w:rsidRPr="00B41692">
        <w:rPr>
          <w:i/>
          <w:sz w:val="20"/>
          <w:szCs w:val="20"/>
        </w:rPr>
        <w:t xml:space="preserve">Canadian National Railway </w:t>
      </w:r>
      <w:r w:rsidRPr="00F416DC">
        <w:rPr>
          <w:i/>
          <w:sz w:val="20"/>
          <w:szCs w:val="20"/>
        </w:rPr>
        <w:t>v. McKercher LLP et al.</w:t>
      </w:r>
      <w:r w:rsidRPr="003F4F9C">
        <w:rPr>
          <w:sz w:val="20"/>
          <w:szCs w:val="20"/>
        </w:rPr>
        <w:t xml:space="preserve"> (Sask.) (Civil) (By Leave)</w:t>
      </w:r>
      <w:r w:rsidRPr="00115C9E">
        <w:rPr>
          <w:sz w:val="20"/>
          <w:szCs w:val="20"/>
        </w:rPr>
        <w:t xml:space="preserve"> </w:t>
      </w:r>
      <w:r w:rsidR="004B7F60" w:rsidRPr="00115C9E">
        <w:rPr>
          <w:sz w:val="20"/>
          <w:szCs w:val="20"/>
        </w:rPr>
        <w:t>(34</w:t>
      </w:r>
      <w:r w:rsidR="003F4F9C">
        <w:rPr>
          <w:sz w:val="20"/>
          <w:szCs w:val="20"/>
        </w:rPr>
        <w:t>545</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B41692" w:rsidP="004B7F60">
      <w:pPr>
        <w:pStyle w:val="ListParagraph"/>
        <w:widowControl w:val="0"/>
        <w:numPr>
          <w:ilvl w:val="0"/>
          <w:numId w:val="1"/>
        </w:numPr>
        <w:ind w:hanging="720"/>
        <w:jc w:val="both"/>
        <w:rPr>
          <w:sz w:val="20"/>
          <w:szCs w:val="20"/>
        </w:rPr>
      </w:pPr>
      <w:r w:rsidRPr="00B41692">
        <w:rPr>
          <w:i/>
          <w:sz w:val="20"/>
          <w:szCs w:val="20"/>
        </w:rPr>
        <w:t>Brian Gibb et al. v. Attorney General of Quebec et al.</w:t>
      </w:r>
      <w:r w:rsidRPr="003F4F9C">
        <w:rPr>
          <w:sz w:val="20"/>
          <w:szCs w:val="20"/>
        </w:rPr>
        <w:t xml:space="preserve"> (Que.) (Civil) (By Leave)</w:t>
      </w:r>
      <w:r>
        <w:rPr>
          <w:sz w:val="20"/>
          <w:szCs w:val="20"/>
        </w:rPr>
        <w:t xml:space="preserve"> </w:t>
      </w:r>
      <w:r w:rsidR="004B7F60" w:rsidRPr="00115C9E">
        <w:rPr>
          <w:sz w:val="20"/>
          <w:szCs w:val="20"/>
        </w:rPr>
        <w:t>(34</w:t>
      </w:r>
      <w:r w:rsidR="003F4F9C">
        <w:rPr>
          <w:sz w:val="20"/>
          <w:szCs w:val="20"/>
        </w:rPr>
        <w:t>521</w:t>
      </w:r>
      <w:r w:rsidR="004B7F60" w:rsidRPr="00115C9E">
        <w:rPr>
          <w:sz w:val="20"/>
          <w:szCs w:val="20"/>
        </w:rPr>
        <w:t>)</w:t>
      </w:r>
    </w:p>
    <w:p w:rsidR="002E2327" w:rsidRPr="00B41692" w:rsidRDefault="002E2327" w:rsidP="002E2327">
      <w:pPr>
        <w:widowControl w:val="0"/>
        <w:rPr>
          <w:sz w:val="20"/>
          <w:szCs w:val="20"/>
        </w:rPr>
      </w:pPr>
    </w:p>
    <w:p w:rsidR="002E2327" w:rsidRPr="00C50A5C" w:rsidRDefault="009019DC" w:rsidP="002E2327">
      <w:pPr>
        <w:widowControl w:val="0"/>
        <w:rPr>
          <w:sz w:val="20"/>
          <w:szCs w:val="20"/>
        </w:rPr>
      </w:pPr>
      <w:r w:rsidRPr="009019DC">
        <w:rPr>
          <w:sz w:val="20"/>
          <w:szCs w:val="20"/>
        </w:rPr>
        <w:pict>
          <v:rect id="_x0000_i1035"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F8135D"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E82950" w:rsidP="008D292F">
      <w:pPr>
        <w:rPr>
          <w:b/>
          <w:sz w:val="20"/>
          <w:szCs w:val="20"/>
        </w:rPr>
      </w:pPr>
      <w:r>
        <w:rPr>
          <w:b/>
          <w:sz w:val="20"/>
          <w:szCs w:val="20"/>
        </w:rPr>
        <w:t>M</w:t>
      </w:r>
      <w:r w:rsidR="008D292F" w:rsidRPr="00C50A5C">
        <w:rPr>
          <w:b/>
          <w:sz w:val="20"/>
          <w:szCs w:val="20"/>
        </w:rPr>
        <w:t>AR</w:t>
      </w:r>
      <w:r>
        <w:rPr>
          <w:b/>
          <w:sz w:val="20"/>
          <w:szCs w:val="20"/>
        </w:rPr>
        <w:t>CH 15</w:t>
      </w:r>
      <w:r w:rsidR="008D292F" w:rsidRPr="00C50A5C">
        <w:rPr>
          <w:b/>
          <w:sz w:val="20"/>
          <w:szCs w:val="20"/>
        </w:rPr>
        <w:t>, 201</w:t>
      </w:r>
      <w:r>
        <w:rPr>
          <w:b/>
          <w:sz w:val="20"/>
          <w:szCs w:val="20"/>
        </w:rPr>
        <w:t>2</w:t>
      </w:r>
      <w:r w:rsidR="008D292F" w:rsidRPr="00C50A5C">
        <w:rPr>
          <w:b/>
          <w:sz w:val="20"/>
          <w:szCs w:val="20"/>
        </w:rPr>
        <w:t xml:space="preserve"> / LE </w:t>
      </w:r>
      <w:r>
        <w:rPr>
          <w:b/>
          <w:sz w:val="20"/>
          <w:szCs w:val="20"/>
        </w:rPr>
        <w:t>15 M</w:t>
      </w:r>
      <w:r w:rsidR="008D292F" w:rsidRPr="00C50A5C">
        <w:rPr>
          <w:b/>
          <w:sz w:val="20"/>
          <w:szCs w:val="20"/>
        </w:rPr>
        <w:t>AR</w:t>
      </w:r>
      <w:r>
        <w:rPr>
          <w:b/>
          <w:sz w:val="20"/>
          <w:szCs w:val="20"/>
        </w:rPr>
        <w:t>S</w:t>
      </w:r>
      <w:r w:rsidR="008D292F" w:rsidRPr="00C50A5C">
        <w:rPr>
          <w:b/>
          <w:sz w:val="20"/>
          <w:szCs w:val="20"/>
        </w:rPr>
        <w:t xml:space="preserve">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701ED" w:rsidRPr="007F7937" w:rsidTr="003B76D9">
        <w:trPr>
          <w:cantSplit/>
        </w:trPr>
        <w:tc>
          <w:tcPr>
            <w:tcW w:w="1458" w:type="dxa"/>
          </w:tcPr>
          <w:p w:rsidR="00B701ED" w:rsidRPr="007F7937" w:rsidRDefault="00B701ED" w:rsidP="003B76D9">
            <w:pPr>
              <w:rPr>
                <w:sz w:val="20"/>
                <w:szCs w:val="20"/>
              </w:rPr>
            </w:pPr>
            <w:r w:rsidRPr="007F7937">
              <w:rPr>
                <w:rStyle w:val="SCCFileNumberChar"/>
                <w:sz w:val="20"/>
                <w:szCs w:val="20"/>
              </w:rPr>
              <w:t>34451</w:t>
            </w:r>
          </w:p>
          <w:p w:rsidR="00B701ED" w:rsidRPr="007F7937" w:rsidRDefault="00B701ED" w:rsidP="003B76D9">
            <w:pPr>
              <w:rPr>
                <w:b/>
                <w:sz w:val="20"/>
                <w:szCs w:val="20"/>
                <w:lang w:val="fr-CA"/>
              </w:rPr>
            </w:pPr>
          </w:p>
        </w:tc>
        <w:tc>
          <w:tcPr>
            <w:tcW w:w="8118" w:type="dxa"/>
          </w:tcPr>
          <w:p w:rsidR="00B701ED" w:rsidRPr="007F7937" w:rsidRDefault="00B701ED" w:rsidP="003B76D9">
            <w:pPr>
              <w:jc w:val="both"/>
              <w:rPr>
                <w:sz w:val="20"/>
                <w:szCs w:val="20"/>
              </w:rPr>
            </w:pPr>
            <w:r w:rsidRPr="007F7937">
              <w:rPr>
                <w:rStyle w:val="SCCLsocChar"/>
                <w:sz w:val="20"/>
                <w:szCs w:val="20"/>
              </w:rPr>
              <w:t>567 Hornby Apartment Ltd.</w:t>
            </w:r>
            <w:r w:rsidR="002B4AEE">
              <w:rPr>
                <w:rStyle w:val="SCCLsocChar"/>
                <w:sz w:val="20"/>
                <w:szCs w:val="20"/>
              </w:rPr>
              <w:t xml:space="preserve"> and</w:t>
            </w:r>
            <w:r w:rsidRPr="007F7937">
              <w:rPr>
                <w:rStyle w:val="SCCLsocChar"/>
                <w:sz w:val="20"/>
                <w:szCs w:val="20"/>
              </w:rPr>
              <w:t xml:space="preserve"> Syed Nomani (aka Jewel Nomani) v. Le Soleil Hospitality Inc., Le Soleil Restaurant Inc., Andrew Louie, 668706 B.C. Ltd., 688571 B.C. Ltd., 708583 B.C. Ltd., 716642 B.C. Ltd., 716648 B.C. Ltd., 700439 B.C. Ltd., and 587019 B.C. Ltd. </w:t>
            </w:r>
            <w:r w:rsidRPr="007F7937">
              <w:rPr>
                <w:rStyle w:val="SCCLsocChar"/>
                <w:sz w:val="20"/>
                <w:szCs w:val="20"/>
                <w:lang w:val="en-CA"/>
              </w:rPr>
              <w:t>AND BETWEEN 567 Hornby Apartment Ltd. v. Le Soleil Hospitality Inc., Le Soleil Restaurant Inc., Andrew Louie, 668706 B.C. Ltd., 688571 B.C. Ltd., 708583 B.C. Ltd., 716642 B.C. Ltd., 716648 B.C. Ltd., 700439 B.C. Ltd., and 587019 B.C. Ltd.</w:t>
            </w:r>
            <w:r w:rsidR="002B4AEE">
              <w:rPr>
                <w:rStyle w:val="SCCLsocChar"/>
                <w:sz w:val="20"/>
                <w:szCs w:val="20"/>
                <w:lang w:val="en-CA"/>
              </w:rPr>
              <w:t xml:space="preserve"> and</w:t>
            </w:r>
            <w:r w:rsidRPr="007F7937">
              <w:rPr>
                <w:rStyle w:val="SCCLsocChar"/>
                <w:sz w:val="20"/>
                <w:szCs w:val="20"/>
                <w:lang w:val="en-CA"/>
              </w:rPr>
              <w:t xml:space="preserve"> 585503 British Columbia Ltd.</w:t>
            </w:r>
            <w:r w:rsidRPr="007F7937">
              <w:rPr>
                <w:sz w:val="20"/>
                <w:szCs w:val="20"/>
              </w:rPr>
              <w:t xml:space="preserve"> (B.C.) (Civil) (By Leave)</w:t>
            </w:r>
          </w:p>
          <w:p w:rsidR="00B701ED" w:rsidRPr="007F7937" w:rsidRDefault="00B701ED" w:rsidP="003B76D9">
            <w:pPr>
              <w:rPr>
                <w:sz w:val="20"/>
                <w:szCs w:val="20"/>
              </w:rPr>
            </w:pPr>
          </w:p>
        </w:tc>
      </w:tr>
      <w:tr w:rsidR="00B701ED" w:rsidRPr="007F7937" w:rsidTr="003B76D9">
        <w:trPr>
          <w:cantSplit/>
        </w:trPr>
        <w:tc>
          <w:tcPr>
            <w:tcW w:w="1458" w:type="dxa"/>
          </w:tcPr>
          <w:p w:rsidR="00B701ED" w:rsidRPr="007F7937" w:rsidRDefault="00B701ED" w:rsidP="003B76D9">
            <w:pPr>
              <w:rPr>
                <w:sz w:val="20"/>
                <w:szCs w:val="20"/>
              </w:rPr>
            </w:pPr>
            <w:r w:rsidRPr="007F7937">
              <w:rPr>
                <w:sz w:val="20"/>
                <w:szCs w:val="20"/>
              </w:rPr>
              <w:t>Coram :</w:t>
            </w:r>
          </w:p>
        </w:tc>
        <w:tc>
          <w:tcPr>
            <w:tcW w:w="8118" w:type="dxa"/>
          </w:tcPr>
          <w:p w:rsidR="00B701ED" w:rsidRPr="007F7937" w:rsidRDefault="00B701ED" w:rsidP="003B76D9">
            <w:pPr>
              <w:rPr>
                <w:sz w:val="20"/>
                <w:szCs w:val="20"/>
              </w:rPr>
            </w:pPr>
            <w:r w:rsidRPr="007F7937">
              <w:rPr>
                <w:rStyle w:val="SCCCoramChar"/>
                <w:sz w:val="20"/>
                <w:szCs w:val="20"/>
                <w:lang w:val="en-CA"/>
              </w:rPr>
              <w:t>LeBel, Abella and Cromwell JJ.</w:t>
            </w:r>
          </w:p>
          <w:p w:rsidR="00B701ED" w:rsidRPr="007F7937" w:rsidRDefault="00B701ED" w:rsidP="003B76D9">
            <w:pPr>
              <w:rPr>
                <w:sz w:val="20"/>
                <w:szCs w:val="20"/>
                <w:u w:val="single"/>
              </w:rPr>
            </w:pPr>
          </w:p>
        </w:tc>
      </w:tr>
      <w:tr w:rsidR="00B701ED" w:rsidRPr="00F8135D" w:rsidTr="003B76D9">
        <w:trPr>
          <w:cantSplit/>
        </w:trPr>
        <w:tc>
          <w:tcPr>
            <w:tcW w:w="9576" w:type="dxa"/>
            <w:gridSpan w:val="2"/>
          </w:tcPr>
          <w:p w:rsidR="00B701ED" w:rsidRPr="007F7937" w:rsidRDefault="00B701ED" w:rsidP="003B76D9">
            <w:pPr>
              <w:pStyle w:val="SCCShortJudgment"/>
              <w:rPr>
                <w:szCs w:val="20"/>
                <w:lang w:val="fr-CA"/>
              </w:rPr>
            </w:pPr>
            <w:r w:rsidRPr="007F7937">
              <w:rPr>
                <w:szCs w:val="20"/>
              </w:rPr>
              <w:t xml:space="preserve">The application for leave to appeal from the judgment of the Court of Appeal for British Columbia (Vancouver), Numbers  CA037613 and CA037614, 2011 BCCA 305, dated June 30, 2011, is dismissed with costs to the respondents Le Soleil Hospitality Inc. and Le Soleil Restaurant Inc. </w:t>
            </w:r>
            <w:r w:rsidRPr="007F7937">
              <w:rPr>
                <w:szCs w:val="20"/>
                <w:lang w:val="fr-CA"/>
              </w:rPr>
              <w:t>The request for special costs award is denied.</w:t>
            </w:r>
          </w:p>
          <w:p w:rsidR="00B701ED" w:rsidRPr="007F7937" w:rsidRDefault="00B701ED" w:rsidP="003B76D9">
            <w:pPr>
              <w:pStyle w:val="SCCShortJudgment"/>
              <w:ind w:firstLine="0"/>
              <w:rPr>
                <w:szCs w:val="20"/>
                <w:lang w:val="fr-CA"/>
              </w:rPr>
            </w:pPr>
          </w:p>
          <w:p w:rsidR="00B701ED" w:rsidRPr="007F7937" w:rsidRDefault="00B701ED" w:rsidP="003B76D9">
            <w:pPr>
              <w:pStyle w:val="SCCShortJudgment"/>
              <w:rPr>
                <w:szCs w:val="20"/>
                <w:lang w:val="fr-CA"/>
              </w:rPr>
            </w:pPr>
            <w:r w:rsidRPr="007F7937">
              <w:rPr>
                <w:szCs w:val="20"/>
                <w:lang w:val="fr-CA"/>
              </w:rPr>
              <w:t>La demande d’autorisation d’appel de l’arrêt de la Cour d’appel de la Colombie-Britannique (Vancouver), numéros CA037613 et CA037614, 2011 BCCA 305, daté du 30 juin 2011, est rejetée avec dépens en faveur des intimées Le Soleil Hospitality Inc. et Le Soleil Restaurant Inc. La demande en vue d’obtenir des dépens spéciaux est refusée.</w:t>
            </w:r>
          </w:p>
        </w:tc>
      </w:tr>
    </w:tbl>
    <w:p w:rsidR="00E82950" w:rsidRPr="00B701ED" w:rsidRDefault="00E82950" w:rsidP="00E82950">
      <w:pPr>
        <w:rPr>
          <w:sz w:val="20"/>
          <w:szCs w:val="20"/>
          <w:lang w:val="fr-CA"/>
        </w:rPr>
      </w:pPr>
    </w:p>
    <w:p w:rsidR="00E82950" w:rsidRPr="001B157C" w:rsidRDefault="00E82950" w:rsidP="00E82950">
      <w:pPr>
        <w:rPr>
          <w:sz w:val="20"/>
          <w:szCs w:val="20"/>
          <w:u w:val="single"/>
        </w:rPr>
      </w:pPr>
      <w:r w:rsidRPr="001B157C">
        <w:rPr>
          <w:sz w:val="20"/>
          <w:szCs w:val="20"/>
          <w:u w:val="single"/>
        </w:rPr>
        <w:t>CASE SUMMARY</w:t>
      </w:r>
    </w:p>
    <w:p w:rsidR="00E82950" w:rsidRDefault="00E82950"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F5561" w:rsidRPr="00C1643E" w:rsidTr="00A62471">
        <w:tc>
          <w:tcPr>
            <w:tcW w:w="5000" w:type="pct"/>
            <w:gridSpan w:val="3"/>
          </w:tcPr>
          <w:p w:rsidR="009F5561" w:rsidRPr="00C1643E" w:rsidRDefault="009F5561" w:rsidP="00A62471">
            <w:pPr>
              <w:jc w:val="both"/>
              <w:rPr>
                <w:rFonts w:eastAsia="Calibri"/>
                <w:sz w:val="20"/>
              </w:rPr>
            </w:pPr>
            <w:r w:rsidRPr="00C1643E">
              <w:rPr>
                <w:rFonts w:eastAsia="Calibri"/>
                <w:sz w:val="20"/>
              </w:rPr>
              <w:t>Contracts – Breach of contract – Damages – Specific performance – Punitive damages – Fraud – Conspiracy – Whether a court’s discretion to grant specific performance trumps statutory requirements for eviction of a tenant under the commercial tenancy legislation – Whether allowing a claim of fraud, conspiracy and inducement is justified in light of unproven pecuniary damages in civil cases – Whether an award of special and punitive costs is justifiable against a non-party who participated partially at the trial.</w:t>
            </w:r>
          </w:p>
          <w:p w:rsidR="009F5561" w:rsidRPr="00C1643E" w:rsidRDefault="009F5561" w:rsidP="00A62471">
            <w:pPr>
              <w:jc w:val="both"/>
              <w:rPr>
                <w:rFonts w:eastAsia="Calibri"/>
                <w:sz w:val="20"/>
              </w:rPr>
            </w:pPr>
          </w:p>
          <w:p w:rsidR="009F5561" w:rsidRPr="00C1643E" w:rsidRDefault="009F5561" w:rsidP="00A62471">
            <w:pPr>
              <w:jc w:val="both"/>
              <w:rPr>
                <w:rFonts w:eastAsia="Calibri"/>
                <w:sz w:val="20"/>
              </w:rPr>
            </w:pPr>
            <w:r w:rsidRPr="00C1643E">
              <w:rPr>
                <w:rFonts w:eastAsia="Calibri"/>
                <w:sz w:val="20"/>
              </w:rPr>
              <w:t xml:space="preserve">Le Soleil Hotel is a boutique strata title development in the downtown core of Vancouver, consisting of residential and commercial strata lots. Most of the residential strata lots were included in the hotel's operations, however some were owned by individuals which had been purchased from the hotel's developer and leased back to enable hotel operations. Dr. Andrew Louie, through numbered companies (the “Louie Group”), owned the commercial lots, which he leased back the hotel restaurant, and controlled a number of residential strata lots. After disagreements with the hotel operator, the Louie Group removed their units from the hotel rental pool and, through 567 Hornby Apartment Ltd. and its owner Syed Nomani (the “Nomani Group”), began to operate a competing hotel operation within Le Soleil. In addition, the Louie Group supported the efforts of an owners group to gain control of the hotel. Le Soleil concluded that the Louie Group and the Nomani Group were working to oppose them and it commenced an action against them and applied for an injunction restraining the Louie Group from acting against it. Prior to the hearing, the parties reached a settlement which resulted in a letter of intent, providing for the lease of the Louie Group's units to Le Soleil as well as an option to purchase them, a modification of the restaurant lease, a covenant to refrain from supporting litigation contrary to the Le Soleil's interests and the discontinuance of the litigation. Shortly after the letter of intent was concluded the Louie Group declined to follow its terms and Le Soleil commenced an action to enforce the letter of intent (the “Settlement Agreement Action”). 567 Hornby Apartment also commenced an action seeking a declaration that the rights of first refusal to purchase the Louie Group’s lots it claimed to hold were valid and unaffected by the letter of intent (the “RFR Action”). The rights of first refusal were allegedly drafted and executed prior to the settlement negotiations which led to the letter of intent. Le Soleil filed a counterclaim in which it claimed that the Nomani Group and the Louie Group conspired to defeat their rights under the letter of intent and fabricated the rights of first refusal documents. </w:t>
            </w:r>
          </w:p>
          <w:p w:rsidR="009F5561" w:rsidRPr="00C1643E" w:rsidRDefault="009F5561" w:rsidP="00A62471">
            <w:pPr>
              <w:jc w:val="both"/>
              <w:rPr>
                <w:rFonts w:eastAsia="Calibri"/>
                <w:sz w:val="20"/>
              </w:rPr>
            </w:pPr>
          </w:p>
          <w:p w:rsidR="009F5561" w:rsidRPr="00C1643E" w:rsidRDefault="009F5561" w:rsidP="00A62471">
            <w:pPr>
              <w:jc w:val="both"/>
              <w:rPr>
                <w:rFonts w:eastAsia="Calibri"/>
                <w:sz w:val="20"/>
              </w:rPr>
            </w:pPr>
            <w:r w:rsidRPr="00C1643E">
              <w:rPr>
                <w:rFonts w:eastAsia="Calibri"/>
                <w:sz w:val="20"/>
              </w:rPr>
              <w:t xml:space="preserve">In the Settlement Agreement Action, the B.C. Supreme Court allowed Le Soleil’s action, and ordered specific </w:t>
            </w:r>
            <w:r w:rsidRPr="00C1643E">
              <w:rPr>
                <w:rFonts w:eastAsia="Calibri"/>
                <w:sz w:val="20"/>
              </w:rPr>
              <w:lastRenderedPageBreak/>
              <w:t>performance of the option to purchase the strata lot units at an aggregate purchase price of $4,915,012.60, ordered the Louie Group to pay damages in the amount of $1,967,305.31, plus legal expenses incurred by Le Soleil in connection with other related litigation, and awarded special costs of the action against the Louie Group and the Nomani Group. In the RFR Action, the trial judge dismissed the claim of the Nomani Group, awarded punitive damages on Le Soleil's counterclaim against the Louie Group and the Nomani Group in the amount of $100,000 each, and awarded special costs of the action against the Louie Group and the Nomani Group.  The Court of Appeal dismissed the appeals.</w:t>
            </w:r>
          </w:p>
          <w:p w:rsidR="009F5561" w:rsidRPr="00C1643E" w:rsidRDefault="009F5561" w:rsidP="00A62471">
            <w:pPr>
              <w:jc w:val="both"/>
              <w:rPr>
                <w:rFonts w:eastAsia="Calibri"/>
                <w:sz w:val="20"/>
              </w:rPr>
            </w:pPr>
          </w:p>
        </w:tc>
      </w:tr>
      <w:tr w:rsidR="009F5561" w:rsidRPr="00C1643E" w:rsidTr="00A62471">
        <w:tc>
          <w:tcPr>
            <w:tcW w:w="2427" w:type="pct"/>
          </w:tcPr>
          <w:p w:rsidR="009F5561" w:rsidRPr="00C1643E" w:rsidRDefault="009F5561" w:rsidP="00A62471">
            <w:pPr>
              <w:jc w:val="both"/>
              <w:rPr>
                <w:rFonts w:eastAsia="Calibri"/>
                <w:sz w:val="20"/>
              </w:rPr>
            </w:pPr>
            <w:r w:rsidRPr="00C1643E">
              <w:rPr>
                <w:rFonts w:eastAsia="Calibri"/>
                <w:sz w:val="20"/>
              </w:rPr>
              <w:lastRenderedPageBreak/>
              <w:t>September 30, 2009</w:t>
            </w:r>
          </w:p>
          <w:p w:rsidR="009F5561" w:rsidRPr="00C1643E" w:rsidRDefault="009F5561" w:rsidP="00A62471">
            <w:pPr>
              <w:jc w:val="both"/>
              <w:rPr>
                <w:rFonts w:eastAsia="Calibri"/>
                <w:sz w:val="20"/>
              </w:rPr>
            </w:pPr>
            <w:r w:rsidRPr="00C1643E">
              <w:rPr>
                <w:rFonts w:eastAsia="Calibri"/>
                <w:sz w:val="20"/>
              </w:rPr>
              <w:t>Supreme Court of British Columbia</w:t>
            </w:r>
          </w:p>
          <w:p w:rsidR="009F5561" w:rsidRPr="00C1643E" w:rsidRDefault="009F5561" w:rsidP="00A62471">
            <w:pPr>
              <w:jc w:val="both"/>
              <w:rPr>
                <w:rFonts w:eastAsia="Calibri"/>
                <w:sz w:val="20"/>
              </w:rPr>
            </w:pPr>
            <w:r w:rsidRPr="00C1643E">
              <w:rPr>
                <w:rFonts w:eastAsia="Calibri"/>
                <w:sz w:val="20"/>
              </w:rPr>
              <w:t>(Dickson J.)</w:t>
            </w:r>
          </w:p>
          <w:p w:rsidR="009F5561" w:rsidRPr="00C1643E" w:rsidRDefault="009F5561" w:rsidP="00A62471">
            <w:pPr>
              <w:jc w:val="both"/>
              <w:rPr>
                <w:rFonts w:eastAsia="Calibri"/>
                <w:sz w:val="20"/>
              </w:rPr>
            </w:pPr>
          </w:p>
        </w:tc>
        <w:tc>
          <w:tcPr>
            <w:tcW w:w="243" w:type="pct"/>
          </w:tcPr>
          <w:p w:rsidR="009F5561" w:rsidRPr="00C1643E" w:rsidRDefault="009F5561" w:rsidP="00A62471">
            <w:pPr>
              <w:jc w:val="both"/>
              <w:rPr>
                <w:rFonts w:eastAsia="Calibri"/>
                <w:sz w:val="20"/>
              </w:rPr>
            </w:pPr>
          </w:p>
        </w:tc>
        <w:tc>
          <w:tcPr>
            <w:tcW w:w="2330" w:type="pct"/>
          </w:tcPr>
          <w:p w:rsidR="009F5561" w:rsidRPr="00C1643E" w:rsidRDefault="009F5561" w:rsidP="00A62471">
            <w:pPr>
              <w:jc w:val="both"/>
              <w:rPr>
                <w:rFonts w:eastAsia="Calibri"/>
                <w:sz w:val="20"/>
              </w:rPr>
            </w:pPr>
            <w:r w:rsidRPr="00C1643E">
              <w:rPr>
                <w:rFonts w:eastAsia="Calibri"/>
                <w:sz w:val="20"/>
              </w:rPr>
              <w:t>Respondents’, Le Soleil Hospitality and Le Soleil Restaurant, action and counterclaim, allowed; applicants’ action, dismissed.</w:t>
            </w:r>
          </w:p>
          <w:p w:rsidR="009F5561" w:rsidRPr="00C1643E" w:rsidRDefault="009F5561" w:rsidP="00A62471">
            <w:pPr>
              <w:jc w:val="both"/>
              <w:rPr>
                <w:rFonts w:eastAsia="Calibri"/>
                <w:sz w:val="20"/>
              </w:rPr>
            </w:pPr>
          </w:p>
        </w:tc>
      </w:tr>
      <w:tr w:rsidR="009F5561" w:rsidRPr="00C1643E" w:rsidTr="00A62471">
        <w:tc>
          <w:tcPr>
            <w:tcW w:w="2427" w:type="pct"/>
          </w:tcPr>
          <w:p w:rsidR="009F5561" w:rsidRPr="00C1643E" w:rsidRDefault="009F5561" w:rsidP="00A62471">
            <w:pPr>
              <w:jc w:val="both"/>
              <w:rPr>
                <w:rFonts w:eastAsia="Calibri"/>
                <w:sz w:val="20"/>
              </w:rPr>
            </w:pPr>
            <w:r w:rsidRPr="00C1643E">
              <w:rPr>
                <w:rFonts w:eastAsia="Calibri"/>
                <w:sz w:val="20"/>
              </w:rPr>
              <w:t>June 30, 2011</w:t>
            </w:r>
          </w:p>
          <w:p w:rsidR="009F5561" w:rsidRPr="00C1643E" w:rsidRDefault="009F5561" w:rsidP="00A62471">
            <w:pPr>
              <w:jc w:val="both"/>
              <w:rPr>
                <w:rFonts w:eastAsia="Calibri"/>
                <w:sz w:val="20"/>
              </w:rPr>
            </w:pPr>
            <w:r w:rsidRPr="00C1643E">
              <w:rPr>
                <w:rFonts w:eastAsia="Calibri"/>
                <w:sz w:val="20"/>
              </w:rPr>
              <w:t>Court of Appeal for British Columbia (Vancouver)</w:t>
            </w:r>
          </w:p>
          <w:p w:rsidR="009F5561" w:rsidRPr="00C1643E" w:rsidRDefault="009F5561" w:rsidP="00A62471">
            <w:pPr>
              <w:jc w:val="both"/>
              <w:rPr>
                <w:rFonts w:eastAsia="Calibri"/>
                <w:sz w:val="20"/>
              </w:rPr>
            </w:pPr>
            <w:r w:rsidRPr="00C1643E">
              <w:rPr>
                <w:rFonts w:eastAsia="Calibri"/>
                <w:sz w:val="20"/>
              </w:rPr>
              <w:t>(Prowse, Tysoe and Garson JJ.A.)</w:t>
            </w:r>
          </w:p>
          <w:p w:rsidR="009F5561" w:rsidRPr="00C1643E" w:rsidRDefault="009F5561" w:rsidP="00A62471">
            <w:pPr>
              <w:jc w:val="both"/>
              <w:rPr>
                <w:rFonts w:eastAsia="Calibri"/>
                <w:sz w:val="20"/>
              </w:rPr>
            </w:pPr>
          </w:p>
        </w:tc>
        <w:tc>
          <w:tcPr>
            <w:tcW w:w="243" w:type="pct"/>
          </w:tcPr>
          <w:p w:rsidR="009F5561" w:rsidRPr="00C1643E" w:rsidRDefault="009F5561" w:rsidP="00A62471">
            <w:pPr>
              <w:jc w:val="both"/>
              <w:rPr>
                <w:rFonts w:eastAsia="Calibri"/>
                <w:sz w:val="20"/>
              </w:rPr>
            </w:pPr>
          </w:p>
        </w:tc>
        <w:tc>
          <w:tcPr>
            <w:tcW w:w="2330" w:type="pct"/>
          </w:tcPr>
          <w:p w:rsidR="009F5561" w:rsidRPr="00C1643E" w:rsidRDefault="009F5561" w:rsidP="00A62471">
            <w:pPr>
              <w:jc w:val="both"/>
              <w:rPr>
                <w:rFonts w:eastAsia="Calibri"/>
                <w:sz w:val="20"/>
              </w:rPr>
            </w:pPr>
            <w:r w:rsidRPr="00C1643E">
              <w:rPr>
                <w:rFonts w:eastAsia="Calibri"/>
                <w:sz w:val="20"/>
              </w:rPr>
              <w:t>Applicants’ appeals, dismissed.</w:t>
            </w:r>
          </w:p>
          <w:p w:rsidR="009F5561" w:rsidRPr="00C1643E" w:rsidRDefault="009F5561" w:rsidP="00A62471">
            <w:pPr>
              <w:jc w:val="both"/>
              <w:rPr>
                <w:rFonts w:eastAsia="Calibri"/>
                <w:sz w:val="20"/>
              </w:rPr>
            </w:pPr>
          </w:p>
        </w:tc>
      </w:tr>
      <w:tr w:rsidR="009F5561" w:rsidRPr="00C1643E" w:rsidTr="00A62471">
        <w:tc>
          <w:tcPr>
            <w:tcW w:w="2427" w:type="pct"/>
          </w:tcPr>
          <w:p w:rsidR="009F5561" w:rsidRPr="00C1643E" w:rsidRDefault="009F5561" w:rsidP="00A62471">
            <w:pPr>
              <w:jc w:val="both"/>
              <w:rPr>
                <w:rFonts w:eastAsia="Calibri"/>
                <w:sz w:val="20"/>
              </w:rPr>
            </w:pPr>
            <w:r w:rsidRPr="00C1643E">
              <w:rPr>
                <w:rFonts w:eastAsia="Calibri"/>
                <w:sz w:val="20"/>
              </w:rPr>
              <w:t>September 26, 2011</w:t>
            </w:r>
          </w:p>
          <w:p w:rsidR="009F5561" w:rsidRPr="00C1643E" w:rsidRDefault="009F5561" w:rsidP="00A62471">
            <w:pPr>
              <w:jc w:val="both"/>
              <w:rPr>
                <w:rFonts w:eastAsia="Calibri"/>
                <w:sz w:val="20"/>
              </w:rPr>
            </w:pPr>
            <w:r w:rsidRPr="00C1643E">
              <w:rPr>
                <w:rFonts w:eastAsia="Calibri"/>
                <w:sz w:val="20"/>
              </w:rPr>
              <w:t>Supreme Court of Canada</w:t>
            </w:r>
          </w:p>
        </w:tc>
        <w:tc>
          <w:tcPr>
            <w:tcW w:w="243" w:type="pct"/>
          </w:tcPr>
          <w:p w:rsidR="009F5561" w:rsidRPr="00C1643E" w:rsidRDefault="009F5561" w:rsidP="00A62471">
            <w:pPr>
              <w:jc w:val="both"/>
              <w:rPr>
                <w:rFonts w:eastAsia="Calibri"/>
                <w:sz w:val="20"/>
              </w:rPr>
            </w:pPr>
          </w:p>
        </w:tc>
        <w:tc>
          <w:tcPr>
            <w:tcW w:w="2330" w:type="pct"/>
          </w:tcPr>
          <w:p w:rsidR="009F5561" w:rsidRPr="00C1643E" w:rsidRDefault="009F5561" w:rsidP="00A62471">
            <w:pPr>
              <w:jc w:val="both"/>
              <w:rPr>
                <w:rFonts w:eastAsia="Calibri"/>
                <w:sz w:val="20"/>
              </w:rPr>
            </w:pPr>
            <w:r w:rsidRPr="00C1643E">
              <w:rPr>
                <w:rFonts w:eastAsia="Calibri"/>
                <w:sz w:val="20"/>
              </w:rPr>
              <w:t>Application for leave to appeal, filed.</w:t>
            </w:r>
          </w:p>
          <w:p w:rsidR="009F5561" w:rsidRPr="00C1643E" w:rsidRDefault="009F5561" w:rsidP="00A62471">
            <w:pPr>
              <w:jc w:val="both"/>
              <w:rPr>
                <w:rFonts w:eastAsia="Calibri"/>
                <w:sz w:val="20"/>
              </w:rPr>
            </w:pPr>
          </w:p>
        </w:tc>
      </w:tr>
    </w:tbl>
    <w:p w:rsidR="00E82950" w:rsidRDefault="00E82950" w:rsidP="008D292F">
      <w:pPr>
        <w:rPr>
          <w:sz w:val="20"/>
          <w:szCs w:val="20"/>
        </w:rPr>
      </w:pPr>
    </w:p>
    <w:p w:rsidR="00E82950" w:rsidRPr="00C50A5C" w:rsidRDefault="009019DC" w:rsidP="00E82950">
      <w:pPr>
        <w:rPr>
          <w:sz w:val="20"/>
          <w:szCs w:val="20"/>
        </w:rPr>
      </w:pPr>
      <w:r w:rsidRPr="009019DC">
        <w:rPr>
          <w:sz w:val="20"/>
          <w:szCs w:val="20"/>
          <w:lang w:val="fr-CA"/>
        </w:rPr>
        <w:pict>
          <v:rect id="_x0000_i1038" style="width:2in;height:1pt" o:hrpct="0" o:hralign="center" o:hrstd="t" o:hrnoshade="t" o:hr="t" fillcolor="black [3213]" stroked="f"/>
        </w:pict>
      </w:r>
    </w:p>
    <w:p w:rsidR="00E82950" w:rsidRDefault="00E82950" w:rsidP="00E82950">
      <w:pPr>
        <w:rPr>
          <w:sz w:val="20"/>
          <w:szCs w:val="20"/>
        </w:rPr>
      </w:pPr>
    </w:p>
    <w:p w:rsidR="00E82950" w:rsidRPr="001B157C" w:rsidRDefault="00E82950" w:rsidP="00E82950">
      <w:pPr>
        <w:rPr>
          <w:sz w:val="20"/>
          <w:szCs w:val="20"/>
          <w:u w:val="single"/>
          <w:lang w:val="fr-CA"/>
        </w:rPr>
      </w:pPr>
      <w:r w:rsidRPr="001B157C">
        <w:rPr>
          <w:sz w:val="20"/>
          <w:szCs w:val="20"/>
          <w:u w:val="single"/>
          <w:lang w:val="fr-CA"/>
        </w:rPr>
        <w:t>RÉSUMÉ DE L’AFFAIRE</w:t>
      </w:r>
    </w:p>
    <w:p w:rsidR="00E82950" w:rsidRDefault="00E82950"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F5561" w:rsidRPr="00C1643E" w:rsidTr="00A62471">
        <w:tc>
          <w:tcPr>
            <w:tcW w:w="5000" w:type="pct"/>
            <w:gridSpan w:val="3"/>
          </w:tcPr>
          <w:p w:rsidR="009F5561" w:rsidRPr="00C1643E" w:rsidRDefault="009F5561" w:rsidP="00A62471">
            <w:pPr>
              <w:jc w:val="both"/>
              <w:rPr>
                <w:rFonts w:eastAsia="Calibri"/>
                <w:sz w:val="20"/>
                <w:lang w:val="fr-FR"/>
              </w:rPr>
            </w:pPr>
            <w:r w:rsidRPr="00C1643E">
              <w:rPr>
                <w:rFonts w:eastAsia="Calibri"/>
                <w:sz w:val="20"/>
                <w:lang w:val="fr-FR"/>
              </w:rPr>
              <w:t>Contrats – Violation de contrat – Dommages-intérêts – Exécution en nature – Dommages-intérêts punitifs – Fraude – Complot – Le pouvoir discrétionnaire dont dispose une cour pour ordonner une exécution en nature supplante-t-il les exigences légales quant à l’éviction d’un locataire prévues dans la législation relative aux baux commerciaux ? En l’absence de preuve de dommages pécuniaires, est-il justifié de faire droit à une allégation de fraude, de complot et d’incitation à commettre un acte répréhensible dans des causes civiles ? – Est-il justifié de condamner un tiers qui n’a participé que partiellement au procès à payer des dépens spéciaux et punitifs ?</w:t>
            </w:r>
          </w:p>
          <w:p w:rsidR="009F5561" w:rsidRPr="00C1643E" w:rsidRDefault="009F5561" w:rsidP="00A62471">
            <w:pPr>
              <w:jc w:val="both"/>
              <w:rPr>
                <w:rFonts w:eastAsia="Calibri"/>
                <w:sz w:val="20"/>
                <w:lang w:val="fr-FR"/>
              </w:rPr>
            </w:pPr>
          </w:p>
          <w:p w:rsidR="009F5561" w:rsidRPr="00C1643E" w:rsidRDefault="009F5561" w:rsidP="00A62471">
            <w:pPr>
              <w:jc w:val="both"/>
              <w:rPr>
                <w:rFonts w:eastAsia="Calibri"/>
                <w:sz w:val="20"/>
                <w:lang w:val="fr-FR"/>
              </w:rPr>
            </w:pPr>
            <w:r w:rsidRPr="00C1643E">
              <w:rPr>
                <w:rFonts w:eastAsia="Calibri"/>
                <w:sz w:val="20"/>
                <w:lang w:val="fr-FR"/>
              </w:rPr>
              <w:t xml:space="preserve">Le Soleil Hotel est un hôtel boutique en copropriété situé dans le centre-ville de Vancouver. Il comporte à la fois des unités commerciales et des unités résidentielles.  La plupart de ces dernières étaient incluses dans les opérations de l’hôtel.  Toutefois, certaines d’entre elles appartenaient à des individus qui les avaient achetées du promoteur de l’hôtel et les avaient loués à nouveau pour permettre le fonctionnement de l’hôtel.  M. Andrew Louie, par le truchement de compagnies à numéro (le « Groupe Louie ») était propriétaire des lots commerciaux qu’il louait au restaurant de l’hôtel.  Il contrôlait aussi un grand nombre d’unités résidentielles.  Par suite de désaccords avec le gestionnaire de l’hôtel, le Groupe Louie a retiré ses unités du bassin des unités à louer de l’hôtel et, par le truchement de 567 Hornby Apartment Ltd. et de son propriétaire Syed Nomani (le « Groupe Nomani »), a commencé à exploiter un hôtel concurrent à l’hôtel Le Soleil.  De plus, le Groupe Louie soutenait les efforts d’un groupe de propriétaires qui tentaient de prendre le contrôle de l’hôtel.  Le Soleil a conclu que le Groupe Louie et le Groupe Nomani travaillaient pour nuire à l’hôtel. Il a donc intenté un recours contre eux et sollicité une injonction qui interdirait au Groupe Louie de poser des gestes nuisibles à son encontre.  Avant l’audience, les parties ont convenu d’un accord qui a mené à la signature d’une lettre d’intention. Celle-ci stipulait que les unités du Groupe Louie seraient louées à l’hôtel Le Soleil et prévoyait une option d’achat des unités en question, une modification du bail du restaurant, un engagement à s’abstenir de soutenir des poursuites contraires aux intérêts de Le Soleil et un  désistement quant aux recours déjà intentés.  Peu de temps après la signature de la lettre d’intention, le Groupe Louie a refusé d’y donner suite. Le Soleil a alors intenté un recours en vue de forcer le respect de la lettre en question (la « cause relative à l’entente de règlement »).  567 Hornby Apartment a aussi intenté un recours sollicitant une déclaration selon laquelle ce qu’elle prétendait être son droit de premier refus relatif aux unités du Groupe Louie était valide et inchangé par la lettre d’intention (l’« action DPR »).  L’entente quant au droit de premier refus aurait été rédigée et signée avant que ne se tiennent les négociations qui ont mené à l’entente consignée dans la lettre d’intention. L’hôtel Le Soleil a déposé une demande reconventionnelle dans laquelle il prétendait que la Groupe Nomani et le Groupe Louie ont conspiré pour le priver des droits qui lui étaient consentis par la lettre d’intention et avaient fabriquer les documents faisant état du droit </w:t>
            </w:r>
            <w:r w:rsidRPr="00C1643E">
              <w:rPr>
                <w:rFonts w:eastAsia="Calibri"/>
                <w:sz w:val="20"/>
                <w:lang w:val="fr-FR"/>
              </w:rPr>
              <w:lastRenderedPageBreak/>
              <w:t>de premier refus.</w:t>
            </w:r>
          </w:p>
          <w:p w:rsidR="009F5561" w:rsidRPr="00C1643E" w:rsidRDefault="009F5561" w:rsidP="00A62471">
            <w:pPr>
              <w:jc w:val="both"/>
              <w:rPr>
                <w:rFonts w:eastAsia="Calibri"/>
                <w:sz w:val="20"/>
                <w:lang w:val="fr-FR"/>
              </w:rPr>
            </w:pPr>
          </w:p>
          <w:p w:rsidR="009F5561" w:rsidRPr="00C1643E" w:rsidRDefault="009F5561" w:rsidP="00A62471">
            <w:pPr>
              <w:jc w:val="both"/>
              <w:rPr>
                <w:rFonts w:eastAsia="Calibri"/>
                <w:sz w:val="20"/>
                <w:lang w:val="fr-FR"/>
              </w:rPr>
            </w:pPr>
            <w:r w:rsidRPr="00C1643E">
              <w:rPr>
                <w:rFonts w:eastAsia="Calibri"/>
                <w:sz w:val="20"/>
                <w:lang w:val="fr-FR"/>
              </w:rPr>
              <w:t>Dans la cause relative à l’entente de règlement, la Cour suprême de la Colombie-Britannique a accueilli le recours intenté par Le Soleil et ordonné l’exécution en nature de l’option d’achat visant les unités pour un prix total de 4 915 012,60 $. Elle a aussi ordonné au Groupe Louie de payer des dommages-intérêts de 1 967 305,31 $ en plus des frais judiciaires qu’a eu à assumer Le Soleil relativement à l’autre recours lié à la présente affaire et a condamné le Groupe Louie et le Groupe Nomani  à lui payer des dépens spéciaux.  Dans le recours DPR, le juge du procès a rejeté la prétention du Groupe Nomani, a condamné ce dernier ainsi que le Groupe Louie à payer, d’une part, chacun 100 000 $ à l’hôtel Le Soleil à titre de dommages punitifs et, d’autre part, les dépens spéciaux de l’action.  La Cour d’appel a rejeté les appels.</w:t>
            </w:r>
          </w:p>
          <w:p w:rsidR="009F5561" w:rsidRPr="00C1643E" w:rsidRDefault="009F5561" w:rsidP="00A62471">
            <w:pPr>
              <w:jc w:val="both"/>
              <w:rPr>
                <w:rFonts w:eastAsia="Calibri"/>
                <w:sz w:val="20"/>
                <w:lang w:val="fr-FR"/>
              </w:rPr>
            </w:pPr>
          </w:p>
        </w:tc>
      </w:tr>
      <w:tr w:rsidR="009F5561" w:rsidRPr="00F8135D" w:rsidTr="00A62471">
        <w:tc>
          <w:tcPr>
            <w:tcW w:w="2427" w:type="pct"/>
          </w:tcPr>
          <w:p w:rsidR="009F5561" w:rsidRPr="00C1643E" w:rsidRDefault="009F5561" w:rsidP="00A62471">
            <w:pPr>
              <w:jc w:val="both"/>
              <w:rPr>
                <w:rFonts w:eastAsia="Calibri"/>
                <w:sz w:val="20"/>
                <w:lang w:val="fr-FR"/>
              </w:rPr>
            </w:pPr>
            <w:r w:rsidRPr="00C1643E">
              <w:rPr>
                <w:rFonts w:eastAsia="Calibri"/>
                <w:sz w:val="20"/>
                <w:lang w:val="fr-FR"/>
              </w:rPr>
              <w:lastRenderedPageBreak/>
              <w:t>30 septembre 2009</w:t>
            </w:r>
          </w:p>
          <w:p w:rsidR="009F5561" w:rsidRPr="00C1643E" w:rsidRDefault="009F5561" w:rsidP="00A62471">
            <w:pPr>
              <w:jc w:val="both"/>
              <w:rPr>
                <w:rFonts w:eastAsia="Calibri"/>
                <w:sz w:val="20"/>
                <w:lang w:val="fr-FR"/>
              </w:rPr>
            </w:pPr>
            <w:r w:rsidRPr="00C1643E">
              <w:rPr>
                <w:rFonts w:eastAsia="Calibri"/>
                <w:sz w:val="20"/>
                <w:lang w:val="fr-FR"/>
              </w:rPr>
              <w:t>Cour suprême de la Colombie-Britannique</w:t>
            </w:r>
          </w:p>
          <w:p w:rsidR="009F5561" w:rsidRPr="00C1643E" w:rsidRDefault="009F5561" w:rsidP="00A62471">
            <w:pPr>
              <w:jc w:val="both"/>
              <w:rPr>
                <w:rFonts w:eastAsia="Calibri"/>
                <w:sz w:val="20"/>
              </w:rPr>
            </w:pPr>
            <w:r w:rsidRPr="00C1643E">
              <w:rPr>
                <w:rFonts w:eastAsia="Calibri"/>
                <w:sz w:val="20"/>
              </w:rPr>
              <w:t>(Juge Dickson)</w:t>
            </w:r>
          </w:p>
          <w:p w:rsidR="009F5561" w:rsidRPr="00C1643E" w:rsidRDefault="009F5561" w:rsidP="00A62471">
            <w:pPr>
              <w:jc w:val="both"/>
              <w:rPr>
                <w:rFonts w:eastAsia="Calibri"/>
                <w:sz w:val="20"/>
              </w:rPr>
            </w:pPr>
          </w:p>
        </w:tc>
        <w:tc>
          <w:tcPr>
            <w:tcW w:w="243" w:type="pct"/>
          </w:tcPr>
          <w:p w:rsidR="009F5561" w:rsidRPr="00C1643E" w:rsidRDefault="009F5561" w:rsidP="00A62471">
            <w:pPr>
              <w:jc w:val="both"/>
              <w:rPr>
                <w:rFonts w:eastAsia="Calibri"/>
                <w:sz w:val="20"/>
              </w:rPr>
            </w:pPr>
          </w:p>
        </w:tc>
        <w:tc>
          <w:tcPr>
            <w:tcW w:w="2330" w:type="pct"/>
          </w:tcPr>
          <w:p w:rsidR="009F5561" w:rsidRPr="00C1643E" w:rsidRDefault="009F5561" w:rsidP="00A62471">
            <w:pPr>
              <w:jc w:val="both"/>
              <w:rPr>
                <w:rFonts w:eastAsia="Calibri"/>
                <w:sz w:val="20"/>
                <w:lang w:val="fr-FR"/>
              </w:rPr>
            </w:pPr>
            <w:r w:rsidRPr="00C1643E">
              <w:rPr>
                <w:rFonts w:eastAsia="Calibri"/>
                <w:sz w:val="20"/>
                <w:lang w:val="fr-FR"/>
              </w:rPr>
              <w:t>Poursuite et poursuite incidente des intimés, Le Soleil Hospitality et Le Soleil Restaurant, accueillies; poursuite des demandeurs rejetée</w:t>
            </w:r>
          </w:p>
          <w:p w:rsidR="009F5561" w:rsidRPr="00C1643E" w:rsidRDefault="009F5561" w:rsidP="00A62471">
            <w:pPr>
              <w:jc w:val="both"/>
              <w:rPr>
                <w:rFonts w:eastAsia="Calibri"/>
                <w:sz w:val="20"/>
                <w:lang w:val="fr-FR"/>
              </w:rPr>
            </w:pPr>
          </w:p>
        </w:tc>
      </w:tr>
      <w:tr w:rsidR="009F5561" w:rsidRPr="00C1643E" w:rsidTr="00A62471">
        <w:tc>
          <w:tcPr>
            <w:tcW w:w="2427" w:type="pct"/>
          </w:tcPr>
          <w:p w:rsidR="009F5561" w:rsidRPr="00C1643E" w:rsidRDefault="009F5561" w:rsidP="00A62471">
            <w:pPr>
              <w:jc w:val="both"/>
              <w:rPr>
                <w:rFonts w:eastAsia="Calibri"/>
                <w:sz w:val="20"/>
                <w:lang w:val="fr-FR"/>
              </w:rPr>
            </w:pPr>
            <w:r w:rsidRPr="00C1643E">
              <w:rPr>
                <w:rFonts w:eastAsia="Calibri"/>
                <w:sz w:val="20"/>
                <w:lang w:val="fr-FR"/>
              </w:rPr>
              <w:t>30 juin 2011</w:t>
            </w:r>
          </w:p>
          <w:p w:rsidR="009F5561" w:rsidRPr="00C1643E" w:rsidRDefault="009F5561" w:rsidP="00A62471">
            <w:pPr>
              <w:jc w:val="both"/>
              <w:rPr>
                <w:rFonts w:eastAsia="Calibri"/>
                <w:sz w:val="20"/>
                <w:lang w:val="fr-FR"/>
              </w:rPr>
            </w:pPr>
            <w:r w:rsidRPr="00C1643E">
              <w:rPr>
                <w:rFonts w:eastAsia="Calibri"/>
                <w:sz w:val="20"/>
                <w:lang w:val="fr-FR"/>
              </w:rPr>
              <w:t>Cour d’appel de la Colombie-Britannique (Vancouver)</w:t>
            </w:r>
          </w:p>
          <w:p w:rsidR="009F5561" w:rsidRPr="00C1643E" w:rsidRDefault="009F5561" w:rsidP="00A62471">
            <w:pPr>
              <w:jc w:val="both"/>
              <w:rPr>
                <w:rFonts w:eastAsia="Calibri"/>
                <w:sz w:val="20"/>
                <w:lang w:val="fr-FR"/>
              </w:rPr>
            </w:pPr>
            <w:r w:rsidRPr="00C1643E">
              <w:rPr>
                <w:rFonts w:eastAsia="Calibri"/>
                <w:sz w:val="20"/>
                <w:lang w:val="fr-FR"/>
              </w:rPr>
              <w:t>(Juges Prowse, Tysoe et Garson)</w:t>
            </w:r>
          </w:p>
          <w:p w:rsidR="009F5561" w:rsidRPr="00C1643E" w:rsidRDefault="009F5561" w:rsidP="00A62471">
            <w:pPr>
              <w:jc w:val="both"/>
              <w:rPr>
                <w:rFonts w:eastAsia="Calibri"/>
                <w:sz w:val="20"/>
                <w:lang w:val="fr-FR"/>
              </w:rPr>
            </w:pPr>
          </w:p>
        </w:tc>
        <w:tc>
          <w:tcPr>
            <w:tcW w:w="243" w:type="pct"/>
          </w:tcPr>
          <w:p w:rsidR="009F5561" w:rsidRPr="00C1643E" w:rsidRDefault="009F5561" w:rsidP="00A62471">
            <w:pPr>
              <w:jc w:val="both"/>
              <w:rPr>
                <w:rFonts w:eastAsia="Calibri"/>
                <w:sz w:val="20"/>
                <w:lang w:val="fr-FR"/>
              </w:rPr>
            </w:pPr>
          </w:p>
        </w:tc>
        <w:tc>
          <w:tcPr>
            <w:tcW w:w="2330" w:type="pct"/>
          </w:tcPr>
          <w:p w:rsidR="009F5561" w:rsidRPr="00C1643E" w:rsidRDefault="009F5561" w:rsidP="00A62471">
            <w:pPr>
              <w:jc w:val="both"/>
              <w:rPr>
                <w:rFonts w:eastAsia="Calibri"/>
                <w:sz w:val="20"/>
                <w:lang w:val="fr-FR"/>
              </w:rPr>
            </w:pPr>
            <w:r w:rsidRPr="00C1643E">
              <w:rPr>
                <w:rFonts w:eastAsia="Calibri"/>
                <w:sz w:val="20"/>
                <w:lang w:val="fr-FR"/>
              </w:rPr>
              <w:t>Appels des demandeurs rejetés</w:t>
            </w:r>
          </w:p>
          <w:p w:rsidR="009F5561" w:rsidRPr="00C1643E" w:rsidRDefault="009F5561" w:rsidP="00A62471">
            <w:pPr>
              <w:jc w:val="both"/>
              <w:rPr>
                <w:rFonts w:eastAsia="Calibri"/>
                <w:sz w:val="20"/>
                <w:lang w:val="fr-FR"/>
              </w:rPr>
            </w:pPr>
          </w:p>
        </w:tc>
      </w:tr>
      <w:tr w:rsidR="009F5561" w:rsidRPr="00C1643E" w:rsidTr="00A62471">
        <w:tc>
          <w:tcPr>
            <w:tcW w:w="2427" w:type="pct"/>
          </w:tcPr>
          <w:p w:rsidR="009F5561" w:rsidRPr="00325A82" w:rsidRDefault="009F5561" w:rsidP="00A62471">
            <w:pPr>
              <w:jc w:val="both"/>
              <w:rPr>
                <w:rFonts w:eastAsia="Calibri"/>
                <w:sz w:val="20"/>
                <w:lang w:val="fr-CA"/>
              </w:rPr>
            </w:pPr>
            <w:r w:rsidRPr="00325A82">
              <w:rPr>
                <w:rFonts w:eastAsia="Calibri"/>
                <w:sz w:val="20"/>
                <w:lang w:val="fr-CA"/>
              </w:rPr>
              <w:t>26 septembre 2011</w:t>
            </w:r>
          </w:p>
          <w:p w:rsidR="009F5561" w:rsidRPr="00325A82" w:rsidRDefault="009F5561" w:rsidP="00A62471">
            <w:pPr>
              <w:jc w:val="both"/>
              <w:rPr>
                <w:rFonts w:eastAsia="Calibri"/>
                <w:sz w:val="20"/>
                <w:lang w:val="fr-CA"/>
              </w:rPr>
            </w:pPr>
            <w:r w:rsidRPr="00325A82">
              <w:rPr>
                <w:rFonts w:eastAsia="Calibri"/>
                <w:sz w:val="20"/>
                <w:lang w:val="fr-CA"/>
              </w:rPr>
              <w:t>Cour suprême du Canada</w:t>
            </w:r>
          </w:p>
        </w:tc>
        <w:tc>
          <w:tcPr>
            <w:tcW w:w="243" w:type="pct"/>
          </w:tcPr>
          <w:p w:rsidR="009F5561" w:rsidRPr="00325A82" w:rsidRDefault="009F5561" w:rsidP="00A62471">
            <w:pPr>
              <w:jc w:val="both"/>
              <w:rPr>
                <w:rFonts w:eastAsia="Calibri"/>
                <w:sz w:val="20"/>
                <w:lang w:val="fr-CA"/>
              </w:rPr>
            </w:pPr>
          </w:p>
        </w:tc>
        <w:tc>
          <w:tcPr>
            <w:tcW w:w="2330" w:type="pct"/>
          </w:tcPr>
          <w:p w:rsidR="009F5561" w:rsidRPr="00C1643E" w:rsidRDefault="009F5561" w:rsidP="00A62471">
            <w:pPr>
              <w:jc w:val="both"/>
              <w:rPr>
                <w:rFonts w:eastAsia="Calibri"/>
                <w:sz w:val="20"/>
              </w:rPr>
            </w:pPr>
            <w:r w:rsidRPr="00C1643E">
              <w:rPr>
                <w:rFonts w:eastAsia="Calibri"/>
                <w:sz w:val="20"/>
              </w:rPr>
              <w:t>Demande d’autorisation d’appel déposée</w:t>
            </w:r>
          </w:p>
        </w:tc>
      </w:tr>
    </w:tbl>
    <w:p w:rsidR="00E82950" w:rsidRDefault="00E82950" w:rsidP="008D292F">
      <w:pPr>
        <w:rPr>
          <w:sz w:val="20"/>
          <w:szCs w:val="20"/>
        </w:rPr>
      </w:pPr>
    </w:p>
    <w:p w:rsidR="00E82950" w:rsidRPr="00C50A5C" w:rsidRDefault="009019DC" w:rsidP="00E82950">
      <w:pPr>
        <w:rPr>
          <w:sz w:val="20"/>
          <w:szCs w:val="20"/>
        </w:rPr>
      </w:pPr>
      <w:r w:rsidRPr="009019DC">
        <w:rPr>
          <w:sz w:val="20"/>
          <w:szCs w:val="20"/>
          <w:lang w:val="fr-CA"/>
        </w:rPr>
        <w:pict>
          <v:rect id="_x0000_i1039" style="width:2in;height:1pt" o:hrpct="0" o:hralign="center" o:hrstd="t" o:hrnoshade="t" o:hr="t" fillcolor="black [3213]" stroked="f"/>
        </w:pict>
      </w:r>
    </w:p>
    <w:p w:rsidR="00E82950" w:rsidRDefault="00E82950" w:rsidP="00E829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701ED" w:rsidRPr="007F7937" w:rsidTr="003B76D9">
        <w:trPr>
          <w:cantSplit/>
        </w:trPr>
        <w:tc>
          <w:tcPr>
            <w:tcW w:w="1458" w:type="dxa"/>
          </w:tcPr>
          <w:p w:rsidR="00B701ED" w:rsidRPr="007F7937" w:rsidRDefault="00B701ED" w:rsidP="003B76D9">
            <w:pPr>
              <w:rPr>
                <w:sz w:val="20"/>
                <w:szCs w:val="20"/>
              </w:rPr>
            </w:pPr>
            <w:r w:rsidRPr="007F7937">
              <w:rPr>
                <w:rStyle w:val="SCCFileNumberChar"/>
                <w:sz w:val="20"/>
                <w:szCs w:val="20"/>
              </w:rPr>
              <w:t>34486</w:t>
            </w:r>
          </w:p>
          <w:p w:rsidR="00B701ED" w:rsidRPr="007F7937" w:rsidRDefault="00B701ED" w:rsidP="003B76D9">
            <w:pPr>
              <w:rPr>
                <w:b/>
                <w:sz w:val="20"/>
                <w:szCs w:val="20"/>
                <w:lang w:val="fr-CA"/>
              </w:rPr>
            </w:pPr>
          </w:p>
        </w:tc>
        <w:tc>
          <w:tcPr>
            <w:tcW w:w="8118" w:type="dxa"/>
          </w:tcPr>
          <w:p w:rsidR="00B701ED" w:rsidRPr="007F7937" w:rsidRDefault="00B701ED" w:rsidP="003B76D9">
            <w:pPr>
              <w:jc w:val="both"/>
              <w:rPr>
                <w:sz w:val="20"/>
                <w:szCs w:val="20"/>
              </w:rPr>
            </w:pPr>
            <w:r w:rsidRPr="00F3363A">
              <w:rPr>
                <w:rStyle w:val="SCCLsocChar"/>
                <w:sz w:val="20"/>
                <w:szCs w:val="20"/>
              </w:rPr>
              <w:t>Andrew Louie, 668706 B.C. Ltd., 688571 B.C. Ltd., 708583 B.C. Ltd., 716642 B.C. Ltd., 716648 B.C. Ltd., 700439 B.C. Ltd., and 587019 B.C. Ltd. v. Le Soleil Hospitality Inc.</w:t>
            </w:r>
            <w:r w:rsidR="00B730A8" w:rsidRPr="00F3363A">
              <w:rPr>
                <w:rStyle w:val="SCCLsocChar"/>
                <w:sz w:val="20"/>
                <w:szCs w:val="20"/>
              </w:rPr>
              <w:t xml:space="preserve"> and</w:t>
            </w:r>
            <w:r w:rsidRPr="00F3363A">
              <w:rPr>
                <w:rStyle w:val="SCCLsocChar"/>
                <w:sz w:val="20"/>
                <w:szCs w:val="20"/>
              </w:rPr>
              <w:t xml:space="preserve"> Le Soleil Restaurant Inc.</w:t>
            </w:r>
            <w:r w:rsidRPr="00F3363A">
              <w:rPr>
                <w:sz w:val="20"/>
                <w:szCs w:val="20"/>
                <w:lang w:val="fr-CA"/>
              </w:rPr>
              <w:t xml:space="preserve"> </w:t>
            </w:r>
            <w:r w:rsidRPr="007F7937">
              <w:rPr>
                <w:sz w:val="20"/>
                <w:szCs w:val="20"/>
              </w:rPr>
              <w:t>(B.C.) (Civil) (By Leave)</w:t>
            </w:r>
          </w:p>
          <w:p w:rsidR="00B701ED" w:rsidRPr="007F7937" w:rsidRDefault="00B701ED" w:rsidP="003B76D9">
            <w:pPr>
              <w:rPr>
                <w:sz w:val="20"/>
                <w:szCs w:val="20"/>
              </w:rPr>
            </w:pPr>
          </w:p>
        </w:tc>
      </w:tr>
      <w:tr w:rsidR="00B701ED" w:rsidRPr="007F7937" w:rsidTr="003B76D9">
        <w:trPr>
          <w:cantSplit/>
        </w:trPr>
        <w:tc>
          <w:tcPr>
            <w:tcW w:w="1458" w:type="dxa"/>
          </w:tcPr>
          <w:p w:rsidR="00B701ED" w:rsidRPr="007F7937" w:rsidRDefault="00B701ED" w:rsidP="003B76D9">
            <w:pPr>
              <w:rPr>
                <w:sz w:val="20"/>
                <w:szCs w:val="20"/>
              </w:rPr>
            </w:pPr>
            <w:r w:rsidRPr="007F7937">
              <w:rPr>
                <w:sz w:val="20"/>
                <w:szCs w:val="20"/>
              </w:rPr>
              <w:t>Coram :</w:t>
            </w:r>
          </w:p>
        </w:tc>
        <w:tc>
          <w:tcPr>
            <w:tcW w:w="8118" w:type="dxa"/>
          </w:tcPr>
          <w:p w:rsidR="00B701ED" w:rsidRPr="007F7937" w:rsidRDefault="00B701ED" w:rsidP="003B76D9">
            <w:pPr>
              <w:rPr>
                <w:sz w:val="20"/>
                <w:szCs w:val="20"/>
              </w:rPr>
            </w:pPr>
            <w:r w:rsidRPr="007F7937">
              <w:rPr>
                <w:rStyle w:val="SCCCoramChar"/>
                <w:sz w:val="20"/>
                <w:szCs w:val="20"/>
                <w:lang w:val="en-CA"/>
              </w:rPr>
              <w:t>LeBel, Abella and Cromwell JJ.</w:t>
            </w:r>
          </w:p>
          <w:p w:rsidR="00B701ED" w:rsidRPr="007F7937" w:rsidRDefault="00B701ED" w:rsidP="003B76D9">
            <w:pPr>
              <w:rPr>
                <w:sz w:val="20"/>
                <w:szCs w:val="20"/>
                <w:u w:val="single"/>
              </w:rPr>
            </w:pPr>
          </w:p>
        </w:tc>
      </w:tr>
      <w:tr w:rsidR="00B701ED" w:rsidRPr="00F8135D" w:rsidTr="003B76D9">
        <w:trPr>
          <w:cantSplit/>
        </w:trPr>
        <w:tc>
          <w:tcPr>
            <w:tcW w:w="9576" w:type="dxa"/>
            <w:gridSpan w:val="2"/>
          </w:tcPr>
          <w:p w:rsidR="00B701ED" w:rsidRPr="007F7937" w:rsidRDefault="00B701ED" w:rsidP="003B76D9">
            <w:pPr>
              <w:pStyle w:val="SCCShortJudgment"/>
              <w:rPr>
                <w:szCs w:val="20"/>
                <w:lang w:val="fr-CA"/>
              </w:rPr>
            </w:pPr>
            <w:r w:rsidRPr="007F7937">
              <w:rPr>
                <w:szCs w:val="20"/>
              </w:rPr>
              <w:t xml:space="preserve">The application for leave to appeal from the judgment of the Court of Appeal for British Columbia (Vancouver), Number CA037611, 2011 BCCA 305, dated June 30, 2011, is dismissed with costs. </w:t>
            </w:r>
            <w:r w:rsidRPr="007F7937">
              <w:rPr>
                <w:szCs w:val="20"/>
                <w:lang w:val="fr-CA"/>
              </w:rPr>
              <w:t>The request for special costs award is denied.</w:t>
            </w:r>
          </w:p>
          <w:p w:rsidR="00B701ED" w:rsidRPr="007F7937" w:rsidRDefault="00B701ED" w:rsidP="003B76D9">
            <w:pPr>
              <w:pStyle w:val="SCCShortJudgment"/>
              <w:ind w:firstLine="0"/>
              <w:rPr>
                <w:szCs w:val="20"/>
                <w:lang w:val="fr-CA"/>
              </w:rPr>
            </w:pPr>
          </w:p>
          <w:p w:rsidR="00B701ED" w:rsidRPr="007F7937" w:rsidRDefault="00B701ED" w:rsidP="003B76D9">
            <w:pPr>
              <w:pStyle w:val="SCCShortJudgment"/>
              <w:rPr>
                <w:szCs w:val="20"/>
                <w:lang w:val="fr-CA"/>
              </w:rPr>
            </w:pPr>
            <w:r w:rsidRPr="007F7937">
              <w:rPr>
                <w:szCs w:val="20"/>
                <w:lang w:val="fr-CA"/>
              </w:rPr>
              <w:t>La demande d’autorisation d’appel de l’arrêt de la Cour d’appel de la Colombie-Britannique (Vancouver), numéro CA037611, 2011 BCCA 305, daté du 30 juin 2011, est rejetée avec dépens. La demande en vue d’obtenir des dépens spéciaux est refusée.</w:t>
            </w:r>
          </w:p>
        </w:tc>
      </w:tr>
    </w:tbl>
    <w:p w:rsidR="00E82950" w:rsidRPr="00B701ED" w:rsidRDefault="00E82950" w:rsidP="00E82950">
      <w:pPr>
        <w:rPr>
          <w:sz w:val="20"/>
          <w:szCs w:val="20"/>
          <w:lang w:val="fr-CA"/>
        </w:rPr>
      </w:pPr>
    </w:p>
    <w:p w:rsidR="00E82950" w:rsidRPr="001B157C" w:rsidRDefault="00E82950" w:rsidP="00E82950">
      <w:pPr>
        <w:rPr>
          <w:sz w:val="20"/>
          <w:szCs w:val="20"/>
          <w:u w:val="single"/>
        </w:rPr>
      </w:pPr>
      <w:r w:rsidRPr="001B157C">
        <w:rPr>
          <w:sz w:val="20"/>
          <w:szCs w:val="20"/>
          <w:u w:val="single"/>
        </w:rPr>
        <w:t>CASE SUMMARY</w:t>
      </w:r>
    </w:p>
    <w:p w:rsidR="00E82950" w:rsidRDefault="00E82950" w:rsidP="00E829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F5561" w:rsidRPr="00C1643E" w:rsidTr="00A62471">
        <w:tc>
          <w:tcPr>
            <w:tcW w:w="5000" w:type="pct"/>
            <w:gridSpan w:val="3"/>
          </w:tcPr>
          <w:p w:rsidR="009F5561" w:rsidRPr="00C1643E" w:rsidRDefault="009F5561" w:rsidP="00A62471">
            <w:pPr>
              <w:jc w:val="both"/>
              <w:rPr>
                <w:rFonts w:eastAsia="Calibri"/>
                <w:sz w:val="20"/>
              </w:rPr>
            </w:pPr>
            <w:r w:rsidRPr="00C1643E">
              <w:rPr>
                <w:rFonts w:eastAsia="Calibri"/>
                <w:sz w:val="20"/>
              </w:rPr>
              <w:t>Contracts – Breach of contract – Damages – Specific performance – Punitive damages – Fraud – Conspiracy – Whether the B.C. courts erred in awarding damages for loss of profit in addition to granting specific performance to convey property with abatement – Whether the B.C. courts erred in awarding damages for breach of covenants when granting specific performance.</w:t>
            </w:r>
          </w:p>
          <w:p w:rsidR="009F5561" w:rsidRPr="00C1643E" w:rsidRDefault="009F5561" w:rsidP="00A62471">
            <w:pPr>
              <w:jc w:val="both"/>
              <w:rPr>
                <w:rFonts w:eastAsia="Calibri"/>
                <w:sz w:val="20"/>
              </w:rPr>
            </w:pPr>
          </w:p>
        </w:tc>
      </w:tr>
      <w:tr w:rsidR="009F5561" w:rsidRPr="00C1643E" w:rsidTr="00A62471">
        <w:tc>
          <w:tcPr>
            <w:tcW w:w="5000" w:type="pct"/>
            <w:gridSpan w:val="3"/>
          </w:tcPr>
          <w:p w:rsidR="009F5561" w:rsidRPr="00C1643E" w:rsidRDefault="009F5561" w:rsidP="00A62471">
            <w:pPr>
              <w:jc w:val="both"/>
              <w:rPr>
                <w:rFonts w:eastAsia="Calibri"/>
                <w:sz w:val="20"/>
              </w:rPr>
            </w:pPr>
            <w:r w:rsidRPr="00C1643E">
              <w:rPr>
                <w:rFonts w:eastAsia="Calibri"/>
                <w:sz w:val="20"/>
              </w:rPr>
              <w:t xml:space="preserve">Le Soleil Hotel is a boutique strata title development in the downtown core of Vancouver, consisting of residential and commercial strata lots. Most of the residential strata lots were included in the hotel's operations, however some were owned by individuals which had been purchased from the hotel's developer and leased back to enable hotel operations. Dr. Andrew Louie, through numbered companies (the “Louie Group”), owned the commercial lots, which he leased back the hotel restaurant, and controlled a number of residential strata lots. After disagreements with the hotel </w:t>
            </w:r>
            <w:r w:rsidRPr="00C1643E">
              <w:rPr>
                <w:rFonts w:eastAsia="Calibri"/>
                <w:sz w:val="20"/>
              </w:rPr>
              <w:lastRenderedPageBreak/>
              <w:t xml:space="preserve">operator, the Louie Group removed their units from the hotel rental pool and, through 567 Hornby Apartment Ltd. and its owner Syed Nomani (the “Nomani Group”), began to operate a competing hotel operation within Le Soleil. In addition, the Louie Group supported the efforts of an owners group to gain control of the hotel. Le Soleil concluded that the Louie Group and the Nomani Group were working to oppose them and it commenced an action against them and applied for an injunction restraining the Louie Group from acting against it. Prior to the hearing, the parties reached a settlement which resulted in a letter of intent, providing for the lease of the Louie Group's units to Le Soleil as well as an option to purchase them, a modification of the restaurant lease, a covenant to refrain from supporting litigation contrary to the Le Soleil's interests and the discontinuance of the litigation. Shortly after the letter of intent was concluded the Louie Group declined to follow its terms and Le Soleil commenced an action to enforce the letter of intent (the “Settlement Agreement Action”). 567 Hornby Apartment also commenced an action seeking a declaration that the rights of first refusal to purchase the Louie Group’s lots it claimed to hold were valid and unaffected by the letter of intent (the “RFR Action”). The rights of first refusal were allegedly drafted and executed prior to the settlement negotiations which led to the letter of intent. Le Soleil filed a counterclaim in which it claimed that the Nomani Group and the Louie Group conspired to defeat their rights under the letter of intent and fabricated the rights of first refusal documents. </w:t>
            </w:r>
          </w:p>
          <w:p w:rsidR="009F5561" w:rsidRPr="00C1643E" w:rsidRDefault="009F5561" w:rsidP="00A62471">
            <w:pPr>
              <w:jc w:val="both"/>
              <w:rPr>
                <w:rFonts w:eastAsia="Calibri"/>
                <w:sz w:val="20"/>
              </w:rPr>
            </w:pPr>
          </w:p>
        </w:tc>
      </w:tr>
      <w:tr w:rsidR="009F5561" w:rsidRPr="00C1643E" w:rsidTr="00A62471">
        <w:tc>
          <w:tcPr>
            <w:tcW w:w="5000" w:type="pct"/>
            <w:gridSpan w:val="3"/>
          </w:tcPr>
          <w:p w:rsidR="009F5561" w:rsidRPr="00C1643E" w:rsidRDefault="009F5561" w:rsidP="00A62471">
            <w:pPr>
              <w:jc w:val="both"/>
              <w:rPr>
                <w:rFonts w:eastAsia="Calibri"/>
                <w:sz w:val="20"/>
              </w:rPr>
            </w:pPr>
            <w:r w:rsidRPr="00C1643E">
              <w:rPr>
                <w:rFonts w:eastAsia="Calibri"/>
                <w:sz w:val="20"/>
              </w:rPr>
              <w:lastRenderedPageBreak/>
              <w:t>In the Settlement Agreement Action, the B.C. Supreme Court allowed Le Soleil’s action, and ordered specific performance of the option to purchase the strata lot units at an aggregate purchase price of $4,915,012.60, ordered the Louie Group to pay damages in the amount of $1,967,305.31, plus legal expenses incurred by Le Soleil in connection with other related litigation, and awarded special costs of the action against the Louie Group and the Nomani Group. In the RFR Action, the trial judge dismissed the claim of the Nomani Group, awarded punitive damages on Le Soleil's counterclaim against the Louie Group and the Nomani Group in the amount of $100,000 each, and awarded special costs of the action against the Louie Group and the Nomani Group.  The Court of Appeal dismissed the appeals.</w:t>
            </w:r>
          </w:p>
          <w:p w:rsidR="009F5561" w:rsidRPr="00C1643E" w:rsidRDefault="009F5561" w:rsidP="00A62471">
            <w:pPr>
              <w:jc w:val="both"/>
              <w:rPr>
                <w:rFonts w:eastAsia="Calibri"/>
                <w:sz w:val="20"/>
              </w:rPr>
            </w:pPr>
          </w:p>
        </w:tc>
      </w:tr>
      <w:tr w:rsidR="009F5561" w:rsidRPr="00C1643E" w:rsidTr="00A62471">
        <w:tc>
          <w:tcPr>
            <w:tcW w:w="2427" w:type="pct"/>
          </w:tcPr>
          <w:p w:rsidR="009F5561" w:rsidRPr="00C1643E" w:rsidRDefault="009F5561" w:rsidP="00A62471">
            <w:pPr>
              <w:jc w:val="both"/>
              <w:rPr>
                <w:rFonts w:eastAsia="Calibri"/>
                <w:sz w:val="20"/>
              </w:rPr>
            </w:pPr>
            <w:r w:rsidRPr="00C1643E">
              <w:rPr>
                <w:rFonts w:eastAsia="Calibri"/>
                <w:sz w:val="20"/>
              </w:rPr>
              <w:t>September 30, 2009</w:t>
            </w:r>
          </w:p>
          <w:p w:rsidR="009F5561" w:rsidRPr="00C1643E" w:rsidRDefault="009F5561" w:rsidP="00A62471">
            <w:pPr>
              <w:jc w:val="both"/>
              <w:rPr>
                <w:rFonts w:eastAsia="Calibri"/>
                <w:sz w:val="20"/>
              </w:rPr>
            </w:pPr>
            <w:r w:rsidRPr="00C1643E">
              <w:rPr>
                <w:rFonts w:eastAsia="Calibri"/>
                <w:sz w:val="20"/>
              </w:rPr>
              <w:t>Supreme Court of British Columbia</w:t>
            </w:r>
          </w:p>
          <w:p w:rsidR="009F5561" w:rsidRPr="00C1643E" w:rsidRDefault="009F5561" w:rsidP="00A62471">
            <w:pPr>
              <w:jc w:val="both"/>
              <w:rPr>
                <w:rFonts w:eastAsia="Calibri"/>
                <w:sz w:val="20"/>
              </w:rPr>
            </w:pPr>
            <w:r w:rsidRPr="00C1643E">
              <w:rPr>
                <w:rFonts w:eastAsia="Calibri"/>
                <w:sz w:val="20"/>
              </w:rPr>
              <w:t>(Dickson J.)</w:t>
            </w:r>
          </w:p>
          <w:p w:rsidR="009F5561" w:rsidRPr="00C1643E" w:rsidRDefault="009F5561" w:rsidP="00A62471">
            <w:pPr>
              <w:jc w:val="both"/>
              <w:rPr>
                <w:rFonts w:eastAsia="Calibri"/>
                <w:sz w:val="20"/>
              </w:rPr>
            </w:pPr>
          </w:p>
        </w:tc>
        <w:tc>
          <w:tcPr>
            <w:tcW w:w="243" w:type="pct"/>
          </w:tcPr>
          <w:p w:rsidR="009F5561" w:rsidRPr="00C1643E" w:rsidRDefault="009F5561" w:rsidP="00A62471">
            <w:pPr>
              <w:jc w:val="both"/>
              <w:rPr>
                <w:rFonts w:eastAsia="Calibri"/>
                <w:sz w:val="20"/>
              </w:rPr>
            </w:pPr>
          </w:p>
        </w:tc>
        <w:tc>
          <w:tcPr>
            <w:tcW w:w="2330" w:type="pct"/>
          </w:tcPr>
          <w:p w:rsidR="009F5561" w:rsidRPr="00C1643E" w:rsidRDefault="009F5561" w:rsidP="00A62471">
            <w:pPr>
              <w:jc w:val="both"/>
              <w:rPr>
                <w:rFonts w:eastAsia="Calibri"/>
                <w:sz w:val="20"/>
              </w:rPr>
            </w:pPr>
            <w:r w:rsidRPr="00C1643E">
              <w:rPr>
                <w:rFonts w:eastAsia="Calibri"/>
                <w:sz w:val="20"/>
              </w:rPr>
              <w:t>Respondents’, Le Soleil Hospitality and Le Soleil Restaurant, action and counterclaim, allowed.</w:t>
            </w:r>
          </w:p>
          <w:p w:rsidR="009F5561" w:rsidRPr="00C1643E" w:rsidRDefault="009F5561" w:rsidP="00A62471">
            <w:pPr>
              <w:jc w:val="both"/>
              <w:rPr>
                <w:rFonts w:eastAsia="Calibri"/>
                <w:sz w:val="20"/>
              </w:rPr>
            </w:pPr>
          </w:p>
        </w:tc>
      </w:tr>
      <w:tr w:rsidR="009F5561" w:rsidRPr="00C1643E" w:rsidTr="00A62471">
        <w:tc>
          <w:tcPr>
            <w:tcW w:w="2427" w:type="pct"/>
          </w:tcPr>
          <w:p w:rsidR="009F5561" w:rsidRPr="00C1643E" w:rsidRDefault="009F5561" w:rsidP="00A62471">
            <w:pPr>
              <w:jc w:val="both"/>
              <w:rPr>
                <w:rFonts w:eastAsia="Calibri"/>
                <w:sz w:val="20"/>
              </w:rPr>
            </w:pPr>
            <w:r w:rsidRPr="00C1643E">
              <w:rPr>
                <w:rFonts w:eastAsia="Calibri"/>
                <w:sz w:val="20"/>
              </w:rPr>
              <w:t>June 30, 2011</w:t>
            </w:r>
          </w:p>
          <w:p w:rsidR="009F5561" w:rsidRPr="00C1643E" w:rsidRDefault="009F5561" w:rsidP="00A62471">
            <w:pPr>
              <w:jc w:val="both"/>
              <w:rPr>
                <w:rFonts w:eastAsia="Calibri"/>
                <w:sz w:val="20"/>
              </w:rPr>
            </w:pPr>
            <w:r w:rsidRPr="00C1643E">
              <w:rPr>
                <w:rFonts w:eastAsia="Calibri"/>
                <w:sz w:val="20"/>
              </w:rPr>
              <w:t>Court of Appeal for British Columbia (Vancouver)</w:t>
            </w:r>
          </w:p>
          <w:p w:rsidR="009F5561" w:rsidRPr="00C1643E" w:rsidRDefault="009F5561" w:rsidP="00A62471">
            <w:pPr>
              <w:jc w:val="both"/>
              <w:rPr>
                <w:rFonts w:eastAsia="Calibri"/>
                <w:sz w:val="20"/>
              </w:rPr>
            </w:pPr>
            <w:r w:rsidRPr="00C1643E">
              <w:rPr>
                <w:rFonts w:eastAsia="Calibri"/>
                <w:sz w:val="20"/>
              </w:rPr>
              <w:t>(Prowse, Tysoe and Garson JJ.A.)</w:t>
            </w:r>
          </w:p>
          <w:p w:rsidR="009F5561" w:rsidRPr="00C1643E" w:rsidRDefault="009F5561" w:rsidP="00A62471">
            <w:pPr>
              <w:jc w:val="both"/>
              <w:rPr>
                <w:rFonts w:eastAsia="Calibri"/>
                <w:sz w:val="20"/>
              </w:rPr>
            </w:pPr>
          </w:p>
        </w:tc>
        <w:tc>
          <w:tcPr>
            <w:tcW w:w="243" w:type="pct"/>
          </w:tcPr>
          <w:p w:rsidR="009F5561" w:rsidRPr="00C1643E" w:rsidRDefault="009F5561" w:rsidP="00A62471">
            <w:pPr>
              <w:jc w:val="both"/>
              <w:rPr>
                <w:rFonts w:eastAsia="Calibri"/>
                <w:sz w:val="20"/>
              </w:rPr>
            </w:pPr>
          </w:p>
        </w:tc>
        <w:tc>
          <w:tcPr>
            <w:tcW w:w="2330" w:type="pct"/>
          </w:tcPr>
          <w:p w:rsidR="009F5561" w:rsidRPr="00C1643E" w:rsidRDefault="009F5561" w:rsidP="00A62471">
            <w:pPr>
              <w:jc w:val="both"/>
              <w:rPr>
                <w:rFonts w:eastAsia="Calibri"/>
                <w:sz w:val="20"/>
              </w:rPr>
            </w:pPr>
            <w:r w:rsidRPr="00C1643E">
              <w:rPr>
                <w:rFonts w:eastAsia="Calibri"/>
                <w:sz w:val="20"/>
              </w:rPr>
              <w:t>Applicants’ appeal, dismissed.</w:t>
            </w:r>
          </w:p>
          <w:p w:rsidR="009F5561" w:rsidRPr="00C1643E" w:rsidRDefault="009F5561" w:rsidP="00A62471">
            <w:pPr>
              <w:jc w:val="both"/>
              <w:rPr>
                <w:rFonts w:eastAsia="Calibri"/>
                <w:sz w:val="20"/>
              </w:rPr>
            </w:pPr>
          </w:p>
        </w:tc>
      </w:tr>
      <w:tr w:rsidR="009F5561" w:rsidRPr="00C1643E" w:rsidTr="00A62471">
        <w:tc>
          <w:tcPr>
            <w:tcW w:w="2427" w:type="pct"/>
          </w:tcPr>
          <w:p w:rsidR="009F5561" w:rsidRPr="00C1643E" w:rsidRDefault="009F5561" w:rsidP="00A62471">
            <w:pPr>
              <w:jc w:val="both"/>
              <w:rPr>
                <w:rFonts w:eastAsia="Calibri"/>
                <w:sz w:val="20"/>
              </w:rPr>
            </w:pPr>
            <w:r w:rsidRPr="00C1643E">
              <w:rPr>
                <w:rFonts w:eastAsia="Calibri"/>
                <w:sz w:val="20"/>
              </w:rPr>
              <w:t>September 29, 2011</w:t>
            </w:r>
          </w:p>
          <w:p w:rsidR="009F5561" w:rsidRPr="00C1643E" w:rsidRDefault="009F5561" w:rsidP="00A62471">
            <w:pPr>
              <w:jc w:val="both"/>
              <w:rPr>
                <w:rFonts w:eastAsia="Calibri"/>
                <w:sz w:val="20"/>
              </w:rPr>
            </w:pPr>
            <w:r w:rsidRPr="00C1643E">
              <w:rPr>
                <w:rFonts w:eastAsia="Calibri"/>
                <w:sz w:val="20"/>
              </w:rPr>
              <w:t>Supreme Court of Canada</w:t>
            </w:r>
          </w:p>
        </w:tc>
        <w:tc>
          <w:tcPr>
            <w:tcW w:w="243" w:type="pct"/>
          </w:tcPr>
          <w:p w:rsidR="009F5561" w:rsidRPr="00C1643E" w:rsidRDefault="009F5561" w:rsidP="00A62471">
            <w:pPr>
              <w:jc w:val="both"/>
              <w:rPr>
                <w:rFonts w:eastAsia="Calibri"/>
                <w:sz w:val="20"/>
              </w:rPr>
            </w:pPr>
          </w:p>
        </w:tc>
        <w:tc>
          <w:tcPr>
            <w:tcW w:w="2330" w:type="pct"/>
          </w:tcPr>
          <w:p w:rsidR="009F5561" w:rsidRPr="00C1643E" w:rsidRDefault="009F5561" w:rsidP="00A62471">
            <w:pPr>
              <w:jc w:val="both"/>
              <w:rPr>
                <w:rFonts w:eastAsia="Calibri"/>
                <w:sz w:val="20"/>
              </w:rPr>
            </w:pPr>
            <w:r w:rsidRPr="00C1643E">
              <w:rPr>
                <w:rFonts w:eastAsia="Calibri"/>
                <w:sz w:val="20"/>
              </w:rPr>
              <w:t>Application for leave to appeal, filed.</w:t>
            </w:r>
          </w:p>
          <w:p w:rsidR="009F5561" w:rsidRPr="00C1643E" w:rsidRDefault="009F5561" w:rsidP="00A62471">
            <w:pPr>
              <w:jc w:val="both"/>
              <w:rPr>
                <w:rFonts w:eastAsia="Calibri"/>
                <w:sz w:val="20"/>
              </w:rPr>
            </w:pPr>
          </w:p>
        </w:tc>
      </w:tr>
    </w:tbl>
    <w:p w:rsidR="00E82950" w:rsidRDefault="00E82950" w:rsidP="00E82950">
      <w:pPr>
        <w:rPr>
          <w:sz w:val="20"/>
          <w:szCs w:val="20"/>
        </w:rPr>
      </w:pPr>
    </w:p>
    <w:p w:rsidR="00E82950" w:rsidRPr="00C50A5C" w:rsidRDefault="009019DC" w:rsidP="00E82950">
      <w:pPr>
        <w:rPr>
          <w:sz w:val="20"/>
          <w:szCs w:val="20"/>
        </w:rPr>
      </w:pPr>
      <w:r w:rsidRPr="009019DC">
        <w:rPr>
          <w:sz w:val="20"/>
          <w:szCs w:val="20"/>
          <w:lang w:val="fr-CA"/>
        </w:rPr>
        <w:pict>
          <v:rect id="_x0000_i1040" style="width:2in;height:1pt" o:hrpct="0" o:hralign="center" o:hrstd="t" o:hrnoshade="t" o:hr="t" fillcolor="black [3213]" stroked="f"/>
        </w:pict>
      </w:r>
    </w:p>
    <w:p w:rsidR="00E82950" w:rsidRDefault="00E82950" w:rsidP="00E82950">
      <w:pPr>
        <w:rPr>
          <w:sz w:val="20"/>
          <w:szCs w:val="20"/>
        </w:rPr>
      </w:pPr>
    </w:p>
    <w:p w:rsidR="00E82950" w:rsidRPr="001B157C" w:rsidRDefault="00E82950" w:rsidP="00E82950">
      <w:pPr>
        <w:rPr>
          <w:sz w:val="20"/>
          <w:szCs w:val="20"/>
          <w:u w:val="single"/>
          <w:lang w:val="fr-CA"/>
        </w:rPr>
      </w:pPr>
      <w:r w:rsidRPr="001B157C">
        <w:rPr>
          <w:sz w:val="20"/>
          <w:szCs w:val="20"/>
          <w:u w:val="single"/>
          <w:lang w:val="fr-CA"/>
        </w:rPr>
        <w:t>RÉSUMÉ DE L’AFFAIRE</w:t>
      </w:r>
    </w:p>
    <w:p w:rsidR="00E82950" w:rsidRDefault="00E82950" w:rsidP="00E82950">
      <w:pPr>
        <w:rPr>
          <w:sz w:val="20"/>
          <w:szCs w:val="20"/>
        </w:rPr>
      </w:pPr>
    </w:p>
    <w:tbl>
      <w:tblPr>
        <w:tblW w:w="4952" w:type="pct"/>
        <w:tblLayout w:type="fixed"/>
        <w:tblCellMar>
          <w:left w:w="0" w:type="dxa"/>
          <w:bottom w:w="99" w:type="dxa"/>
          <w:right w:w="0" w:type="dxa"/>
        </w:tblCellMar>
        <w:tblLook w:val="04A0"/>
      </w:tblPr>
      <w:tblGrid>
        <w:gridCol w:w="4623"/>
        <w:gridCol w:w="463"/>
        <w:gridCol w:w="4441"/>
      </w:tblGrid>
      <w:tr w:rsidR="009F5561" w:rsidRPr="00F8135D" w:rsidTr="00A62471">
        <w:tc>
          <w:tcPr>
            <w:tcW w:w="5000" w:type="pct"/>
            <w:gridSpan w:val="3"/>
          </w:tcPr>
          <w:p w:rsidR="009F5561" w:rsidRPr="00C1643E" w:rsidRDefault="009F5561" w:rsidP="00A62471">
            <w:pPr>
              <w:jc w:val="both"/>
              <w:rPr>
                <w:rFonts w:eastAsia="Calibri"/>
                <w:sz w:val="20"/>
                <w:lang w:val="fr-FR"/>
              </w:rPr>
            </w:pPr>
            <w:r w:rsidRPr="00C1643E">
              <w:rPr>
                <w:rFonts w:eastAsia="Calibri"/>
                <w:sz w:val="20"/>
                <w:lang w:val="fr-FR"/>
              </w:rPr>
              <w:t>Contrats – Violation de contrat – Dommages-intérêts – Exécution en nature – Dommages-intérêts punitifs – Fraude – Complot – Les tribunaux de la Colombie-Britannique ont-il commis une erreur en octroyant des dommages-intérêts pour perte de profit en plus d’ordonner l’exécution en nature pour que le transfert du droit de propriété soit assorti d’une réduction ? – Les tribunaux de la Colombie-Britannique ont-ils commis une erreur en octroyant des dommages-intérêts pour violation des termes de conventions tout en ordonnance l’exécution en nature ?</w:t>
            </w:r>
          </w:p>
          <w:p w:rsidR="009F5561" w:rsidRPr="00C1643E" w:rsidRDefault="009F5561" w:rsidP="00A62471">
            <w:pPr>
              <w:jc w:val="both"/>
              <w:rPr>
                <w:rFonts w:eastAsia="Calibri"/>
                <w:sz w:val="20"/>
                <w:lang w:val="fr-FR"/>
              </w:rPr>
            </w:pPr>
          </w:p>
        </w:tc>
      </w:tr>
      <w:tr w:rsidR="009F5561" w:rsidRPr="00C1643E" w:rsidTr="00A62471">
        <w:tc>
          <w:tcPr>
            <w:tcW w:w="5000" w:type="pct"/>
            <w:gridSpan w:val="3"/>
          </w:tcPr>
          <w:p w:rsidR="009F5561" w:rsidRPr="00C1643E" w:rsidRDefault="009F5561" w:rsidP="00A62471">
            <w:pPr>
              <w:jc w:val="both"/>
              <w:rPr>
                <w:rFonts w:eastAsia="Calibri"/>
                <w:sz w:val="20"/>
                <w:lang w:val="fr-FR"/>
              </w:rPr>
            </w:pPr>
            <w:r w:rsidRPr="00C1643E">
              <w:rPr>
                <w:rFonts w:eastAsia="Calibri"/>
                <w:sz w:val="20"/>
                <w:lang w:val="fr-FR"/>
              </w:rPr>
              <w:t xml:space="preserve">Le Soleil Hotel est un hôtel boutique en copropriété situé dans le centre-ville de Vancouver. Il comporte à la fois des unités commerciales et des unités résidentielles.  La plupart de ces dernières étaient incluses dans les opérations de l’hôtel.  Toutefois, certaines d’entre elles appartenaient à des individus qui les avaient achetées du promoteur de l’hôtel et les avaient loués à nouveau pour permettre le fonctionnement de l’hôtel.  M. Andrew Louie, par le truchement de compagnies à numéro (le « Groupe Louie ») était propriétaire des lots commerciaux qu’il louait au restaurant de l’hôtel.  Il contrôlait aussi un grand nombre d’unités résidentielles.  Par suite de désaccords avec le </w:t>
            </w:r>
            <w:r w:rsidRPr="00C1643E">
              <w:rPr>
                <w:rFonts w:eastAsia="Calibri"/>
                <w:sz w:val="20"/>
                <w:lang w:val="fr-FR"/>
              </w:rPr>
              <w:lastRenderedPageBreak/>
              <w:t>gestionnaire de l’hôtel, le Groupe Louie a retiré ses unités du bassin des unités à louer de l’hôtel et, par le truchement de 567 Hornby Apartment Ltd. et de son propriétaire Syed Nomani (le « Groupe Nomani »), a commencé à exploiter un hôtel concurrent à l’hôtel Le Soleil.  De plus, le Groupe Louie soutenait les efforts d’un groupe de propriétaires qui tentaient de prendre le contrôle de l’hôtel.  Le Soleil a conclu que le Groupe Louie et le Groupe Nomani travaillaient pour nuire à l’hôtel. Il a donc intenté un recours contre eux et sollicité une injonction qui interdirait au Groupe Louie de poser des gestes nuisibles à son encontre.  Avant l’audience, les parties ont convenu d’un accord qui a mené à la signature d’une lettre d’intention. Celle-ci stipulait que les unités du Groupe Louie seraient louées à l’hôtel Le Soleil et prévoyait une option d’achat des unités en question, une modification du bail du restaurant, un engagement à s’abstenir de soutenir des poursuites contraires aux intérêts de Le Soleil et un  désistement quant aux recours déjà intentés.  Peu de temps après la signature de la lettre d’intention, le Groupe Louie a refusé d’y donner suite. Le Soleil a alors intenté un recours en vue de forcer le respect de la lettre en question (la « cause relative à l’entente de règlement »).  567 Hornby Apartment a aussi intenté un recours sollicitant une déclaration selon laquelle ce qu’elle prétendait être son droit de premier refus relatif aux unités du Groupe Louie était valide et inchangé par la lettre d’intention (l’« action DPR »).  L’entente quant au droit de premier refus aurait été rédigée et signée avant que ne se tiennent les négociations qui ont mené à l’entente consignée dans la lettre d’intention. L’hôtel Le Soleil a déposé une demande reconventionnelle dans laquelle il prétendait que la Groupe Nomani et le Groupe Louie ont conspiré pour le priver des droits qui lui étaient consentis par la lettre d’intention et avaient fabriquer les documents faisant état du droit de premier refus.</w:t>
            </w:r>
          </w:p>
          <w:p w:rsidR="009F5561" w:rsidRPr="00C1643E" w:rsidRDefault="009F5561" w:rsidP="00A62471">
            <w:pPr>
              <w:jc w:val="both"/>
              <w:rPr>
                <w:rFonts w:eastAsia="Calibri"/>
                <w:sz w:val="20"/>
                <w:lang w:val="fr-FR"/>
              </w:rPr>
            </w:pPr>
          </w:p>
          <w:p w:rsidR="009F5561" w:rsidRPr="00C1643E" w:rsidRDefault="009F5561" w:rsidP="00A62471">
            <w:pPr>
              <w:jc w:val="both"/>
              <w:rPr>
                <w:rFonts w:eastAsia="Calibri"/>
                <w:sz w:val="20"/>
                <w:lang w:val="fr-FR"/>
              </w:rPr>
            </w:pPr>
            <w:r w:rsidRPr="00C1643E">
              <w:rPr>
                <w:rFonts w:eastAsia="Calibri"/>
                <w:sz w:val="20"/>
                <w:lang w:val="fr-FR"/>
              </w:rPr>
              <w:t>Dans la cause relative à l’entente de règlement, la Cour suprême de la Colombie-Britannique a accueilli le recours intenté par Le Soleil et ordonné l’exécution en nature de l’option d’achat visant les unités pour un prix total de 4 915 012,60 $. Elle a aussi ordonné au Groupe Louie de payer des dommages-intérêts de 1 967 305,31 $ en plus des frais judiciaires qu’a eu à assumer Le Soleil relativement à l’autre recours lié à la présente affaire et a condamné le Groupe Louie et le Groupe Nomani  à lui payer des dépens spéciaux.  Dans le recours DPR, le juge du procès a rejeté la prétention du Groupe Nomani, a condamné ce dernier ainsi que le Groupe Louie à payer, d’une part, chacun 100 000 $ à l’hôtel Le Soleil à titre de dommages punitifs et, d’autre part, les dépens spéciaux de l’action.  La Cour d’appel a rejeté les appels.</w:t>
            </w:r>
          </w:p>
        </w:tc>
      </w:tr>
      <w:tr w:rsidR="009F5561" w:rsidRPr="00C1643E" w:rsidTr="00A62471">
        <w:tc>
          <w:tcPr>
            <w:tcW w:w="5000" w:type="pct"/>
            <w:gridSpan w:val="3"/>
          </w:tcPr>
          <w:p w:rsidR="009F5561" w:rsidRPr="00C1643E" w:rsidRDefault="009F5561" w:rsidP="00A62471">
            <w:pPr>
              <w:jc w:val="both"/>
              <w:rPr>
                <w:rFonts w:eastAsia="Calibri"/>
                <w:sz w:val="20"/>
                <w:lang w:val="fr-FR"/>
              </w:rPr>
            </w:pPr>
          </w:p>
        </w:tc>
      </w:tr>
      <w:tr w:rsidR="009F5561" w:rsidRPr="00F8135D" w:rsidTr="00A62471">
        <w:tc>
          <w:tcPr>
            <w:tcW w:w="2426" w:type="pct"/>
          </w:tcPr>
          <w:p w:rsidR="009F5561" w:rsidRPr="00C1643E" w:rsidRDefault="009F5561" w:rsidP="00A62471">
            <w:pPr>
              <w:jc w:val="both"/>
              <w:rPr>
                <w:rFonts w:eastAsia="Calibri"/>
                <w:sz w:val="20"/>
                <w:lang w:val="fr-FR"/>
              </w:rPr>
            </w:pPr>
            <w:r w:rsidRPr="00C1643E">
              <w:rPr>
                <w:rFonts w:eastAsia="Calibri"/>
                <w:sz w:val="20"/>
                <w:lang w:val="fr-FR"/>
              </w:rPr>
              <w:t>30 septembre 2009</w:t>
            </w:r>
          </w:p>
          <w:p w:rsidR="009F5561" w:rsidRPr="00C1643E" w:rsidRDefault="009F5561" w:rsidP="00A62471">
            <w:pPr>
              <w:jc w:val="both"/>
              <w:rPr>
                <w:rFonts w:eastAsia="Calibri"/>
                <w:sz w:val="20"/>
                <w:lang w:val="fr-FR"/>
              </w:rPr>
            </w:pPr>
            <w:r w:rsidRPr="00C1643E">
              <w:rPr>
                <w:rFonts w:eastAsia="Calibri"/>
                <w:sz w:val="20"/>
                <w:lang w:val="fr-FR"/>
              </w:rPr>
              <w:t>Cour suprême de la Colombie-Britannique</w:t>
            </w:r>
          </w:p>
          <w:p w:rsidR="009F5561" w:rsidRPr="00C1643E" w:rsidRDefault="009F5561" w:rsidP="00A62471">
            <w:pPr>
              <w:jc w:val="both"/>
              <w:rPr>
                <w:rFonts w:eastAsia="Calibri"/>
                <w:sz w:val="20"/>
              </w:rPr>
            </w:pPr>
            <w:r w:rsidRPr="00C1643E">
              <w:rPr>
                <w:rFonts w:eastAsia="Calibri"/>
                <w:sz w:val="20"/>
              </w:rPr>
              <w:t>(Juge Dickson)</w:t>
            </w:r>
          </w:p>
          <w:p w:rsidR="009F5561" w:rsidRPr="00C1643E" w:rsidRDefault="009F5561" w:rsidP="00A62471">
            <w:pPr>
              <w:jc w:val="both"/>
              <w:rPr>
                <w:rFonts w:eastAsia="Calibri"/>
                <w:sz w:val="20"/>
              </w:rPr>
            </w:pPr>
          </w:p>
        </w:tc>
        <w:tc>
          <w:tcPr>
            <w:tcW w:w="243" w:type="pct"/>
          </w:tcPr>
          <w:p w:rsidR="009F5561" w:rsidRPr="00C1643E" w:rsidRDefault="009F5561" w:rsidP="00A62471">
            <w:pPr>
              <w:jc w:val="both"/>
              <w:rPr>
                <w:rFonts w:eastAsia="Calibri"/>
                <w:sz w:val="20"/>
              </w:rPr>
            </w:pPr>
          </w:p>
        </w:tc>
        <w:tc>
          <w:tcPr>
            <w:tcW w:w="2331" w:type="pct"/>
          </w:tcPr>
          <w:p w:rsidR="009F5561" w:rsidRPr="00C1643E" w:rsidRDefault="009F5561" w:rsidP="00A62471">
            <w:pPr>
              <w:jc w:val="both"/>
              <w:rPr>
                <w:rFonts w:eastAsia="Calibri"/>
                <w:sz w:val="20"/>
                <w:lang w:val="fr-FR"/>
              </w:rPr>
            </w:pPr>
            <w:r w:rsidRPr="00C1643E">
              <w:rPr>
                <w:rFonts w:eastAsia="Calibri"/>
                <w:sz w:val="20"/>
                <w:lang w:val="fr-FR"/>
              </w:rPr>
              <w:t>Poursuite et poursuite incidente des intimés, Le Soleil Hospitality et Le Soleil Restaurant, accueillies; poursuite des demandeurs rejetée</w:t>
            </w:r>
          </w:p>
          <w:p w:rsidR="009F5561" w:rsidRPr="00C1643E" w:rsidRDefault="009F5561" w:rsidP="00A62471">
            <w:pPr>
              <w:jc w:val="both"/>
              <w:rPr>
                <w:rFonts w:eastAsia="Calibri"/>
                <w:sz w:val="20"/>
                <w:lang w:val="fr-FR"/>
              </w:rPr>
            </w:pPr>
          </w:p>
        </w:tc>
      </w:tr>
      <w:tr w:rsidR="009F5561" w:rsidRPr="00C1643E" w:rsidTr="00A62471">
        <w:tc>
          <w:tcPr>
            <w:tcW w:w="2426" w:type="pct"/>
          </w:tcPr>
          <w:p w:rsidR="009F5561" w:rsidRPr="00C1643E" w:rsidRDefault="009F5561" w:rsidP="00A62471">
            <w:pPr>
              <w:jc w:val="both"/>
              <w:rPr>
                <w:rFonts w:eastAsia="Calibri"/>
                <w:sz w:val="20"/>
                <w:lang w:val="fr-FR"/>
              </w:rPr>
            </w:pPr>
            <w:r w:rsidRPr="00C1643E">
              <w:rPr>
                <w:rFonts w:eastAsia="Calibri"/>
                <w:sz w:val="20"/>
                <w:lang w:val="fr-FR"/>
              </w:rPr>
              <w:t>30 juin 2011</w:t>
            </w:r>
          </w:p>
          <w:p w:rsidR="009F5561" w:rsidRPr="00C1643E" w:rsidRDefault="009F5561" w:rsidP="00A62471">
            <w:pPr>
              <w:jc w:val="both"/>
              <w:rPr>
                <w:rFonts w:eastAsia="Calibri"/>
                <w:sz w:val="20"/>
                <w:lang w:val="fr-FR"/>
              </w:rPr>
            </w:pPr>
            <w:r w:rsidRPr="00C1643E">
              <w:rPr>
                <w:rFonts w:eastAsia="Calibri"/>
                <w:sz w:val="20"/>
                <w:lang w:val="fr-FR"/>
              </w:rPr>
              <w:t>Cour d’appel de la Colombie-Britannique (Vancouver)</w:t>
            </w:r>
          </w:p>
          <w:p w:rsidR="009F5561" w:rsidRPr="00C1643E" w:rsidRDefault="009F5561" w:rsidP="00A62471">
            <w:pPr>
              <w:jc w:val="both"/>
              <w:rPr>
                <w:rFonts w:eastAsia="Calibri"/>
                <w:sz w:val="20"/>
                <w:lang w:val="fr-FR"/>
              </w:rPr>
            </w:pPr>
            <w:r w:rsidRPr="00C1643E">
              <w:rPr>
                <w:rFonts w:eastAsia="Calibri"/>
                <w:sz w:val="20"/>
                <w:lang w:val="fr-FR"/>
              </w:rPr>
              <w:t>(Juges Prowse, Tysoe et Garson)</w:t>
            </w:r>
          </w:p>
          <w:p w:rsidR="009F5561" w:rsidRPr="00C1643E" w:rsidRDefault="009F5561" w:rsidP="00A62471">
            <w:pPr>
              <w:jc w:val="both"/>
              <w:rPr>
                <w:rFonts w:eastAsia="Calibri"/>
                <w:sz w:val="20"/>
                <w:lang w:val="fr-FR"/>
              </w:rPr>
            </w:pPr>
          </w:p>
        </w:tc>
        <w:tc>
          <w:tcPr>
            <w:tcW w:w="243" w:type="pct"/>
          </w:tcPr>
          <w:p w:rsidR="009F5561" w:rsidRPr="00C1643E" w:rsidRDefault="009F5561" w:rsidP="00A62471">
            <w:pPr>
              <w:jc w:val="both"/>
              <w:rPr>
                <w:rFonts w:eastAsia="Calibri"/>
                <w:sz w:val="20"/>
                <w:lang w:val="fr-FR"/>
              </w:rPr>
            </w:pPr>
          </w:p>
        </w:tc>
        <w:tc>
          <w:tcPr>
            <w:tcW w:w="2331" w:type="pct"/>
          </w:tcPr>
          <w:p w:rsidR="009F5561" w:rsidRPr="00C1643E" w:rsidRDefault="009F5561" w:rsidP="00A62471">
            <w:pPr>
              <w:jc w:val="both"/>
              <w:rPr>
                <w:rFonts w:eastAsia="Calibri"/>
                <w:sz w:val="20"/>
                <w:lang w:val="fr-FR"/>
              </w:rPr>
            </w:pPr>
            <w:r w:rsidRPr="00C1643E">
              <w:rPr>
                <w:rFonts w:eastAsia="Calibri"/>
                <w:sz w:val="20"/>
                <w:lang w:val="fr-FR"/>
              </w:rPr>
              <w:t>Appels des demandeurs rejetés</w:t>
            </w:r>
          </w:p>
          <w:p w:rsidR="009F5561" w:rsidRPr="00C1643E" w:rsidRDefault="009F5561" w:rsidP="00A62471">
            <w:pPr>
              <w:jc w:val="both"/>
              <w:rPr>
                <w:rFonts w:eastAsia="Calibri"/>
                <w:sz w:val="20"/>
                <w:lang w:val="fr-FR"/>
              </w:rPr>
            </w:pPr>
          </w:p>
        </w:tc>
      </w:tr>
      <w:tr w:rsidR="009F5561" w:rsidRPr="00C1643E" w:rsidTr="00A62471">
        <w:tc>
          <w:tcPr>
            <w:tcW w:w="2426" w:type="pct"/>
          </w:tcPr>
          <w:p w:rsidR="009F5561" w:rsidRPr="00325A82" w:rsidRDefault="009F5561" w:rsidP="00A62471">
            <w:pPr>
              <w:jc w:val="both"/>
              <w:rPr>
                <w:rFonts w:eastAsia="Calibri"/>
                <w:sz w:val="20"/>
                <w:lang w:val="fr-CA"/>
              </w:rPr>
            </w:pPr>
            <w:r w:rsidRPr="00325A82">
              <w:rPr>
                <w:rFonts w:eastAsia="Calibri"/>
                <w:sz w:val="20"/>
                <w:lang w:val="fr-CA"/>
              </w:rPr>
              <w:t>26 septembre 2011</w:t>
            </w:r>
          </w:p>
          <w:p w:rsidR="009F5561" w:rsidRPr="00325A82" w:rsidRDefault="009F5561" w:rsidP="00A62471">
            <w:pPr>
              <w:jc w:val="both"/>
              <w:rPr>
                <w:rFonts w:eastAsia="Calibri"/>
                <w:sz w:val="20"/>
                <w:lang w:val="fr-CA"/>
              </w:rPr>
            </w:pPr>
            <w:r w:rsidRPr="00325A82">
              <w:rPr>
                <w:rFonts w:eastAsia="Calibri"/>
                <w:sz w:val="20"/>
                <w:lang w:val="fr-CA"/>
              </w:rPr>
              <w:t>Cour suprême du Canada</w:t>
            </w:r>
          </w:p>
        </w:tc>
        <w:tc>
          <w:tcPr>
            <w:tcW w:w="243" w:type="pct"/>
          </w:tcPr>
          <w:p w:rsidR="009F5561" w:rsidRPr="00325A82" w:rsidRDefault="009F5561" w:rsidP="00A62471">
            <w:pPr>
              <w:jc w:val="both"/>
              <w:rPr>
                <w:rFonts w:eastAsia="Calibri"/>
                <w:sz w:val="20"/>
                <w:lang w:val="fr-CA"/>
              </w:rPr>
            </w:pPr>
          </w:p>
        </w:tc>
        <w:tc>
          <w:tcPr>
            <w:tcW w:w="2331" w:type="pct"/>
          </w:tcPr>
          <w:p w:rsidR="009F5561" w:rsidRPr="00C1643E" w:rsidRDefault="009F5561" w:rsidP="00A62471">
            <w:pPr>
              <w:jc w:val="both"/>
              <w:rPr>
                <w:rFonts w:eastAsia="Calibri"/>
                <w:sz w:val="20"/>
              </w:rPr>
            </w:pPr>
            <w:r w:rsidRPr="00C1643E">
              <w:rPr>
                <w:rFonts w:eastAsia="Calibri"/>
                <w:sz w:val="20"/>
              </w:rPr>
              <w:t>Demande d’autorisation d’appel déposée</w:t>
            </w:r>
          </w:p>
        </w:tc>
      </w:tr>
    </w:tbl>
    <w:p w:rsidR="00E82950" w:rsidRDefault="00E82950" w:rsidP="00E82950">
      <w:pPr>
        <w:rPr>
          <w:sz w:val="20"/>
          <w:szCs w:val="20"/>
        </w:rPr>
      </w:pPr>
    </w:p>
    <w:p w:rsidR="00E82950" w:rsidRPr="00C50A5C" w:rsidRDefault="009019DC" w:rsidP="00E82950">
      <w:pPr>
        <w:rPr>
          <w:sz w:val="20"/>
          <w:szCs w:val="20"/>
        </w:rPr>
      </w:pPr>
      <w:r w:rsidRPr="009019DC">
        <w:rPr>
          <w:sz w:val="20"/>
          <w:szCs w:val="20"/>
          <w:lang w:val="fr-CA"/>
        </w:rPr>
        <w:pict>
          <v:rect id="_x0000_i1041" style="width:2in;height:1pt" o:hrpct="0" o:hralign="center" o:hrstd="t" o:hrnoshade="t" o:hr="t" fillcolor="black [3213]" stroked="f"/>
        </w:pict>
      </w:r>
    </w:p>
    <w:p w:rsidR="00B701ED" w:rsidRDefault="00B701E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701ED" w:rsidRPr="00F8135D" w:rsidTr="003B76D9">
        <w:trPr>
          <w:cantSplit/>
        </w:trPr>
        <w:tc>
          <w:tcPr>
            <w:tcW w:w="1458" w:type="dxa"/>
          </w:tcPr>
          <w:p w:rsidR="00B701ED" w:rsidRPr="007F7937" w:rsidRDefault="00B701ED" w:rsidP="003B76D9">
            <w:pPr>
              <w:rPr>
                <w:sz w:val="20"/>
                <w:szCs w:val="20"/>
              </w:rPr>
            </w:pPr>
            <w:r w:rsidRPr="007F7937">
              <w:rPr>
                <w:rStyle w:val="SCCFileNumberChar"/>
                <w:sz w:val="20"/>
                <w:szCs w:val="20"/>
              </w:rPr>
              <w:t>34495</w:t>
            </w:r>
          </w:p>
          <w:p w:rsidR="00B701ED" w:rsidRPr="007F7937" w:rsidRDefault="00B701ED" w:rsidP="003B76D9">
            <w:pPr>
              <w:rPr>
                <w:b/>
                <w:sz w:val="20"/>
                <w:szCs w:val="20"/>
                <w:lang w:val="fr-CA"/>
              </w:rPr>
            </w:pPr>
          </w:p>
        </w:tc>
        <w:tc>
          <w:tcPr>
            <w:tcW w:w="8118" w:type="dxa"/>
          </w:tcPr>
          <w:p w:rsidR="00B701ED" w:rsidRPr="007F7937" w:rsidRDefault="00B701ED" w:rsidP="003B76D9">
            <w:pPr>
              <w:rPr>
                <w:sz w:val="20"/>
                <w:szCs w:val="20"/>
                <w:lang w:val="fr-CA"/>
              </w:rPr>
            </w:pPr>
            <w:r w:rsidRPr="007F7937">
              <w:rPr>
                <w:rStyle w:val="SCCLsocChar"/>
                <w:sz w:val="20"/>
                <w:szCs w:val="20"/>
              </w:rPr>
              <w:t>Barreau du Québec c. Micheline Parizeau</w:t>
            </w:r>
            <w:r w:rsidRPr="007F7937">
              <w:rPr>
                <w:sz w:val="20"/>
                <w:szCs w:val="20"/>
                <w:lang w:val="fr-CA"/>
              </w:rPr>
              <w:t xml:space="preserve"> (Qc) (Civile) (Autorisation)</w:t>
            </w:r>
          </w:p>
          <w:p w:rsidR="00B701ED" w:rsidRPr="007F7937" w:rsidRDefault="00B701ED" w:rsidP="003B76D9">
            <w:pPr>
              <w:rPr>
                <w:sz w:val="20"/>
                <w:szCs w:val="20"/>
                <w:lang w:val="fr-CA"/>
              </w:rPr>
            </w:pPr>
          </w:p>
        </w:tc>
      </w:tr>
      <w:tr w:rsidR="00B701ED" w:rsidRPr="00F8135D" w:rsidTr="003B76D9">
        <w:trPr>
          <w:cantSplit/>
        </w:trPr>
        <w:tc>
          <w:tcPr>
            <w:tcW w:w="1458" w:type="dxa"/>
          </w:tcPr>
          <w:p w:rsidR="00B701ED" w:rsidRPr="007F7937" w:rsidRDefault="00B701ED" w:rsidP="003B76D9">
            <w:pPr>
              <w:rPr>
                <w:sz w:val="20"/>
                <w:szCs w:val="20"/>
              </w:rPr>
            </w:pPr>
            <w:r w:rsidRPr="007F7937">
              <w:rPr>
                <w:sz w:val="20"/>
                <w:szCs w:val="20"/>
              </w:rPr>
              <w:t>Coram :</w:t>
            </w:r>
          </w:p>
        </w:tc>
        <w:tc>
          <w:tcPr>
            <w:tcW w:w="8118" w:type="dxa"/>
          </w:tcPr>
          <w:p w:rsidR="00B701ED" w:rsidRPr="007F7937" w:rsidRDefault="00B701ED" w:rsidP="003B76D9">
            <w:pPr>
              <w:rPr>
                <w:sz w:val="20"/>
                <w:szCs w:val="20"/>
                <w:lang w:val="fr-CA"/>
              </w:rPr>
            </w:pPr>
            <w:r w:rsidRPr="007F7937">
              <w:rPr>
                <w:rStyle w:val="SCCCoramChar"/>
                <w:sz w:val="20"/>
                <w:szCs w:val="20"/>
              </w:rPr>
              <w:t>Les juges LeBel, Abella et Cromwell</w:t>
            </w:r>
          </w:p>
          <w:p w:rsidR="00B701ED" w:rsidRPr="007F7937" w:rsidRDefault="00B701ED" w:rsidP="003B76D9">
            <w:pPr>
              <w:rPr>
                <w:sz w:val="20"/>
                <w:szCs w:val="20"/>
                <w:u w:val="single"/>
                <w:lang w:val="fr-CA"/>
              </w:rPr>
            </w:pPr>
          </w:p>
        </w:tc>
      </w:tr>
      <w:tr w:rsidR="00B701ED" w:rsidRPr="007F7937" w:rsidTr="003B76D9">
        <w:trPr>
          <w:cantSplit/>
        </w:trPr>
        <w:tc>
          <w:tcPr>
            <w:tcW w:w="9576" w:type="dxa"/>
            <w:gridSpan w:val="2"/>
          </w:tcPr>
          <w:p w:rsidR="00B701ED" w:rsidRPr="007F7937" w:rsidRDefault="00B701ED" w:rsidP="003B76D9">
            <w:pPr>
              <w:pStyle w:val="SCCShortJudgment"/>
              <w:rPr>
                <w:szCs w:val="20"/>
                <w:lang w:val="fr-CA"/>
              </w:rPr>
            </w:pPr>
            <w:r w:rsidRPr="007F7937">
              <w:rPr>
                <w:szCs w:val="20"/>
                <w:lang w:val="fr-CA"/>
              </w:rPr>
              <w:lastRenderedPageBreak/>
              <w:t>La requête de la Chambre des notaires pour intervenir et poser une nouvelle question est rejetée. La demande d’autorisation d’appel de l’arrêt de la Cour d’appel du Québec (Montréal), numéro 500-09-020138-095, 2011 QCCA 1498, daté du 18 août 2011, est rejetée avec dépens en faveur de l’intimée.</w:t>
            </w:r>
          </w:p>
          <w:p w:rsidR="00B701ED" w:rsidRPr="007F7937" w:rsidRDefault="00B701ED" w:rsidP="003B76D9">
            <w:pPr>
              <w:pStyle w:val="SCCShortJudgment"/>
              <w:ind w:firstLine="0"/>
              <w:rPr>
                <w:szCs w:val="20"/>
                <w:lang w:val="fr-CA"/>
              </w:rPr>
            </w:pPr>
          </w:p>
          <w:p w:rsidR="00B701ED" w:rsidRPr="007F7937" w:rsidRDefault="00B701ED" w:rsidP="003B76D9">
            <w:pPr>
              <w:pStyle w:val="SCCShortJudgment"/>
              <w:rPr>
                <w:szCs w:val="20"/>
              </w:rPr>
            </w:pPr>
            <w:r w:rsidRPr="007F7937">
              <w:rPr>
                <w:szCs w:val="20"/>
              </w:rPr>
              <w:t>The motion of the Chambre des notaires for leave to intervene and raise a new issue is dismissed. The application for leave to appeal from the judgment of the Court of Appeal of Quebec (Montréal), Number 500-09-020138-095, 2011 QCCA 1498, dated August 18, 2011, is dismissed with costs to the respondent.</w:t>
            </w:r>
          </w:p>
        </w:tc>
      </w:tr>
    </w:tbl>
    <w:p w:rsidR="00E82950" w:rsidRPr="00B701ED" w:rsidRDefault="00E82950" w:rsidP="00E82950">
      <w:pPr>
        <w:rPr>
          <w:sz w:val="20"/>
          <w:szCs w:val="20"/>
        </w:rPr>
      </w:pPr>
    </w:p>
    <w:p w:rsidR="00E82950" w:rsidRPr="001B157C" w:rsidRDefault="00E82950" w:rsidP="00E82950">
      <w:pPr>
        <w:rPr>
          <w:sz w:val="20"/>
          <w:szCs w:val="20"/>
          <w:u w:val="single"/>
        </w:rPr>
      </w:pPr>
      <w:r w:rsidRPr="001B157C">
        <w:rPr>
          <w:sz w:val="20"/>
          <w:szCs w:val="20"/>
          <w:u w:val="single"/>
        </w:rPr>
        <w:t>CASE SUMMARY</w:t>
      </w:r>
    </w:p>
    <w:p w:rsidR="00E82950" w:rsidRDefault="00E82950" w:rsidP="00E829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F5561" w:rsidRPr="00C1643E" w:rsidTr="00A62471">
        <w:tc>
          <w:tcPr>
            <w:tcW w:w="5000" w:type="pct"/>
            <w:gridSpan w:val="3"/>
          </w:tcPr>
          <w:p w:rsidR="009F5561" w:rsidRPr="00C1643E" w:rsidRDefault="009F5561" w:rsidP="00A62471">
            <w:pPr>
              <w:jc w:val="both"/>
              <w:rPr>
                <w:rFonts w:eastAsia="Calibri"/>
                <w:sz w:val="20"/>
              </w:rPr>
            </w:pPr>
            <w:r w:rsidRPr="00C1643E">
              <w:rPr>
                <w:rFonts w:eastAsia="Calibri"/>
                <w:sz w:val="20"/>
              </w:rPr>
              <w:t>Administrative law – Appeal and judicial review – Standard of review – Application for re</w:t>
            </w:r>
            <w:r w:rsidRPr="00C1643E">
              <w:rPr>
                <w:rFonts w:eastAsia="Calibri"/>
                <w:sz w:val="20"/>
              </w:rPr>
              <w:noBreakHyphen/>
              <w:t>entry to Barreau following five</w:t>
            </w:r>
            <w:r w:rsidRPr="00C1643E">
              <w:rPr>
                <w:rFonts w:eastAsia="Calibri"/>
                <w:sz w:val="20"/>
              </w:rPr>
              <w:noBreakHyphen/>
              <w:t>year disbarment for improper and fraudulent acts – Appropriateness of re</w:t>
            </w:r>
            <w:r w:rsidRPr="00C1643E">
              <w:rPr>
                <w:rFonts w:eastAsia="Calibri"/>
                <w:sz w:val="20"/>
              </w:rPr>
              <w:noBreakHyphen/>
              <w:t xml:space="preserve">entry debated by first administrative tribunal and appellate administrative tribunal and then on judicial review – Whether Court of Appeal applied inappropriate standard of review – </w:t>
            </w:r>
            <w:r w:rsidRPr="00C1643E">
              <w:rPr>
                <w:rFonts w:eastAsia="Calibri"/>
                <w:i/>
                <w:sz w:val="20"/>
              </w:rPr>
              <w:t>Act respecting the Barreau du Québec</w:t>
            </w:r>
            <w:r w:rsidRPr="00C1643E">
              <w:rPr>
                <w:rFonts w:eastAsia="Calibri"/>
                <w:sz w:val="20"/>
              </w:rPr>
              <w:t>, R.S.Q. c. B</w:t>
            </w:r>
            <w:r w:rsidRPr="00C1643E">
              <w:rPr>
                <w:rFonts w:eastAsia="Calibri"/>
                <w:sz w:val="20"/>
              </w:rPr>
              <w:noBreakHyphen/>
              <w:t xml:space="preserve">1, ss. 70, 72 – </w:t>
            </w:r>
            <w:r w:rsidRPr="00C1643E">
              <w:rPr>
                <w:rFonts w:eastAsia="Calibri"/>
                <w:i/>
                <w:sz w:val="20"/>
              </w:rPr>
              <w:t>Professional Code</w:t>
            </w:r>
            <w:r w:rsidRPr="00C1643E">
              <w:rPr>
                <w:rFonts w:eastAsia="Calibri"/>
                <w:sz w:val="20"/>
              </w:rPr>
              <w:t>, R.S.Q. c. C</w:t>
            </w:r>
            <w:r w:rsidRPr="00C1643E">
              <w:rPr>
                <w:rFonts w:eastAsia="Calibri"/>
                <w:sz w:val="20"/>
              </w:rPr>
              <w:noBreakHyphen/>
              <w:t>26, ss. 182.1, 182.6.</w:t>
            </w:r>
          </w:p>
        </w:tc>
      </w:tr>
      <w:tr w:rsidR="009F5561" w:rsidRPr="00C1643E" w:rsidTr="00A62471">
        <w:tc>
          <w:tcPr>
            <w:tcW w:w="5000" w:type="pct"/>
            <w:gridSpan w:val="3"/>
          </w:tcPr>
          <w:p w:rsidR="009F5561" w:rsidRPr="00C1643E" w:rsidRDefault="009F5561" w:rsidP="00A62471">
            <w:pPr>
              <w:jc w:val="both"/>
              <w:rPr>
                <w:rFonts w:eastAsia="Calibri"/>
                <w:sz w:val="20"/>
              </w:rPr>
            </w:pPr>
          </w:p>
        </w:tc>
      </w:tr>
      <w:tr w:rsidR="009F5561" w:rsidRPr="00C1643E" w:rsidTr="00A62471">
        <w:tc>
          <w:tcPr>
            <w:tcW w:w="5000" w:type="pct"/>
            <w:gridSpan w:val="3"/>
          </w:tcPr>
          <w:p w:rsidR="009F5561" w:rsidRPr="00C1643E" w:rsidRDefault="009F5561" w:rsidP="00A62471">
            <w:pPr>
              <w:jc w:val="both"/>
              <w:rPr>
                <w:rFonts w:eastAsia="Calibri"/>
                <w:sz w:val="20"/>
              </w:rPr>
            </w:pPr>
            <w:r w:rsidRPr="00C1643E">
              <w:rPr>
                <w:rFonts w:eastAsia="Calibri"/>
                <w:sz w:val="20"/>
              </w:rPr>
              <w:t>The respondent was disbarred in February 2000 for making and using false evidence, incitement to perjury and destroying evidence; other offences resulted in separate penalties. The disbarment period imposed by the disciplinary committee for each of the three counts was reduced from seven years to five years by the Professions Tribunal.  In 2005, the respondent applied for re</w:t>
            </w:r>
            <w:r w:rsidRPr="00C1643E">
              <w:rPr>
                <w:rFonts w:eastAsia="Calibri"/>
                <w:sz w:val="20"/>
              </w:rPr>
              <w:noBreakHyphen/>
              <w:t>entry.  The executive committee, which had to determine whether the respondent was fit to return to the profession, found that she was not.  After the Professions Tribunal reversed that decision, which it considered unfair, the Barreau asked the Superior Court to exercise its power of review.</w:t>
            </w:r>
          </w:p>
          <w:p w:rsidR="009F5561" w:rsidRPr="00C1643E" w:rsidRDefault="009F5561" w:rsidP="00A62471">
            <w:pPr>
              <w:jc w:val="both"/>
              <w:rPr>
                <w:rFonts w:eastAsia="Calibri"/>
                <w:sz w:val="20"/>
              </w:rPr>
            </w:pPr>
          </w:p>
        </w:tc>
      </w:tr>
      <w:tr w:rsidR="009F5561" w:rsidRPr="00C1643E" w:rsidTr="00A62471">
        <w:tc>
          <w:tcPr>
            <w:tcW w:w="2427" w:type="pct"/>
          </w:tcPr>
          <w:p w:rsidR="009F5561" w:rsidRPr="00C1643E" w:rsidRDefault="009F5561" w:rsidP="00A62471">
            <w:pPr>
              <w:jc w:val="both"/>
              <w:rPr>
                <w:rFonts w:eastAsia="Calibri"/>
                <w:sz w:val="20"/>
              </w:rPr>
            </w:pPr>
            <w:r w:rsidRPr="00C1643E">
              <w:rPr>
                <w:rFonts w:eastAsia="Calibri"/>
                <w:sz w:val="20"/>
              </w:rPr>
              <w:t>November 10, 2009</w:t>
            </w:r>
          </w:p>
          <w:p w:rsidR="009F5561" w:rsidRPr="00C1643E" w:rsidRDefault="009F5561" w:rsidP="00A62471">
            <w:pPr>
              <w:jc w:val="both"/>
              <w:rPr>
                <w:rFonts w:eastAsia="Calibri"/>
                <w:sz w:val="20"/>
              </w:rPr>
            </w:pPr>
            <w:r w:rsidRPr="00C1643E">
              <w:rPr>
                <w:rFonts w:eastAsia="Calibri"/>
                <w:sz w:val="20"/>
              </w:rPr>
              <w:t>Quebec Superior Court</w:t>
            </w:r>
          </w:p>
          <w:p w:rsidR="009F5561" w:rsidRPr="00C1643E" w:rsidRDefault="009F5561" w:rsidP="00A62471">
            <w:pPr>
              <w:jc w:val="both"/>
              <w:rPr>
                <w:rFonts w:eastAsia="Calibri"/>
                <w:sz w:val="20"/>
              </w:rPr>
            </w:pPr>
            <w:r w:rsidRPr="00C1643E">
              <w:rPr>
                <w:rFonts w:eastAsia="Calibri"/>
                <w:sz w:val="20"/>
              </w:rPr>
              <w:t>(De Grandpré J.)</w:t>
            </w:r>
          </w:p>
          <w:p w:rsidR="009F5561" w:rsidRPr="00C1643E" w:rsidRDefault="009F5561" w:rsidP="00A62471">
            <w:pPr>
              <w:jc w:val="both"/>
              <w:rPr>
                <w:rFonts w:eastAsia="Calibri"/>
                <w:sz w:val="20"/>
              </w:rPr>
            </w:pPr>
            <w:r w:rsidRPr="00C1643E">
              <w:rPr>
                <w:rFonts w:eastAsia="Calibri"/>
                <w:sz w:val="20"/>
              </w:rPr>
              <w:t>Neutral citation: 2009 QCCS 5071</w:t>
            </w:r>
          </w:p>
          <w:p w:rsidR="009F5561" w:rsidRPr="00C1643E" w:rsidRDefault="009F5561" w:rsidP="00A62471">
            <w:pPr>
              <w:jc w:val="both"/>
              <w:rPr>
                <w:rFonts w:eastAsia="Calibri"/>
                <w:sz w:val="20"/>
              </w:rPr>
            </w:pPr>
          </w:p>
        </w:tc>
        <w:tc>
          <w:tcPr>
            <w:tcW w:w="243" w:type="pct"/>
          </w:tcPr>
          <w:p w:rsidR="009F5561" w:rsidRPr="00C1643E" w:rsidRDefault="009F5561" w:rsidP="00A62471">
            <w:pPr>
              <w:jc w:val="both"/>
              <w:rPr>
                <w:rFonts w:eastAsia="Calibri"/>
                <w:sz w:val="20"/>
              </w:rPr>
            </w:pPr>
          </w:p>
        </w:tc>
        <w:tc>
          <w:tcPr>
            <w:tcW w:w="2330" w:type="pct"/>
          </w:tcPr>
          <w:p w:rsidR="009F5561" w:rsidRPr="00C1643E" w:rsidRDefault="009F5561" w:rsidP="00A62471">
            <w:pPr>
              <w:jc w:val="both"/>
              <w:rPr>
                <w:rFonts w:eastAsia="Calibri"/>
                <w:sz w:val="20"/>
              </w:rPr>
            </w:pPr>
            <w:r w:rsidRPr="00C1643E">
              <w:rPr>
                <w:rFonts w:eastAsia="Calibri"/>
                <w:sz w:val="20"/>
              </w:rPr>
              <w:t>Decision of Professions Tribunal judicially reviewed; decision of Barreau’s executive committee to deny re</w:t>
            </w:r>
            <w:r w:rsidRPr="00C1643E">
              <w:rPr>
                <w:rFonts w:eastAsia="Calibri"/>
                <w:sz w:val="20"/>
              </w:rPr>
              <w:noBreakHyphen/>
              <w:t>entry to Ms. Parizeau restored</w:t>
            </w:r>
          </w:p>
        </w:tc>
      </w:tr>
      <w:tr w:rsidR="009F5561" w:rsidRPr="00C1643E" w:rsidTr="00A62471">
        <w:tc>
          <w:tcPr>
            <w:tcW w:w="2427" w:type="pct"/>
          </w:tcPr>
          <w:p w:rsidR="009F5561" w:rsidRPr="00C1643E" w:rsidRDefault="009F5561" w:rsidP="00A62471">
            <w:pPr>
              <w:jc w:val="both"/>
              <w:rPr>
                <w:rFonts w:eastAsia="Calibri"/>
                <w:sz w:val="20"/>
              </w:rPr>
            </w:pPr>
            <w:r w:rsidRPr="00C1643E">
              <w:rPr>
                <w:rFonts w:eastAsia="Calibri"/>
                <w:sz w:val="20"/>
              </w:rPr>
              <w:t>August 18, 2011</w:t>
            </w:r>
          </w:p>
          <w:p w:rsidR="009F5561" w:rsidRPr="00C1643E" w:rsidRDefault="009F5561" w:rsidP="00A62471">
            <w:pPr>
              <w:jc w:val="both"/>
              <w:rPr>
                <w:rFonts w:eastAsia="Calibri"/>
                <w:sz w:val="20"/>
              </w:rPr>
            </w:pPr>
            <w:r w:rsidRPr="00C1643E">
              <w:rPr>
                <w:rFonts w:eastAsia="Calibri"/>
                <w:sz w:val="20"/>
              </w:rPr>
              <w:t>Quebec Court of Appeal (Montréal)</w:t>
            </w:r>
          </w:p>
          <w:p w:rsidR="009F5561" w:rsidRPr="00C1643E" w:rsidRDefault="009F5561" w:rsidP="00A62471">
            <w:pPr>
              <w:jc w:val="both"/>
              <w:rPr>
                <w:rFonts w:eastAsia="Calibri"/>
                <w:sz w:val="20"/>
              </w:rPr>
            </w:pPr>
            <w:r w:rsidRPr="00C1643E">
              <w:rPr>
                <w:rFonts w:eastAsia="Calibri"/>
                <w:sz w:val="20"/>
              </w:rPr>
              <w:t>(Pelletier, Doyon and Bich JJ.A.)</w:t>
            </w:r>
          </w:p>
          <w:p w:rsidR="009F5561" w:rsidRPr="00C1643E" w:rsidRDefault="009F5561" w:rsidP="00A62471">
            <w:pPr>
              <w:jc w:val="both"/>
              <w:rPr>
                <w:rFonts w:eastAsia="Calibri"/>
                <w:sz w:val="20"/>
              </w:rPr>
            </w:pPr>
            <w:r w:rsidRPr="00C1643E">
              <w:rPr>
                <w:rFonts w:eastAsia="Calibri"/>
                <w:sz w:val="20"/>
              </w:rPr>
              <w:t>Neutral citation: 2011 QCCA 1498</w:t>
            </w:r>
          </w:p>
          <w:p w:rsidR="009F5561" w:rsidRPr="00C1643E" w:rsidRDefault="009F5561" w:rsidP="00A62471">
            <w:pPr>
              <w:jc w:val="both"/>
              <w:rPr>
                <w:rFonts w:eastAsia="Calibri"/>
                <w:sz w:val="20"/>
              </w:rPr>
            </w:pPr>
          </w:p>
        </w:tc>
        <w:tc>
          <w:tcPr>
            <w:tcW w:w="243" w:type="pct"/>
          </w:tcPr>
          <w:p w:rsidR="009F5561" w:rsidRPr="00C1643E" w:rsidRDefault="009F5561" w:rsidP="00A62471">
            <w:pPr>
              <w:jc w:val="both"/>
              <w:rPr>
                <w:rFonts w:eastAsia="Calibri"/>
                <w:sz w:val="20"/>
              </w:rPr>
            </w:pPr>
          </w:p>
        </w:tc>
        <w:tc>
          <w:tcPr>
            <w:tcW w:w="2330" w:type="pct"/>
          </w:tcPr>
          <w:p w:rsidR="009F5561" w:rsidRPr="00C1643E" w:rsidRDefault="009F5561" w:rsidP="00A62471">
            <w:pPr>
              <w:jc w:val="both"/>
              <w:rPr>
                <w:rFonts w:eastAsia="Calibri"/>
                <w:sz w:val="20"/>
              </w:rPr>
            </w:pPr>
            <w:r w:rsidRPr="00C1643E">
              <w:rPr>
                <w:rFonts w:eastAsia="Calibri"/>
                <w:sz w:val="20"/>
              </w:rPr>
              <w:t>Appeal allowed; decision of Professions Tribunal to grant re</w:t>
            </w:r>
            <w:r w:rsidRPr="00C1643E">
              <w:rPr>
                <w:rFonts w:eastAsia="Calibri"/>
                <w:sz w:val="20"/>
              </w:rPr>
              <w:noBreakHyphen/>
              <w:t>entry to Ms. Parizeau restored</w:t>
            </w:r>
          </w:p>
        </w:tc>
      </w:tr>
      <w:tr w:rsidR="009F5561" w:rsidRPr="00C1643E" w:rsidTr="00A62471">
        <w:trPr>
          <w:trHeight w:val="460"/>
        </w:trPr>
        <w:tc>
          <w:tcPr>
            <w:tcW w:w="2427" w:type="pct"/>
          </w:tcPr>
          <w:p w:rsidR="009F5561" w:rsidRPr="00C1643E" w:rsidRDefault="009F5561" w:rsidP="00A62471">
            <w:pPr>
              <w:jc w:val="both"/>
              <w:rPr>
                <w:rFonts w:eastAsia="Calibri"/>
                <w:sz w:val="20"/>
              </w:rPr>
            </w:pPr>
            <w:r w:rsidRPr="00C1643E">
              <w:rPr>
                <w:rFonts w:eastAsia="Calibri"/>
                <w:sz w:val="20"/>
              </w:rPr>
              <w:t>October 14, 2011</w:t>
            </w:r>
          </w:p>
          <w:p w:rsidR="009F5561" w:rsidRPr="00C1643E" w:rsidRDefault="009F5561" w:rsidP="00A62471">
            <w:pPr>
              <w:jc w:val="both"/>
              <w:rPr>
                <w:rFonts w:eastAsia="Calibri"/>
                <w:sz w:val="20"/>
              </w:rPr>
            </w:pPr>
            <w:r w:rsidRPr="00C1643E">
              <w:rPr>
                <w:rFonts w:eastAsia="Calibri"/>
                <w:sz w:val="20"/>
              </w:rPr>
              <w:t>Supreme Court of Canada</w:t>
            </w:r>
          </w:p>
          <w:p w:rsidR="009F5561" w:rsidRPr="00C1643E" w:rsidRDefault="009F5561" w:rsidP="00A62471">
            <w:pPr>
              <w:jc w:val="both"/>
              <w:rPr>
                <w:rFonts w:eastAsia="Calibri"/>
                <w:sz w:val="20"/>
              </w:rPr>
            </w:pPr>
          </w:p>
        </w:tc>
        <w:tc>
          <w:tcPr>
            <w:tcW w:w="243" w:type="pct"/>
            <w:vMerge w:val="restart"/>
          </w:tcPr>
          <w:p w:rsidR="009F5561" w:rsidRPr="00C1643E" w:rsidRDefault="009F5561" w:rsidP="00A62471">
            <w:pPr>
              <w:jc w:val="both"/>
              <w:rPr>
                <w:rFonts w:eastAsia="Calibri"/>
                <w:sz w:val="20"/>
              </w:rPr>
            </w:pPr>
          </w:p>
        </w:tc>
        <w:tc>
          <w:tcPr>
            <w:tcW w:w="2330" w:type="pct"/>
          </w:tcPr>
          <w:p w:rsidR="009F5561" w:rsidRPr="00C1643E" w:rsidRDefault="009F5561" w:rsidP="00A62471">
            <w:pPr>
              <w:jc w:val="both"/>
              <w:rPr>
                <w:rFonts w:eastAsia="Calibri"/>
                <w:sz w:val="20"/>
              </w:rPr>
            </w:pPr>
            <w:r w:rsidRPr="00C1643E">
              <w:rPr>
                <w:rFonts w:eastAsia="Calibri"/>
                <w:sz w:val="20"/>
              </w:rPr>
              <w:t>Application for leave to appeal filed</w:t>
            </w:r>
          </w:p>
          <w:p w:rsidR="009F5561" w:rsidRPr="00C1643E" w:rsidRDefault="009F5561" w:rsidP="00A62471">
            <w:pPr>
              <w:jc w:val="both"/>
              <w:rPr>
                <w:rFonts w:eastAsia="Calibri"/>
                <w:sz w:val="20"/>
              </w:rPr>
            </w:pPr>
          </w:p>
        </w:tc>
      </w:tr>
      <w:tr w:rsidR="009F5561" w:rsidRPr="00C1643E" w:rsidTr="00A62471">
        <w:trPr>
          <w:trHeight w:val="460"/>
        </w:trPr>
        <w:tc>
          <w:tcPr>
            <w:tcW w:w="2427" w:type="pct"/>
          </w:tcPr>
          <w:p w:rsidR="009F5561" w:rsidRPr="00C1643E" w:rsidRDefault="009F5561" w:rsidP="00A62471">
            <w:pPr>
              <w:jc w:val="both"/>
              <w:rPr>
                <w:rFonts w:eastAsia="Calibri"/>
                <w:sz w:val="20"/>
              </w:rPr>
            </w:pPr>
            <w:r w:rsidRPr="00C1643E">
              <w:rPr>
                <w:rFonts w:eastAsia="Calibri"/>
                <w:sz w:val="20"/>
              </w:rPr>
              <w:t>November 14, 2011</w:t>
            </w:r>
          </w:p>
          <w:p w:rsidR="009F5561" w:rsidRPr="00C1643E" w:rsidRDefault="009F5561" w:rsidP="00A62471">
            <w:pPr>
              <w:jc w:val="both"/>
              <w:rPr>
                <w:rFonts w:eastAsia="Calibri"/>
                <w:sz w:val="20"/>
              </w:rPr>
            </w:pPr>
            <w:r w:rsidRPr="00C1643E">
              <w:rPr>
                <w:rFonts w:eastAsia="Calibri"/>
                <w:sz w:val="20"/>
              </w:rPr>
              <w:t>Supreme Court of Canada</w:t>
            </w:r>
          </w:p>
        </w:tc>
        <w:tc>
          <w:tcPr>
            <w:tcW w:w="243" w:type="pct"/>
            <w:vMerge/>
          </w:tcPr>
          <w:p w:rsidR="009F5561" w:rsidRPr="00C1643E" w:rsidRDefault="009F5561" w:rsidP="00A62471">
            <w:pPr>
              <w:jc w:val="both"/>
              <w:rPr>
                <w:rFonts w:eastAsia="Calibri"/>
                <w:sz w:val="20"/>
              </w:rPr>
            </w:pPr>
          </w:p>
        </w:tc>
        <w:tc>
          <w:tcPr>
            <w:tcW w:w="2330" w:type="pct"/>
          </w:tcPr>
          <w:p w:rsidR="009F5561" w:rsidRPr="00C1643E" w:rsidRDefault="009F5561" w:rsidP="00A62471">
            <w:pPr>
              <w:jc w:val="both"/>
              <w:rPr>
                <w:rFonts w:eastAsia="Calibri"/>
                <w:sz w:val="20"/>
              </w:rPr>
            </w:pPr>
            <w:r w:rsidRPr="00C1643E">
              <w:rPr>
                <w:rFonts w:eastAsia="Calibri"/>
                <w:sz w:val="20"/>
              </w:rPr>
              <w:t>Motion by Chambre des notaires for intervention and to raise new issue</w:t>
            </w:r>
          </w:p>
        </w:tc>
      </w:tr>
    </w:tbl>
    <w:p w:rsidR="00E82950" w:rsidRDefault="00E82950" w:rsidP="00E82950">
      <w:pPr>
        <w:rPr>
          <w:sz w:val="20"/>
          <w:szCs w:val="20"/>
        </w:rPr>
      </w:pPr>
    </w:p>
    <w:p w:rsidR="00E82950" w:rsidRPr="00C50A5C" w:rsidRDefault="009019DC" w:rsidP="00E82950">
      <w:pPr>
        <w:rPr>
          <w:sz w:val="20"/>
          <w:szCs w:val="20"/>
        </w:rPr>
      </w:pPr>
      <w:r w:rsidRPr="009019DC">
        <w:rPr>
          <w:sz w:val="20"/>
          <w:szCs w:val="20"/>
          <w:lang w:val="fr-CA"/>
        </w:rPr>
        <w:pict>
          <v:rect id="_x0000_i1042" style="width:2in;height:1pt" o:hrpct="0" o:hralign="center" o:hrstd="t" o:hrnoshade="t" o:hr="t" fillcolor="black [3213]" stroked="f"/>
        </w:pict>
      </w:r>
    </w:p>
    <w:p w:rsidR="00E82950" w:rsidRDefault="00E82950" w:rsidP="00E82950">
      <w:pPr>
        <w:rPr>
          <w:sz w:val="20"/>
          <w:szCs w:val="20"/>
        </w:rPr>
      </w:pPr>
    </w:p>
    <w:p w:rsidR="00E82950" w:rsidRPr="001B157C" w:rsidRDefault="00E82950" w:rsidP="00E82950">
      <w:pPr>
        <w:rPr>
          <w:sz w:val="20"/>
          <w:szCs w:val="20"/>
          <w:u w:val="single"/>
          <w:lang w:val="fr-CA"/>
        </w:rPr>
      </w:pPr>
      <w:r w:rsidRPr="001B157C">
        <w:rPr>
          <w:sz w:val="20"/>
          <w:szCs w:val="20"/>
          <w:u w:val="single"/>
          <w:lang w:val="fr-CA"/>
        </w:rPr>
        <w:t>RÉSUMÉ DE L’AFFAIRE</w:t>
      </w:r>
    </w:p>
    <w:p w:rsidR="00E82950" w:rsidRDefault="00E82950" w:rsidP="00E829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F5561" w:rsidRPr="00C1643E" w:rsidTr="00A62471">
        <w:tc>
          <w:tcPr>
            <w:tcW w:w="5000" w:type="pct"/>
            <w:gridSpan w:val="3"/>
          </w:tcPr>
          <w:p w:rsidR="009F5561" w:rsidRPr="00C1643E" w:rsidRDefault="009F5561" w:rsidP="00A62471">
            <w:pPr>
              <w:jc w:val="both"/>
              <w:rPr>
                <w:rFonts w:eastAsia="Calibri"/>
                <w:sz w:val="20"/>
                <w:lang w:val="fr-FR"/>
              </w:rPr>
            </w:pPr>
            <w:r w:rsidRPr="00C1643E">
              <w:rPr>
                <w:rFonts w:eastAsia="Calibri"/>
                <w:sz w:val="20"/>
                <w:lang w:val="fr-CA"/>
              </w:rPr>
              <w:t xml:space="preserve">Droit administratif – Appel et contrôle judiciaire – Norme de contrôle - Demande de réinscription au Barreau après une radiation de cinq ans pour des actes abusifs et frauduleux – Opportunité de réinscrire débattue par un premier tribunal administratif, un tribunal administratif d’appel puis en contrôle judiciaire – La Cour d’appel a-t-elle appliqué une norme de contrôle inappropriée? – </w:t>
            </w:r>
            <w:r w:rsidRPr="00C1643E">
              <w:rPr>
                <w:rFonts w:eastAsia="Calibri"/>
                <w:i/>
                <w:sz w:val="20"/>
                <w:lang w:val="fr-CA"/>
              </w:rPr>
              <w:t>Loi sur le Barreau</w:t>
            </w:r>
            <w:r w:rsidRPr="00C1643E">
              <w:rPr>
                <w:rFonts w:eastAsia="Calibri"/>
                <w:sz w:val="20"/>
                <w:lang w:val="fr-CA"/>
              </w:rPr>
              <w:t xml:space="preserve">, L.R.Q. ch. B-1, art. 70, 72 – </w:t>
            </w:r>
            <w:r w:rsidRPr="00C1643E">
              <w:rPr>
                <w:rFonts w:eastAsia="Calibri"/>
                <w:i/>
                <w:sz w:val="20"/>
                <w:lang w:val="fr-CA"/>
              </w:rPr>
              <w:t>Code des professions</w:t>
            </w:r>
            <w:r w:rsidRPr="00C1643E">
              <w:rPr>
                <w:rFonts w:eastAsia="Calibri"/>
                <w:sz w:val="20"/>
                <w:lang w:val="fr-CA"/>
              </w:rPr>
              <w:t>, L.R.Q. ch. C-26, art. 182.1, 182.6.</w:t>
            </w:r>
          </w:p>
        </w:tc>
      </w:tr>
      <w:tr w:rsidR="009F5561" w:rsidRPr="00C1643E" w:rsidTr="00A62471">
        <w:tc>
          <w:tcPr>
            <w:tcW w:w="5000" w:type="pct"/>
            <w:gridSpan w:val="3"/>
          </w:tcPr>
          <w:p w:rsidR="009F5561" w:rsidRPr="00C1643E" w:rsidRDefault="009F5561" w:rsidP="00A62471">
            <w:pPr>
              <w:jc w:val="both"/>
              <w:rPr>
                <w:rFonts w:eastAsia="Calibri"/>
                <w:sz w:val="20"/>
                <w:lang w:val="fr-CA"/>
              </w:rPr>
            </w:pPr>
          </w:p>
        </w:tc>
      </w:tr>
      <w:tr w:rsidR="009F5561" w:rsidRPr="00F8135D" w:rsidTr="00A62471">
        <w:tc>
          <w:tcPr>
            <w:tcW w:w="5000" w:type="pct"/>
            <w:gridSpan w:val="3"/>
          </w:tcPr>
          <w:p w:rsidR="009F5561" w:rsidRPr="00C1643E" w:rsidRDefault="009F5561" w:rsidP="00A62471">
            <w:pPr>
              <w:jc w:val="both"/>
              <w:rPr>
                <w:rFonts w:eastAsia="Calibri"/>
                <w:sz w:val="20"/>
                <w:lang w:val="fr-CA"/>
              </w:rPr>
            </w:pPr>
            <w:r w:rsidRPr="00C1643E">
              <w:rPr>
                <w:rFonts w:eastAsia="Calibri"/>
                <w:sz w:val="20"/>
                <w:lang w:val="fr-CA"/>
              </w:rPr>
              <w:t xml:space="preserve">L’intimée a été radiée du Barreau en février 2000 pour confection et utilisation de fausse preuve, incitation au parjure </w:t>
            </w:r>
            <w:r w:rsidRPr="00C1643E">
              <w:rPr>
                <w:rFonts w:eastAsia="Calibri"/>
                <w:sz w:val="20"/>
                <w:lang w:val="fr-CA"/>
              </w:rPr>
              <w:lastRenderedPageBreak/>
              <w:t>et destruction de preuve; d’autres infractions ont entraîné des sanctions distinctes. La période de radiation imposée par le Comité de discipline, pour chacun des trois chefs, fut ramenée de sept ans à cinq ans par le Tribunal des professions. En 2005, l’intimée demande sa réinscription. Le Comité administratif appelé à vérifier si elle est apte à réintégrer la profession estime que tel n’est pas le cas. Le Tribunal des professions ayant renversé cette décision, qu’il considérait inéquitable, le Barreau demande à la Cour supérieure d’exercer son pouvoir de contrôle.</w:t>
            </w:r>
          </w:p>
          <w:p w:rsidR="009F5561" w:rsidRPr="00C1643E" w:rsidRDefault="009F5561" w:rsidP="00A62471">
            <w:pPr>
              <w:jc w:val="both"/>
              <w:rPr>
                <w:rFonts w:eastAsia="Calibri"/>
                <w:sz w:val="20"/>
                <w:lang w:val="fr-CA"/>
              </w:rPr>
            </w:pPr>
          </w:p>
        </w:tc>
      </w:tr>
      <w:tr w:rsidR="009F5561" w:rsidRPr="00F8135D" w:rsidTr="00A62471">
        <w:tc>
          <w:tcPr>
            <w:tcW w:w="2427" w:type="pct"/>
          </w:tcPr>
          <w:p w:rsidR="009F5561" w:rsidRPr="00C1643E" w:rsidRDefault="009F5561" w:rsidP="00A62471">
            <w:pPr>
              <w:jc w:val="both"/>
              <w:rPr>
                <w:rFonts w:eastAsia="Calibri"/>
                <w:sz w:val="20"/>
                <w:lang w:val="fr-CA"/>
              </w:rPr>
            </w:pPr>
            <w:r w:rsidRPr="00C1643E">
              <w:rPr>
                <w:rFonts w:eastAsia="Calibri"/>
                <w:sz w:val="20"/>
                <w:lang w:val="fr-CA"/>
              </w:rPr>
              <w:lastRenderedPageBreak/>
              <w:t>Le 10 novembre 2009</w:t>
            </w:r>
          </w:p>
          <w:p w:rsidR="009F5561" w:rsidRPr="00C1643E" w:rsidRDefault="009F5561" w:rsidP="00A62471">
            <w:pPr>
              <w:jc w:val="both"/>
              <w:rPr>
                <w:rFonts w:eastAsia="Calibri"/>
                <w:sz w:val="20"/>
                <w:lang w:val="fr-CA"/>
              </w:rPr>
            </w:pPr>
            <w:r w:rsidRPr="00C1643E">
              <w:rPr>
                <w:rFonts w:eastAsia="Calibri"/>
                <w:sz w:val="20"/>
                <w:lang w:val="fr-CA"/>
              </w:rPr>
              <w:t>Cour supérieure du Québec</w:t>
            </w:r>
          </w:p>
          <w:p w:rsidR="009F5561" w:rsidRPr="00C1643E" w:rsidRDefault="009F5561" w:rsidP="00A62471">
            <w:pPr>
              <w:jc w:val="both"/>
              <w:rPr>
                <w:rFonts w:eastAsia="Calibri"/>
                <w:sz w:val="20"/>
                <w:lang w:val="fr-CA"/>
              </w:rPr>
            </w:pPr>
            <w:r w:rsidRPr="00C1643E">
              <w:rPr>
                <w:rFonts w:eastAsia="Calibri"/>
                <w:sz w:val="20"/>
                <w:lang w:val="fr-CA"/>
              </w:rPr>
              <w:t>(Le juge De Grandpré)</w:t>
            </w:r>
          </w:p>
          <w:p w:rsidR="009F5561" w:rsidRPr="00C1643E" w:rsidRDefault="009F5561" w:rsidP="00A62471">
            <w:pPr>
              <w:jc w:val="both"/>
              <w:rPr>
                <w:rFonts w:eastAsia="Calibri"/>
                <w:sz w:val="20"/>
                <w:lang w:val="fr-CA"/>
              </w:rPr>
            </w:pPr>
            <w:r w:rsidRPr="00C1643E">
              <w:rPr>
                <w:rFonts w:eastAsia="Calibri"/>
                <w:sz w:val="20"/>
                <w:lang w:val="fr-CA"/>
              </w:rPr>
              <w:t>Référence neutre : 2009 QCCS 5071</w:t>
            </w:r>
          </w:p>
          <w:p w:rsidR="009F5561" w:rsidRPr="00C1643E" w:rsidRDefault="009F5561" w:rsidP="00A62471">
            <w:pPr>
              <w:jc w:val="both"/>
              <w:rPr>
                <w:rFonts w:eastAsia="Calibri"/>
                <w:sz w:val="20"/>
                <w:lang w:val="fr-CA"/>
              </w:rPr>
            </w:pPr>
          </w:p>
        </w:tc>
        <w:tc>
          <w:tcPr>
            <w:tcW w:w="243" w:type="pct"/>
          </w:tcPr>
          <w:p w:rsidR="009F5561" w:rsidRPr="00C1643E" w:rsidRDefault="009F5561" w:rsidP="00A62471">
            <w:pPr>
              <w:jc w:val="both"/>
              <w:rPr>
                <w:rFonts w:eastAsia="Calibri"/>
                <w:sz w:val="20"/>
                <w:lang w:val="fr-FR"/>
              </w:rPr>
            </w:pPr>
          </w:p>
        </w:tc>
        <w:tc>
          <w:tcPr>
            <w:tcW w:w="2330" w:type="pct"/>
          </w:tcPr>
          <w:p w:rsidR="009F5561" w:rsidRPr="00C1643E" w:rsidRDefault="009F5561" w:rsidP="00A62471">
            <w:pPr>
              <w:jc w:val="both"/>
              <w:rPr>
                <w:rFonts w:eastAsia="Calibri"/>
                <w:sz w:val="20"/>
                <w:lang w:val="fr-CA"/>
              </w:rPr>
            </w:pPr>
            <w:r w:rsidRPr="00C1643E">
              <w:rPr>
                <w:rFonts w:eastAsia="Calibri"/>
                <w:sz w:val="20"/>
                <w:lang w:val="fr-CA"/>
              </w:rPr>
              <w:t>Contrôle judiciaire exercé sur la décision du Tribunal des professions; décision du Comité administratif du Barreau rétablie à l’effet de ne pas réinscrire Mme Parizeau.</w:t>
            </w:r>
          </w:p>
        </w:tc>
      </w:tr>
      <w:tr w:rsidR="009F5561" w:rsidRPr="00F8135D" w:rsidTr="00A62471">
        <w:tc>
          <w:tcPr>
            <w:tcW w:w="2427" w:type="pct"/>
          </w:tcPr>
          <w:p w:rsidR="009F5561" w:rsidRPr="00C1643E" w:rsidRDefault="009F5561" w:rsidP="00A62471">
            <w:pPr>
              <w:jc w:val="both"/>
              <w:rPr>
                <w:rFonts w:eastAsia="Calibri"/>
                <w:sz w:val="20"/>
                <w:lang w:val="fr-CA"/>
              </w:rPr>
            </w:pPr>
            <w:r w:rsidRPr="00C1643E">
              <w:rPr>
                <w:rFonts w:eastAsia="Calibri"/>
                <w:sz w:val="20"/>
                <w:lang w:val="fr-CA"/>
              </w:rPr>
              <w:t>Le 18 août 2011</w:t>
            </w:r>
          </w:p>
          <w:p w:rsidR="009F5561" w:rsidRPr="00C1643E" w:rsidRDefault="009F5561" w:rsidP="00A62471">
            <w:pPr>
              <w:jc w:val="both"/>
              <w:rPr>
                <w:rFonts w:eastAsia="Calibri"/>
                <w:sz w:val="20"/>
                <w:lang w:val="fr-CA"/>
              </w:rPr>
            </w:pPr>
            <w:r w:rsidRPr="00C1643E">
              <w:rPr>
                <w:rFonts w:eastAsia="Calibri"/>
                <w:sz w:val="20"/>
                <w:lang w:val="fr-CA"/>
              </w:rPr>
              <w:t>Cour d’appel du Québec (Montréal)</w:t>
            </w:r>
          </w:p>
          <w:p w:rsidR="009F5561" w:rsidRPr="00C1643E" w:rsidRDefault="009F5561" w:rsidP="00A62471">
            <w:pPr>
              <w:jc w:val="both"/>
              <w:rPr>
                <w:rFonts w:eastAsia="Calibri"/>
                <w:sz w:val="20"/>
                <w:lang w:val="fr-CA"/>
              </w:rPr>
            </w:pPr>
            <w:r w:rsidRPr="00C1643E">
              <w:rPr>
                <w:rFonts w:eastAsia="Calibri"/>
                <w:sz w:val="20"/>
                <w:lang w:val="fr-CA"/>
              </w:rPr>
              <w:t>(Les juges Pelletier, Doyon et Bich)</w:t>
            </w:r>
          </w:p>
          <w:p w:rsidR="009F5561" w:rsidRPr="00C1643E" w:rsidRDefault="009F5561" w:rsidP="00A62471">
            <w:pPr>
              <w:jc w:val="both"/>
              <w:rPr>
                <w:rFonts w:eastAsia="Calibri"/>
                <w:sz w:val="20"/>
                <w:lang w:val="fr-CA"/>
              </w:rPr>
            </w:pPr>
            <w:r w:rsidRPr="00C1643E">
              <w:rPr>
                <w:rFonts w:eastAsia="Calibri"/>
                <w:sz w:val="20"/>
                <w:lang w:val="fr-CA"/>
              </w:rPr>
              <w:t>Référence neutre : 2011 QCCA 1498</w:t>
            </w:r>
          </w:p>
          <w:p w:rsidR="009F5561" w:rsidRPr="00C1643E" w:rsidRDefault="009F5561" w:rsidP="00A62471">
            <w:pPr>
              <w:jc w:val="both"/>
              <w:rPr>
                <w:rFonts w:eastAsia="Calibri"/>
                <w:sz w:val="20"/>
                <w:lang w:val="fr-FR"/>
              </w:rPr>
            </w:pPr>
          </w:p>
        </w:tc>
        <w:tc>
          <w:tcPr>
            <w:tcW w:w="243" w:type="pct"/>
          </w:tcPr>
          <w:p w:rsidR="009F5561" w:rsidRPr="00C1643E" w:rsidRDefault="009F5561" w:rsidP="00A62471">
            <w:pPr>
              <w:jc w:val="both"/>
              <w:rPr>
                <w:rFonts w:eastAsia="Calibri"/>
                <w:sz w:val="20"/>
                <w:lang w:val="fr-FR"/>
              </w:rPr>
            </w:pPr>
          </w:p>
        </w:tc>
        <w:tc>
          <w:tcPr>
            <w:tcW w:w="2330" w:type="pct"/>
          </w:tcPr>
          <w:p w:rsidR="009F5561" w:rsidRPr="00C1643E" w:rsidRDefault="009F5561" w:rsidP="00A62471">
            <w:pPr>
              <w:jc w:val="both"/>
              <w:rPr>
                <w:rFonts w:eastAsia="Calibri"/>
                <w:sz w:val="20"/>
                <w:lang w:val="fr-CA"/>
              </w:rPr>
            </w:pPr>
            <w:r w:rsidRPr="00C1643E">
              <w:rPr>
                <w:rFonts w:eastAsia="Calibri"/>
                <w:sz w:val="20"/>
                <w:lang w:val="fr-CA"/>
              </w:rPr>
              <w:t>Appel accueilli; décision du Tribunal des professions rétablie à l’effet de réinscrire Mme Parizeau.</w:t>
            </w:r>
          </w:p>
        </w:tc>
      </w:tr>
      <w:tr w:rsidR="009F5561" w:rsidRPr="00C1643E" w:rsidTr="00A62471">
        <w:trPr>
          <w:trHeight w:val="535"/>
        </w:trPr>
        <w:tc>
          <w:tcPr>
            <w:tcW w:w="2427" w:type="pct"/>
          </w:tcPr>
          <w:p w:rsidR="009F5561" w:rsidRPr="00C1643E" w:rsidRDefault="009F5561" w:rsidP="00A62471">
            <w:pPr>
              <w:jc w:val="both"/>
              <w:rPr>
                <w:rFonts w:eastAsia="Calibri"/>
                <w:sz w:val="20"/>
                <w:lang w:val="fr-CA"/>
              </w:rPr>
            </w:pPr>
            <w:r w:rsidRPr="00C1643E">
              <w:rPr>
                <w:rFonts w:eastAsia="Calibri"/>
                <w:sz w:val="20"/>
                <w:lang w:val="fr-CA"/>
              </w:rPr>
              <w:t>Le 14 octobre 2011</w:t>
            </w:r>
          </w:p>
          <w:p w:rsidR="009F5561" w:rsidRPr="00C1643E" w:rsidRDefault="009F5561" w:rsidP="00A62471">
            <w:pPr>
              <w:jc w:val="both"/>
              <w:rPr>
                <w:rFonts w:eastAsia="Calibri"/>
                <w:sz w:val="20"/>
                <w:lang w:val="fr-CA"/>
              </w:rPr>
            </w:pPr>
            <w:r w:rsidRPr="00C1643E">
              <w:rPr>
                <w:rFonts w:eastAsia="Calibri"/>
                <w:sz w:val="20"/>
                <w:lang w:val="fr-CA"/>
              </w:rPr>
              <w:t>Cour suprême du Canada</w:t>
            </w:r>
          </w:p>
          <w:p w:rsidR="009F5561" w:rsidRPr="00C1643E" w:rsidRDefault="009F5561" w:rsidP="00A62471">
            <w:pPr>
              <w:jc w:val="both"/>
              <w:rPr>
                <w:rFonts w:eastAsia="Calibri"/>
                <w:sz w:val="20"/>
                <w:lang w:val="fr-FR"/>
              </w:rPr>
            </w:pPr>
          </w:p>
        </w:tc>
        <w:tc>
          <w:tcPr>
            <w:tcW w:w="243" w:type="pct"/>
            <w:vMerge w:val="restart"/>
          </w:tcPr>
          <w:p w:rsidR="009F5561" w:rsidRPr="00C1643E" w:rsidRDefault="009F5561" w:rsidP="00A62471">
            <w:pPr>
              <w:jc w:val="both"/>
              <w:rPr>
                <w:rFonts w:eastAsia="Calibri"/>
                <w:sz w:val="20"/>
                <w:lang w:val="fr-FR"/>
              </w:rPr>
            </w:pPr>
          </w:p>
        </w:tc>
        <w:tc>
          <w:tcPr>
            <w:tcW w:w="2330" w:type="pct"/>
          </w:tcPr>
          <w:p w:rsidR="009F5561" w:rsidRPr="00C1643E" w:rsidRDefault="009F5561" w:rsidP="00A62471">
            <w:pPr>
              <w:jc w:val="both"/>
              <w:rPr>
                <w:rFonts w:eastAsia="Calibri"/>
                <w:sz w:val="20"/>
                <w:lang w:val="fr-CA"/>
              </w:rPr>
            </w:pPr>
            <w:r w:rsidRPr="00C1643E">
              <w:rPr>
                <w:rFonts w:eastAsia="Calibri"/>
                <w:sz w:val="20"/>
                <w:lang w:val="fr-CA"/>
              </w:rPr>
              <w:t>Demande d'autorisation d'appel déposée</w:t>
            </w:r>
          </w:p>
          <w:p w:rsidR="009F5561" w:rsidRPr="00C1643E" w:rsidRDefault="009F5561" w:rsidP="00A62471">
            <w:pPr>
              <w:jc w:val="both"/>
              <w:rPr>
                <w:rFonts w:eastAsia="Calibri"/>
                <w:sz w:val="20"/>
                <w:lang w:val="fr-CA"/>
              </w:rPr>
            </w:pPr>
          </w:p>
        </w:tc>
      </w:tr>
      <w:tr w:rsidR="009F5561" w:rsidRPr="00F8135D" w:rsidTr="00A62471">
        <w:trPr>
          <w:trHeight w:val="535"/>
        </w:trPr>
        <w:tc>
          <w:tcPr>
            <w:tcW w:w="2427" w:type="pct"/>
          </w:tcPr>
          <w:p w:rsidR="009F5561" w:rsidRPr="00C1643E" w:rsidRDefault="009F5561" w:rsidP="00A62471">
            <w:pPr>
              <w:jc w:val="both"/>
              <w:rPr>
                <w:rFonts w:eastAsia="Calibri"/>
                <w:sz w:val="20"/>
                <w:lang w:val="fr-CA"/>
              </w:rPr>
            </w:pPr>
            <w:r w:rsidRPr="00C1643E">
              <w:rPr>
                <w:rFonts w:eastAsia="Calibri"/>
                <w:sz w:val="20"/>
                <w:lang w:val="fr-CA"/>
              </w:rPr>
              <w:t>Le 14 novembre 2011</w:t>
            </w:r>
          </w:p>
          <w:p w:rsidR="009F5561" w:rsidRPr="00C1643E" w:rsidRDefault="009F5561" w:rsidP="00A62471">
            <w:pPr>
              <w:jc w:val="both"/>
              <w:rPr>
                <w:rFonts w:eastAsia="Calibri"/>
                <w:sz w:val="20"/>
                <w:lang w:val="fr-CA"/>
              </w:rPr>
            </w:pPr>
            <w:r w:rsidRPr="00C1643E">
              <w:rPr>
                <w:rFonts w:eastAsia="Calibri"/>
                <w:sz w:val="20"/>
                <w:lang w:val="fr-CA"/>
              </w:rPr>
              <w:t>Cour suprême du Canada</w:t>
            </w:r>
          </w:p>
        </w:tc>
        <w:tc>
          <w:tcPr>
            <w:tcW w:w="243" w:type="pct"/>
            <w:vMerge/>
          </w:tcPr>
          <w:p w:rsidR="009F5561" w:rsidRPr="00C1643E" w:rsidRDefault="009F5561" w:rsidP="00A62471">
            <w:pPr>
              <w:jc w:val="both"/>
              <w:rPr>
                <w:rFonts w:eastAsia="Calibri"/>
                <w:sz w:val="20"/>
                <w:lang w:val="fr-FR"/>
              </w:rPr>
            </w:pPr>
          </w:p>
        </w:tc>
        <w:tc>
          <w:tcPr>
            <w:tcW w:w="2330" w:type="pct"/>
          </w:tcPr>
          <w:p w:rsidR="009F5561" w:rsidRPr="00C1643E" w:rsidRDefault="009F5561" w:rsidP="00A62471">
            <w:pPr>
              <w:jc w:val="both"/>
              <w:rPr>
                <w:rFonts w:eastAsia="Calibri"/>
                <w:sz w:val="20"/>
                <w:lang w:val="fr-CA"/>
              </w:rPr>
            </w:pPr>
            <w:r w:rsidRPr="00C1643E">
              <w:rPr>
                <w:rFonts w:eastAsia="Calibri"/>
                <w:sz w:val="20"/>
                <w:lang w:val="fr-CA"/>
              </w:rPr>
              <w:t>Requête de la Chambre des notaires en intervention et pour soulever une nouvelle question.</w:t>
            </w:r>
          </w:p>
        </w:tc>
      </w:tr>
    </w:tbl>
    <w:p w:rsidR="00E82950" w:rsidRPr="009F5561" w:rsidRDefault="00E82950" w:rsidP="00E82950">
      <w:pPr>
        <w:rPr>
          <w:sz w:val="20"/>
          <w:szCs w:val="20"/>
          <w:lang w:val="fr-CA"/>
        </w:rPr>
      </w:pPr>
    </w:p>
    <w:p w:rsidR="00E82950" w:rsidRPr="00C50A5C" w:rsidRDefault="009019DC" w:rsidP="00E82950">
      <w:pPr>
        <w:rPr>
          <w:sz w:val="20"/>
          <w:szCs w:val="20"/>
        </w:rPr>
      </w:pPr>
      <w:r w:rsidRPr="009019DC">
        <w:rPr>
          <w:sz w:val="20"/>
          <w:szCs w:val="20"/>
          <w:lang w:val="fr-CA"/>
        </w:rPr>
        <w:pict>
          <v:rect id="_x0000_i1043" style="width:2in;height:1pt" o:hrpct="0" o:hralign="center" o:hrstd="t" o:hrnoshade="t" o:hr="t" fillcolor="black [3213]" stroked="f"/>
        </w:pict>
      </w:r>
    </w:p>
    <w:p w:rsidR="00E82950" w:rsidRDefault="00E82950" w:rsidP="00E829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701ED" w:rsidRPr="007F7937" w:rsidTr="003B76D9">
        <w:trPr>
          <w:cantSplit/>
        </w:trPr>
        <w:tc>
          <w:tcPr>
            <w:tcW w:w="1458" w:type="dxa"/>
          </w:tcPr>
          <w:p w:rsidR="00B701ED" w:rsidRPr="007F7937" w:rsidRDefault="00B701ED" w:rsidP="003B76D9">
            <w:pPr>
              <w:rPr>
                <w:sz w:val="20"/>
                <w:szCs w:val="20"/>
              </w:rPr>
            </w:pPr>
            <w:r w:rsidRPr="007F7937">
              <w:rPr>
                <w:rStyle w:val="SCCFileNumberChar"/>
                <w:sz w:val="20"/>
                <w:szCs w:val="20"/>
              </w:rPr>
              <w:t>34585</w:t>
            </w:r>
          </w:p>
          <w:p w:rsidR="00B701ED" w:rsidRPr="007F7937" w:rsidRDefault="00B701ED" w:rsidP="003B76D9">
            <w:pPr>
              <w:rPr>
                <w:b/>
                <w:sz w:val="20"/>
                <w:szCs w:val="20"/>
                <w:lang w:val="fr-CA"/>
              </w:rPr>
            </w:pPr>
          </w:p>
        </w:tc>
        <w:tc>
          <w:tcPr>
            <w:tcW w:w="8118" w:type="dxa"/>
          </w:tcPr>
          <w:p w:rsidR="00B701ED" w:rsidRPr="007F7937" w:rsidRDefault="00B701ED" w:rsidP="003B76D9">
            <w:pPr>
              <w:rPr>
                <w:sz w:val="20"/>
                <w:szCs w:val="20"/>
              </w:rPr>
            </w:pPr>
            <w:r w:rsidRPr="007F7937">
              <w:rPr>
                <w:rStyle w:val="SCCLsocChar"/>
                <w:sz w:val="20"/>
                <w:szCs w:val="20"/>
                <w:lang w:val="en-CA"/>
              </w:rPr>
              <w:t>David Michael Gendreau v. Her Majesty the Queen</w:t>
            </w:r>
            <w:r w:rsidRPr="007F7937">
              <w:rPr>
                <w:sz w:val="20"/>
                <w:szCs w:val="20"/>
              </w:rPr>
              <w:t xml:space="preserve"> (Alta.) (Criminal) (By Leave)</w:t>
            </w:r>
          </w:p>
          <w:p w:rsidR="00B701ED" w:rsidRPr="007F7937" w:rsidRDefault="00B701ED" w:rsidP="003B76D9">
            <w:pPr>
              <w:rPr>
                <w:sz w:val="20"/>
                <w:szCs w:val="20"/>
              </w:rPr>
            </w:pPr>
          </w:p>
        </w:tc>
      </w:tr>
      <w:tr w:rsidR="00B701ED" w:rsidRPr="007F7937" w:rsidTr="003B76D9">
        <w:trPr>
          <w:cantSplit/>
        </w:trPr>
        <w:tc>
          <w:tcPr>
            <w:tcW w:w="1458" w:type="dxa"/>
          </w:tcPr>
          <w:p w:rsidR="00B701ED" w:rsidRPr="007F7937" w:rsidRDefault="00B701ED" w:rsidP="003B76D9">
            <w:pPr>
              <w:rPr>
                <w:sz w:val="20"/>
                <w:szCs w:val="20"/>
              </w:rPr>
            </w:pPr>
            <w:r w:rsidRPr="007F7937">
              <w:rPr>
                <w:sz w:val="20"/>
                <w:szCs w:val="20"/>
              </w:rPr>
              <w:t>Coram :</w:t>
            </w:r>
          </w:p>
        </w:tc>
        <w:tc>
          <w:tcPr>
            <w:tcW w:w="8118" w:type="dxa"/>
          </w:tcPr>
          <w:p w:rsidR="00B701ED" w:rsidRPr="007F7937" w:rsidRDefault="00B701ED" w:rsidP="003B76D9">
            <w:pPr>
              <w:rPr>
                <w:sz w:val="20"/>
                <w:szCs w:val="20"/>
              </w:rPr>
            </w:pPr>
            <w:r w:rsidRPr="007F7937">
              <w:rPr>
                <w:rStyle w:val="SCCCoramChar"/>
                <w:sz w:val="20"/>
                <w:szCs w:val="20"/>
                <w:lang w:val="en-CA"/>
              </w:rPr>
              <w:t>LeBel, Abella and Cromwell JJ.</w:t>
            </w:r>
          </w:p>
          <w:p w:rsidR="00B701ED" w:rsidRPr="007F7937" w:rsidRDefault="00B701ED" w:rsidP="003B76D9">
            <w:pPr>
              <w:rPr>
                <w:sz w:val="20"/>
                <w:szCs w:val="20"/>
                <w:u w:val="single"/>
              </w:rPr>
            </w:pPr>
          </w:p>
        </w:tc>
      </w:tr>
      <w:tr w:rsidR="00B701ED" w:rsidRPr="00F8135D" w:rsidTr="003B76D9">
        <w:trPr>
          <w:cantSplit/>
        </w:trPr>
        <w:tc>
          <w:tcPr>
            <w:tcW w:w="9576" w:type="dxa"/>
            <w:gridSpan w:val="2"/>
          </w:tcPr>
          <w:p w:rsidR="00B701ED" w:rsidRPr="007F7937" w:rsidRDefault="00B701ED" w:rsidP="003B76D9">
            <w:pPr>
              <w:pStyle w:val="SCCShortJudgment"/>
              <w:rPr>
                <w:szCs w:val="20"/>
              </w:rPr>
            </w:pPr>
            <w:r w:rsidRPr="007F7937">
              <w:rPr>
                <w:szCs w:val="20"/>
              </w:rPr>
              <w:t>The application for leave to appeal from the judgment of the Court of Appeal of Alberta (Calgary), Number 1001-0018-A, 2011 ABCA 256, dated September 20, 2011, is dismissed without costs.</w:t>
            </w:r>
          </w:p>
          <w:p w:rsidR="00B701ED" w:rsidRPr="007F7937" w:rsidRDefault="00B701ED" w:rsidP="003B76D9">
            <w:pPr>
              <w:pStyle w:val="SCCShortJudgment"/>
              <w:ind w:firstLine="0"/>
              <w:rPr>
                <w:szCs w:val="20"/>
              </w:rPr>
            </w:pPr>
          </w:p>
          <w:p w:rsidR="00B701ED" w:rsidRPr="007F7937" w:rsidRDefault="00B701ED" w:rsidP="003B76D9">
            <w:pPr>
              <w:pStyle w:val="SCCShortJudgment"/>
              <w:rPr>
                <w:szCs w:val="20"/>
                <w:lang w:val="fr-CA"/>
              </w:rPr>
            </w:pPr>
            <w:r w:rsidRPr="007F7937">
              <w:rPr>
                <w:szCs w:val="20"/>
                <w:lang w:val="fr-CA"/>
              </w:rPr>
              <w:t>La demande d’autorisation d’appel de l’arrêt de la Cour d’appel de l’Alberta (Calgary), numéro 1001-0018-A, 2011 ABCA 256, daté du 20 septembre 2011, est rejetée sans dépens.</w:t>
            </w:r>
          </w:p>
        </w:tc>
      </w:tr>
    </w:tbl>
    <w:p w:rsidR="00E82950" w:rsidRPr="00E82950" w:rsidRDefault="00E82950" w:rsidP="00E82950">
      <w:pPr>
        <w:rPr>
          <w:sz w:val="20"/>
          <w:szCs w:val="20"/>
          <w:lang w:val="fr-CA"/>
        </w:rPr>
      </w:pPr>
    </w:p>
    <w:p w:rsidR="00E82950" w:rsidRPr="001B157C" w:rsidRDefault="00E82950" w:rsidP="00E82950">
      <w:pPr>
        <w:rPr>
          <w:sz w:val="20"/>
          <w:szCs w:val="20"/>
          <w:u w:val="single"/>
        </w:rPr>
      </w:pPr>
      <w:r w:rsidRPr="001B157C">
        <w:rPr>
          <w:sz w:val="20"/>
          <w:szCs w:val="20"/>
          <w:u w:val="single"/>
        </w:rPr>
        <w:t>CASE SUMMARY</w:t>
      </w:r>
    </w:p>
    <w:p w:rsidR="00E82950" w:rsidRDefault="00E82950" w:rsidP="00E829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F5561" w:rsidRPr="00C1643E" w:rsidTr="00A62471">
        <w:tc>
          <w:tcPr>
            <w:tcW w:w="5000" w:type="pct"/>
            <w:gridSpan w:val="3"/>
          </w:tcPr>
          <w:p w:rsidR="009F5561" w:rsidRPr="00C1643E" w:rsidRDefault="009F5561" w:rsidP="00A62471">
            <w:pPr>
              <w:jc w:val="both"/>
              <w:rPr>
                <w:rFonts w:eastAsia="Calibri"/>
                <w:smallCaps/>
                <w:sz w:val="20"/>
              </w:rPr>
            </w:pPr>
            <w:r w:rsidRPr="00C1643E">
              <w:rPr>
                <w:rFonts w:eastAsia="Calibri"/>
                <w:smallCaps/>
                <w:sz w:val="20"/>
              </w:rPr>
              <w:t>(Publication ban in case)</w:t>
            </w:r>
          </w:p>
          <w:p w:rsidR="009F5561" w:rsidRPr="00C1643E" w:rsidRDefault="009F5561" w:rsidP="00A62471">
            <w:pPr>
              <w:jc w:val="both"/>
              <w:rPr>
                <w:rFonts w:eastAsia="Calibri"/>
                <w:sz w:val="20"/>
              </w:rPr>
            </w:pPr>
          </w:p>
          <w:p w:rsidR="009F5561" w:rsidRPr="00C1643E" w:rsidRDefault="009F5561" w:rsidP="00A62471">
            <w:pPr>
              <w:jc w:val="both"/>
              <w:rPr>
                <w:rFonts w:eastAsia="Calibri"/>
                <w:sz w:val="20"/>
              </w:rPr>
            </w:pPr>
            <w:r w:rsidRPr="00C1643E">
              <w:rPr>
                <w:rFonts w:eastAsia="Calibri"/>
                <w:i/>
                <w:sz w:val="20"/>
              </w:rPr>
              <w:t>Charter of Rights</w:t>
            </w:r>
            <w:r w:rsidRPr="00C1643E">
              <w:rPr>
                <w:rFonts w:eastAsia="Calibri"/>
                <w:sz w:val="20"/>
              </w:rPr>
              <w:t xml:space="preserve"> – Criminal law – Counsel – Whether the statutory power permitting a judge to appoint counsel to conduct the cross</w:t>
            </w:r>
            <w:r w:rsidRPr="00C1643E">
              <w:rPr>
                <w:rFonts w:eastAsia="Calibri"/>
                <w:sz w:val="20"/>
              </w:rPr>
              <w:noBreakHyphen/>
              <w:t xml:space="preserve">examination violates s. 7 of the </w:t>
            </w:r>
            <w:r w:rsidRPr="00C1643E">
              <w:rPr>
                <w:rFonts w:eastAsia="Calibri"/>
                <w:i/>
                <w:sz w:val="20"/>
              </w:rPr>
              <w:t>Charter</w:t>
            </w:r>
            <w:r w:rsidRPr="00C1643E">
              <w:rPr>
                <w:rFonts w:eastAsia="Calibri"/>
                <w:sz w:val="20"/>
              </w:rPr>
              <w:t xml:space="preserve"> – Whether s. 486.3(2) of the </w:t>
            </w:r>
            <w:r w:rsidRPr="00C1643E">
              <w:rPr>
                <w:rFonts w:eastAsia="Calibri"/>
                <w:i/>
                <w:sz w:val="20"/>
              </w:rPr>
              <w:t>Criminal Code</w:t>
            </w:r>
            <w:r w:rsidRPr="00C1643E">
              <w:rPr>
                <w:rFonts w:eastAsia="Calibri"/>
                <w:sz w:val="20"/>
              </w:rPr>
              <w:t xml:space="preserve"> is </w:t>
            </w:r>
            <w:r w:rsidRPr="00C1643E">
              <w:rPr>
                <w:rFonts w:eastAsia="Calibri"/>
                <w:i/>
                <w:sz w:val="20"/>
              </w:rPr>
              <w:t>intra vires</w:t>
            </w:r>
            <w:r w:rsidRPr="00C1643E">
              <w:rPr>
                <w:rFonts w:eastAsia="Calibri"/>
                <w:sz w:val="20"/>
              </w:rPr>
              <w:t xml:space="preserve"> – </w:t>
            </w:r>
            <w:r w:rsidRPr="00C1643E">
              <w:rPr>
                <w:rFonts w:eastAsia="Calibri"/>
                <w:i/>
                <w:sz w:val="20"/>
              </w:rPr>
              <w:t>Criminal Code</w:t>
            </w:r>
            <w:r w:rsidRPr="00C1643E">
              <w:rPr>
                <w:rFonts w:eastAsia="Calibri"/>
                <w:sz w:val="20"/>
              </w:rPr>
              <w:t>, R.S.C. 1985, c. C</w:t>
            </w:r>
            <w:r w:rsidRPr="00C1643E">
              <w:rPr>
                <w:rFonts w:eastAsia="Calibri"/>
                <w:sz w:val="20"/>
              </w:rPr>
              <w:noBreakHyphen/>
              <w:t>46.</w:t>
            </w:r>
          </w:p>
        </w:tc>
      </w:tr>
      <w:tr w:rsidR="009F5561" w:rsidRPr="00C1643E" w:rsidTr="00A62471">
        <w:tc>
          <w:tcPr>
            <w:tcW w:w="5000" w:type="pct"/>
            <w:gridSpan w:val="3"/>
          </w:tcPr>
          <w:p w:rsidR="009F5561" w:rsidRPr="00C1643E" w:rsidRDefault="009F5561" w:rsidP="00A62471">
            <w:pPr>
              <w:jc w:val="both"/>
              <w:rPr>
                <w:rFonts w:eastAsia="Calibri"/>
                <w:sz w:val="20"/>
              </w:rPr>
            </w:pPr>
          </w:p>
        </w:tc>
      </w:tr>
      <w:tr w:rsidR="009F5561" w:rsidRPr="00C1643E" w:rsidTr="00A62471">
        <w:tc>
          <w:tcPr>
            <w:tcW w:w="5000" w:type="pct"/>
            <w:gridSpan w:val="3"/>
          </w:tcPr>
          <w:p w:rsidR="009F5561" w:rsidRPr="00C1643E" w:rsidRDefault="009F5561" w:rsidP="00A62471">
            <w:pPr>
              <w:jc w:val="both"/>
              <w:rPr>
                <w:rFonts w:eastAsia="Calibri"/>
                <w:sz w:val="20"/>
              </w:rPr>
            </w:pPr>
            <w:r w:rsidRPr="00C1643E">
              <w:rPr>
                <w:rFonts w:eastAsia="Calibri"/>
                <w:sz w:val="20"/>
              </w:rPr>
              <w:t>Gendreau was convicted of sexual assault and unlawful confinement.  He chose to represent himself at his trial by judge and jury.  The complainant was a former co</w:t>
            </w:r>
            <w:r w:rsidRPr="00C1643E">
              <w:rPr>
                <w:rFonts w:eastAsia="Calibri"/>
                <w:sz w:val="20"/>
              </w:rPr>
              <w:noBreakHyphen/>
              <w:t>worker.  At a pre</w:t>
            </w:r>
            <w:r w:rsidRPr="00C1643E">
              <w:rPr>
                <w:rFonts w:eastAsia="Calibri"/>
                <w:sz w:val="20"/>
              </w:rPr>
              <w:noBreakHyphen/>
              <w:t>trial conference, Crown counsel advised that he would be bringing an application for the appointment of counsel.  Gendreau stated that he felt comfortable conducting his own cross</w:t>
            </w:r>
            <w:r w:rsidRPr="00C1643E">
              <w:rPr>
                <w:rFonts w:eastAsia="Calibri"/>
                <w:sz w:val="20"/>
              </w:rPr>
              <w:noBreakHyphen/>
              <w:t>examination, however he did not oppose the application.  He advised the court that he had been in contact with a lawyer who would be prepared to conduct the cross</w:t>
            </w:r>
            <w:r w:rsidRPr="00C1643E">
              <w:rPr>
                <w:rFonts w:eastAsia="Calibri"/>
                <w:sz w:val="20"/>
              </w:rPr>
              <w:noBreakHyphen/>
              <w:t>examination on his behalf.  Approximately, a week later, the Crown brought the application in front of the trial judge.  The lawyer proposed by Gendreau to conduct the cross</w:t>
            </w:r>
            <w:r w:rsidRPr="00C1643E">
              <w:rPr>
                <w:rFonts w:eastAsia="Calibri"/>
                <w:sz w:val="20"/>
              </w:rPr>
              <w:noBreakHyphen/>
              <w:t xml:space="preserve">examination was present.  The Crown submitted that the unequal nature of the former work relationship and the </w:t>
            </w:r>
            <w:r w:rsidRPr="00C1643E">
              <w:rPr>
                <w:rFonts w:eastAsia="Calibri"/>
                <w:sz w:val="20"/>
              </w:rPr>
              <w:lastRenderedPageBreak/>
              <w:t>intimate and humiliating nature of the alleged assault and the defence position that Gendreau and the complainant had engaged in consensual “kinky” sex, all warranted an order that counsel be appointed.  Gendreau effectively agreed and confirmed that he was content to have the lawyer he proposed appointed.  The trial judge held that in the circumstances, if Gendreau cross</w:t>
            </w:r>
            <w:r w:rsidRPr="00C1643E">
              <w:rPr>
                <w:rFonts w:eastAsia="Calibri"/>
                <w:sz w:val="20"/>
              </w:rPr>
              <w:noBreakHyphen/>
              <w:t>examined the complainant personally, “the court would not obtain a full and candid account”.  On appeal Gendreau stated that the trial judge erred in appointing counsel, arguing that a key part of Gendreau’s defence was taken out of his hands.  The Court of Appeal held that the record made it clear that Gendreau and the appointed lawyer consulted on several occasions and took a break for that very purpose during the cross</w:t>
            </w:r>
            <w:r w:rsidRPr="00C1643E">
              <w:rPr>
                <w:rFonts w:eastAsia="Calibri"/>
                <w:sz w:val="20"/>
              </w:rPr>
              <w:noBreakHyphen/>
              <w:t>examination.  The appeal was dismissed.</w:t>
            </w:r>
          </w:p>
          <w:p w:rsidR="009F5561" w:rsidRPr="00C1643E" w:rsidRDefault="009F5561" w:rsidP="00A62471">
            <w:pPr>
              <w:jc w:val="both"/>
              <w:rPr>
                <w:rFonts w:eastAsia="Calibri"/>
                <w:sz w:val="20"/>
              </w:rPr>
            </w:pPr>
          </w:p>
        </w:tc>
      </w:tr>
      <w:tr w:rsidR="009F5561" w:rsidRPr="00C1643E" w:rsidTr="00A62471">
        <w:tc>
          <w:tcPr>
            <w:tcW w:w="2427" w:type="pct"/>
          </w:tcPr>
          <w:p w:rsidR="009F5561" w:rsidRPr="00C1643E" w:rsidRDefault="009F5561" w:rsidP="00A62471">
            <w:pPr>
              <w:jc w:val="both"/>
              <w:rPr>
                <w:rFonts w:eastAsia="Calibri"/>
                <w:sz w:val="20"/>
              </w:rPr>
            </w:pPr>
            <w:r w:rsidRPr="00C1643E">
              <w:rPr>
                <w:rFonts w:eastAsia="Calibri"/>
                <w:sz w:val="20"/>
              </w:rPr>
              <w:lastRenderedPageBreak/>
              <w:t>November 13, 2009</w:t>
            </w:r>
          </w:p>
          <w:p w:rsidR="009F5561" w:rsidRPr="00C1643E" w:rsidRDefault="009F5561" w:rsidP="00A62471">
            <w:pPr>
              <w:jc w:val="both"/>
              <w:rPr>
                <w:rFonts w:eastAsia="Calibri"/>
                <w:sz w:val="20"/>
              </w:rPr>
            </w:pPr>
            <w:r w:rsidRPr="00C1643E">
              <w:rPr>
                <w:rFonts w:eastAsia="Calibri"/>
                <w:sz w:val="20"/>
              </w:rPr>
              <w:t>Court of Queen’s Bench of Alberta</w:t>
            </w:r>
          </w:p>
          <w:p w:rsidR="009F5561" w:rsidRPr="00C1643E" w:rsidRDefault="009F5561" w:rsidP="00A62471">
            <w:pPr>
              <w:jc w:val="both"/>
              <w:rPr>
                <w:rFonts w:eastAsia="Calibri"/>
                <w:sz w:val="20"/>
              </w:rPr>
            </w:pPr>
            <w:r w:rsidRPr="00C1643E">
              <w:rPr>
                <w:rFonts w:eastAsia="Calibri"/>
                <w:sz w:val="20"/>
              </w:rPr>
              <w:t>(Brooker J.)</w:t>
            </w:r>
          </w:p>
          <w:p w:rsidR="009F5561" w:rsidRPr="00C1643E" w:rsidRDefault="009F5561" w:rsidP="00A62471">
            <w:pPr>
              <w:jc w:val="both"/>
              <w:rPr>
                <w:rFonts w:eastAsia="Calibri"/>
                <w:sz w:val="20"/>
              </w:rPr>
            </w:pPr>
          </w:p>
        </w:tc>
        <w:tc>
          <w:tcPr>
            <w:tcW w:w="243" w:type="pct"/>
          </w:tcPr>
          <w:p w:rsidR="009F5561" w:rsidRPr="00C1643E" w:rsidRDefault="009F5561" w:rsidP="00A62471">
            <w:pPr>
              <w:jc w:val="both"/>
              <w:rPr>
                <w:rFonts w:eastAsia="Calibri"/>
                <w:sz w:val="20"/>
              </w:rPr>
            </w:pPr>
          </w:p>
        </w:tc>
        <w:tc>
          <w:tcPr>
            <w:tcW w:w="2330" w:type="pct"/>
          </w:tcPr>
          <w:p w:rsidR="009F5561" w:rsidRPr="00C1643E" w:rsidRDefault="009F5561" w:rsidP="00A62471">
            <w:pPr>
              <w:jc w:val="both"/>
              <w:rPr>
                <w:rFonts w:eastAsia="Calibri"/>
                <w:sz w:val="20"/>
              </w:rPr>
            </w:pPr>
            <w:r w:rsidRPr="00C1643E">
              <w:rPr>
                <w:rFonts w:eastAsia="Calibri"/>
                <w:sz w:val="20"/>
              </w:rPr>
              <w:t>Applicant convicted of sexual assault and unlawful confinement</w:t>
            </w:r>
          </w:p>
          <w:p w:rsidR="009F5561" w:rsidRPr="00C1643E" w:rsidRDefault="009F5561" w:rsidP="00A62471">
            <w:pPr>
              <w:jc w:val="both"/>
              <w:rPr>
                <w:rFonts w:eastAsia="Calibri"/>
                <w:sz w:val="20"/>
              </w:rPr>
            </w:pPr>
          </w:p>
        </w:tc>
      </w:tr>
      <w:tr w:rsidR="009F5561" w:rsidRPr="00C1643E" w:rsidTr="00A62471">
        <w:tc>
          <w:tcPr>
            <w:tcW w:w="2427" w:type="pct"/>
          </w:tcPr>
          <w:p w:rsidR="009F5561" w:rsidRPr="00C1643E" w:rsidRDefault="009F5561" w:rsidP="00A62471">
            <w:pPr>
              <w:jc w:val="both"/>
              <w:rPr>
                <w:rFonts w:eastAsia="Calibri"/>
                <w:sz w:val="20"/>
              </w:rPr>
            </w:pPr>
            <w:r w:rsidRPr="00C1643E">
              <w:rPr>
                <w:rFonts w:eastAsia="Calibri"/>
                <w:sz w:val="20"/>
              </w:rPr>
              <w:t>September 20, 2011</w:t>
            </w:r>
          </w:p>
          <w:p w:rsidR="009F5561" w:rsidRPr="00C1643E" w:rsidRDefault="009F5561" w:rsidP="00A62471">
            <w:pPr>
              <w:jc w:val="both"/>
              <w:rPr>
                <w:rFonts w:eastAsia="Calibri"/>
                <w:sz w:val="20"/>
              </w:rPr>
            </w:pPr>
            <w:r w:rsidRPr="00C1643E">
              <w:rPr>
                <w:rFonts w:eastAsia="Calibri"/>
                <w:sz w:val="20"/>
              </w:rPr>
              <w:t>Court of Appeal of Alberta (Calgary)</w:t>
            </w:r>
          </w:p>
          <w:p w:rsidR="009F5561" w:rsidRPr="00C1643E" w:rsidRDefault="009F5561" w:rsidP="00A62471">
            <w:pPr>
              <w:jc w:val="both"/>
              <w:rPr>
                <w:rFonts w:eastAsia="Calibri"/>
                <w:sz w:val="20"/>
              </w:rPr>
            </w:pPr>
            <w:r w:rsidRPr="00C1643E">
              <w:rPr>
                <w:rFonts w:eastAsia="Calibri"/>
                <w:sz w:val="20"/>
              </w:rPr>
              <w:t>(Paperny, Slatter and Bielby JJ.A.)</w:t>
            </w:r>
          </w:p>
          <w:p w:rsidR="009F5561" w:rsidRPr="00C1643E" w:rsidRDefault="009F5561" w:rsidP="00A62471">
            <w:pPr>
              <w:jc w:val="both"/>
              <w:rPr>
                <w:rFonts w:eastAsia="Calibri"/>
                <w:sz w:val="20"/>
              </w:rPr>
            </w:pPr>
            <w:r w:rsidRPr="00C1643E">
              <w:rPr>
                <w:rFonts w:eastAsia="Calibri"/>
                <w:sz w:val="20"/>
              </w:rPr>
              <w:t>2011 ABCA 256; 1001</w:t>
            </w:r>
            <w:r w:rsidRPr="00C1643E">
              <w:rPr>
                <w:rFonts w:eastAsia="Calibri"/>
                <w:sz w:val="20"/>
              </w:rPr>
              <w:noBreakHyphen/>
              <w:t>0018</w:t>
            </w:r>
            <w:r w:rsidRPr="00C1643E">
              <w:rPr>
                <w:rFonts w:eastAsia="Calibri"/>
                <w:sz w:val="20"/>
              </w:rPr>
              <w:noBreakHyphen/>
              <w:t>A</w:t>
            </w:r>
          </w:p>
          <w:p w:rsidR="009F5561" w:rsidRPr="00C1643E" w:rsidRDefault="009F5561" w:rsidP="00A62471">
            <w:pPr>
              <w:jc w:val="both"/>
              <w:rPr>
                <w:rFonts w:eastAsia="Calibri"/>
                <w:sz w:val="20"/>
              </w:rPr>
            </w:pPr>
          </w:p>
        </w:tc>
        <w:tc>
          <w:tcPr>
            <w:tcW w:w="243" w:type="pct"/>
          </w:tcPr>
          <w:p w:rsidR="009F5561" w:rsidRPr="00C1643E" w:rsidRDefault="009F5561" w:rsidP="00A62471">
            <w:pPr>
              <w:jc w:val="both"/>
              <w:rPr>
                <w:rFonts w:eastAsia="Calibri"/>
                <w:sz w:val="20"/>
              </w:rPr>
            </w:pPr>
          </w:p>
        </w:tc>
        <w:tc>
          <w:tcPr>
            <w:tcW w:w="2330" w:type="pct"/>
          </w:tcPr>
          <w:p w:rsidR="009F5561" w:rsidRPr="00C1643E" w:rsidRDefault="009F5561" w:rsidP="00A62471">
            <w:pPr>
              <w:jc w:val="both"/>
              <w:rPr>
                <w:rFonts w:eastAsia="Calibri"/>
                <w:sz w:val="20"/>
              </w:rPr>
            </w:pPr>
            <w:r w:rsidRPr="00C1643E">
              <w:rPr>
                <w:rFonts w:eastAsia="Calibri"/>
                <w:sz w:val="20"/>
              </w:rPr>
              <w:t>Appeal dismissed</w:t>
            </w:r>
          </w:p>
          <w:p w:rsidR="009F5561" w:rsidRPr="00C1643E" w:rsidRDefault="009F5561" w:rsidP="00A62471">
            <w:pPr>
              <w:jc w:val="both"/>
              <w:rPr>
                <w:rFonts w:eastAsia="Calibri"/>
                <w:sz w:val="20"/>
              </w:rPr>
            </w:pPr>
          </w:p>
        </w:tc>
      </w:tr>
      <w:tr w:rsidR="009F5561" w:rsidRPr="00C1643E" w:rsidTr="00A62471">
        <w:tc>
          <w:tcPr>
            <w:tcW w:w="2427" w:type="pct"/>
          </w:tcPr>
          <w:p w:rsidR="009F5561" w:rsidRPr="00C1643E" w:rsidRDefault="009F5561" w:rsidP="00A62471">
            <w:pPr>
              <w:jc w:val="both"/>
              <w:rPr>
                <w:rFonts w:eastAsia="Calibri"/>
                <w:sz w:val="20"/>
              </w:rPr>
            </w:pPr>
            <w:r w:rsidRPr="00C1643E">
              <w:rPr>
                <w:rFonts w:eastAsia="Calibri"/>
                <w:sz w:val="20"/>
              </w:rPr>
              <w:t>November 21, 2011</w:t>
            </w:r>
          </w:p>
          <w:p w:rsidR="009F5561" w:rsidRPr="00C1643E" w:rsidRDefault="009F5561" w:rsidP="00A62471">
            <w:pPr>
              <w:jc w:val="both"/>
              <w:rPr>
                <w:rFonts w:eastAsia="Calibri"/>
                <w:sz w:val="20"/>
              </w:rPr>
            </w:pPr>
            <w:r w:rsidRPr="00C1643E">
              <w:rPr>
                <w:rFonts w:eastAsia="Calibri"/>
                <w:sz w:val="20"/>
              </w:rPr>
              <w:t>Supreme Court of Canada</w:t>
            </w:r>
          </w:p>
        </w:tc>
        <w:tc>
          <w:tcPr>
            <w:tcW w:w="243" w:type="pct"/>
          </w:tcPr>
          <w:p w:rsidR="009F5561" w:rsidRPr="00C1643E" w:rsidRDefault="009F5561" w:rsidP="00A62471">
            <w:pPr>
              <w:jc w:val="both"/>
              <w:rPr>
                <w:rFonts w:eastAsia="Calibri"/>
                <w:sz w:val="20"/>
              </w:rPr>
            </w:pPr>
          </w:p>
        </w:tc>
        <w:tc>
          <w:tcPr>
            <w:tcW w:w="2330" w:type="pct"/>
          </w:tcPr>
          <w:p w:rsidR="009F5561" w:rsidRPr="00C1643E" w:rsidRDefault="009F5561" w:rsidP="00A62471">
            <w:pPr>
              <w:jc w:val="both"/>
              <w:rPr>
                <w:rFonts w:eastAsia="Calibri"/>
                <w:sz w:val="20"/>
              </w:rPr>
            </w:pPr>
            <w:r w:rsidRPr="00C1643E">
              <w:rPr>
                <w:rFonts w:eastAsia="Calibri"/>
                <w:sz w:val="20"/>
              </w:rPr>
              <w:t>Application for leave to appeal filed</w:t>
            </w:r>
          </w:p>
          <w:p w:rsidR="009F5561" w:rsidRPr="00C1643E" w:rsidRDefault="009F5561" w:rsidP="00A62471">
            <w:pPr>
              <w:jc w:val="both"/>
              <w:rPr>
                <w:rFonts w:eastAsia="Calibri"/>
                <w:sz w:val="20"/>
              </w:rPr>
            </w:pPr>
          </w:p>
        </w:tc>
      </w:tr>
    </w:tbl>
    <w:p w:rsidR="00E82950" w:rsidRDefault="00E82950" w:rsidP="00E82950">
      <w:pPr>
        <w:rPr>
          <w:sz w:val="20"/>
          <w:szCs w:val="20"/>
        </w:rPr>
      </w:pPr>
    </w:p>
    <w:p w:rsidR="00E82950" w:rsidRPr="00C50A5C" w:rsidRDefault="009019DC" w:rsidP="00E82950">
      <w:pPr>
        <w:rPr>
          <w:sz w:val="20"/>
          <w:szCs w:val="20"/>
        </w:rPr>
      </w:pPr>
      <w:r w:rsidRPr="009019DC">
        <w:rPr>
          <w:sz w:val="20"/>
          <w:szCs w:val="20"/>
          <w:lang w:val="fr-CA"/>
        </w:rPr>
        <w:pict>
          <v:rect id="_x0000_i1044" style="width:2in;height:1pt" o:hrpct="0" o:hralign="center" o:hrstd="t" o:hrnoshade="t" o:hr="t" fillcolor="black [3213]" stroked="f"/>
        </w:pict>
      </w:r>
    </w:p>
    <w:p w:rsidR="00E82950" w:rsidRDefault="00E82950" w:rsidP="00E82950">
      <w:pPr>
        <w:rPr>
          <w:sz w:val="20"/>
          <w:szCs w:val="20"/>
        </w:rPr>
      </w:pPr>
    </w:p>
    <w:p w:rsidR="00E82950" w:rsidRPr="001B157C" w:rsidRDefault="00E82950" w:rsidP="00E82950">
      <w:pPr>
        <w:rPr>
          <w:sz w:val="20"/>
          <w:szCs w:val="20"/>
          <w:u w:val="single"/>
          <w:lang w:val="fr-CA"/>
        </w:rPr>
      </w:pPr>
      <w:r w:rsidRPr="001B157C">
        <w:rPr>
          <w:sz w:val="20"/>
          <w:szCs w:val="20"/>
          <w:u w:val="single"/>
          <w:lang w:val="fr-CA"/>
        </w:rPr>
        <w:t>RÉSUMÉ DE L’AFFAIRE</w:t>
      </w:r>
    </w:p>
    <w:p w:rsidR="00E82950" w:rsidRDefault="00E82950" w:rsidP="00E8295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9F5561" w:rsidRPr="00C1643E" w:rsidTr="00A62471">
        <w:tc>
          <w:tcPr>
            <w:tcW w:w="5000" w:type="pct"/>
            <w:gridSpan w:val="3"/>
          </w:tcPr>
          <w:p w:rsidR="009F5561" w:rsidRPr="00C1643E" w:rsidRDefault="009F5561" w:rsidP="00A62471">
            <w:pPr>
              <w:jc w:val="both"/>
              <w:rPr>
                <w:rFonts w:eastAsia="Calibri"/>
                <w:smallCaps/>
                <w:sz w:val="20"/>
                <w:lang w:val="fr-CA"/>
              </w:rPr>
            </w:pPr>
            <w:r w:rsidRPr="00C1643E">
              <w:rPr>
                <w:rFonts w:eastAsia="Calibri"/>
                <w:smallCaps/>
                <w:sz w:val="20"/>
                <w:lang w:val="fr-CA"/>
              </w:rPr>
              <w:t>(Ordonnance de non</w:t>
            </w:r>
            <w:r w:rsidRPr="00C1643E">
              <w:rPr>
                <w:rFonts w:eastAsia="Calibri"/>
                <w:smallCaps/>
                <w:sz w:val="20"/>
                <w:lang w:val="fr-CA"/>
              </w:rPr>
              <w:noBreakHyphen/>
              <w:t>publication dans le dossier)</w:t>
            </w:r>
          </w:p>
          <w:p w:rsidR="009F5561" w:rsidRPr="00C1643E" w:rsidRDefault="009F5561" w:rsidP="00A62471">
            <w:pPr>
              <w:jc w:val="both"/>
              <w:rPr>
                <w:rFonts w:eastAsia="Calibri"/>
                <w:sz w:val="20"/>
                <w:lang w:val="fr-CA"/>
              </w:rPr>
            </w:pPr>
          </w:p>
          <w:p w:rsidR="009F5561" w:rsidRPr="00C1643E" w:rsidRDefault="009F5561" w:rsidP="00A62471">
            <w:pPr>
              <w:jc w:val="both"/>
              <w:rPr>
                <w:rFonts w:eastAsia="Calibri"/>
                <w:sz w:val="20"/>
                <w:lang w:val="fr-CA"/>
              </w:rPr>
            </w:pPr>
            <w:r w:rsidRPr="00C1643E">
              <w:rPr>
                <w:rFonts w:eastAsia="Calibri"/>
                <w:i/>
                <w:sz w:val="20"/>
                <w:lang w:val="fr-CA"/>
              </w:rPr>
              <w:t xml:space="preserve">Charte des droits </w:t>
            </w:r>
            <w:r w:rsidRPr="00C1643E">
              <w:rPr>
                <w:rFonts w:eastAsia="Calibri"/>
                <w:sz w:val="20"/>
                <w:lang w:val="fr-CA"/>
              </w:rPr>
              <w:t>– Droit criminel – Avocats – Le pouvoir conféré par la loi qui permet à un juge de désigner un avocat pour effectuer le contre</w:t>
            </w:r>
            <w:r w:rsidRPr="00C1643E">
              <w:rPr>
                <w:rFonts w:eastAsia="Calibri"/>
                <w:sz w:val="20"/>
                <w:lang w:val="fr-CA"/>
              </w:rPr>
              <w:noBreakHyphen/>
              <w:t>interrogatoire viole</w:t>
            </w:r>
            <w:r w:rsidRPr="00C1643E">
              <w:rPr>
                <w:rFonts w:eastAsia="Calibri"/>
                <w:sz w:val="20"/>
                <w:lang w:val="fr-CA"/>
              </w:rPr>
              <w:noBreakHyphen/>
              <w:t>t</w:t>
            </w:r>
            <w:r w:rsidRPr="00C1643E">
              <w:rPr>
                <w:rFonts w:eastAsia="Calibri"/>
                <w:sz w:val="20"/>
                <w:lang w:val="fr-CA"/>
              </w:rPr>
              <w:noBreakHyphen/>
              <w:t xml:space="preserve">il l'art. 7 de la </w:t>
            </w:r>
            <w:r w:rsidRPr="00C1643E">
              <w:rPr>
                <w:rFonts w:eastAsia="Calibri"/>
                <w:i/>
                <w:sz w:val="20"/>
                <w:lang w:val="fr-CA"/>
              </w:rPr>
              <w:t>Charte</w:t>
            </w:r>
            <w:r w:rsidRPr="00C1643E">
              <w:rPr>
                <w:rFonts w:eastAsia="Calibri"/>
                <w:sz w:val="20"/>
                <w:lang w:val="fr-CA"/>
              </w:rPr>
              <w:t>? – Le par. 486.3(2) du</w:t>
            </w:r>
            <w:r w:rsidRPr="00C1643E">
              <w:rPr>
                <w:rFonts w:eastAsia="Calibri"/>
                <w:i/>
                <w:sz w:val="20"/>
                <w:lang w:val="fr-CA"/>
              </w:rPr>
              <w:t xml:space="preserve"> Code criminel </w:t>
            </w:r>
            <w:r w:rsidRPr="00C1643E">
              <w:rPr>
                <w:rFonts w:eastAsia="Calibri"/>
                <w:sz w:val="20"/>
                <w:lang w:val="fr-CA"/>
              </w:rPr>
              <w:t>est</w:t>
            </w:r>
            <w:r w:rsidRPr="00C1643E">
              <w:rPr>
                <w:rFonts w:eastAsia="Calibri"/>
                <w:sz w:val="20"/>
                <w:lang w:val="fr-CA"/>
              </w:rPr>
              <w:noBreakHyphen/>
              <w:t>il constitutionnel? –</w:t>
            </w:r>
            <w:r w:rsidRPr="00C1643E">
              <w:rPr>
                <w:rFonts w:eastAsia="Calibri"/>
                <w:i/>
                <w:sz w:val="20"/>
                <w:lang w:val="fr-CA"/>
              </w:rPr>
              <w:t xml:space="preserve"> Code criminel</w:t>
            </w:r>
            <w:r w:rsidRPr="00C1643E">
              <w:rPr>
                <w:rFonts w:eastAsia="Calibri"/>
                <w:sz w:val="20"/>
                <w:lang w:val="fr-CA"/>
              </w:rPr>
              <w:t>, L.R.C. 1985, ch. C</w:t>
            </w:r>
            <w:r w:rsidRPr="00C1643E">
              <w:rPr>
                <w:rFonts w:eastAsia="Calibri"/>
                <w:sz w:val="20"/>
                <w:lang w:val="fr-CA"/>
              </w:rPr>
              <w:noBreakHyphen/>
              <w:t>46.</w:t>
            </w:r>
          </w:p>
        </w:tc>
      </w:tr>
      <w:tr w:rsidR="009F5561" w:rsidRPr="00C1643E" w:rsidTr="00A62471">
        <w:tc>
          <w:tcPr>
            <w:tcW w:w="5000" w:type="pct"/>
            <w:gridSpan w:val="3"/>
          </w:tcPr>
          <w:p w:rsidR="009F5561" w:rsidRPr="00C1643E" w:rsidRDefault="009F5561" w:rsidP="00A62471">
            <w:pPr>
              <w:jc w:val="both"/>
              <w:rPr>
                <w:rFonts w:eastAsia="Calibri"/>
                <w:sz w:val="20"/>
                <w:lang w:val="fr-CA"/>
              </w:rPr>
            </w:pPr>
          </w:p>
        </w:tc>
      </w:tr>
      <w:tr w:rsidR="009F5561" w:rsidRPr="00C1643E" w:rsidTr="00A62471">
        <w:tc>
          <w:tcPr>
            <w:tcW w:w="5000" w:type="pct"/>
            <w:gridSpan w:val="3"/>
          </w:tcPr>
          <w:p w:rsidR="009F5561" w:rsidRPr="00C1643E" w:rsidRDefault="009F5561" w:rsidP="00A62471">
            <w:pPr>
              <w:jc w:val="both"/>
              <w:rPr>
                <w:rFonts w:eastAsia="Calibri"/>
                <w:sz w:val="20"/>
                <w:lang w:val="fr-CA"/>
              </w:rPr>
            </w:pPr>
            <w:r w:rsidRPr="00C1643E">
              <w:rPr>
                <w:rFonts w:eastAsia="Calibri"/>
                <w:sz w:val="20"/>
                <w:lang w:val="fr-CA"/>
              </w:rPr>
              <w:t>Monsieur Gendreau a été déclaré coupable d'agression sexuelle et de séquestration. Il a choisi de se défendre lui</w:t>
            </w:r>
            <w:r w:rsidRPr="00C1643E">
              <w:rPr>
                <w:rFonts w:eastAsia="Calibri"/>
                <w:sz w:val="20"/>
                <w:lang w:val="fr-CA"/>
              </w:rPr>
              <w:noBreakHyphen/>
              <w:t>même à son procès devant juge et jury. La plaignante était une ancienne collègue de travail. À une conférence préalable au procès, l’avocat de la Couronne a fait savoir qu'il présenterait une demande de désignation d'un avocat. Monsieur Gendreau a affirmé qu'il se sentait à l'aise d’effectuer son propre contre</w:t>
            </w:r>
            <w:r w:rsidRPr="00C1643E">
              <w:rPr>
                <w:rFonts w:eastAsia="Calibri"/>
                <w:sz w:val="20"/>
                <w:lang w:val="fr-CA"/>
              </w:rPr>
              <w:noBreakHyphen/>
              <w:t>interrogatoire; toutefois il ne s'est pas opposé à la demande. Il a informé la Cour qu'il avait été en rapport avec un avocat qui serait disposé à effectuer le contre</w:t>
            </w:r>
            <w:r w:rsidRPr="00C1643E">
              <w:rPr>
                <w:rFonts w:eastAsia="Calibri"/>
                <w:sz w:val="20"/>
                <w:lang w:val="fr-CA"/>
              </w:rPr>
              <w:noBreakHyphen/>
              <w:t>interrogatoire en son nom. Environ une semaine plus tard, le ministère public a présenté la demande au juge du procès. L'avocat proposé par M. Gendreau pour effectuer le contre</w:t>
            </w:r>
            <w:r w:rsidRPr="00C1643E">
              <w:rPr>
                <w:rFonts w:eastAsia="Calibri"/>
                <w:sz w:val="20"/>
                <w:lang w:val="fr-CA"/>
              </w:rPr>
              <w:noBreakHyphen/>
              <w:t>interrogatoire était présent. Le ministère public a plaidé que le caractère inégal de l'ancien lien de travail et la nature intime et humiliante de l'agression alléguée et la thèse de la défense selon laquelle M. Gendreau et la plaignante s'étaient livrés à des pratiques sexuelles consensuelles « spéciales » étaient autant de facteurs qui militaient en faveur de l’ordonnance de désignation d'un avocat.  Monsieur Gendreau a effectivement accepté et a confirmé qu'il était disposé à ce que l'avocat qu'il avait proposé soit désigné. Le juge du procès a statué que, compte tenu des circonstances, si M. Gendreau contre</w:t>
            </w:r>
            <w:r w:rsidRPr="00C1643E">
              <w:rPr>
                <w:rFonts w:eastAsia="Calibri"/>
                <w:sz w:val="20"/>
                <w:lang w:val="fr-CA"/>
              </w:rPr>
              <w:noBreakHyphen/>
              <w:t>interrogeait personnellement la plaignante, [</w:t>
            </w:r>
            <w:r w:rsidRPr="00C1643E">
              <w:rPr>
                <w:rFonts w:eastAsia="Calibri"/>
                <w:smallCaps/>
                <w:sz w:val="20"/>
                <w:lang w:val="fr-CA"/>
              </w:rPr>
              <w:t>traduction</w:t>
            </w:r>
            <w:r w:rsidRPr="00C1643E">
              <w:rPr>
                <w:rFonts w:eastAsia="Calibri"/>
                <w:sz w:val="20"/>
                <w:lang w:val="fr-CA"/>
              </w:rPr>
              <w:t>] « la cour n'obtiendrait pas un récit complet et franc ». En appel, M. Gendreau a affirmé que le juge du procès avait eu tort de désigner un avocat, plaidant qu'il avait été privé d'une partie essentielle de sa défense. La Cour d'appel a statué qu'il ressortait clairement du dossier que M. Gendreau et l'avocat désigné se sont consultés à maintes occasions et qu'ils ont pris une pause dans ce but particulier pendant le contre</w:t>
            </w:r>
            <w:r w:rsidRPr="00C1643E">
              <w:rPr>
                <w:rFonts w:eastAsia="Calibri"/>
                <w:sz w:val="20"/>
                <w:lang w:val="fr-CA"/>
              </w:rPr>
              <w:noBreakHyphen/>
              <w:t>interrogatoire. L'appel a été rejeté.</w:t>
            </w:r>
          </w:p>
          <w:p w:rsidR="009F5561" w:rsidRPr="00C1643E" w:rsidRDefault="009F5561" w:rsidP="00A62471">
            <w:pPr>
              <w:jc w:val="both"/>
              <w:rPr>
                <w:rFonts w:eastAsia="Calibri"/>
                <w:sz w:val="20"/>
                <w:lang w:val="fr-CA"/>
              </w:rPr>
            </w:pPr>
          </w:p>
        </w:tc>
      </w:tr>
      <w:tr w:rsidR="009F5561" w:rsidRPr="00F8135D" w:rsidTr="00A630D6">
        <w:trPr>
          <w:cantSplit/>
        </w:trPr>
        <w:tc>
          <w:tcPr>
            <w:tcW w:w="2427" w:type="pct"/>
          </w:tcPr>
          <w:p w:rsidR="009F5561" w:rsidRPr="00C1643E" w:rsidRDefault="009F5561" w:rsidP="00A62471">
            <w:pPr>
              <w:jc w:val="both"/>
              <w:rPr>
                <w:rFonts w:eastAsia="Calibri"/>
                <w:sz w:val="20"/>
                <w:lang w:val="fr-CA"/>
              </w:rPr>
            </w:pPr>
            <w:r w:rsidRPr="00C1643E">
              <w:rPr>
                <w:rFonts w:eastAsia="Calibri"/>
                <w:sz w:val="20"/>
                <w:lang w:val="fr-CA"/>
              </w:rPr>
              <w:lastRenderedPageBreak/>
              <w:t>13 novembre 2009</w:t>
            </w:r>
          </w:p>
          <w:p w:rsidR="009F5561" w:rsidRPr="00C1643E" w:rsidRDefault="009F5561" w:rsidP="00A62471">
            <w:pPr>
              <w:jc w:val="both"/>
              <w:rPr>
                <w:rFonts w:eastAsia="Calibri"/>
                <w:sz w:val="20"/>
                <w:lang w:val="fr-CA"/>
              </w:rPr>
            </w:pPr>
            <w:r w:rsidRPr="00C1643E">
              <w:rPr>
                <w:rFonts w:eastAsia="Calibri"/>
                <w:sz w:val="20"/>
                <w:lang w:val="fr-CA"/>
              </w:rPr>
              <w:t>Cour du Banc de la Reine de l’Alberta</w:t>
            </w:r>
          </w:p>
          <w:p w:rsidR="009F5561" w:rsidRPr="00C1643E" w:rsidRDefault="009F5561" w:rsidP="00A62471">
            <w:pPr>
              <w:jc w:val="both"/>
              <w:rPr>
                <w:rFonts w:eastAsia="Calibri"/>
                <w:sz w:val="20"/>
                <w:lang w:val="fr-CA"/>
              </w:rPr>
            </w:pPr>
            <w:r w:rsidRPr="00C1643E">
              <w:rPr>
                <w:rFonts w:eastAsia="Calibri"/>
                <w:sz w:val="20"/>
                <w:lang w:val="fr-CA"/>
              </w:rPr>
              <w:t>(Juge Brooker)</w:t>
            </w:r>
          </w:p>
          <w:p w:rsidR="009F5561" w:rsidRPr="00C1643E" w:rsidRDefault="009F5561" w:rsidP="00A62471">
            <w:pPr>
              <w:jc w:val="both"/>
              <w:rPr>
                <w:rFonts w:eastAsia="Calibri"/>
                <w:sz w:val="20"/>
                <w:lang w:val="fr-CA"/>
              </w:rPr>
            </w:pPr>
          </w:p>
        </w:tc>
        <w:tc>
          <w:tcPr>
            <w:tcW w:w="243" w:type="pct"/>
          </w:tcPr>
          <w:p w:rsidR="009F5561" w:rsidRPr="00C1643E" w:rsidRDefault="009F5561" w:rsidP="00A62471">
            <w:pPr>
              <w:jc w:val="both"/>
              <w:rPr>
                <w:rFonts w:eastAsia="Calibri"/>
                <w:sz w:val="20"/>
                <w:lang w:val="fr-CA"/>
              </w:rPr>
            </w:pPr>
          </w:p>
        </w:tc>
        <w:tc>
          <w:tcPr>
            <w:tcW w:w="2330" w:type="pct"/>
          </w:tcPr>
          <w:p w:rsidR="009F5561" w:rsidRPr="00C1643E" w:rsidRDefault="009F5561" w:rsidP="00A62471">
            <w:pPr>
              <w:jc w:val="both"/>
              <w:rPr>
                <w:rFonts w:eastAsia="Calibri"/>
                <w:sz w:val="20"/>
                <w:lang w:val="fr-CA"/>
              </w:rPr>
            </w:pPr>
            <w:r w:rsidRPr="00C1643E">
              <w:rPr>
                <w:rFonts w:eastAsia="Calibri"/>
                <w:sz w:val="20"/>
                <w:lang w:val="fr-CA"/>
              </w:rPr>
              <w:t>Demandeur déclaré coupable d'agression sexuelle et de séquestration</w:t>
            </w:r>
          </w:p>
          <w:p w:rsidR="009F5561" w:rsidRPr="00C1643E" w:rsidRDefault="009F5561" w:rsidP="00A62471">
            <w:pPr>
              <w:jc w:val="both"/>
              <w:rPr>
                <w:rFonts w:eastAsia="Calibri"/>
                <w:sz w:val="20"/>
                <w:lang w:val="fr-CA"/>
              </w:rPr>
            </w:pPr>
          </w:p>
        </w:tc>
      </w:tr>
      <w:tr w:rsidR="009F5561" w:rsidRPr="00C1643E" w:rsidTr="00A630D6">
        <w:trPr>
          <w:cantSplit/>
        </w:trPr>
        <w:tc>
          <w:tcPr>
            <w:tcW w:w="2427" w:type="pct"/>
          </w:tcPr>
          <w:p w:rsidR="009F5561" w:rsidRPr="00C1643E" w:rsidRDefault="009F5561" w:rsidP="00A62471">
            <w:pPr>
              <w:jc w:val="both"/>
              <w:rPr>
                <w:rFonts w:eastAsia="Calibri"/>
                <w:sz w:val="20"/>
                <w:lang w:val="fr-CA"/>
              </w:rPr>
            </w:pPr>
            <w:r w:rsidRPr="00C1643E">
              <w:rPr>
                <w:rFonts w:eastAsia="Calibri"/>
                <w:sz w:val="20"/>
                <w:lang w:val="fr-CA"/>
              </w:rPr>
              <w:t>20 septembre 2011</w:t>
            </w:r>
          </w:p>
          <w:p w:rsidR="009F5561" w:rsidRPr="00C1643E" w:rsidRDefault="009F5561" w:rsidP="00A62471">
            <w:pPr>
              <w:jc w:val="both"/>
              <w:rPr>
                <w:rFonts w:eastAsia="Calibri"/>
                <w:sz w:val="20"/>
                <w:lang w:val="fr-CA"/>
              </w:rPr>
            </w:pPr>
            <w:r w:rsidRPr="00C1643E">
              <w:rPr>
                <w:rFonts w:eastAsia="Calibri"/>
                <w:sz w:val="20"/>
                <w:lang w:val="fr-CA"/>
              </w:rPr>
              <w:t>Cour d'appel de l'Alberta (Calgary)</w:t>
            </w:r>
          </w:p>
          <w:p w:rsidR="009F5561" w:rsidRPr="00C1643E" w:rsidRDefault="009F5561" w:rsidP="00A62471">
            <w:pPr>
              <w:jc w:val="both"/>
              <w:rPr>
                <w:rFonts w:eastAsia="Calibri"/>
                <w:sz w:val="20"/>
                <w:lang w:val="fr-CA"/>
              </w:rPr>
            </w:pPr>
            <w:r w:rsidRPr="00C1643E">
              <w:rPr>
                <w:rFonts w:eastAsia="Calibri"/>
                <w:sz w:val="20"/>
                <w:lang w:val="fr-CA"/>
              </w:rPr>
              <w:t>(Juges Paperny, Slatter et Bielby)</w:t>
            </w:r>
          </w:p>
          <w:p w:rsidR="009F5561" w:rsidRPr="00C1643E" w:rsidRDefault="009F5561" w:rsidP="00A62471">
            <w:pPr>
              <w:jc w:val="both"/>
              <w:rPr>
                <w:rFonts w:eastAsia="Calibri"/>
                <w:sz w:val="20"/>
                <w:lang w:val="fr-CA"/>
              </w:rPr>
            </w:pPr>
            <w:r w:rsidRPr="00C1643E">
              <w:rPr>
                <w:rFonts w:eastAsia="Calibri"/>
                <w:sz w:val="20"/>
                <w:lang w:val="fr-CA"/>
              </w:rPr>
              <w:t>2011 ABCA 256; 1001</w:t>
            </w:r>
            <w:r w:rsidRPr="00C1643E">
              <w:rPr>
                <w:rFonts w:eastAsia="Calibri"/>
                <w:sz w:val="20"/>
                <w:lang w:val="fr-CA"/>
              </w:rPr>
              <w:noBreakHyphen/>
              <w:t>0018</w:t>
            </w:r>
            <w:r w:rsidRPr="00C1643E">
              <w:rPr>
                <w:rFonts w:eastAsia="Calibri"/>
                <w:sz w:val="20"/>
                <w:lang w:val="fr-CA"/>
              </w:rPr>
              <w:noBreakHyphen/>
              <w:t>A</w:t>
            </w:r>
          </w:p>
          <w:p w:rsidR="009F5561" w:rsidRPr="00C1643E" w:rsidRDefault="009F5561" w:rsidP="00A62471">
            <w:pPr>
              <w:jc w:val="both"/>
              <w:rPr>
                <w:rFonts w:eastAsia="Calibri"/>
                <w:sz w:val="20"/>
                <w:lang w:val="fr-CA"/>
              </w:rPr>
            </w:pPr>
          </w:p>
        </w:tc>
        <w:tc>
          <w:tcPr>
            <w:tcW w:w="243" w:type="pct"/>
          </w:tcPr>
          <w:p w:rsidR="009F5561" w:rsidRPr="00C1643E" w:rsidRDefault="009F5561" w:rsidP="00A62471">
            <w:pPr>
              <w:jc w:val="both"/>
              <w:rPr>
                <w:rFonts w:eastAsia="Calibri"/>
                <w:sz w:val="20"/>
                <w:lang w:val="fr-CA"/>
              </w:rPr>
            </w:pPr>
          </w:p>
        </w:tc>
        <w:tc>
          <w:tcPr>
            <w:tcW w:w="2330" w:type="pct"/>
          </w:tcPr>
          <w:p w:rsidR="009F5561" w:rsidRPr="00C1643E" w:rsidRDefault="009F5561" w:rsidP="00A62471">
            <w:pPr>
              <w:jc w:val="both"/>
              <w:rPr>
                <w:rFonts w:eastAsia="Calibri"/>
                <w:sz w:val="20"/>
                <w:lang w:val="fr-CA"/>
              </w:rPr>
            </w:pPr>
            <w:r w:rsidRPr="00C1643E">
              <w:rPr>
                <w:rFonts w:eastAsia="Calibri"/>
                <w:sz w:val="20"/>
                <w:lang w:val="fr-CA"/>
              </w:rPr>
              <w:t>Appel rejeté</w:t>
            </w:r>
          </w:p>
          <w:p w:rsidR="009F5561" w:rsidRPr="00C1643E" w:rsidRDefault="009F5561" w:rsidP="00A62471">
            <w:pPr>
              <w:jc w:val="both"/>
              <w:rPr>
                <w:rFonts w:eastAsia="Calibri"/>
                <w:sz w:val="20"/>
                <w:lang w:val="fr-CA"/>
              </w:rPr>
            </w:pPr>
          </w:p>
        </w:tc>
      </w:tr>
      <w:tr w:rsidR="009F5561" w:rsidRPr="00C1643E" w:rsidTr="00A630D6">
        <w:trPr>
          <w:cantSplit/>
        </w:trPr>
        <w:tc>
          <w:tcPr>
            <w:tcW w:w="2427" w:type="pct"/>
          </w:tcPr>
          <w:p w:rsidR="009F5561" w:rsidRPr="00C1643E" w:rsidRDefault="009F5561" w:rsidP="00A62471">
            <w:pPr>
              <w:jc w:val="both"/>
              <w:rPr>
                <w:rFonts w:eastAsia="Calibri"/>
                <w:sz w:val="20"/>
                <w:lang w:val="fr-CA"/>
              </w:rPr>
            </w:pPr>
            <w:r w:rsidRPr="00C1643E">
              <w:rPr>
                <w:rFonts w:eastAsia="Calibri"/>
                <w:sz w:val="20"/>
                <w:lang w:val="fr-CA"/>
              </w:rPr>
              <w:t>21 novembre 2011</w:t>
            </w:r>
          </w:p>
          <w:p w:rsidR="009F5561" w:rsidRPr="00C1643E" w:rsidRDefault="009F5561" w:rsidP="00A62471">
            <w:pPr>
              <w:jc w:val="both"/>
              <w:rPr>
                <w:rFonts w:eastAsia="Calibri"/>
                <w:sz w:val="20"/>
                <w:lang w:val="fr-CA"/>
              </w:rPr>
            </w:pPr>
            <w:r w:rsidRPr="00C1643E">
              <w:rPr>
                <w:rFonts w:eastAsia="Calibri"/>
                <w:sz w:val="20"/>
                <w:lang w:val="fr-CA"/>
              </w:rPr>
              <w:t>Cour suprême du Canada</w:t>
            </w:r>
          </w:p>
        </w:tc>
        <w:tc>
          <w:tcPr>
            <w:tcW w:w="243" w:type="pct"/>
          </w:tcPr>
          <w:p w:rsidR="009F5561" w:rsidRPr="00C1643E" w:rsidRDefault="009F5561" w:rsidP="00A62471">
            <w:pPr>
              <w:jc w:val="both"/>
              <w:rPr>
                <w:rFonts w:eastAsia="Calibri"/>
                <w:sz w:val="20"/>
                <w:lang w:val="fr-CA"/>
              </w:rPr>
            </w:pPr>
          </w:p>
        </w:tc>
        <w:tc>
          <w:tcPr>
            <w:tcW w:w="2330" w:type="pct"/>
          </w:tcPr>
          <w:p w:rsidR="009F5561" w:rsidRPr="00C1643E" w:rsidRDefault="009F5561" w:rsidP="00A62471">
            <w:pPr>
              <w:jc w:val="both"/>
              <w:rPr>
                <w:rFonts w:eastAsia="Calibri"/>
                <w:sz w:val="20"/>
                <w:lang w:val="fr-CA"/>
              </w:rPr>
            </w:pPr>
            <w:r w:rsidRPr="00C1643E">
              <w:rPr>
                <w:rFonts w:eastAsia="Calibri"/>
                <w:sz w:val="20"/>
                <w:lang w:val="fr-CA"/>
              </w:rPr>
              <w:t>Demande d'autorisation d'appel, déposée</w:t>
            </w:r>
          </w:p>
          <w:p w:rsidR="009F5561" w:rsidRPr="00C1643E" w:rsidRDefault="009F5561" w:rsidP="00A62471">
            <w:pPr>
              <w:jc w:val="both"/>
              <w:rPr>
                <w:rFonts w:eastAsia="Calibri"/>
                <w:sz w:val="20"/>
                <w:lang w:val="fr-CA"/>
              </w:rPr>
            </w:pPr>
          </w:p>
        </w:tc>
      </w:tr>
    </w:tbl>
    <w:p w:rsidR="00E82950" w:rsidRDefault="00E82950" w:rsidP="00E82950">
      <w:pPr>
        <w:rPr>
          <w:sz w:val="20"/>
          <w:szCs w:val="20"/>
        </w:rPr>
      </w:pPr>
    </w:p>
    <w:p w:rsidR="00E82950" w:rsidRPr="00C50A5C" w:rsidRDefault="009019DC" w:rsidP="00E82950">
      <w:pPr>
        <w:rPr>
          <w:sz w:val="20"/>
          <w:szCs w:val="20"/>
        </w:rPr>
      </w:pPr>
      <w:r w:rsidRPr="009019DC">
        <w:rPr>
          <w:sz w:val="20"/>
          <w:szCs w:val="20"/>
          <w:lang w:val="fr-CA"/>
        </w:rPr>
        <w:pict>
          <v:rect id="_x0000_i1045" style="width:2in;height:1pt" o:hrpct="0" o:hralign="center" o:hrstd="t" o:hrnoshade="t" o:hr="t" fillcolor="black [3213]" stroked="f"/>
        </w:pict>
      </w:r>
    </w:p>
    <w:p w:rsidR="00E82950" w:rsidRDefault="00E82950" w:rsidP="00E82950">
      <w:pPr>
        <w:rPr>
          <w:sz w:val="20"/>
          <w:szCs w:val="20"/>
        </w:rPr>
      </w:pPr>
    </w:p>
    <w:p w:rsidR="00E82950" w:rsidRDefault="00E82950" w:rsidP="008D292F">
      <w:pPr>
        <w:rPr>
          <w:sz w:val="20"/>
          <w:szCs w:val="20"/>
        </w:rPr>
      </w:pPr>
    </w:p>
    <w:p w:rsidR="00ED3851" w:rsidRPr="00C50A5C" w:rsidRDefault="00ED3851"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DC6F21" w:rsidRPr="00BD4B6E" w:rsidRDefault="00DC6F21" w:rsidP="00DC6F21">
      <w:pPr>
        <w:tabs>
          <w:tab w:val="left" w:pos="-1440"/>
          <w:tab w:val="left" w:pos="-720"/>
        </w:tabs>
        <w:jc w:val="both"/>
        <w:rPr>
          <w:sz w:val="20"/>
          <w:szCs w:val="20"/>
        </w:rPr>
      </w:pPr>
      <w:r w:rsidRPr="00BD4B6E">
        <w:rPr>
          <w:sz w:val="20"/>
          <w:szCs w:val="20"/>
        </w:rPr>
        <w:t>02.03.2012</w:t>
      </w:r>
    </w:p>
    <w:p w:rsidR="00DC6F21" w:rsidRPr="00BD4B6E" w:rsidRDefault="00DC6F21" w:rsidP="00DC6F21">
      <w:pPr>
        <w:tabs>
          <w:tab w:val="left" w:pos="-1440"/>
          <w:tab w:val="left" w:pos="-720"/>
        </w:tabs>
        <w:jc w:val="both"/>
        <w:rPr>
          <w:sz w:val="20"/>
          <w:szCs w:val="20"/>
        </w:rPr>
      </w:pPr>
    </w:p>
    <w:p w:rsidR="00DC6F21" w:rsidRPr="00BD4B6E" w:rsidRDefault="00DC6F21" w:rsidP="00DC6F21">
      <w:pPr>
        <w:tabs>
          <w:tab w:val="left" w:pos="-1440"/>
          <w:tab w:val="left" w:pos="-720"/>
        </w:tabs>
        <w:jc w:val="both"/>
        <w:rPr>
          <w:sz w:val="20"/>
          <w:szCs w:val="20"/>
        </w:rPr>
      </w:pPr>
      <w:r w:rsidRPr="00BD4B6E">
        <w:rPr>
          <w:sz w:val="20"/>
          <w:szCs w:val="20"/>
        </w:rPr>
        <w:t>Before / Devant :   THE DEPUTY REGISTRAR / LA REGISTRAIRE ADJOINTE</w:t>
      </w:r>
    </w:p>
    <w:p w:rsidR="00DC6F21" w:rsidRPr="00BD4B6E" w:rsidRDefault="00DC6F21" w:rsidP="00DC6F21">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C6F21" w:rsidRPr="00F8135D" w:rsidTr="003F4F9C">
        <w:tc>
          <w:tcPr>
            <w:tcW w:w="4338" w:type="dxa"/>
          </w:tcPr>
          <w:p w:rsidR="00DC6F21" w:rsidRPr="00BD4B6E" w:rsidRDefault="009019DC" w:rsidP="003F4F9C">
            <w:pPr>
              <w:tabs>
                <w:tab w:val="left" w:pos="-1440"/>
                <w:tab w:val="left" w:pos="-720"/>
              </w:tabs>
              <w:jc w:val="both"/>
              <w:rPr>
                <w:b/>
                <w:sz w:val="20"/>
                <w:szCs w:val="20"/>
              </w:rPr>
            </w:pPr>
            <w:r w:rsidRPr="00BD4B6E">
              <w:rPr>
                <w:sz w:val="20"/>
                <w:szCs w:val="20"/>
              </w:rPr>
              <w:fldChar w:fldCharType="begin"/>
            </w:r>
            <w:r w:rsidR="00DC6F21" w:rsidRPr="00BD4B6E">
              <w:rPr>
                <w:sz w:val="20"/>
                <w:szCs w:val="20"/>
              </w:rPr>
              <w:instrText xml:space="preserve"> SEQ CHAPTER \h \r 1</w:instrText>
            </w:r>
            <w:r w:rsidRPr="00BD4B6E">
              <w:rPr>
                <w:sz w:val="20"/>
                <w:szCs w:val="20"/>
              </w:rPr>
              <w:fldChar w:fldCharType="end"/>
            </w:r>
            <w:r w:rsidR="00DC6F21" w:rsidRPr="00BD4B6E">
              <w:rPr>
                <w:b/>
                <w:bCs/>
                <w:sz w:val="20"/>
                <w:szCs w:val="20"/>
              </w:rPr>
              <w:t xml:space="preserve">Motion to extend the time to file a response to the application for leave </w:t>
            </w:r>
          </w:p>
        </w:tc>
        <w:tc>
          <w:tcPr>
            <w:tcW w:w="1170" w:type="dxa"/>
          </w:tcPr>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p>
        </w:tc>
        <w:tc>
          <w:tcPr>
            <w:tcW w:w="4327" w:type="dxa"/>
          </w:tcPr>
          <w:p w:rsidR="00DC6F21" w:rsidRPr="00BD4B6E" w:rsidRDefault="009019DC" w:rsidP="003F4F9C">
            <w:pPr>
              <w:tabs>
                <w:tab w:val="left" w:pos="-1440"/>
                <w:tab w:val="left" w:pos="-720"/>
              </w:tabs>
              <w:jc w:val="both"/>
              <w:rPr>
                <w:sz w:val="20"/>
                <w:szCs w:val="20"/>
                <w:lang w:val="fr-CA"/>
              </w:rPr>
            </w:pPr>
            <w:r w:rsidRPr="00BD4B6E">
              <w:rPr>
                <w:sz w:val="20"/>
                <w:szCs w:val="20"/>
              </w:rPr>
              <w:fldChar w:fldCharType="begin"/>
            </w:r>
            <w:r w:rsidR="00DC6F21" w:rsidRPr="00BD4B6E">
              <w:rPr>
                <w:sz w:val="20"/>
                <w:szCs w:val="20"/>
                <w:lang w:val="fr-CA"/>
              </w:rPr>
              <w:instrText xml:space="preserve"> SEQ CHAPTER \h \r 1</w:instrText>
            </w:r>
            <w:r w:rsidRPr="00BD4B6E">
              <w:rPr>
                <w:sz w:val="20"/>
                <w:szCs w:val="20"/>
              </w:rPr>
              <w:fldChar w:fldCharType="end"/>
            </w:r>
            <w:r w:rsidR="00DC6F21" w:rsidRPr="00BD4B6E">
              <w:rPr>
                <w:b/>
                <w:bCs/>
                <w:sz w:val="20"/>
                <w:szCs w:val="20"/>
                <w:lang w:val="fr-CA"/>
              </w:rPr>
              <w:t>Requête en prorogation du délai de dépôt d’une réponse à la demande d’autorisation d’appel</w:t>
            </w:r>
            <w:r w:rsidRPr="00BD4B6E">
              <w:rPr>
                <w:sz w:val="20"/>
                <w:szCs w:val="20"/>
              </w:rPr>
              <w:fldChar w:fldCharType="begin"/>
            </w:r>
            <w:r w:rsidR="00DC6F21" w:rsidRPr="00BD4B6E">
              <w:rPr>
                <w:sz w:val="20"/>
                <w:szCs w:val="20"/>
                <w:lang w:val="fr-CA"/>
              </w:rPr>
              <w:instrText xml:space="preserve"> SEQ CHAPTER \h \r 1</w:instrText>
            </w:r>
            <w:r w:rsidRPr="00BD4B6E">
              <w:rPr>
                <w:sz w:val="20"/>
                <w:szCs w:val="20"/>
              </w:rPr>
              <w:fldChar w:fldCharType="end"/>
            </w:r>
          </w:p>
        </w:tc>
      </w:tr>
      <w:tr w:rsidR="00DC6F21" w:rsidRPr="00BD4B6E" w:rsidTr="003F4F9C">
        <w:tc>
          <w:tcPr>
            <w:tcW w:w="4338" w:type="dxa"/>
          </w:tcPr>
          <w:p w:rsidR="00DC6F21" w:rsidRPr="00BD4B6E" w:rsidRDefault="00DC6F21" w:rsidP="003F4F9C">
            <w:pPr>
              <w:tabs>
                <w:tab w:val="left" w:pos="-1440"/>
                <w:tab w:val="left" w:pos="-720"/>
              </w:tabs>
              <w:jc w:val="both"/>
              <w:rPr>
                <w:sz w:val="20"/>
                <w:szCs w:val="20"/>
              </w:rPr>
            </w:pPr>
            <w:r w:rsidRPr="00BD4B6E">
              <w:rPr>
                <w:sz w:val="20"/>
                <w:szCs w:val="20"/>
              </w:rPr>
              <w:t>Her Majesty the Queen</w:t>
            </w:r>
          </w:p>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r w:rsidRPr="00BD4B6E">
              <w:rPr>
                <w:sz w:val="20"/>
                <w:szCs w:val="20"/>
              </w:rPr>
              <w:tab/>
              <w:t>v. (34660)</w:t>
            </w:r>
          </w:p>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r w:rsidRPr="00BD4B6E">
              <w:rPr>
                <w:sz w:val="20"/>
                <w:szCs w:val="20"/>
              </w:rPr>
              <w:t>Derek Berish (Crim.) (Que.)</w:t>
            </w:r>
          </w:p>
        </w:tc>
        <w:tc>
          <w:tcPr>
            <w:tcW w:w="1170" w:type="dxa"/>
          </w:tcPr>
          <w:p w:rsidR="00DC6F21" w:rsidRPr="00BD4B6E" w:rsidRDefault="00DC6F21" w:rsidP="003F4F9C">
            <w:pPr>
              <w:tabs>
                <w:tab w:val="left" w:pos="-1440"/>
                <w:tab w:val="left" w:pos="-720"/>
              </w:tabs>
              <w:jc w:val="both"/>
              <w:rPr>
                <w:sz w:val="20"/>
                <w:szCs w:val="20"/>
              </w:rPr>
            </w:pPr>
          </w:p>
        </w:tc>
        <w:tc>
          <w:tcPr>
            <w:tcW w:w="4327" w:type="dxa"/>
          </w:tcPr>
          <w:p w:rsidR="00DC6F21" w:rsidRPr="00BD4B6E" w:rsidRDefault="00DC6F21" w:rsidP="003F4F9C">
            <w:pPr>
              <w:tabs>
                <w:tab w:val="left" w:pos="-1440"/>
                <w:tab w:val="left" w:pos="-720"/>
              </w:tabs>
              <w:jc w:val="both"/>
              <w:rPr>
                <w:sz w:val="20"/>
                <w:szCs w:val="20"/>
              </w:rPr>
            </w:pPr>
          </w:p>
        </w:tc>
      </w:tr>
    </w:tbl>
    <w:p w:rsidR="00DC6F21" w:rsidRPr="00BD4B6E" w:rsidRDefault="00DC6F21" w:rsidP="00DC6F21">
      <w:pPr>
        <w:tabs>
          <w:tab w:val="left" w:pos="-1440"/>
          <w:tab w:val="left" w:pos="-720"/>
        </w:tabs>
        <w:jc w:val="both"/>
        <w:rPr>
          <w:sz w:val="20"/>
          <w:szCs w:val="20"/>
        </w:rPr>
      </w:pPr>
    </w:p>
    <w:p w:rsidR="00DC6F21" w:rsidRPr="00BD4B6E" w:rsidRDefault="00DC6F21" w:rsidP="00DC6F21">
      <w:pPr>
        <w:tabs>
          <w:tab w:val="left" w:pos="-1440"/>
          <w:tab w:val="left" w:pos="-720"/>
        </w:tabs>
        <w:jc w:val="both"/>
        <w:rPr>
          <w:sz w:val="20"/>
          <w:szCs w:val="20"/>
          <w:lang w:val="fr-CA"/>
        </w:rPr>
      </w:pPr>
      <w:r w:rsidRPr="00BD4B6E">
        <w:rPr>
          <w:b/>
          <w:sz w:val="20"/>
          <w:szCs w:val="20"/>
          <w:lang w:val="fr-CA"/>
        </w:rPr>
        <w:t>GRANTED IN PART / ACCORDÉE EN PARTIE</w:t>
      </w:r>
    </w:p>
    <w:p w:rsidR="00DC6F21" w:rsidRPr="00BD4B6E" w:rsidRDefault="00DC6F21" w:rsidP="00DC6F21">
      <w:pPr>
        <w:tabs>
          <w:tab w:val="left" w:pos="-1440"/>
          <w:tab w:val="left" w:pos="-720"/>
        </w:tabs>
        <w:jc w:val="both"/>
        <w:rPr>
          <w:sz w:val="20"/>
          <w:szCs w:val="20"/>
          <w:lang w:val="fr-CA"/>
        </w:rPr>
      </w:pPr>
    </w:p>
    <w:p w:rsidR="00DC6F21" w:rsidRPr="00BD4B6E" w:rsidRDefault="00DC6F21" w:rsidP="00DC6F21">
      <w:pPr>
        <w:pStyle w:val="BodyText"/>
        <w:spacing w:after="0"/>
        <w:jc w:val="both"/>
        <w:rPr>
          <w:sz w:val="20"/>
          <w:szCs w:val="20"/>
          <w:lang w:val="en-US"/>
        </w:rPr>
      </w:pPr>
      <w:r w:rsidRPr="00BD4B6E">
        <w:rPr>
          <w:b/>
          <w:sz w:val="20"/>
          <w:szCs w:val="20"/>
          <w:lang w:val="en-US"/>
        </w:rPr>
        <w:t>UPON APPLICATION</w:t>
      </w:r>
      <w:r w:rsidRPr="00BD4B6E">
        <w:rPr>
          <w:sz w:val="20"/>
          <w:szCs w:val="20"/>
          <w:lang w:val="en-US"/>
        </w:rPr>
        <w:t xml:space="preserve"> by counsel on behalf of the respondent for an order extending the time to serve and file a response to the application for leave to appeal to May 8, 2012.</w:t>
      </w:r>
    </w:p>
    <w:p w:rsidR="00DC6F21" w:rsidRPr="00BD4B6E" w:rsidRDefault="00DC6F21" w:rsidP="00DC6F21">
      <w:pPr>
        <w:pStyle w:val="BodyText"/>
        <w:spacing w:after="0"/>
        <w:jc w:val="both"/>
        <w:rPr>
          <w:sz w:val="20"/>
          <w:szCs w:val="20"/>
          <w:lang w:val="en-US"/>
        </w:rPr>
      </w:pPr>
    </w:p>
    <w:p w:rsidR="00DC6F21" w:rsidRPr="00BD4B6E" w:rsidRDefault="00DC6F21" w:rsidP="00DC6F21">
      <w:pPr>
        <w:pStyle w:val="BodyText"/>
        <w:spacing w:after="0"/>
        <w:jc w:val="both"/>
        <w:rPr>
          <w:b/>
          <w:sz w:val="20"/>
          <w:szCs w:val="20"/>
          <w:lang w:val="en-US"/>
        </w:rPr>
      </w:pPr>
      <w:r w:rsidRPr="00BD4B6E">
        <w:rPr>
          <w:b/>
          <w:sz w:val="20"/>
          <w:szCs w:val="20"/>
          <w:lang w:val="en-US"/>
        </w:rPr>
        <w:t>AND HAVING READ</w:t>
      </w:r>
      <w:r w:rsidRPr="00BD4B6E">
        <w:rPr>
          <w:sz w:val="20"/>
          <w:szCs w:val="20"/>
          <w:lang w:val="en-US"/>
        </w:rPr>
        <w:t xml:space="preserve"> the material filed;</w:t>
      </w:r>
    </w:p>
    <w:p w:rsidR="00DC6F21" w:rsidRPr="00BD4B6E" w:rsidRDefault="00DC6F21" w:rsidP="00DC6F21">
      <w:pPr>
        <w:pStyle w:val="BodyText"/>
        <w:spacing w:after="0"/>
        <w:jc w:val="both"/>
        <w:rPr>
          <w:b/>
          <w:sz w:val="20"/>
          <w:szCs w:val="20"/>
          <w:lang w:val="en-US"/>
        </w:rPr>
      </w:pPr>
    </w:p>
    <w:p w:rsidR="00DC6F21" w:rsidRPr="00BD4B6E" w:rsidRDefault="00DC6F21" w:rsidP="00DC6F21">
      <w:pPr>
        <w:pStyle w:val="BodyText"/>
        <w:spacing w:after="0"/>
        <w:jc w:val="both"/>
        <w:rPr>
          <w:b/>
          <w:sz w:val="20"/>
          <w:szCs w:val="20"/>
          <w:lang w:val="en-US"/>
        </w:rPr>
      </w:pPr>
      <w:r w:rsidRPr="00BD4B6E">
        <w:rPr>
          <w:b/>
          <w:sz w:val="20"/>
          <w:szCs w:val="20"/>
          <w:lang w:val="en-US"/>
        </w:rPr>
        <w:t>IT IS ORDERED THAT:</w:t>
      </w:r>
    </w:p>
    <w:p w:rsidR="00DC6F21" w:rsidRPr="00BD4B6E" w:rsidRDefault="00DC6F21" w:rsidP="00DC6F21">
      <w:pPr>
        <w:pStyle w:val="BodyText"/>
        <w:spacing w:after="0"/>
        <w:jc w:val="both"/>
        <w:rPr>
          <w:b/>
          <w:sz w:val="20"/>
          <w:szCs w:val="20"/>
          <w:lang w:val="en-US"/>
        </w:rPr>
      </w:pPr>
    </w:p>
    <w:p w:rsidR="00DC6F21" w:rsidRPr="00BD4B6E" w:rsidRDefault="00DC6F21" w:rsidP="00DC6F21">
      <w:pPr>
        <w:pStyle w:val="BodyText"/>
        <w:numPr>
          <w:ilvl w:val="0"/>
          <w:numId w:val="2"/>
        </w:numPr>
        <w:spacing w:after="0"/>
        <w:jc w:val="both"/>
        <w:rPr>
          <w:sz w:val="20"/>
          <w:szCs w:val="20"/>
          <w:lang w:val="en-US"/>
        </w:rPr>
      </w:pPr>
      <w:r w:rsidRPr="00BD4B6E">
        <w:rPr>
          <w:sz w:val="20"/>
          <w:szCs w:val="20"/>
          <w:lang w:val="en-US"/>
        </w:rPr>
        <w:t>the motion is granted in part;</w:t>
      </w:r>
    </w:p>
    <w:p w:rsidR="00DC6F21" w:rsidRPr="00BD4B6E" w:rsidRDefault="00DC6F21" w:rsidP="00DC6F21">
      <w:pPr>
        <w:pStyle w:val="BodyText"/>
        <w:spacing w:after="0"/>
        <w:jc w:val="both"/>
        <w:rPr>
          <w:sz w:val="20"/>
          <w:szCs w:val="20"/>
          <w:lang w:val="en-US"/>
        </w:rPr>
      </w:pPr>
    </w:p>
    <w:p w:rsidR="00DC6F21" w:rsidRPr="00BD4B6E" w:rsidRDefault="00DC6F21" w:rsidP="00DC6F21">
      <w:pPr>
        <w:pStyle w:val="BodyText"/>
        <w:numPr>
          <w:ilvl w:val="0"/>
          <w:numId w:val="2"/>
        </w:numPr>
        <w:spacing w:after="0"/>
        <w:jc w:val="both"/>
        <w:rPr>
          <w:sz w:val="20"/>
          <w:szCs w:val="20"/>
          <w:lang w:val="en-US"/>
        </w:rPr>
      </w:pPr>
      <w:r w:rsidRPr="00BD4B6E">
        <w:rPr>
          <w:sz w:val="20"/>
          <w:szCs w:val="20"/>
          <w:lang w:val="en-US"/>
        </w:rPr>
        <w:t>the respondent is granted an extension of time to serve and file the response to the application for leave to appeal to April 10, 2012.</w:t>
      </w:r>
    </w:p>
    <w:p w:rsidR="00DC6F21" w:rsidRPr="00BD4B6E" w:rsidRDefault="00DC6F21" w:rsidP="00DC6F21">
      <w:pPr>
        <w:pStyle w:val="BodyText"/>
        <w:spacing w:after="0"/>
        <w:jc w:val="both"/>
        <w:rPr>
          <w:sz w:val="20"/>
          <w:szCs w:val="20"/>
          <w:lang w:val="en-US"/>
        </w:rPr>
      </w:pPr>
    </w:p>
    <w:p w:rsidR="00DC6F21" w:rsidRPr="00BD4B6E" w:rsidRDefault="00DC6F21" w:rsidP="00DC6F21">
      <w:pPr>
        <w:pStyle w:val="BodyText"/>
        <w:spacing w:after="0"/>
        <w:jc w:val="both"/>
        <w:rPr>
          <w:sz w:val="20"/>
          <w:szCs w:val="20"/>
          <w:lang w:val="en-US"/>
        </w:rPr>
      </w:pPr>
    </w:p>
    <w:p w:rsidR="00DC6F21" w:rsidRPr="00BD4B6E" w:rsidRDefault="00DC6F21" w:rsidP="00DC6F21">
      <w:pPr>
        <w:rPr>
          <w:sz w:val="20"/>
          <w:szCs w:val="20"/>
        </w:rPr>
      </w:pPr>
    </w:p>
    <w:p w:rsidR="00DC6F21" w:rsidRPr="00BD4B6E" w:rsidRDefault="00DC6F21" w:rsidP="00DC6F21">
      <w:pPr>
        <w:jc w:val="both"/>
        <w:rPr>
          <w:sz w:val="20"/>
          <w:szCs w:val="20"/>
          <w:lang w:val="fr-FR"/>
        </w:rPr>
      </w:pPr>
      <w:r w:rsidRPr="00BD4B6E">
        <w:rPr>
          <w:b/>
          <w:sz w:val="20"/>
          <w:szCs w:val="20"/>
          <w:lang w:val="fr-FR"/>
        </w:rPr>
        <w:t>À LA SUITE DE LA DEMANDE</w:t>
      </w:r>
      <w:r w:rsidRPr="00BD4B6E">
        <w:rPr>
          <w:sz w:val="20"/>
          <w:szCs w:val="20"/>
          <w:lang w:val="fr-FR"/>
        </w:rPr>
        <w:t xml:space="preserve"> présentée au nom de l'intimé sollicitant la prorogation du délai de signification et de dépôt de la réponse à la demande d’autorisation d’appel au 8 mai 2012. </w:t>
      </w:r>
    </w:p>
    <w:p w:rsidR="00DC6F21" w:rsidRPr="00BD4B6E" w:rsidRDefault="00DC6F21" w:rsidP="00DC6F21">
      <w:pPr>
        <w:jc w:val="both"/>
        <w:rPr>
          <w:sz w:val="20"/>
          <w:szCs w:val="20"/>
          <w:lang w:val="fr-FR"/>
        </w:rPr>
      </w:pPr>
    </w:p>
    <w:p w:rsidR="00DC6F21" w:rsidRPr="00BD4B6E" w:rsidRDefault="00DC6F21" w:rsidP="00DC6F21">
      <w:pPr>
        <w:jc w:val="both"/>
        <w:rPr>
          <w:sz w:val="20"/>
          <w:szCs w:val="20"/>
          <w:lang w:val="fr-FR"/>
        </w:rPr>
      </w:pPr>
      <w:r w:rsidRPr="00BD4B6E">
        <w:rPr>
          <w:b/>
          <w:sz w:val="20"/>
          <w:szCs w:val="20"/>
          <w:lang w:val="fr-FR"/>
        </w:rPr>
        <w:t>ET APRÈS EXAMEN</w:t>
      </w:r>
      <w:r w:rsidRPr="00BD4B6E">
        <w:rPr>
          <w:sz w:val="20"/>
          <w:szCs w:val="20"/>
          <w:lang w:val="fr-FR"/>
        </w:rPr>
        <w:t xml:space="preserve"> des documents déposés; </w:t>
      </w:r>
    </w:p>
    <w:p w:rsidR="00DC6F21" w:rsidRPr="00BD4B6E" w:rsidRDefault="00DC6F21" w:rsidP="00DC6F21">
      <w:pPr>
        <w:jc w:val="both"/>
        <w:rPr>
          <w:sz w:val="20"/>
          <w:szCs w:val="20"/>
          <w:lang w:val="fr-FR"/>
        </w:rPr>
      </w:pPr>
    </w:p>
    <w:p w:rsidR="00DC6F21" w:rsidRPr="00BD4B6E" w:rsidRDefault="00DC6F21" w:rsidP="00DC6F21">
      <w:pPr>
        <w:jc w:val="both"/>
        <w:rPr>
          <w:b/>
          <w:sz w:val="20"/>
          <w:szCs w:val="20"/>
          <w:lang w:val="fr-FR"/>
        </w:rPr>
      </w:pPr>
      <w:r w:rsidRPr="00BD4B6E">
        <w:rPr>
          <w:b/>
          <w:sz w:val="20"/>
          <w:szCs w:val="20"/>
          <w:lang w:val="fr-FR"/>
        </w:rPr>
        <w:t xml:space="preserve">IL EST ORDONNÉ CE QUI SUIT : </w:t>
      </w:r>
    </w:p>
    <w:p w:rsidR="00DC6F21" w:rsidRPr="00BD4B6E" w:rsidRDefault="00DC6F21" w:rsidP="00DC6F21">
      <w:pPr>
        <w:jc w:val="both"/>
        <w:rPr>
          <w:sz w:val="20"/>
          <w:szCs w:val="20"/>
          <w:lang w:val="fr-FR"/>
        </w:rPr>
      </w:pPr>
    </w:p>
    <w:p w:rsidR="00DC6F21" w:rsidRPr="00BD4B6E" w:rsidRDefault="00DC6F21" w:rsidP="00DC6F21">
      <w:pPr>
        <w:pStyle w:val="ListParagraph"/>
        <w:widowControl w:val="0"/>
        <w:numPr>
          <w:ilvl w:val="0"/>
          <w:numId w:val="3"/>
        </w:numPr>
        <w:autoSpaceDE w:val="0"/>
        <w:autoSpaceDN w:val="0"/>
        <w:adjustRightInd w:val="0"/>
        <w:jc w:val="both"/>
        <w:rPr>
          <w:rFonts w:cs="Times New Roman"/>
          <w:sz w:val="20"/>
          <w:szCs w:val="20"/>
          <w:lang w:val="fr-FR"/>
        </w:rPr>
      </w:pPr>
      <w:r w:rsidRPr="00BD4B6E">
        <w:rPr>
          <w:rFonts w:cs="Times New Roman"/>
          <w:sz w:val="20"/>
          <w:szCs w:val="20"/>
          <w:lang w:val="fr-FR"/>
        </w:rPr>
        <w:t xml:space="preserve">La requête est accordée en partie; </w:t>
      </w:r>
    </w:p>
    <w:p w:rsidR="00DC6F21" w:rsidRPr="00BD4B6E" w:rsidRDefault="00DC6F21" w:rsidP="00DC6F21">
      <w:pPr>
        <w:jc w:val="both"/>
        <w:rPr>
          <w:sz w:val="20"/>
          <w:szCs w:val="20"/>
          <w:lang w:val="fr-FR"/>
        </w:rPr>
      </w:pPr>
    </w:p>
    <w:p w:rsidR="00DC6F21" w:rsidRPr="00BD4B6E" w:rsidRDefault="00DC6F21" w:rsidP="00DC6F21">
      <w:pPr>
        <w:pStyle w:val="ListParagraph"/>
        <w:widowControl w:val="0"/>
        <w:numPr>
          <w:ilvl w:val="0"/>
          <w:numId w:val="3"/>
        </w:numPr>
        <w:autoSpaceDE w:val="0"/>
        <w:autoSpaceDN w:val="0"/>
        <w:adjustRightInd w:val="0"/>
        <w:jc w:val="both"/>
        <w:rPr>
          <w:rFonts w:cs="Times New Roman"/>
          <w:sz w:val="20"/>
          <w:szCs w:val="20"/>
          <w:lang w:val="fr-FR"/>
        </w:rPr>
      </w:pPr>
      <w:r w:rsidRPr="00BD4B6E">
        <w:rPr>
          <w:rFonts w:cs="Times New Roman"/>
          <w:sz w:val="20"/>
          <w:szCs w:val="20"/>
          <w:lang w:val="fr-FR"/>
        </w:rPr>
        <w:t>Le délai de signification et de dépôt de la réponse de l’intimé à la demande d’autorisation d’appel est prorogé au 10 avril 2012.</w:t>
      </w:r>
    </w:p>
    <w:p w:rsidR="00DC6F21" w:rsidRPr="00BD4B6E" w:rsidRDefault="00DC6F21" w:rsidP="00DC6F21">
      <w:pPr>
        <w:tabs>
          <w:tab w:val="left" w:pos="-1440"/>
          <w:tab w:val="left" w:pos="-720"/>
        </w:tabs>
        <w:jc w:val="both"/>
        <w:rPr>
          <w:sz w:val="20"/>
          <w:szCs w:val="20"/>
          <w:lang w:val="fr-FR"/>
        </w:rPr>
      </w:pPr>
    </w:p>
    <w:p w:rsidR="00DC6F21" w:rsidRPr="00BD4B6E" w:rsidRDefault="009019DC" w:rsidP="00DC6F21">
      <w:pPr>
        <w:tabs>
          <w:tab w:val="left" w:pos="-1440"/>
          <w:tab w:val="left" w:pos="-720"/>
        </w:tabs>
        <w:jc w:val="both"/>
        <w:rPr>
          <w:sz w:val="20"/>
          <w:szCs w:val="20"/>
        </w:rPr>
      </w:pPr>
      <w:r w:rsidRPr="009019DC">
        <w:rPr>
          <w:sz w:val="20"/>
          <w:szCs w:val="20"/>
          <w:lang w:val="fr-CA"/>
        </w:rPr>
        <w:pict>
          <v:rect id="_x0000_i1048" style="width:2in;height:1pt" o:hrpct="0" o:hralign="center" o:hrstd="t" o:hrnoshade="t" o:hr="t" fillcolor="black [3213]" stroked="f"/>
        </w:pict>
      </w:r>
    </w:p>
    <w:p w:rsidR="00DC6F21" w:rsidRPr="00BD4B6E" w:rsidRDefault="00DC6F21" w:rsidP="00DC6F21">
      <w:pPr>
        <w:tabs>
          <w:tab w:val="left" w:pos="-1440"/>
          <w:tab w:val="left" w:pos="-720"/>
        </w:tabs>
        <w:jc w:val="both"/>
        <w:rPr>
          <w:sz w:val="20"/>
          <w:szCs w:val="20"/>
          <w:lang w:val="fr-CA"/>
        </w:rPr>
      </w:pPr>
    </w:p>
    <w:p w:rsidR="00DC6F21" w:rsidRPr="00BD4B6E" w:rsidRDefault="00DC6F21" w:rsidP="00DC6F21">
      <w:pPr>
        <w:tabs>
          <w:tab w:val="left" w:pos="-1440"/>
          <w:tab w:val="left" w:pos="-720"/>
        </w:tabs>
        <w:jc w:val="both"/>
        <w:rPr>
          <w:sz w:val="20"/>
          <w:szCs w:val="20"/>
          <w:lang w:val="fr-CA"/>
        </w:rPr>
      </w:pPr>
      <w:r w:rsidRPr="00BD4B6E">
        <w:rPr>
          <w:sz w:val="20"/>
          <w:szCs w:val="20"/>
          <w:lang w:val="fr-CA"/>
        </w:rPr>
        <w:t>05.03.2012</w:t>
      </w:r>
    </w:p>
    <w:p w:rsidR="00DC6F21" w:rsidRPr="00BD4B6E" w:rsidRDefault="00DC6F21" w:rsidP="00DC6F21">
      <w:pPr>
        <w:tabs>
          <w:tab w:val="left" w:pos="-1440"/>
          <w:tab w:val="left" w:pos="-720"/>
        </w:tabs>
        <w:jc w:val="both"/>
        <w:rPr>
          <w:sz w:val="20"/>
          <w:szCs w:val="20"/>
          <w:lang w:val="fr-CA"/>
        </w:rPr>
      </w:pPr>
    </w:p>
    <w:p w:rsidR="00DC6F21" w:rsidRPr="00BD4B6E" w:rsidRDefault="00DC6F21" w:rsidP="00DC6F21">
      <w:pPr>
        <w:tabs>
          <w:tab w:val="left" w:pos="-1440"/>
          <w:tab w:val="left" w:pos="-720"/>
        </w:tabs>
        <w:jc w:val="both"/>
        <w:rPr>
          <w:sz w:val="20"/>
          <w:szCs w:val="20"/>
          <w:lang w:val="fr-CA"/>
        </w:rPr>
      </w:pPr>
      <w:r w:rsidRPr="00BD4B6E">
        <w:rPr>
          <w:sz w:val="20"/>
          <w:szCs w:val="20"/>
          <w:lang w:val="fr-CA"/>
        </w:rPr>
        <w:t>Before / Devant:   FISH J. / LE JUGE FISH</w:t>
      </w:r>
    </w:p>
    <w:p w:rsidR="00DC6F21" w:rsidRPr="00BD4B6E" w:rsidRDefault="00DC6F21" w:rsidP="00DC6F2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DC6F21" w:rsidRPr="00F8135D" w:rsidTr="003F4F9C">
        <w:tc>
          <w:tcPr>
            <w:tcW w:w="4338" w:type="dxa"/>
            <w:gridSpan w:val="2"/>
          </w:tcPr>
          <w:p w:rsidR="00DC6F21" w:rsidRPr="00BD4B6E" w:rsidRDefault="00DC6F21" w:rsidP="003F4F9C">
            <w:pPr>
              <w:jc w:val="both"/>
              <w:rPr>
                <w:b/>
                <w:sz w:val="20"/>
                <w:szCs w:val="20"/>
              </w:rPr>
            </w:pPr>
            <w:r w:rsidRPr="00BD4B6E">
              <w:rPr>
                <w:b/>
                <w:sz w:val="20"/>
                <w:szCs w:val="20"/>
              </w:rPr>
              <w:t xml:space="preserve">Order on interventions with respect to oral argument </w:t>
            </w:r>
            <w:r w:rsidR="009019DC" w:rsidRPr="00BD4B6E">
              <w:rPr>
                <w:sz w:val="20"/>
                <w:szCs w:val="20"/>
              </w:rPr>
              <w:fldChar w:fldCharType="begin"/>
            </w:r>
            <w:r w:rsidRPr="00BD4B6E">
              <w:rPr>
                <w:sz w:val="20"/>
                <w:szCs w:val="20"/>
              </w:rPr>
              <w:instrText xml:space="preserve"> SEQ CHAPTER \h \r 1</w:instrText>
            </w:r>
            <w:r w:rsidR="009019DC" w:rsidRPr="00BD4B6E">
              <w:rPr>
                <w:sz w:val="20"/>
                <w:szCs w:val="20"/>
              </w:rPr>
              <w:fldChar w:fldCharType="end"/>
            </w:r>
          </w:p>
        </w:tc>
        <w:tc>
          <w:tcPr>
            <w:tcW w:w="1170" w:type="dxa"/>
          </w:tcPr>
          <w:p w:rsidR="00DC6F21" w:rsidRPr="00BD4B6E" w:rsidRDefault="00DC6F21" w:rsidP="003F4F9C">
            <w:pPr>
              <w:rPr>
                <w:sz w:val="20"/>
                <w:szCs w:val="20"/>
              </w:rPr>
            </w:pPr>
          </w:p>
          <w:p w:rsidR="00DC6F21" w:rsidRPr="00BD4B6E" w:rsidRDefault="00DC6F21" w:rsidP="003F4F9C">
            <w:pPr>
              <w:rPr>
                <w:sz w:val="20"/>
                <w:szCs w:val="20"/>
              </w:rPr>
            </w:pPr>
          </w:p>
          <w:p w:rsidR="00DC6F21" w:rsidRPr="00BD4B6E" w:rsidRDefault="00DC6F21" w:rsidP="003F4F9C">
            <w:pPr>
              <w:rPr>
                <w:sz w:val="20"/>
                <w:szCs w:val="20"/>
              </w:rPr>
            </w:pPr>
          </w:p>
        </w:tc>
        <w:tc>
          <w:tcPr>
            <w:tcW w:w="4327" w:type="dxa"/>
          </w:tcPr>
          <w:p w:rsidR="00DC6F21" w:rsidRPr="00BD4B6E" w:rsidRDefault="00DC6F21" w:rsidP="003F4F9C">
            <w:pPr>
              <w:jc w:val="both"/>
              <w:rPr>
                <w:b/>
                <w:sz w:val="20"/>
                <w:szCs w:val="20"/>
                <w:lang w:val="fr-CA"/>
              </w:rPr>
            </w:pPr>
            <w:r w:rsidRPr="00BD4B6E">
              <w:rPr>
                <w:b/>
                <w:sz w:val="20"/>
                <w:szCs w:val="20"/>
                <w:lang w:val="fr-CA"/>
              </w:rPr>
              <w:t>Ordonnance relative à la présentation d’une plaidoirie orale par les intervenants</w:t>
            </w:r>
            <w:r w:rsidRPr="00BD4B6E">
              <w:rPr>
                <w:sz w:val="20"/>
                <w:szCs w:val="20"/>
                <w:lang w:val="fr-CA"/>
              </w:rPr>
              <w:t xml:space="preserve"> </w:t>
            </w:r>
            <w:r w:rsidR="009019DC" w:rsidRPr="00BD4B6E">
              <w:rPr>
                <w:sz w:val="20"/>
                <w:szCs w:val="20"/>
              </w:rPr>
              <w:fldChar w:fldCharType="begin"/>
            </w:r>
            <w:r w:rsidRPr="00BD4B6E">
              <w:rPr>
                <w:sz w:val="20"/>
                <w:szCs w:val="20"/>
                <w:lang w:val="fr-CA"/>
              </w:rPr>
              <w:instrText xml:space="preserve"> SEQ CHAPTER \h \r 1</w:instrText>
            </w:r>
            <w:r w:rsidR="009019DC" w:rsidRPr="00BD4B6E">
              <w:rPr>
                <w:sz w:val="20"/>
                <w:szCs w:val="20"/>
              </w:rPr>
              <w:fldChar w:fldCharType="end"/>
            </w:r>
          </w:p>
        </w:tc>
      </w:tr>
      <w:tr w:rsidR="00DC6F21" w:rsidRPr="00BD4B6E" w:rsidTr="003F4F9C">
        <w:tc>
          <w:tcPr>
            <w:tcW w:w="1368" w:type="dxa"/>
          </w:tcPr>
          <w:p w:rsidR="00DC6F21" w:rsidRPr="00BD4B6E" w:rsidRDefault="00DC6F21" w:rsidP="003F4F9C">
            <w:pPr>
              <w:rPr>
                <w:sz w:val="20"/>
                <w:szCs w:val="20"/>
              </w:rPr>
            </w:pPr>
            <w:r w:rsidRPr="00BD4B6E">
              <w:rPr>
                <w:sz w:val="20"/>
                <w:szCs w:val="20"/>
              </w:rPr>
              <w:t>RE:</w:t>
            </w:r>
          </w:p>
        </w:tc>
        <w:tc>
          <w:tcPr>
            <w:tcW w:w="2970" w:type="dxa"/>
          </w:tcPr>
          <w:p w:rsidR="00DC6F21" w:rsidRPr="00BD4B6E" w:rsidRDefault="00DC6F21" w:rsidP="003F4F9C">
            <w:pPr>
              <w:rPr>
                <w:sz w:val="20"/>
                <w:szCs w:val="20"/>
              </w:rPr>
            </w:pPr>
            <w:r w:rsidRPr="00BD4B6E">
              <w:rPr>
                <w:sz w:val="20"/>
                <w:szCs w:val="20"/>
              </w:rPr>
              <w:t>Information and Privacy Commissioner of Ontario;</w:t>
            </w: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rPr>
                <w:sz w:val="20"/>
                <w:szCs w:val="20"/>
              </w:rPr>
            </w:pPr>
            <w:r w:rsidRPr="00BD4B6E">
              <w:rPr>
                <w:sz w:val="20"/>
                <w:szCs w:val="20"/>
              </w:rPr>
              <w:t>Ontario Crown Attorney’s Association;</w:t>
            </w: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rPr>
                <w:sz w:val="20"/>
                <w:szCs w:val="20"/>
              </w:rPr>
            </w:pPr>
            <w:r w:rsidRPr="00BD4B6E">
              <w:rPr>
                <w:sz w:val="20"/>
                <w:szCs w:val="20"/>
              </w:rPr>
              <w:t>Canadian Civil Liberties Association;</w:t>
            </w: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rPr>
                <w:sz w:val="20"/>
                <w:szCs w:val="20"/>
              </w:rPr>
            </w:pPr>
            <w:r w:rsidRPr="00BD4B6E">
              <w:rPr>
                <w:sz w:val="20"/>
                <w:szCs w:val="20"/>
              </w:rPr>
              <w:t>David Asper Centre for Constitutional Rights;</w:t>
            </w: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rPr>
                <w:sz w:val="20"/>
                <w:szCs w:val="20"/>
              </w:rPr>
            </w:pPr>
            <w:r w:rsidRPr="00BD4B6E">
              <w:rPr>
                <w:sz w:val="20"/>
                <w:szCs w:val="20"/>
              </w:rPr>
              <w:t>British Columbia Civil Liberties Association;</w:t>
            </w: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rPr>
                <w:sz w:val="20"/>
                <w:szCs w:val="20"/>
              </w:rPr>
            </w:pPr>
            <w:r w:rsidRPr="00BD4B6E">
              <w:rPr>
                <w:sz w:val="20"/>
                <w:szCs w:val="20"/>
              </w:rPr>
              <w:t>Criminal Lawyers' Association;</w:t>
            </w: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rPr>
                <w:sz w:val="20"/>
                <w:szCs w:val="20"/>
              </w:rPr>
            </w:pPr>
            <w:r w:rsidRPr="00BD4B6E">
              <w:rPr>
                <w:sz w:val="20"/>
                <w:szCs w:val="20"/>
              </w:rPr>
              <w:t>Attorney General of Alberta</w:t>
            </w: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rPr>
                <w:sz w:val="20"/>
                <w:szCs w:val="20"/>
              </w:rPr>
            </w:pP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r w:rsidRPr="00BD4B6E">
              <w:rPr>
                <w:sz w:val="20"/>
                <w:szCs w:val="20"/>
              </w:rPr>
              <w:t>IN / DANS :</w:t>
            </w:r>
          </w:p>
        </w:tc>
        <w:tc>
          <w:tcPr>
            <w:tcW w:w="2970" w:type="dxa"/>
          </w:tcPr>
          <w:p w:rsidR="00DC6F21" w:rsidRPr="00BD4B6E" w:rsidRDefault="00DC6F21" w:rsidP="003F4F9C">
            <w:pPr>
              <w:rPr>
                <w:sz w:val="20"/>
                <w:szCs w:val="20"/>
              </w:rPr>
            </w:pPr>
            <w:r w:rsidRPr="00BD4B6E">
              <w:rPr>
                <w:sz w:val="20"/>
                <w:szCs w:val="20"/>
              </w:rPr>
              <w:t>James Peter Emms</w:t>
            </w:r>
          </w:p>
          <w:p w:rsidR="00DC6F21" w:rsidRPr="00BD4B6E" w:rsidRDefault="00DC6F21" w:rsidP="003F4F9C">
            <w:pPr>
              <w:rPr>
                <w:sz w:val="20"/>
                <w:szCs w:val="20"/>
              </w:rPr>
            </w:pPr>
          </w:p>
          <w:p w:rsidR="00DC6F21" w:rsidRPr="00BD4B6E" w:rsidRDefault="00DC6F21" w:rsidP="003F4F9C">
            <w:pPr>
              <w:rPr>
                <w:sz w:val="20"/>
                <w:szCs w:val="20"/>
              </w:rPr>
            </w:pPr>
            <w:r w:rsidRPr="00BD4B6E">
              <w:rPr>
                <w:sz w:val="20"/>
                <w:szCs w:val="20"/>
              </w:rPr>
              <w:tab/>
              <w:t>v. (34087)</w:t>
            </w:r>
          </w:p>
          <w:p w:rsidR="00DC6F21" w:rsidRPr="00BD4B6E" w:rsidRDefault="00DC6F21" w:rsidP="003F4F9C">
            <w:pPr>
              <w:rPr>
                <w:sz w:val="20"/>
                <w:szCs w:val="20"/>
              </w:rPr>
            </w:pPr>
          </w:p>
          <w:p w:rsidR="00DC6F21" w:rsidRPr="00BD4B6E" w:rsidRDefault="00DC6F21" w:rsidP="003F4F9C">
            <w:pPr>
              <w:rPr>
                <w:sz w:val="20"/>
                <w:szCs w:val="20"/>
              </w:rPr>
            </w:pPr>
            <w:r w:rsidRPr="00BD4B6E">
              <w:rPr>
                <w:sz w:val="20"/>
                <w:szCs w:val="20"/>
              </w:rPr>
              <w:t>Her Majesty the Queen (Crim.) (Ont.)</w:t>
            </w: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rPr>
                <w:sz w:val="20"/>
                <w:szCs w:val="20"/>
              </w:rPr>
            </w:pP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rPr>
                <w:sz w:val="20"/>
                <w:szCs w:val="20"/>
              </w:rPr>
            </w:pPr>
            <w:r w:rsidRPr="00BD4B6E">
              <w:rPr>
                <w:sz w:val="20"/>
                <w:szCs w:val="20"/>
              </w:rPr>
              <w:t>- and between -</w:t>
            </w: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rPr>
                <w:sz w:val="20"/>
                <w:szCs w:val="20"/>
              </w:rPr>
            </w:pP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rPr>
                <w:sz w:val="20"/>
                <w:szCs w:val="20"/>
              </w:rPr>
            </w:pPr>
            <w:r w:rsidRPr="00BD4B6E">
              <w:rPr>
                <w:sz w:val="20"/>
                <w:szCs w:val="20"/>
              </w:rPr>
              <w:t>Ibrahim Yumnu</w:t>
            </w:r>
          </w:p>
          <w:p w:rsidR="00DC6F21" w:rsidRPr="00BD4B6E" w:rsidRDefault="00DC6F21" w:rsidP="003F4F9C">
            <w:pPr>
              <w:rPr>
                <w:sz w:val="20"/>
                <w:szCs w:val="20"/>
              </w:rPr>
            </w:pPr>
          </w:p>
          <w:p w:rsidR="00DC6F21" w:rsidRPr="00BD4B6E" w:rsidRDefault="00DC6F21" w:rsidP="003F4F9C">
            <w:pPr>
              <w:rPr>
                <w:sz w:val="20"/>
                <w:szCs w:val="20"/>
              </w:rPr>
            </w:pPr>
            <w:r w:rsidRPr="00BD4B6E">
              <w:rPr>
                <w:sz w:val="20"/>
                <w:szCs w:val="20"/>
              </w:rPr>
              <w:tab/>
              <w:t>v. (34090)</w:t>
            </w:r>
          </w:p>
          <w:p w:rsidR="00DC6F21" w:rsidRPr="00BD4B6E" w:rsidRDefault="00DC6F21" w:rsidP="003F4F9C">
            <w:pPr>
              <w:rPr>
                <w:sz w:val="20"/>
                <w:szCs w:val="20"/>
              </w:rPr>
            </w:pPr>
          </w:p>
          <w:p w:rsidR="00DC6F21" w:rsidRPr="00BD4B6E" w:rsidRDefault="00DC6F21" w:rsidP="003F4F9C">
            <w:pPr>
              <w:jc w:val="both"/>
              <w:rPr>
                <w:sz w:val="20"/>
                <w:szCs w:val="20"/>
              </w:rPr>
            </w:pPr>
            <w:r w:rsidRPr="00BD4B6E">
              <w:rPr>
                <w:sz w:val="20"/>
                <w:szCs w:val="20"/>
              </w:rPr>
              <w:t>Her Majesty the Queen (Crim.) (Ont.)</w:t>
            </w: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jc w:val="both"/>
              <w:rPr>
                <w:sz w:val="20"/>
                <w:szCs w:val="20"/>
              </w:rPr>
            </w:pP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jc w:val="both"/>
              <w:rPr>
                <w:sz w:val="20"/>
                <w:szCs w:val="20"/>
              </w:rPr>
            </w:pPr>
            <w:r w:rsidRPr="00BD4B6E">
              <w:rPr>
                <w:sz w:val="20"/>
                <w:szCs w:val="20"/>
              </w:rPr>
              <w:t>- and between -</w:t>
            </w: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jc w:val="both"/>
              <w:rPr>
                <w:sz w:val="20"/>
                <w:szCs w:val="20"/>
              </w:rPr>
            </w:pP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rPr>
                <w:sz w:val="20"/>
                <w:szCs w:val="20"/>
              </w:rPr>
            </w:pPr>
            <w:r w:rsidRPr="00BD4B6E">
              <w:rPr>
                <w:sz w:val="20"/>
                <w:szCs w:val="20"/>
              </w:rPr>
              <w:t>Vinicio Cardoso</w:t>
            </w:r>
          </w:p>
          <w:p w:rsidR="00DC6F21" w:rsidRPr="00BD4B6E" w:rsidRDefault="00DC6F21" w:rsidP="003F4F9C">
            <w:pPr>
              <w:rPr>
                <w:sz w:val="20"/>
                <w:szCs w:val="20"/>
              </w:rPr>
            </w:pPr>
          </w:p>
          <w:p w:rsidR="00DC6F21" w:rsidRPr="00BD4B6E" w:rsidRDefault="00DC6F21" w:rsidP="003F4F9C">
            <w:pPr>
              <w:rPr>
                <w:sz w:val="20"/>
                <w:szCs w:val="20"/>
              </w:rPr>
            </w:pPr>
            <w:r w:rsidRPr="00BD4B6E">
              <w:rPr>
                <w:sz w:val="20"/>
                <w:szCs w:val="20"/>
              </w:rPr>
              <w:tab/>
              <w:t>v. (34091)</w:t>
            </w:r>
          </w:p>
          <w:p w:rsidR="00DC6F21" w:rsidRPr="00BD4B6E" w:rsidRDefault="00DC6F21" w:rsidP="003F4F9C">
            <w:pPr>
              <w:rPr>
                <w:sz w:val="20"/>
                <w:szCs w:val="20"/>
              </w:rPr>
            </w:pPr>
          </w:p>
          <w:p w:rsidR="00DC6F21" w:rsidRPr="00BD4B6E" w:rsidRDefault="00DC6F21" w:rsidP="003F4F9C">
            <w:pPr>
              <w:rPr>
                <w:sz w:val="20"/>
                <w:szCs w:val="20"/>
                <w:lang w:val="fr-CA"/>
              </w:rPr>
            </w:pPr>
            <w:r w:rsidRPr="00BD4B6E">
              <w:rPr>
                <w:sz w:val="20"/>
                <w:szCs w:val="20"/>
              </w:rPr>
              <w:t>Her Majesty the Queen (Crim.) (Ont.)</w:t>
            </w:r>
          </w:p>
        </w:tc>
        <w:tc>
          <w:tcPr>
            <w:tcW w:w="1170" w:type="dxa"/>
          </w:tcPr>
          <w:p w:rsidR="00DC6F21" w:rsidRPr="00BD4B6E" w:rsidRDefault="00DC6F21" w:rsidP="003F4F9C">
            <w:pPr>
              <w:rPr>
                <w:sz w:val="20"/>
                <w:szCs w:val="20"/>
                <w:lang w:val="fr-CA"/>
              </w:rPr>
            </w:pPr>
          </w:p>
        </w:tc>
        <w:tc>
          <w:tcPr>
            <w:tcW w:w="4327" w:type="dxa"/>
          </w:tcPr>
          <w:p w:rsidR="00DC6F21" w:rsidRPr="00BD4B6E" w:rsidRDefault="00DC6F21" w:rsidP="003F4F9C">
            <w:pPr>
              <w:rPr>
                <w:sz w:val="20"/>
                <w:szCs w:val="20"/>
                <w:lang w:val="fr-CA"/>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rPr>
                <w:sz w:val="20"/>
                <w:szCs w:val="20"/>
              </w:rPr>
            </w:pPr>
          </w:p>
        </w:tc>
        <w:tc>
          <w:tcPr>
            <w:tcW w:w="1170" w:type="dxa"/>
          </w:tcPr>
          <w:p w:rsidR="00DC6F21" w:rsidRPr="00BD4B6E" w:rsidRDefault="00DC6F21" w:rsidP="003F4F9C">
            <w:pPr>
              <w:rPr>
                <w:sz w:val="20"/>
                <w:szCs w:val="20"/>
                <w:lang w:val="fr-CA"/>
              </w:rPr>
            </w:pPr>
          </w:p>
        </w:tc>
        <w:tc>
          <w:tcPr>
            <w:tcW w:w="4327" w:type="dxa"/>
          </w:tcPr>
          <w:p w:rsidR="00DC6F21" w:rsidRPr="00BD4B6E" w:rsidRDefault="00DC6F21" w:rsidP="003F4F9C">
            <w:pPr>
              <w:rPr>
                <w:sz w:val="20"/>
                <w:szCs w:val="20"/>
                <w:lang w:val="fr-CA"/>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jc w:val="both"/>
              <w:rPr>
                <w:sz w:val="20"/>
                <w:szCs w:val="20"/>
              </w:rPr>
            </w:pPr>
            <w:r w:rsidRPr="00BD4B6E">
              <w:rPr>
                <w:sz w:val="20"/>
                <w:szCs w:val="20"/>
              </w:rPr>
              <w:t>- and between -</w:t>
            </w:r>
          </w:p>
        </w:tc>
        <w:tc>
          <w:tcPr>
            <w:tcW w:w="1170" w:type="dxa"/>
          </w:tcPr>
          <w:p w:rsidR="00DC6F21" w:rsidRPr="00BD4B6E" w:rsidRDefault="00DC6F21" w:rsidP="003F4F9C">
            <w:pPr>
              <w:rPr>
                <w:sz w:val="20"/>
                <w:szCs w:val="20"/>
                <w:lang w:val="fr-CA"/>
              </w:rPr>
            </w:pPr>
          </w:p>
        </w:tc>
        <w:tc>
          <w:tcPr>
            <w:tcW w:w="4327" w:type="dxa"/>
          </w:tcPr>
          <w:p w:rsidR="00DC6F21" w:rsidRPr="00BD4B6E" w:rsidRDefault="00DC6F21" w:rsidP="003F4F9C">
            <w:pPr>
              <w:rPr>
                <w:sz w:val="20"/>
                <w:szCs w:val="20"/>
                <w:lang w:val="fr-CA"/>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jc w:val="both"/>
              <w:rPr>
                <w:sz w:val="20"/>
                <w:szCs w:val="20"/>
              </w:rPr>
            </w:pPr>
          </w:p>
        </w:tc>
        <w:tc>
          <w:tcPr>
            <w:tcW w:w="1170" w:type="dxa"/>
          </w:tcPr>
          <w:p w:rsidR="00DC6F21" w:rsidRPr="00BD4B6E" w:rsidRDefault="00DC6F21" w:rsidP="003F4F9C">
            <w:pPr>
              <w:rPr>
                <w:sz w:val="20"/>
                <w:szCs w:val="20"/>
                <w:lang w:val="fr-CA"/>
              </w:rPr>
            </w:pPr>
          </w:p>
        </w:tc>
        <w:tc>
          <w:tcPr>
            <w:tcW w:w="4327" w:type="dxa"/>
          </w:tcPr>
          <w:p w:rsidR="00DC6F21" w:rsidRPr="00BD4B6E" w:rsidRDefault="00DC6F21" w:rsidP="003F4F9C">
            <w:pPr>
              <w:rPr>
                <w:sz w:val="20"/>
                <w:szCs w:val="20"/>
                <w:lang w:val="fr-CA"/>
              </w:rPr>
            </w:pPr>
          </w:p>
        </w:tc>
      </w:tr>
      <w:tr w:rsidR="00DC6F21" w:rsidRPr="00BD4B6E" w:rsidTr="003F4F9C">
        <w:tc>
          <w:tcPr>
            <w:tcW w:w="1368" w:type="dxa"/>
          </w:tcPr>
          <w:p w:rsidR="00DC6F21" w:rsidRPr="00BD4B6E" w:rsidRDefault="00DC6F21" w:rsidP="003F4F9C">
            <w:pPr>
              <w:rPr>
                <w:sz w:val="20"/>
                <w:szCs w:val="20"/>
                <w:lang w:val="fr-CA"/>
              </w:rPr>
            </w:pPr>
          </w:p>
        </w:tc>
        <w:tc>
          <w:tcPr>
            <w:tcW w:w="2970" w:type="dxa"/>
          </w:tcPr>
          <w:p w:rsidR="00DC6F21" w:rsidRPr="00BD4B6E" w:rsidRDefault="00DC6F21" w:rsidP="003F4F9C">
            <w:pPr>
              <w:rPr>
                <w:sz w:val="20"/>
                <w:szCs w:val="20"/>
              </w:rPr>
            </w:pPr>
            <w:r w:rsidRPr="00BD4B6E">
              <w:rPr>
                <w:sz w:val="20"/>
                <w:szCs w:val="20"/>
              </w:rPr>
              <w:t>Troy Gilbert Davey</w:t>
            </w:r>
          </w:p>
          <w:p w:rsidR="00DC6F21" w:rsidRPr="00BD4B6E" w:rsidRDefault="00DC6F21" w:rsidP="003F4F9C">
            <w:pPr>
              <w:rPr>
                <w:sz w:val="20"/>
                <w:szCs w:val="20"/>
              </w:rPr>
            </w:pPr>
          </w:p>
          <w:p w:rsidR="00DC6F21" w:rsidRPr="00BD4B6E" w:rsidRDefault="00DC6F21" w:rsidP="003F4F9C">
            <w:pPr>
              <w:rPr>
                <w:sz w:val="20"/>
                <w:szCs w:val="20"/>
              </w:rPr>
            </w:pPr>
            <w:r w:rsidRPr="00BD4B6E">
              <w:rPr>
                <w:sz w:val="20"/>
                <w:szCs w:val="20"/>
              </w:rPr>
              <w:tab/>
              <w:t>v. (34179)</w:t>
            </w:r>
          </w:p>
          <w:p w:rsidR="00DC6F21" w:rsidRPr="00BD4B6E" w:rsidRDefault="00DC6F21" w:rsidP="003F4F9C">
            <w:pPr>
              <w:rPr>
                <w:sz w:val="20"/>
                <w:szCs w:val="20"/>
              </w:rPr>
            </w:pPr>
          </w:p>
          <w:p w:rsidR="00DC6F21" w:rsidRPr="00BD4B6E" w:rsidRDefault="00DC6F21" w:rsidP="003F4F9C">
            <w:pPr>
              <w:jc w:val="both"/>
              <w:rPr>
                <w:sz w:val="20"/>
                <w:szCs w:val="20"/>
              </w:rPr>
            </w:pPr>
            <w:r w:rsidRPr="00BD4B6E">
              <w:rPr>
                <w:sz w:val="20"/>
                <w:szCs w:val="20"/>
              </w:rPr>
              <w:t>Her Majesty the Queen (Crim.) (Ont.)</w:t>
            </w: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lang w:val="fr-CA"/>
              </w:rPr>
            </w:pPr>
          </w:p>
        </w:tc>
        <w:tc>
          <w:tcPr>
            <w:tcW w:w="2970" w:type="dxa"/>
          </w:tcPr>
          <w:p w:rsidR="00DC6F21" w:rsidRPr="00BD4B6E" w:rsidRDefault="00DC6F21" w:rsidP="003F4F9C">
            <w:pPr>
              <w:rPr>
                <w:sz w:val="20"/>
                <w:szCs w:val="20"/>
              </w:rPr>
            </w:pP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lang w:val="fr-CA"/>
              </w:rPr>
            </w:pPr>
          </w:p>
        </w:tc>
        <w:tc>
          <w:tcPr>
            <w:tcW w:w="2970" w:type="dxa"/>
          </w:tcPr>
          <w:p w:rsidR="00DC6F21" w:rsidRPr="00BD4B6E" w:rsidRDefault="00DC6F21" w:rsidP="003F4F9C">
            <w:pPr>
              <w:jc w:val="both"/>
              <w:rPr>
                <w:sz w:val="20"/>
                <w:szCs w:val="20"/>
              </w:rPr>
            </w:pPr>
            <w:r w:rsidRPr="00BD4B6E">
              <w:rPr>
                <w:sz w:val="20"/>
                <w:szCs w:val="20"/>
              </w:rPr>
              <w:t>- and between -</w:t>
            </w: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lang w:val="fr-CA"/>
              </w:rPr>
            </w:pPr>
          </w:p>
        </w:tc>
        <w:tc>
          <w:tcPr>
            <w:tcW w:w="2970" w:type="dxa"/>
          </w:tcPr>
          <w:p w:rsidR="00DC6F21" w:rsidRPr="00BD4B6E" w:rsidRDefault="00DC6F21" w:rsidP="003F4F9C">
            <w:pPr>
              <w:rPr>
                <w:sz w:val="20"/>
                <w:szCs w:val="20"/>
              </w:rPr>
            </w:pP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rPr>
                <w:sz w:val="20"/>
                <w:szCs w:val="20"/>
              </w:rPr>
            </w:pPr>
            <w:r w:rsidRPr="00BD4B6E">
              <w:rPr>
                <w:sz w:val="20"/>
                <w:szCs w:val="20"/>
              </w:rPr>
              <w:t>Tung Chi Duong</w:t>
            </w:r>
          </w:p>
          <w:p w:rsidR="00DC6F21" w:rsidRPr="00BD4B6E" w:rsidRDefault="00DC6F21" w:rsidP="003F4F9C">
            <w:pPr>
              <w:rPr>
                <w:sz w:val="20"/>
                <w:szCs w:val="20"/>
              </w:rPr>
            </w:pPr>
          </w:p>
          <w:p w:rsidR="00DC6F21" w:rsidRPr="00BD4B6E" w:rsidRDefault="00DC6F21" w:rsidP="003F4F9C">
            <w:pPr>
              <w:rPr>
                <w:sz w:val="20"/>
                <w:szCs w:val="20"/>
              </w:rPr>
            </w:pPr>
            <w:r w:rsidRPr="00BD4B6E">
              <w:rPr>
                <w:sz w:val="20"/>
                <w:szCs w:val="20"/>
              </w:rPr>
              <w:tab/>
              <w:t>v. (34340)</w:t>
            </w:r>
          </w:p>
          <w:p w:rsidR="00DC6F21" w:rsidRPr="00BD4B6E" w:rsidRDefault="00DC6F21" w:rsidP="003F4F9C">
            <w:pPr>
              <w:rPr>
                <w:sz w:val="20"/>
                <w:szCs w:val="20"/>
              </w:rPr>
            </w:pPr>
          </w:p>
          <w:p w:rsidR="00DC6F21" w:rsidRPr="00BD4B6E" w:rsidRDefault="00DC6F21" w:rsidP="003F4F9C">
            <w:pPr>
              <w:jc w:val="both"/>
              <w:rPr>
                <w:sz w:val="20"/>
                <w:szCs w:val="20"/>
              </w:rPr>
            </w:pPr>
            <w:r w:rsidRPr="00BD4B6E">
              <w:rPr>
                <w:sz w:val="20"/>
                <w:szCs w:val="20"/>
              </w:rPr>
              <w:t>Her Majesty the Queen (Crim.) (Ont.)</w:t>
            </w: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bl>
    <w:p w:rsidR="00DC6F21" w:rsidRPr="00BD4B6E" w:rsidRDefault="00DC6F21" w:rsidP="00DC6F21">
      <w:pPr>
        <w:jc w:val="both"/>
        <w:rPr>
          <w:sz w:val="20"/>
          <w:szCs w:val="20"/>
        </w:rPr>
      </w:pPr>
    </w:p>
    <w:p w:rsidR="00DC6F21" w:rsidRPr="00BD4B6E" w:rsidRDefault="00DC6F21" w:rsidP="00DC6F21">
      <w:pPr>
        <w:spacing w:line="230" w:lineRule="auto"/>
        <w:jc w:val="both"/>
        <w:rPr>
          <w:sz w:val="20"/>
          <w:szCs w:val="20"/>
        </w:rPr>
      </w:pPr>
      <w:r w:rsidRPr="00BD4B6E">
        <w:rPr>
          <w:b/>
          <w:bCs/>
          <w:sz w:val="20"/>
          <w:szCs w:val="20"/>
        </w:rPr>
        <w:t>FURTHER TO THE ORDERS</w:t>
      </w:r>
      <w:r w:rsidRPr="00BD4B6E">
        <w:rPr>
          <w:sz w:val="20"/>
          <w:szCs w:val="20"/>
        </w:rPr>
        <w:t xml:space="preserve"> dated February 3, 10 and 17, 2012, granting leave to intervene to</w:t>
      </w:r>
      <w:r w:rsidRPr="00BD4B6E">
        <w:rPr>
          <w:b/>
          <w:bCs/>
          <w:sz w:val="20"/>
          <w:szCs w:val="20"/>
        </w:rPr>
        <w:t xml:space="preserve"> </w:t>
      </w:r>
      <w:r w:rsidRPr="00BD4B6E">
        <w:rPr>
          <w:sz w:val="20"/>
          <w:szCs w:val="20"/>
        </w:rPr>
        <w:t>the Information and Privacy Commissioner of Ontario, the Ontario Crown Attorney’s Association, the Canadian Civil Liberties Association, the David Asper Centre for Constitutional Rights, the British Columbia Civil Liberties Association, the Criminal Lawyers' Association and the Attorney General of Alberta;</w:t>
      </w:r>
    </w:p>
    <w:p w:rsidR="00DC6F21" w:rsidRPr="00BD4B6E" w:rsidRDefault="00DC6F21" w:rsidP="00DC6F21">
      <w:pPr>
        <w:spacing w:line="230" w:lineRule="auto"/>
        <w:jc w:val="both"/>
        <w:rPr>
          <w:sz w:val="20"/>
          <w:szCs w:val="20"/>
        </w:rPr>
      </w:pPr>
    </w:p>
    <w:p w:rsidR="00DC6F21" w:rsidRPr="00BD4B6E" w:rsidRDefault="00DC6F21" w:rsidP="00DC6F21">
      <w:pPr>
        <w:spacing w:line="230" w:lineRule="auto"/>
        <w:jc w:val="both"/>
        <w:rPr>
          <w:sz w:val="20"/>
          <w:szCs w:val="20"/>
        </w:rPr>
      </w:pPr>
      <w:r w:rsidRPr="00BD4B6E">
        <w:rPr>
          <w:b/>
          <w:bCs/>
          <w:sz w:val="20"/>
          <w:szCs w:val="20"/>
        </w:rPr>
        <w:t xml:space="preserve">IT IS HEREBY FURTHER ORDERED THAT </w:t>
      </w:r>
      <w:r w:rsidRPr="00BD4B6E">
        <w:rPr>
          <w:sz w:val="20"/>
          <w:szCs w:val="20"/>
        </w:rPr>
        <w:t>the said interveners are each granted permission to present oral argument not exceeding ten (10) minutes at the hearing of these appeals.</w:t>
      </w:r>
    </w:p>
    <w:p w:rsidR="00DC6F21" w:rsidRPr="00BD4B6E" w:rsidRDefault="00DC6F21" w:rsidP="00DC6F21">
      <w:pPr>
        <w:spacing w:line="230" w:lineRule="auto"/>
        <w:jc w:val="both"/>
        <w:rPr>
          <w:sz w:val="20"/>
          <w:szCs w:val="20"/>
        </w:rPr>
      </w:pPr>
    </w:p>
    <w:p w:rsidR="00DC6F21" w:rsidRPr="00BD4B6E" w:rsidRDefault="00DC6F21" w:rsidP="00DC6F21">
      <w:pPr>
        <w:spacing w:line="230" w:lineRule="auto"/>
        <w:jc w:val="both"/>
        <w:rPr>
          <w:sz w:val="20"/>
          <w:szCs w:val="20"/>
        </w:rPr>
      </w:pPr>
    </w:p>
    <w:p w:rsidR="00DC6F21" w:rsidRPr="00BD4B6E" w:rsidRDefault="00DC6F21" w:rsidP="00DC6F21">
      <w:pPr>
        <w:spacing w:line="233" w:lineRule="auto"/>
        <w:jc w:val="both"/>
        <w:rPr>
          <w:sz w:val="20"/>
          <w:szCs w:val="20"/>
        </w:rPr>
      </w:pPr>
    </w:p>
    <w:p w:rsidR="00DC6F21" w:rsidRPr="00BD4B6E" w:rsidRDefault="00DC6F21" w:rsidP="00DC6F21">
      <w:pPr>
        <w:spacing w:line="233" w:lineRule="auto"/>
        <w:jc w:val="both"/>
        <w:rPr>
          <w:sz w:val="20"/>
          <w:szCs w:val="20"/>
          <w:lang w:val="fr-FR"/>
        </w:rPr>
      </w:pPr>
      <w:r w:rsidRPr="00BD4B6E">
        <w:rPr>
          <w:b/>
          <w:sz w:val="20"/>
          <w:szCs w:val="20"/>
          <w:lang w:val="fr-FR"/>
        </w:rPr>
        <w:t>À LA SUITE DES ORDONNANCES</w:t>
      </w:r>
      <w:r w:rsidRPr="00BD4B6E">
        <w:rPr>
          <w:sz w:val="20"/>
          <w:szCs w:val="20"/>
          <w:lang w:val="fr-FR"/>
        </w:rPr>
        <w:t xml:space="preserve"> datées des 3, 10 et 17 février 2012 qui ont accordé l’autorisation d’intervenir au Bureau du commissaire à l'information et à la protection de la vie privée de l'Ontario, à l’Ontario Crown Attorney’s Association, à l’Association canadienne des libertés civiles, au David Asper Centre for Constitutional Rights, à l’Association des libertés civiles de la Colombie-Britannique, à la Criminal Lawyers' Association et au procureur général de l’Alberta ;</w:t>
      </w:r>
    </w:p>
    <w:p w:rsidR="00DC6F21" w:rsidRPr="00BD4B6E" w:rsidRDefault="00DC6F21" w:rsidP="00DC6F21">
      <w:pPr>
        <w:spacing w:line="233" w:lineRule="auto"/>
        <w:jc w:val="both"/>
        <w:rPr>
          <w:sz w:val="20"/>
          <w:szCs w:val="20"/>
          <w:lang w:val="fr-FR"/>
        </w:rPr>
      </w:pPr>
    </w:p>
    <w:p w:rsidR="00DC6F21" w:rsidRPr="00BD4B6E" w:rsidRDefault="00DC6F21" w:rsidP="00DC6F21">
      <w:pPr>
        <w:spacing w:line="233" w:lineRule="auto"/>
        <w:jc w:val="both"/>
        <w:rPr>
          <w:sz w:val="20"/>
          <w:szCs w:val="20"/>
          <w:lang w:val="fr-FR"/>
        </w:rPr>
      </w:pPr>
      <w:r w:rsidRPr="00BD4B6E">
        <w:rPr>
          <w:b/>
          <w:sz w:val="20"/>
          <w:szCs w:val="20"/>
          <w:lang w:val="fr-FR"/>
        </w:rPr>
        <w:t>IL EST EN OUTRE ORDONNÉ QUE</w:t>
      </w:r>
      <w:r w:rsidRPr="00BD4B6E">
        <w:rPr>
          <w:sz w:val="20"/>
          <w:szCs w:val="20"/>
          <w:lang w:val="fr-FR"/>
        </w:rPr>
        <w:t xml:space="preserve"> chacun de ces intervenants pourra présenter une plaidoirie orale d'au plus dix (10) minutes lors de l'audition des appels visés par la présente.</w:t>
      </w:r>
    </w:p>
    <w:p w:rsidR="00DC6F21" w:rsidRPr="00BD4B6E" w:rsidRDefault="00DC6F21" w:rsidP="00DC6F21">
      <w:pPr>
        <w:tabs>
          <w:tab w:val="left" w:pos="-1440"/>
          <w:tab w:val="left" w:pos="-720"/>
        </w:tabs>
        <w:jc w:val="both"/>
        <w:rPr>
          <w:sz w:val="20"/>
          <w:szCs w:val="20"/>
          <w:lang w:val="fr-FR"/>
        </w:rPr>
      </w:pPr>
    </w:p>
    <w:p w:rsidR="00DC6F21" w:rsidRPr="00BD4B6E" w:rsidRDefault="009019DC" w:rsidP="00DC6F21">
      <w:pPr>
        <w:tabs>
          <w:tab w:val="left" w:pos="-1440"/>
          <w:tab w:val="left" w:pos="-720"/>
        </w:tabs>
        <w:jc w:val="both"/>
        <w:rPr>
          <w:sz w:val="20"/>
          <w:szCs w:val="20"/>
          <w:lang w:val="fr-CA"/>
        </w:rPr>
      </w:pPr>
      <w:r w:rsidRPr="009019DC">
        <w:rPr>
          <w:sz w:val="20"/>
          <w:szCs w:val="20"/>
          <w:lang w:val="fr-CA"/>
        </w:rPr>
        <w:pict>
          <v:rect id="_x0000_i1049" style="width:2in;height:1pt" o:hrpct="0" o:hralign="center" o:hrstd="t" o:hrnoshade="t" o:hr="t" fillcolor="black [3213]" stroked="f"/>
        </w:pict>
      </w:r>
    </w:p>
    <w:p w:rsidR="00DC6F21" w:rsidRPr="00BD4B6E" w:rsidRDefault="00DC6F21" w:rsidP="00DC6F21">
      <w:pPr>
        <w:tabs>
          <w:tab w:val="left" w:pos="-1440"/>
          <w:tab w:val="left" w:pos="-720"/>
        </w:tabs>
        <w:jc w:val="both"/>
        <w:rPr>
          <w:sz w:val="20"/>
          <w:szCs w:val="20"/>
          <w:lang w:val="fr-CA"/>
        </w:rPr>
      </w:pPr>
    </w:p>
    <w:p w:rsidR="00DC6F21" w:rsidRPr="00BD4B6E" w:rsidRDefault="00DC6F21" w:rsidP="00DC6F21">
      <w:pPr>
        <w:tabs>
          <w:tab w:val="left" w:pos="-1440"/>
          <w:tab w:val="left" w:pos="-720"/>
        </w:tabs>
        <w:jc w:val="both"/>
        <w:rPr>
          <w:sz w:val="20"/>
          <w:szCs w:val="20"/>
          <w:lang w:val="fr-CA"/>
        </w:rPr>
      </w:pPr>
      <w:r w:rsidRPr="00BD4B6E">
        <w:rPr>
          <w:sz w:val="20"/>
          <w:szCs w:val="20"/>
          <w:lang w:val="fr-CA"/>
        </w:rPr>
        <w:t>06.03.2012</w:t>
      </w:r>
    </w:p>
    <w:p w:rsidR="00DC6F21" w:rsidRPr="00BD4B6E" w:rsidRDefault="00DC6F21" w:rsidP="00DC6F21">
      <w:pPr>
        <w:tabs>
          <w:tab w:val="left" w:pos="-1440"/>
          <w:tab w:val="left" w:pos="-720"/>
        </w:tabs>
        <w:jc w:val="both"/>
        <w:rPr>
          <w:sz w:val="20"/>
          <w:szCs w:val="20"/>
          <w:lang w:val="fr-CA"/>
        </w:rPr>
      </w:pPr>
    </w:p>
    <w:p w:rsidR="00DC6F21" w:rsidRPr="00BD4B6E" w:rsidRDefault="00DC6F21" w:rsidP="00DC6F21">
      <w:pPr>
        <w:tabs>
          <w:tab w:val="left" w:pos="-1440"/>
          <w:tab w:val="left" w:pos="-720"/>
        </w:tabs>
        <w:jc w:val="both"/>
        <w:rPr>
          <w:sz w:val="20"/>
          <w:szCs w:val="20"/>
          <w:lang w:val="fr-CA"/>
        </w:rPr>
      </w:pPr>
      <w:r w:rsidRPr="00BD4B6E">
        <w:rPr>
          <w:sz w:val="20"/>
          <w:szCs w:val="20"/>
          <w:lang w:val="fr-CA"/>
        </w:rPr>
        <w:t>Before / Devant :   CROMWELL J. / LE JUGE CROMWELL</w:t>
      </w:r>
    </w:p>
    <w:p w:rsidR="00DC6F21" w:rsidRPr="00BD4B6E" w:rsidRDefault="00DC6F21" w:rsidP="00DC6F2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DC6F21" w:rsidRPr="00F8135D" w:rsidTr="003F4F9C">
        <w:tc>
          <w:tcPr>
            <w:tcW w:w="4338" w:type="dxa"/>
            <w:gridSpan w:val="2"/>
          </w:tcPr>
          <w:p w:rsidR="00DC6F21" w:rsidRPr="00BD4B6E" w:rsidRDefault="00DC6F21" w:rsidP="003F4F9C">
            <w:pPr>
              <w:jc w:val="both"/>
              <w:rPr>
                <w:b/>
                <w:sz w:val="20"/>
                <w:szCs w:val="20"/>
              </w:rPr>
            </w:pPr>
            <w:r w:rsidRPr="00BD4B6E">
              <w:rPr>
                <w:b/>
                <w:sz w:val="20"/>
                <w:szCs w:val="20"/>
              </w:rPr>
              <w:t xml:space="preserve">Motion to extend the time and order on interventions with respect to oral argument </w:t>
            </w:r>
            <w:r w:rsidR="009019DC" w:rsidRPr="00BD4B6E">
              <w:rPr>
                <w:b/>
                <w:sz w:val="20"/>
                <w:szCs w:val="20"/>
              </w:rPr>
              <w:fldChar w:fldCharType="begin"/>
            </w:r>
            <w:r w:rsidRPr="00BD4B6E">
              <w:rPr>
                <w:b/>
                <w:sz w:val="20"/>
                <w:szCs w:val="20"/>
              </w:rPr>
              <w:instrText xml:space="preserve"> SEQ CHAPTER \h \r 1</w:instrText>
            </w:r>
            <w:r w:rsidR="009019DC" w:rsidRPr="00BD4B6E">
              <w:rPr>
                <w:b/>
                <w:sz w:val="20"/>
                <w:szCs w:val="20"/>
              </w:rPr>
              <w:fldChar w:fldCharType="end"/>
            </w:r>
          </w:p>
        </w:tc>
        <w:tc>
          <w:tcPr>
            <w:tcW w:w="1170" w:type="dxa"/>
          </w:tcPr>
          <w:p w:rsidR="00DC6F21" w:rsidRPr="00BD4B6E" w:rsidRDefault="00DC6F21" w:rsidP="003F4F9C">
            <w:pPr>
              <w:rPr>
                <w:sz w:val="20"/>
                <w:szCs w:val="20"/>
              </w:rPr>
            </w:pPr>
          </w:p>
          <w:p w:rsidR="00DC6F21" w:rsidRPr="00BD4B6E" w:rsidRDefault="00DC6F21" w:rsidP="003F4F9C">
            <w:pPr>
              <w:rPr>
                <w:sz w:val="20"/>
                <w:szCs w:val="20"/>
              </w:rPr>
            </w:pPr>
          </w:p>
          <w:p w:rsidR="00DC6F21" w:rsidRPr="00BD4B6E" w:rsidRDefault="00DC6F21" w:rsidP="003F4F9C">
            <w:pPr>
              <w:rPr>
                <w:sz w:val="20"/>
                <w:szCs w:val="20"/>
              </w:rPr>
            </w:pPr>
          </w:p>
          <w:p w:rsidR="00DC6F21" w:rsidRPr="00BD4B6E" w:rsidRDefault="00DC6F21" w:rsidP="003F4F9C">
            <w:pPr>
              <w:rPr>
                <w:sz w:val="20"/>
                <w:szCs w:val="20"/>
              </w:rPr>
            </w:pPr>
          </w:p>
        </w:tc>
        <w:tc>
          <w:tcPr>
            <w:tcW w:w="4327" w:type="dxa"/>
          </w:tcPr>
          <w:p w:rsidR="00DC6F21" w:rsidRPr="00BD4B6E" w:rsidRDefault="00DC6F21" w:rsidP="003F4F9C">
            <w:pPr>
              <w:jc w:val="both"/>
              <w:rPr>
                <w:b/>
                <w:sz w:val="20"/>
                <w:szCs w:val="20"/>
                <w:lang w:val="fr-CA"/>
              </w:rPr>
            </w:pPr>
            <w:r w:rsidRPr="00BD4B6E">
              <w:rPr>
                <w:b/>
                <w:bCs/>
                <w:sz w:val="20"/>
                <w:szCs w:val="20"/>
                <w:lang w:val="fr-CA"/>
              </w:rPr>
              <w:t>Requête en prorogation de délai et o</w:t>
            </w:r>
            <w:r w:rsidRPr="00BD4B6E">
              <w:rPr>
                <w:b/>
                <w:sz w:val="20"/>
                <w:szCs w:val="20"/>
                <w:lang w:val="fr-CA"/>
              </w:rPr>
              <w:t>rdonnance relative à la présentation d’une plaidoirie orale par les intervenants</w:t>
            </w:r>
            <w:r w:rsidR="009019DC" w:rsidRPr="00BD4B6E">
              <w:rPr>
                <w:b/>
                <w:sz w:val="20"/>
                <w:szCs w:val="20"/>
              </w:rPr>
              <w:fldChar w:fldCharType="begin"/>
            </w:r>
            <w:r w:rsidRPr="00BD4B6E">
              <w:rPr>
                <w:b/>
                <w:sz w:val="20"/>
                <w:szCs w:val="20"/>
                <w:lang w:val="fr-CA"/>
              </w:rPr>
              <w:instrText xml:space="preserve"> SEQ CHAPTER \h \r 1</w:instrText>
            </w:r>
            <w:r w:rsidR="009019DC" w:rsidRPr="00BD4B6E">
              <w:rPr>
                <w:b/>
                <w:sz w:val="20"/>
                <w:szCs w:val="20"/>
              </w:rPr>
              <w:fldChar w:fldCharType="end"/>
            </w:r>
          </w:p>
        </w:tc>
      </w:tr>
      <w:tr w:rsidR="00DC6F21" w:rsidRPr="00BD4B6E" w:rsidTr="003F4F9C">
        <w:tc>
          <w:tcPr>
            <w:tcW w:w="1368" w:type="dxa"/>
          </w:tcPr>
          <w:p w:rsidR="00DC6F21" w:rsidRPr="00BD4B6E" w:rsidRDefault="00DC6F21" w:rsidP="003F4F9C">
            <w:pPr>
              <w:rPr>
                <w:sz w:val="20"/>
                <w:szCs w:val="20"/>
              </w:rPr>
            </w:pPr>
            <w:r w:rsidRPr="00BD4B6E">
              <w:rPr>
                <w:sz w:val="20"/>
                <w:szCs w:val="20"/>
              </w:rPr>
              <w:t>RE:</w:t>
            </w:r>
          </w:p>
        </w:tc>
        <w:tc>
          <w:tcPr>
            <w:tcW w:w="2970" w:type="dxa"/>
          </w:tcPr>
          <w:p w:rsidR="00DC6F21" w:rsidRPr="00BD4B6E" w:rsidRDefault="00DC6F21" w:rsidP="003F4F9C">
            <w:pPr>
              <w:rPr>
                <w:sz w:val="20"/>
                <w:szCs w:val="20"/>
              </w:rPr>
            </w:pPr>
            <w:r w:rsidRPr="00BD4B6E">
              <w:rPr>
                <w:sz w:val="20"/>
                <w:szCs w:val="20"/>
              </w:rPr>
              <w:t>Criminal Lawyers’ Association (Ontario);</w:t>
            </w: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rPr>
                <w:sz w:val="20"/>
                <w:szCs w:val="20"/>
              </w:rPr>
            </w:pPr>
            <w:r w:rsidRPr="00BD4B6E">
              <w:rPr>
                <w:sz w:val="20"/>
                <w:szCs w:val="20"/>
              </w:rPr>
              <w:t>Advocates’ Society;</w:t>
            </w: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rPr>
                <w:sz w:val="20"/>
                <w:szCs w:val="20"/>
              </w:rPr>
            </w:pPr>
            <w:r w:rsidRPr="00BD4B6E">
              <w:rPr>
                <w:sz w:val="20"/>
                <w:szCs w:val="20"/>
              </w:rPr>
              <w:t>Attorney General of Quebec</w:t>
            </w: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rPr>
                <w:sz w:val="20"/>
                <w:szCs w:val="20"/>
              </w:rPr>
            </w:pP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r w:rsidRPr="00BD4B6E">
              <w:rPr>
                <w:sz w:val="20"/>
                <w:szCs w:val="20"/>
              </w:rPr>
              <w:t>IN / DANS :</w:t>
            </w:r>
          </w:p>
        </w:tc>
        <w:tc>
          <w:tcPr>
            <w:tcW w:w="2970" w:type="dxa"/>
          </w:tcPr>
          <w:p w:rsidR="00DC6F21" w:rsidRPr="00BD4B6E" w:rsidRDefault="00DC6F21" w:rsidP="003F4F9C">
            <w:pPr>
              <w:rPr>
                <w:sz w:val="20"/>
                <w:szCs w:val="20"/>
              </w:rPr>
            </w:pPr>
            <w:r w:rsidRPr="00BD4B6E">
              <w:rPr>
                <w:sz w:val="20"/>
                <w:szCs w:val="20"/>
              </w:rPr>
              <w:t>Her Majesty the Queen</w:t>
            </w:r>
          </w:p>
          <w:p w:rsidR="00DC6F21" w:rsidRPr="00BD4B6E" w:rsidRDefault="00DC6F21" w:rsidP="003F4F9C">
            <w:pPr>
              <w:rPr>
                <w:sz w:val="20"/>
                <w:szCs w:val="20"/>
              </w:rPr>
            </w:pP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rPr>
                <w:sz w:val="20"/>
                <w:szCs w:val="20"/>
              </w:rPr>
            </w:pPr>
            <w:r w:rsidRPr="00BD4B6E">
              <w:rPr>
                <w:sz w:val="20"/>
                <w:szCs w:val="20"/>
              </w:rPr>
              <w:tab/>
              <w:t>v. (34228)</w:t>
            </w:r>
          </w:p>
          <w:p w:rsidR="00DC6F21" w:rsidRPr="00BD4B6E" w:rsidRDefault="00DC6F21" w:rsidP="003F4F9C">
            <w:pPr>
              <w:rPr>
                <w:sz w:val="20"/>
                <w:szCs w:val="20"/>
              </w:rPr>
            </w:pPr>
          </w:p>
        </w:tc>
        <w:tc>
          <w:tcPr>
            <w:tcW w:w="1170" w:type="dxa"/>
          </w:tcPr>
          <w:p w:rsidR="00DC6F21" w:rsidRPr="00BD4B6E" w:rsidRDefault="00DC6F21" w:rsidP="003F4F9C">
            <w:pPr>
              <w:rPr>
                <w:sz w:val="20"/>
                <w:szCs w:val="20"/>
              </w:rPr>
            </w:pPr>
          </w:p>
        </w:tc>
        <w:tc>
          <w:tcPr>
            <w:tcW w:w="4327" w:type="dxa"/>
          </w:tcPr>
          <w:p w:rsidR="00DC6F21" w:rsidRPr="00BD4B6E" w:rsidRDefault="00DC6F21" w:rsidP="003F4F9C">
            <w:pPr>
              <w:rPr>
                <w:sz w:val="20"/>
                <w:szCs w:val="20"/>
              </w:rPr>
            </w:pPr>
          </w:p>
        </w:tc>
      </w:tr>
      <w:tr w:rsidR="00DC6F21" w:rsidRPr="00BD4B6E" w:rsidTr="003F4F9C">
        <w:tc>
          <w:tcPr>
            <w:tcW w:w="1368" w:type="dxa"/>
          </w:tcPr>
          <w:p w:rsidR="00DC6F21" w:rsidRPr="00BD4B6E" w:rsidRDefault="00DC6F21" w:rsidP="003F4F9C">
            <w:pPr>
              <w:rPr>
                <w:sz w:val="20"/>
                <w:szCs w:val="20"/>
              </w:rPr>
            </w:pPr>
          </w:p>
        </w:tc>
        <w:tc>
          <w:tcPr>
            <w:tcW w:w="2970" w:type="dxa"/>
          </w:tcPr>
          <w:p w:rsidR="00DC6F21" w:rsidRPr="00BD4B6E" w:rsidRDefault="00DC6F21" w:rsidP="003F4F9C">
            <w:pPr>
              <w:jc w:val="both"/>
              <w:rPr>
                <w:sz w:val="20"/>
                <w:szCs w:val="20"/>
                <w:lang w:val="fr-CA"/>
              </w:rPr>
            </w:pPr>
            <w:r w:rsidRPr="00BD4B6E">
              <w:rPr>
                <w:sz w:val="20"/>
                <w:szCs w:val="20"/>
                <w:lang w:val="fr-CA"/>
              </w:rPr>
              <w:t>Marius Nedelcu (Crim.) (Ont.)</w:t>
            </w:r>
          </w:p>
        </w:tc>
        <w:tc>
          <w:tcPr>
            <w:tcW w:w="1170" w:type="dxa"/>
          </w:tcPr>
          <w:p w:rsidR="00DC6F21" w:rsidRPr="00BD4B6E" w:rsidRDefault="00DC6F21" w:rsidP="003F4F9C">
            <w:pPr>
              <w:rPr>
                <w:sz w:val="20"/>
                <w:szCs w:val="20"/>
                <w:lang w:val="fr-CA"/>
              </w:rPr>
            </w:pPr>
          </w:p>
        </w:tc>
        <w:tc>
          <w:tcPr>
            <w:tcW w:w="4327" w:type="dxa"/>
          </w:tcPr>
          <w:p w:rsidR="00DC6F21" w:rsidRPr="00BD4B6E" w:rsidRDefault="00DC6F21" w:rsidP="003F4F9C">
            <w:pPr>
              <w:rPr>
                <w:sz w:val="20"/>
                <w:szCs w:val="20"/>
                <w:lang w:val="fr-CA"/>
              </w:rPr>
            </w:pPr>
          </w:p>
        </w:tc>
      </w:tr>
    </w:tbl>
    <w:p w:rsidR="00DC6F21" w:rsidRPr="00BD4B6E" w:rsidRDefault="00DC6F21" w:rsidP="00DC6F21">
      <w:pPr>
        <w:tabs>
          <w:tab w:val="left" w:pos="-1440"/>
          <w:tab w:val="left" w:pos="-720"/>
        </w:tabs>
        <w:jc w:val="both"/>
        <w:rPr>
          <w:sz w:val="20"/>
          <w:szCs w:val="20"/>
          <w:lang w:val="fr-CA"/>
        </w:rPr>
      </w:pPr>
    </w:p>
    <w:p w:rsidR="00DC6F21" w:rsidRPr="00BD4B6E" w:rsidRDefault="00DC6F21" w:rsidP="00DC6F21">
      <w:pPr>
        <w:spacing w:line="245" w:lineRule="auto"/>
        <w:jc w:val="both"/>
        <w:rPr>
          <w:sz w:val="20"/>
          <w:szCs w:val="20"/>
        </w:rPr>
      </w:pPr>
      <w:r w:rsidRPr="00BD4B6E">
        <w:rPr>
          <w:b/>
          <w:bCs/>
          <w:sz w:val="20"/>
          <w:szCs w:val="20"/>
        </w:rPr>
        <w:t>UPON APPLICATION</w:t>
      </w:r>
      <w:r w:rsidRPr="00BD4B6E">
        <w:rPr>
          <w:sz w:val="20"/>
          <w:szCs w:val="20"/>
        </w:rPr>
        <w:t xml:space="preserve"> by the intervener, Criminal Lawyers’ Association (Ontario), for an order extending the time to serve and file its factum and book of authorities to March 2, 2012 and permitting the intervener to present oral argument at the hearing of this appeal pursuant to Rule 71(3) of the </w:t>
      </w:r>
      <w:r w:rsidRPr="00BD4B6E">
        <w:rPr>
          <w:i/>
          <w:sz w:val="20"/>
          <w:szCs w:val="20"/>
        </w:rPr>
        <w:t>Rules of the Supreme Court of Canada</w:t>
      </w:r>
      <w:r w:rsidRPr="00BD4B6E">
        <w:rPr>
          <w:sz w:val="20"/>
          <w:szCs w:val="20"/>
        </w:rPr>
        <w:t>;</w:t>
      </w:r>
    </w:p>
    <w:p w:rsidR="00DC6F21" w:rsidRPr="00BD4B6E" w:rsidRDefault="00DC6F21" w:rsidP="00DC6F21">
      <w:pPr>
        <w:spacing w:line="230" w:lineRule="auto"/>
        <w:rPr>
          <w:b/>
          <w:bCs/>
          <w:sz w:val="20"/>
          <w:szCs w:val="20"/>
        </w:rPr>
      </w:pPr>
    </w:p>
    <w:p w:rsidR="00DC6F21" w:rsidRPr="00BD4B6E" w:rsidRDefault="00DC6F21" w:rsidP="00DC6F21">
      <w:pPr>
        <w:spacing w:line="230" w:lineRule="auto"/>
        <w:jc w:val="both"/>
        <w:rPr>
          <w:sz w:val="20"/>
          <w:szCs w:val="20"/>
        </w:rPr>
      </w:pPr>
      <w:r w:rsidRPr="00BD4B6E">
        <w:rPr>
          <w:b/>
          <w:bCs/>
          <w:sz w:val="20"/>
          <w:szCs w:val="20"/>
        </w:rPr>
        <w:t>AND FURTHER TO THE ORDER</w:t>
      </w:r>
      <w:r w:rsidRPr="00BD4B6E">
        <w:rPr>
          <w:sz w:val="20"/>
          <w:szCs w:val="20"/>
        </w:rPr>
        <w:t xml:space="preserve"> dated January 31, 2012, granting leave to intervene to</w:t>
      </w:r>
      <w:r w:rsidRPr="00BD4B6E">
        <w:rPr>
          <w:b/>
          <w:bCs/>
          <w:sz w:val="20"/>
          <w:szCs w:val="20"/>
        </w:rPr>
        <w:t xml:space="preserve"> </w:t>
      </w:r>
      <w:r w:rsidRPr="00BD4B6E">
        <w:rPr>
          <w:sz w:val="20"/>
          <w:szCs w:val="20"/>
        </w:rPr>
        <w:t>the Criminal Lawyers’ Association (Ontario), the Advocates’ Society and the Attorney General of Quebec;</w:t>
      </w:r>
    </w:p>
    <w:p w:rsidR="00DC6F21" w:rsidRPr="00BD4B6E" w:rsidRDefault="00DC6F21" w:rsidP="00DC6F21">
      <w:pPr>
        <w:spacing w:line="230" w:lineRule="auto"/>
        <w:rPr>
          <w:sz w:val="20"/>
          <w:szCs w:val="20"/>
        </w:rPr>
      </w:pPr>
    </w:p>
    <w:p w:rsidR="00DC6F21" w:rsidRPr="00BD4B6E" w:rsidRDefault="00DC6F21" w:rsidP="00DC6F21">
      <w:pPr>
        <w:spacing w:line="230" w:lineRule="auto"/>
        <w:rPr>
          <w:b/>
          <w:bCs/>
          <w:sz w:val="20"/>
          <w:szCs w:val="20"/>
        </w:rPr>
      </w:pPr>
      <w:r w:rsidRPr="00BD4B6E">
        <w:rPr>
          <w:b/>
          <w:bCs/>
          <w:sz w:val="20"/>
          <w:szCs w:val="20"/>
        </w:rPr>
        <w:t xml:space="preserve">IT IS HEREBY FURTHER ORDERED THAT: </w:t>
      </w:r>
    </w:p>
    <w:p w:rsidR="00DC6F21" w:rsidRPr="00BD4B6E" w:rsidRDefault="00DC6F21" w:rsidP="00DC6F21">
      <w:pPr>
        <w:spacing w:line="230" w:lineRule="auto"/>
        <w:rPr>
          <w:b/>
          <w:bCs/>
          <w:sz w:val="20"/>
          <w:szCs w:val="20"/>
        </w:rPr>
      </w:pPr>
    </w:p>
    <w:p w:rsidR="00DC6F21" w:rsidRPr="00BD4B6E" w:rsidRDefault="00DC6F21" w:rsidP="00DC6F21">
      <w:pPr>
        <w:spacing w:line="230" w:lineRule="auto"/>
        <w:ind w:left="900" w:hanging="540"/>
        <w:jc w:val="both"/>
        <w:rPr>
          <w:sz w:val="20"/>
          <w:szCs w:val="20"/>
        </w:rPr>
      </w:pPr>
      <w:r w:rsidRPr="00BD4B6E">
        <w:rPr>
          <w:sz w:val="20"/>
          <w:szCs w:val="20"/>
        </w:rPr>
        <w:t>(1)</w:t>
      </w:r>
      <w:r w:rsidRPr="00BD4B6E">
        <w:rPr>
          <w:sz w:val="20"/>
          <w:szCs w:val="20"/>
        </w:rPr>
        <w:tab/>
        <w:t>the Criminal Lawyers’ Association (Ontario) is granted an extension of time to serve and file its factum and book of authorities to March 2, 2012, and is also granted permission to present oral argument not exceeding five (5) minutes at the hearing of the appeal.</w:t>
      </w:r>
    </w:p>
    <w:p w:rsidR="00DC6F21" w:rsidRPr="00BD4B6E" w:rsidRDefault="00DC6F21" w:rsidP="00DC6F21">
      <w:pPr>
        <w:spacing w:line="230" w:lineRule="auto"/>
        <w:jc w:val="both"/>
        <w:rPr>
          <w:sz w:val="20"/>
          <w:szCs w:val="20"/>
        </w:rPr>
      </w:pPr>
    </w:p>
    <w:p w:rsidR="00DC6F21" w:rsidRPr="00BD4B6E" w:rsidRDefault="00DC6F21" w:rsidP="00DC6F21">
      <w:pPr>
        <w:spacing w:line="230" w:lineRule="auto"/>
        <w:ind w:left="900" w:hanging="540"/>
        <w:jc w:val="both"/>
        <w:rPr>
          <w:sz w:val="20"/>
          <w:szCs w:val="20"/>
        </w:rPr>
      </w:pPr>
      <w:r w:rsidRPr="00BD4B6E">
        <w:rPr>
          <w:sz w:val="20"/>
          <w:szCs w:val="20"/>
        </w:rPr>
        <w:t>(2)</w:t>
      </w:r>
      <w:r w:rsidRPr="00BD4B6E">
        <w:rPr>
          <w:sz w:val="20"/>
          <w:szCs w:val="20"/>
        </w:rPr>
        <w:tab/>
        <w:t>the Advocates’ Society is granted permission to present oral argument not exceeding five (5) minutes at the hearing of the appeal.</w:t>
      </w:r>
    </w:p>
    <w:p w:rsidR="00DC6F21" w:rsidRPr="00BD4B6E" w:rsidRDefault="00DC6F21" w:rsidP="00DC6F21">
      <w:pPr>
        <w:spacing w:line="230" w:lineRule="auto"/>
        <w:jc w:val="both"/>
        <w:rPr>
          <w:sz w:val="20"/>
          <w:szCs w:val="20"/>
        </w:rPr>
      </w:pPr>
    </w:p>
    <w:p w:rsidR="00DC6F21" w:rsidRPr="00BD4B6E" w:rsidRDefault="00DC6F21" w:rsidP="00DC6F21">
      <w:pPr>
        <w:pStyle w:val="ListParagraph"/>
        <w:spacing w:line="230" w:lineRule="auto"/>
        <w:ind w:left="900" w:hanging="540"/>
        <w:jc w:val="both"/>
        <w:rPr>
          <w:rFonts w:cs="Times New Roman"/>
          <w:sz w:val="20"/>
          <w:szCs w:val="20"/>
        </w:rPr>
      </w:pPr>
      <w:r w:rsidRPr="00BD4B6E">
        <w:rPr>
          <w:rFonts w:cs="Times New Roman"/>
          <w:sz w:val="20"/>
          <w:szCs w:val="20"/>
        </w:rPr>
        <w:t>(3)</w:t>
      </w:r>
      <w:r w:rsidRPr="00BD4B6E">
        <w:rPr>
          <w:rFonts w:cs="Times New Roman"/>
          <w:sz w:val="20"/>
          <w:szCs w:val="20"/>
        </w:rPr>
        <w:tab/>
        <w:t>the Attorney General of Quebec is granted permission to present oral argument not exceeding ten (10) minutes at the hearing of the appeal.</w:t>
      </w:r>
    </w:p>
    <w:p w:rsidR="00DC6F21" w:rsidRPr="00BD4B6E" w:rsidRDefault="00DC6F21" w:rsidP="00DC6F21">
      <w:pPr>
        <w:spacing w:line="230" w:lineRule="auto"/>
        <w:rPr>
          <w:sz w:val="20"/>
          <w:szCs w:val="20"/>
        </w:rPr>
      </w:pPr>
    </w:p>
    <w:p w:rsidR="00DC6F21" w:rsidRDefault="00DC6F21" w:rsidP="00DC6F21">
      <w:pPr>
        <w:spacing w:line="230" w:lineRule="auto"/>
        <w:rPr>
          <w:sz w:val="20"/>
          <w:szCs w:val="20"/>
        </w:rPr>
      </w:pPr>
    </w:p>
    <w:p w:rsidR="00DC6F21" w:rsidRPr="00BD4B6E" w:rsidRDefault="00DC6F21" w:rsidP="00DC6F21">
      <w:pPr>
        <w:spacing w:line="230" w:lineRule="auto"/>
        <w:rPr>
          <w:sz w:val="20"/>
          <w:szCs w:val="20"/>
        </w:rPr>
      </w:pPr>
    </w:p>
    <w:p w:rsidR="00DC6F21" w:rsidRPr="00BD4B6E" w:rsidRDefault="00DC6F21" w:rsidP="00DC6F21">
      <w:pPr>
        <w:jc w:val="both"/>
        <w:rPr>
          <w:sz w:val="20"/>
          <w:szCs w:val="20"/>
          <w:lang w:val="fr-CA"/>
        </w:rPr>
      </w:pPr>
      <w:r w:rsidRPr="00BD4B6E">
        <w:rPr>
          <w:b/>
          <w:bCs/>
          <w:sz w:val="20"/>
          <w:szCs w:val="20"/>
          <w:lang w:val="fr-CA"/>
        </w:rPr>
        <w:lastRenderedPageBreak/>
        <w:t>À</w:t>
      </w:r>
      <w:r w:rsidRPr="00BD4B6E">
        <w:rPr>
          <w:b/>
          <w:sz w:val="20"/>
          <w:szCs w:val="20"/>
          <w:lang w:val="fr-FR"/>
        </w:rPr>
        <w:t xml:space="preserve"> LA</w:t>
      </w:r>
      <w:r w:rsidRPr="00BD4B6E">
        <w:rPr>
          <w:sz w:val="20"/>
          <w:szCs w:val="20"/>
          <w:lang w:val="fr-FR"/>
        </w:rPr>
        <w:t xml:space="preserve"> </w:t>
      </w:r>
      <w:r w:rsidR="009019DC" w:rsidRPr="00BD4B6E">
        <w:rPr>
          <w:sz w:val="20"/>
          <w:szCs w:val="20"/>
        </w:rPr>
        <w:fldChar w:fldCharType="begin"/>
      </w:r>
      <w:r w:rsidRPr="00BD4B6E">
        <w:rPr>
          <w:sz w:val="20"/>
          <w:szCs w:val="20"/>
          <w:lang w:val="fr-CA"/>
        </w:rPr>
        <w:instrText xml:space="preserve"> SEQ CHAPTER \h \r 1</w:instrText>
      </w:r>
      <w:r w:rsidR="009019DC" w:rsidRPr="00BD4B6E">
        <w:rPr>
          <w:sz w:val="20"/>
          <w:szCs w:val="20"/>
        </w:rPr>
        <w:fldChar w:fldCharType="end"/>
      </w:r>
      <w:r w:rsidRPr="00BD4B6E">
        <w:rPr>
          <w:b/>
          <w:bCs/>
          <w:sz w:val="20"/>
          <w:szCs w:val="20"/>
          <w:lang w:val="fr-CA"/>
        </w:rPr>
        <w:t>SUITE D’UNE REQUÊTE</w:t>
      </w:r>
      <w:r w:rsidRPr="00BD4B6E">
        <w:rPr>
          <w:sz w:val="20"/>
          <w:szCs w:val="20"/>
          <w:lang w:val="fr-CA"/>
        </w:rPr>
        <w:t xml:space="preserve"> présentée par l’intervenante, la Criminal Lawyers’ Association (Ontario), en vue d’obtenir la prorogation du délai de signification et de dépôt de son mémoire et de son recueil de sources jusqu’au 2 mars 2012, et en vue d’être autorisée à présenter une plaidoirie orale lors de l’audition de l’appel en vertu de la règle 71(3) des </w:t>
      </w:r>
      <w:r w:rsidRPr="00BD4B6E">
        <w:rPr>
          <w:i/>
          <w:sz w:val="20"/>
          <w:szCs w:val="20"/>
          <w:lang w:val="fr-CA"/>
        </w:rPr>
        <w:t>Règles de la Cour suprême du Canada;</w:t>
      </w:r>
    </w:p>
    <w:p w:rsidR="00DC6F21" w:rsidRPr="00BD4B6E" w:rsidRDefault="00DC6F21" w:rsidP="00DC6F21">
      <w:pPr>
        <w:rPr>
          <w:sz w:val="20"/>
          <w:szCs w:val="20"/>
          <w:lang w:val="fr-CA"/>
        </w:rPr>
      </w:pPr>
    </w:p>
    <w:p w:rsidR="00DC6F21" w:rsidRPr="00BD4B6E" w:rsidRDefault="00DC6F21" w:rsidP="00DC6F21">
      <w:pPr>
        <w:spacing w:line="230" w:lineRule="auto"/>
        <w:jc w:val="both"/>
        <w:rPr>
          <w:sz w:val="20"/>
          <w:szCs w:val="20"/>
          <w:lang w:val="fr-CA"/>
        </w:rPr>
      </w:pPr>
      <w:r w:rsidRPr="00BD4B6E">
        <w:rPr>
          <w:b/>
          <w:bCs/>
          <w:sz w:val="20"/>
          <w:szCs w:val="20"/>
          <w:lang w:val="fr-CA"/>
        </w:rPr>
        <w:t xml:space="preserve">ET SUITE À L’ORDONNANCE </w:t>
      </w:r>
      <w:r w:rsidRPr="00BD4B6E">
        <w:rPr>
          <w:bCs/>
          <w:sz w:val="20"/>
          <w:szCs w:val="20"/>
          <w:lang w:val="fr-CA"/>
        </w:rPr>
        <w:t>datée</w:t>
      </w:r>
      <w:r w:rsidRPr="00BD4B6E">
        <w:rPr>
          <w:b/>
          <w:bCs/>
          <w:sz w:val="20"/>
          <w:szCs w:val="20"/>
          <w:lang w:val="fr-CA"/>
        </w:rPr>
        <w:t xml:space="preserve"> </w:t>
      </w:r>
      <w:r w:rsidRPr="00BD4B6E">
        <w:rPr>
          <w:sz w:val="20"/>
          <w:szCs w:val="20"/>
          <w:lang w:val="fr-CA"/>
        </w:rPr>
        <w:t>du 31 janvier 2012 accordant l’autorisation d’intervenir à la Criminal Lawyers’ Association (Ontario), à l’Advocates’ Society et au procureur général du Québec;</w:t>
      </w:r>
    </w:p>
    <w:p w:rsidR="00DC6F21" w:rsidRPr="00BD4B6E" w:rsidRDefault="00DC6F21" w:rsidP="00DC6F21">
      <w:pPr>
        <w:spacing w:line="276" w:lineRule="auto"/>
        <w:rPr>
          <w:sz w:val="20"/>
          <w:szCs w:val="20"/>
          <w:lang w:val="fr-CA"/>
        </w:rPr>
      </w:pPr>
    </w:p>
    <w:p w:rsidR="00DC6F21" w:rsidRPr="00BD4B6E" w:rsidRDefault="00DC6F21" w:rsidP="00DC6F21">
      <w:pPr>
        <w:spacing w:line="230" w:lineRule="auto"/>
        <w:rPr>
          <w:sz w:val="20"/>
          <w:szCs w:val="20"/>
          <w:lang w:val="fr-CA"/>
        </w:rPr>
      </w:pPr>
      <w:r w:rsidRPr="00BD4B6E">
        <w:rPr>
          <w:b/>
          <w:sz w:val="20"/>
          <w:szCs w:val="20"/>
          <w:lang w:val="fr-CA"/>
        </w:rPr>
        <w:t>IL EST EN OUTRE ORDONNÉ CE QUI SUIT :</w:t>
      </w:r>
      <w:r w:rsidRPr="00BD4B6E">
        <w:rPr>
          <w:sz w:val="20"/>
          <w:szCs w:val="20"/>
          <w:lang w:val="fr-CA"/>
        </w:rPr>
        <w:t xml:space="preserve"> </w:t>
      </w:r>
    </w:p>
    <w:p w:rsidR="00DC6F21" w:rsidRPr="00BD4B6E" w:rsidRDefault="00DC6F21" w:rsidP="00DC6F21">
      <w:pPr>
        <w:spacing w:line="230" w:lineRule="auto"/>
        <w:rPr>
          <w:sz w:val="20"/>
          <w:szCs w:val="20"/>
          <w:lang w:val="fr-CA"/>
        </w:rPr>
      </w:pPr>
    </w:p>
    <w:p w:rsidR="00DC6F21" w:rsidRPr="00BD4B6E" w:rsidRDefault="00DC6F21" w:rsidP="00DC6F21">
      <w:pPr>
        <w:pStyle w:val="ListParagraph"/>
        <w:widowControl w:val="0"/>
        <w:numPr>
          <w:ilvl w:val="0"/>
          <w:numId w:val="4"/>
        </w:numPr>
        <w:autoSpaceDE w:val="0"/>
        <w:autoSpaceDN w:val="0"/>
        <w:adjustRightInd w:val="0"/>
        <w:spacing w:line="230" w:lineRule="auto"/>
        <w:jc w:val="both"/>
        <w:rPr>
          <w:rFonts w:cs="Times New Roman"/>
          <w:sz w:val="20"/>
          <w:szCs w:val="20"/>
          <w:lang w:val="fr-CA"/>
        </w:rPr>
      </w:pPr>
      <w:r w:rsidRPr="00BD4B6E">
        <w:rPr>
          <w:rFonts w:cs="Times New Roman"/>
          <w:sz w:val="20"/>
          <w:szCs w:val="20"/>
          <w:lang w:val="fr-CA"/>
        </w:rPr>
        <w:t>le délai de signification et de dépôt du mémoire et du recueil de sources de l’intervenante, la Criminal Lawyers’ Association (Ontario), est prorogé jusqu'au 2 mars 2012 et cette intervenante pourra, en outre, présenter une plaidoirie orale d’au plus cinq (5) minutes lors de l’audition de l’appel.</w:t>
      </w:r>
    </w:p>
    <w:p w:rsidR="00DC6F21" w:rsidRPr="00BD4B6E" w:rsidRDefault="00DC6F21" w:rsidP="00DC6F21">
      <w:pPr>
        <w:pStyle w:val="ListParagraph"/>
        <w:spacing w:line="230" w:lineRule="auto"/>
        <w:rPr>
          <w:rFonts w:cs="Times New Roman"/>
          <w:sz w:val="20"/>
          <w:szCs w:val="20"/>
          <w:lang w:val="fr-CA"/>
        </w:rPr>
      </w:pPr>
    </w:p>
    <w:p w:rsidR="00DC6F21" w:rsidRPr="00BD4B6E" w:rsidRDefault="00DC6F21" w:rsidP="00DC6F21">
      <w:pPr>
        <w:pStyle w:val="ListParagraph"/>
        <w:widowControl w:val="0"/>
        <w:numPr>
          <w:ilvl w:val="0"/>
          <w:numId w:val="4"/>
        </w:numPr>
        <w:autoSpaceDE w:val="0"/>
        <w:autoSpaceDN w:val="0"/>
        <w:adjustRightInd w:val="0"/>
        <w:spacing w:line="230" w:lineRule="auto"/>
        <w:jc w:val="both"/>
        <w:rPr>
          <w:rFonts w:cs="Times New Roman"/>
          <w:sz w:val="20"/>
          <w:szCs w:val="20"/>
          <w:lang w:val="fr-CA"/>
        </w:rPr>
      </w:pPr>
      <w:r w:rsidRPr="00BD4B6E">
        <w:rPr>
          <w:rFonts w:cs="Times New Roman"/>
          <w:sz w:val="20"/>
          <w:szCs w:val="20"/>
          <w:lang w:val="fr-CA"/>
        </w:rPr>
        <w:t>l’ Advocates’ Society pourra présenter une plaidoirie orale d'au plus cinq (5) minutes lors de l'audition de l’appel.</w:t>
      </w:r>
    </w:p>
    <w:p w:rsidR="00DC6F21" w:rsidRPr="00BD4B6E" w:rsidRDefault="00DC6F21" w:rsidP="00DC6F21">
      <w:pPr>
        <w:spacing w:line="230" w:lineRule="auto"/>
        <w:rPr>
          <w:sz w:val="20"/>
          <w:szCs w:val="20"/>
          <w:lang w:val="fr-CA"/>
        </w:rPr>
      </w:pPr>
    </w:p>
    <w:p w:rsidR="00DC6F21" w:rsidRPr="00BD4B6E" w:rsidRDefault="00DC6F21" w:rsidP="00DC6F21">
      <w:pPr>
        <w:pStyle w:val="ListParagraph"/>
        <w:widowControl w:val="0"/>
        <w:numPr>
          <w:ilvl w:val="0"/>
          <w:numId w:val="4"/>
        </w:numPr>
        <w:autoSpaceDE w:val="0"/>
        <w:autoSpaceDN w:val="0"/>
        <w:adjustRightInd w:val="0"/>
        <w:spacing w:line="230" w:lineRule="auto"/>
        <w:jc w:val="both"/>
        <w:rPr>
          <w:rFonts w:cs="Times New Roman"/>
          <w:sz w:val="20"/>
          <w:szCs w:val="20"/>
          <w:lang w:val="fr-CA"/>
        </w:rPr>
      </w:pPr>
      <w:r w:rsidRPr="00BD4B6E">
        <w:rPr>
          <w:rFonts w:cs="Times New Roman"/>
          <w:sz w:val="20"/>
          <w:szCs w:val="20"/>
          <w:lang w:val="fr-CA"/>
        </w:rPr>
        <w:t>le procureur général du Québec pourra présenter une plaidoirie orale d'au plus dix (10) minutes lors de l'audition de l’appel.</w:t>
      </w:r>
    </w:p>
    <w:p w:rsidR="00DC6F21" w:rsidRPr="00BD4B6E" w:rsidRDefault="00DC6F21" w:rsidP="00DC6F21">
      <w:pPr>
        <w:tabs>
          <w:tab w:val="left" w:pos="-1440"/>
          <w:tab w:val="left" w:pos="-720"/>
        </w:tabs>
        <w:jc w:val="both"/>
        <w:rPr>
          <w:sz w:val="20"/>
          <w:szCs w:val="20"/>
          <w:lang w:val="fr-CA"/>
        </w:rPr>
      </w:pPr>
    </w:p>
    <w:p w:rsidR="00DC6F21" w:rsidRPr="00BD4B6E" w:rsidRDefault="009019DC" w:rsidP="00DC6F21">
      <w:pPr>
        <w:tabs>
          <w:tab w:val="left" w:pos="-1440"/>
          <w:tab w:val="left" w:pos="-720"/>
        </w:tabs>
        <w:jc w:val="both"/>
        <w:rPr>
          <w:sz w:val="20"/>
          <w:szCs w:val="20"/>
          <w:lang w:val="fr-CA"/>
        </w:rPr>
      </w:pPr>
      <w:r w:rsidRPr="009019DC">
        <w:rPr>
          <w:sz w:val="20"/>
          <w:szCs w:val="20"/>
          <w:lang w:val="fr-CA"/>
        </w:rPr>
        <w:pict>
          <v:rect id="_x0000_i1050" style="width:2in;height:1pt" o:hrpct="0" o:hralign="center" o:hrstd="t" o:hrnoshade="t" o:hr="t" fillcolor="black [3213]" stroked="f"/>
        </w:pict>
      </w:r>
    </w:p>
    <w:p w:rsidR="00DC6F21" w:rsidRPr="00BD4B6E" w:rsidRDefault="00DC6F21" w:rsidP="00DC6F21">
      <w:pPr>
        <w:tabs>
          <w:tab w:val="left" w:pos="-1440"/>
          <w:tab w:val="left" w:pos="-720"/>
        </w:tabs>
        <w:jc w:val="both"/>
        <w:rPr>
          <w:sz w:val="20"/>
          <w:szCs w:val="20"/>
          <w:lang w:val="fr-CA"/>
        </w:rPr>
      </w:pPr>
    </w:p>
    <w:p w:rsidR="00DC6F21" w:rsidRPr="00BD4B6E" w:rsidRDefault="00DC6F21" w:rsidP="00DC6F21">
      <w:pPr>
        <w:tabs>
          <w:tab w:val="left" w:pos="-1440"/>
          <w:tab w:val="left" w:pos="-720"/>
        </w:tabs>
        <w:jc w:val="both"/>
        <w:rPr>
          <w:sz w:val="20"/>
          <w:szCs w:val="20"/>
          <w:lang w:val="fr-CA"/>
        </w:rPr>
      </w:pPr>
      <w:r w:rsidRPr="00BD4B6E">
        <w:rPr>
          <w:sz w:val="20"/>
          <w:szCs w:val="20"/>
          <w:lang w:val="fr-CA"/>
        </w:rPr>
        <w:t>07.03.2012</w:t>
      </w:r>
    </w:p>
    <w:p w:rsidR="00DC6F21" w:rsidRPr="00BD4B6E" w:rsidRDefault="00DC6F21" w:rsidP="00DC6F21">
      <w:pPr>
        <w:tabs>
          <w:tab w:val="left" w:pos="-1440"/>
          <w:tab w:val="left" w:pos="-720"/>
        </w:tabs>
        <w:jc w:val="both"/>
        <w:rPr>
          <w:sz w:val="20"/>
          <w:szCs w:val="20"/>
          <w:lang w:val="fr-CA"/>
        </w:rPr>
      </w:pPr>
    </w:p>
    <w:p w:rsidR="00DC6F21" w:rsidRPr="00BD4B6E" w:rsidRDefault="00DC6F21" w:rsidP="00DC6F21">
      <w:pPr>
        <w:tabs>
          <w:tab w:val="left" w:pos="-1440"/>
          <w:tab w:val="left" w:pos="-720"/>
        </w:tabs>
        <w:jc w:val="both"/>
        <w:rPr>
          <w:sz w:val="20"/>
          <w:szCs w:val="20"/>
          <w:lang w:val="fr-CA"/>
        </w:rPr>
      </w:pPr>
      <w:r w:rsidRPr="00BD4B6E">
        <w:rPr>
          <w:sz w:val="20"/>
          <w:szCs w:val="20"/>
          <w:lang w:val="fr-CA"/>
        </w:rPr>
        <w:t>Before / Devant :   ROTHSTEIN J. / LE JUGE ROTHSTEIN</w:t>
      </w:r>
    </w:p>
    <w:p w:rsidR="00DC6F21" w:rsidRPr="00BD4B6E" w:rsidRDefault="00DC6F21" w:rsidP="00DC6F2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C6F21" w:rsidRPr="00BD4B6E" w:rsidTr="003F4F9C">
        <w:tc>
          <w:tcPr>
            <w:tcW w:w="4338" w:type="dxa"/>
          </w:tcPr>
          <w:p w:rsidR="00DC6F21" w:rsidRPr="00BD4B6E" w:rsidRDefault="009019DC" w:rsidP="003F4F9C">
            <w:pPr>
              <w:tabs>
                <w:tab w:val="left" w:pos="-1440"/>
                <w:tab w:val="left" w:pos="-720"/>
              </w:tabs>
              <w:jc w:val="both"/>
              <w:rPr>
                <w:b/>
                <w:sz w:val="20"/>
                <w:szCs w:val="20"/>
              </w:rPr>
            </w:pPr>
            <w:r w:rsidRPr="00BD4B6E">
              <w:rPr>
                <w:sz w:val="20"/>
                <w:szCs w:val="20"/>
              </w:rPr>
              <w:fldChar w:fldCharType="begin"/>
            </w:r>
            <w:r w:rsidR="00DC6F21" w:rsidRPr="00BD4B6E">
              <w:rPr>
                <w:sz w:val="20"/>
                <w:szCs w:val="20"/>
              </w:rPr>
              <w:instrText xml:space="preserve"> SEQ CHAPTER \h \r 1</w:instrText>
            </w:r>
            <w:r w:rsidRPr="00BD4B6E">
              <w:rPr>
                <w:sz w:val="20"/>
                <w:szCs w:val="20"/>
              </w:rPr>
              <w:fldChar w:fldCharType="end"/>
            </w:r>
            <w:r w:rsidR="00DC6F21" w:rsidRPr="00BD4B6E">
              <w:rPr>
                <w:b/>
                <w:bCs/>
                <w:sz w:val="20"/>
                <w:szCs w:val="20"/>
              </w:rPr>
              <w:t>Motion to strike</w:t>
            </w:r>
          </w:p>
        </w:tc>
        <w:tc>
          <w:tcPr>
            <w:tcW w:w="1170" w:type="dxa"/>
          </w:tcPr>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p>
        </w:tc>
        <w:tc>
          <w:tcPr>
            <w:tcW w:w="4327" w:type="dxa"/>
          </w:tcPr>
          <w:p w:rsidR="00DC6F21" w:rsidRPr="00BD4B6E" w:rsidRDefault="009019DC" w:rsidP="003F4F9C">
            <w:pPr>
              <w:tabs>
                <w:tab w:val="left" w:pos="-1440"/>
                <w:tab w:val="left" w:pos="-720"/>
              </w:tabs>
              <w:jc w:val="both"/>
              <w:rPr>
                <w:sz w:val="20"/>
                <w:szCs w:val="20"/>
                <w:lang w:val="fr-CA"/>
              </w:rPr>
            </w:pPr>
            <w:r w:rsidRPr="00BD4B6E">
              <w:rPr>
                <w:sz w:val="20"/>
                <w:szCs w:val="20"/>
              </w:rPr>
              <w:fldChar w:fldCharType="begin"/>
            </w:r>
            <w:r w:rsidR="00DC6F21" w:rsidRPr="00BD4B6E">
              <w:rPr>
                <w:sz w:val="20"/>
                <w:szCs w:val="20"/>
              </w:rPr>
              <w:instrText xml:space="preserve"> SEQ CHAPTER \h \r 1</w:instrText>
            </w:r>
            <w:r w:rsidRPr="00BD4B6E">
              <w:rPr>
                <w:sz w:val="20"/>
                <w:szCs w:val="20"/>
              </w:rPr>
              <w:fldChar w:fldCharType="end"/>
            </w:r>
            <w:r w:rsidR="00DC6F21" w:rsidRPr="00BD4B6E">
              <w:rPr>
                <w:b/>
                <w:bCs/>
                <w:sz w:val="20"/>
                <w:szCs w:val="20"/>
              </w:rPr>
              <w:t xml:space="preserve">Requête en radiation </w:t>
            </w:r>
            <w:r w:rsidRPr="00BD4B6E">
              <w:rPr>
                <w:sz w:val="20"/>
                <w:szCs w:val="20"/>
              </w:rPr>
              <w:fldChar w:fldCharType="begin"/>
            </w:r>
            <w:r w:rsidR="00DC6F21" w:rsidRPr="00BD4B6E">
              <w:rPr>
                <w:sz w:val="20"/>
                <w:szCs w:val="20"/>
                <w:lang w:val="fr-CA"/>
              </w:rPr>
              <w:instrText xml:space="preserve"> SEQ CHAPTER \h \r 1</w:instrText>
            </w:r>
            <w:r w:rsidRPr="00BD4B6E">
              <w:rPr>
                <w:sz w:val="20"/>
                <w:szCs w:val="20"/>
              </w:rPr>
              <w:fldChar w:fldCharType="end"/>
            </w:r>
            <w:r w:rsidRPr="00BD4B6E">
              <w:rPr>
                <w:sz w:val="20"/>
                <w:szCs w:val="20"/>
              </w:rPr>
              <w:fldChar w:fldCharType="begin"/>
            </w:r>
            <w:r w:rsidR="00DC6F21" w:rsidRPr="00BD4B6E">
              <w:rPr>
                <w:sz w:val="20"/>
                <w:szCs w:val="20"/>
                <w:lang w:val="fr-CA"/>
              </w:rPr>
              <w:instrText xml:space="preserve"> SEQ CHAPTER \h \r 1</w:instrText>
            </w:r>
            <w:r w:rsidRPr="00BD4B6E">
              <w:rPr>
                <w:sz w:val="20"/>
                <w:szCs w:val="20"/>
              </w:rPr>
              <w:fldChar w:fldCharType="end"/>
            </w:r>
          </w:p>
        </w:tc>
      </w:tr>
      <w:tr w:rsidR="00DC6F21" w:rsidRPr="00BD4B6E" w:rsidTr="003F4F9C">
        <w:tc>
          <w:tcPr>
            <w:tcW w:w="4338" w:type="dxa"/>
          </w:tcPr>
          <w:p w:rsidR="00DC6F21" w:rsidRPr="00BD4B6E" w:rsidRDefault="00DC6F21" w:rsidP="003F4F9C">
            <w:pPr>
              <w:tabs>
                <w:tab w:val="left" w:pos="-1440"/>
                <w:tab w:val="left" w:pos="-720"/>
              </w:tabs>
              <w:jc w:val="both"/>
              <w:rPr>
                <w:sz w:val="20"/>
                <w:szCs w:val="20"/>
              </w:rPr>
            </w:pPr>
            <w:r w:rsidRPr="00BD4B6E">
              <w:rPr>
                <w:sz w:val="20"/>
                <w:szCs w:val="20"/>
              </w:rPr>
              <w:t>Teva Canada Limited</w:t>
            </w:r>
          </w:p>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r w:rsidRPr="00BD4B6E">
              <w:rPr>
                <w:sz w:val="20"/>
                <w:szCs w:val="20"/>
              </w:rPr>
              <w:tab/>
              <w:t>v. (33951)</w:t>
            </w:r>
          </w:p>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lang w:val="fr-CA"/>
              </w:rPr>
            </w:pPr>
            <w:r w:rsidRPr="00BD4B6E">
              <w:rPr>
                <w:sz w:val="20"/>
                <w:szCs w:val="20"/>
              </w:rPr>
              <w:t xml:space="preserve">Pfizer Canada Inc. et al. </w:t>
            </w:r>
            <w:r w:rsidRPr="00BD4B6E">
              <w:rPr>
                <w:sz w:val="20"/>
                <w:szCs w:val="20"/>
                <w:lang w:val="fr-CA"/>
              </w:rPr>
              <w:t>(F.C.)</w:t>
            </w:r>
          </w:p>
        </w:tc>
        <w:tc>
          <w:tcPr>
            <w:tcW w:w="1170" w:type="dxa"/>
          </w:tcPr>
          <w:p w:rsidR="00DC6F21" w:rsidRPr="00BD4B6E" w:rsidRDefault="00DC6F21" w:rsidP="003F4F9C">
            <w:pPr>
              <w:tabs>
                <w:tab w:val="left" w:pos="-1440"/>
                <w:tab w:val="left" w:pos="-720"/>
              </w:tabs>
              <w:jc w:val="both"/>
              <w:rPr>
                <w:sz w:val="20"/>
                <w:szCs w:val="20"/>
                <w:lang w:val="fr-CA"/>
              </w:rPr>
            </w:pPr>
          </w:p>
        </w:tc>
        <w:tc>
          <w:tcPr>
            <w:tcW w:w="4327" w:type="dxa"/>
          </w:tcPr>
          <w:p w:rsidR="00DC6F21" w:rsidRPr="00BD4B6E" w:rsidRDefault="00DC6F21" w:rsidP="003F4F9C">
            <w:pPr>
              <w:tabs>
                <w:tab w:val="left" w:pos="-1440"/>
                <w:tab w:val="left" w:pos="-720"/>
              </w:tabs>
              <w:jc w:val="both"/>
              <w:rPr>
                <w:sz w:val="20"/>
                <w:szCs w:val="20"/>
                <w:lang w:val="fr-CA"/>
              </w:rPr>
            </w:pPr>
          </w:p>
        </w:tc>
      </w:tr>
    </w:tbl>
    <w:p w:rsidR="00DC6F21" w:rsidRPr="00BD4B6E" w:rsidRDefault="00DC6F21" w:rsidP="00DC6F21">
      <w:pPr>
        <w:tabs>
          <w:tab w:val="left" w:pos="-1440"/>
          <w:tab w:val="left" w:pos="-720"/>
        </w:tabs>
        <w:jc w:val="both"/>
        <w:rPr>
          <w:sz w:val="20"/>
          <w:szCs w:val="20"/>
          <w:lang w:val="fr-CA"/>
        </w:rPr>
      </w:pPr>
    </w:p>
    <w:p w:rsidR="00DC6F21" w:rsidRPr="00BD4B6E" w:rsidRDefault="00DC6F21" w:rsidP="00DC6F21">
      <w:pPr>
        <w:tabs>
          <w:tab w:val="left" w:pos="-1440"/>
          <w:tab w:val="left" w:pos="-720"/>
        </w:tabs>
        <w:jc w:val="both"/>
        <w:rPr>
          <w:b/>
          <w:sz w:val="20"/>
          <w:szCs w:val="20"/>
          <w:lang w:val="fr-CA"/>
        </w:rPr>
      </w:pPr>
      <w:r w:rsidRPr="00BD4B6E">
        <w:rPr>
          <w:b/>
          <w:sz w:val="20"/>
          <w:szCs w:val="20"/>
          <w:lang w:val="fr-CA"/>
        </w:rPr>
        <w:t>GRANTED IN PART / ACCORDÉE EN PARTIE</w:t>
      </w:r>
    </w:p>
    <w:p w:rsidR="00DC6F21" w:rsidRPr="00BD4B6E" w:rsidRDefault="00DC6F21" w:rsidP="00DC6F21">
      <w:pPr>
        <w:tabs>
          <w:tab w:val="left" w:pos="-1440"/>
          <w:tab w:val="left" w:pos="-720"/>
        </w:tabs>
        <w:jc w:val="both"/>
        <w:rPr>
          <w:sz w:val="20"/>
          <w:szCs w:val="20"/>
          <w:lang w:val="fr-CA"/>
        </w:rPr>
      </w:pPr>
    </w:p>
    <w:p w:rsidR="00DC6F21" w:rsidRPr="00BD4B6E" w:rsidRDefault="00DC6F21" w:rsidP="00DC6F21">
      <w:pPr>
        <w:spacing w:line="230" w:lineRule="auto"/>
        <w:jc w:val="both"/>
        <w:rPr>
          <w:sz w:val="20"/>
          <w:szCs w:val="20"/>
        </w:rPr>
      </w:pPr>
      <w:r w:rsidRPr="00BD4B6E">
        <w:rPr>
          <w:b/>
          <w:bCs/>
          <w:sz w:val="20"/>
          <w:szCs w:val="20"/>
        </w:rPr>
        <w:t xml:space="preserve">UPON APPLICATION </w:t>
      </w:r>
      <w:r w:rsidRPr="00BD4B6E">
        <w:rPr>
          <w:bCs/>
          <w:sz w:val="20"/>
          <w:szCs w:val="20"/>
        </w:rPr>
        <w:t>by</w:t>
      </w:r>
      <w:r w:rsidRPr="00BD4B6E">
        <w:rPr>
          <w:sz w:val="20"/>
          <w:szCs w:val="20"/>
        </w:rPr>
        <w:t xml:space="preserve"> </w:t>
      </w:r>
      <w:r w:rsidRPr="00BD4B6E">
        <w:rPr>
          <w:sz w:val="20"/>
          <w:szCs w:val="20"/>
          <w:lang w:val="en-GB"/>
        </w:rPr>
        <w:t xml:space="preserve">the appellant </w:t>
      </w:r>
      <w:r w:rsidRPr="00BD4B6E">
        <w:rPr>
          <w:sz w:val="20"/>
          <w:szCs w:val="20"/>
        </w:rPr>
        <w:t>for:</w:t>
      </w:r>
    </w:p>
    <w:p w:rsidR="00DC6F21" w:rsidRPr="00BD4B6E" w:rsidRDefault="00DC6F21" w:rsidP="00DC6F21">
      <w:pPr>
        <w:spacing w:line="230" w:lineRule="auto"/>
        <w:jc w:val="both"/>
        <w:rPr>
          <w:sz w:val="20"/>
          <w:szCs w:val="20"/>
        </w:rPr>
      </w:pPr>
    </w:p>
    <w:p w:rsidR="00DC6F21" w:rsidRPr="00BD4B6E" w:rsidRDefault="00DC6F21" w:rsidP="00DC6F21">
      <w:pPr>
        <w:spacing w:line="230" w:lineRule="auto"/>
        <w:jc w:val="both"/>
        <w:rPr>
          <w:sz w:val="20"/>
          <w:szCs w:val="20"/>
          <w:lang w:val="en-GB"/>
        </w:rPr>
      </w:pPr>
      <w:r w:rsidRPr="00BD4B6E">
        <w:rPr>
          <w:sz w:val="20"/>
          <w:szCs w:val="20"/>
        </w:rPr>
        <w:t>1) An order striking the last two sentences of paragraph 6; paragraphs 9, 10, 11; Figure 3; paragraphs 12(2), 12(3), 16, 17, 18, 19, 20, 21; the first four sentences of paragraph 22; paragraph 23; and the fourth sentence of paragraph 24 from the factum filed by the intervener, Canada’s Research-Based Pharmaceutical Companies</w:t>
      </w:r>
      <w:r w:rsidRPr="00BD4B6E">
        <w:rPr>
          <w:sz w:val="20"/>
          <w:szCs w:val="20"/>
          <w:lang w:val="en-GB"/>
        </w:rPr>
        <w:t>;</w:t>
      </w:r>
    </w:p>
    <w:p w:rsidR="00DC6F21" w:rsidRPr="00BD4B6E" w:rsidRDefault="00DC6F21" w:rsidP="00DC6F21">
      <w:pPr>
        <w:spacing w:line="230" w:lineRule="auto"/>
        <w:jc w:val="both"/>
        <w:rPr>
          <w:sz w:val="20"/>
          <w:szCs w:val="20"/>
          <w:lang w:val="en-GB"/>
        </w:rPr>
      </w:pPr>
    </w:p>
    <w:p w:rsidR="00DC6F21" w:rsidRPr="00BD4B6E" w:rsidRDefault="00DC6F21" w:rsidP="00DC6F21">
      <w:pPr>
        <w:spacing w:line="230" w:lineRule="auto"/>
        <w:jc w:val="both"/>
        <w:rPr>
          <w:sz w:val="20"/>
          <w:szCs w:val="20"/>
          <w:lang w:val="en-GB"/>
        </w:rPr>
      </w:pPr>
      <w:r w:rsidRPr="00BD4B6E">
        <w:rPr>
          <w:sz w:val="20"/>
          <w:szCs w:val="20"/>
          <w:lang w:val="en-GB"/>
        </w:rPr>
        <w:t xml:space="preserve">2) </w:t>
      </w:r>
      <w:r w:rsidRPr="00BD4B6E">
        <w:rPr>
          <w:sz w:val="20"/>
          <w:szCs w:val="20"/>
        </w:rPr>
        <w:t>Permission to file a reply factum, not exceeding five pages, to address the issues of foreign law, harmonization and Canada’s international treaty obligations and an additional 5 minutes for oral argument;</w:t>
      </w:r>
    </w:p>
    <w:p w:rsidR="00DC6F21" w:rsidRPr="00BD4B6E" w:rsidRDefault="00DC6F21" w:rsidP="00DC6F21">
      <w:pPr>
        <w:spacing w:line="230" w:lineRule="auto"/>
        <w:jc w:val="both"/>
        <w:rPr>
          <w:sz w:val="20"/>
          <w:szCs w:val="20"/>
          <w:lang w:val="en-GB"/>
        </w:rPr>
      </w:pPr>
    </w:p>
    <w:p w:rsidR="00DC6F21" w:rsidRPr="00BD4B6E" w:rsidRDefault="00DC6F21" w:rsidP="00DC6F21">
      <w:pPr>
        <w:spacing w:line="230" w:lineRule="auto"/>
        <w:jc w:val="both"/>
        <w:rPr>
          <w:sz w:val="20"/>
          <w:szCs w:val="20"/>
        </w:rPr>
      </w:pPr>
      <w:r w:rsidRPr="00BD4B6E">
        <w:rPr>
          <w:b/>
          <w:bCs/>
          <w:sz w:val="20"/>
          <w:szCs w:val="20"/>
        </w:rPr>
        <w:t>AND THE MATERIAL FILED</w:t>
      </w:r>
      <w:r w:rsidRPr="00BD4B6E">
        <w:rPr>
          <w:sz w:val="20"/>
          <w:szCs w:val="20"/>
        </w:rPr>
        <w:t xml:space="preserve"> having been read;</w:t>
      </w:r>
    </w:p>
    <w:p w:rsidR="00DC6F21" w:rsidRPr="00BD4B6E" w:rsidRDefault="00DC6F21" w:rsidP="00DC6F21">
      <w:pPr>
        <w:spacing w:line="230" w:lineRule="auto"/>
        <w:jc w:val="both"/>
        <w:rPr>
          <w:sz w:val="20"/>
          <w:szCs w:val="20"/>
        </w:rPr>
      </w:pPr>
    </w:p>
    <w:p w:rsidR="00DC6F21" w:rsidRPr="00BD4B6E" w:rsidRDefault="00DC6F21" w:rsidP="00DC6F21">
      <w:pPr>
        <w:spacing w:line="230" w:lineRule="auto"/>
        <w:jc w:val="both"/>
        <w:rPr>
          <w:sz w:val="20"/>
          <w:szCs w:val="20"/>
        </w:rPr>
      </w:pPr>
      <w:r w:rsidRPr="00BD4B6E">
        <w:rPr>
          <w:b/>
          <w:bCs/>
          <w:sz w:val="20"/>
          <w:szCs w:val="20"/>
        </w:rPr>
        <w:t>IT IS HEREBY ORDERED THAT:</w:t>
      </w:r>
    </w:p>
    <w:p w:rsidR="00DC6F21" w:rsidRPr="00BD4B6E" w:rsidRDefault="00DC6F21" w:rsidP="00DC6F21">
      <w:pPr>
        <w:spacing w:line="230" w:lineRule="auto"/>
        <w:jc w:val="both"/>
        <w:rPr>
          <w:sz w:val="20"/>
          <w:szCs w:val="20"/>
        </w:rPr>
      </w:pPr>
    </w:p>
    <w:p w:rsidR="00DC6F21" w:rsidRPr="00BD4B6E" w:rsidRDefault="00DC6F21" w:rsidP="00DC6F21">
      <w:pPr>
        <w:spacing w:line="230" w:lineRule="auto"/>
        <w:ind w:left="1440" w:hanging="720"/>
        <w:jc w:val="both"/>
        <w:rPr>
          <w:sz w:val="20"/>
          <w:szCs w:val="20"/>
          <w:lang w:val="en-GB"/>
        </w:rPr>
      </w:pPr>
      <w:r w:rsidRPr="00BD4B6E">
        <w:rPr>
          <w:sz w:val="20"/>
          <w:szCs w:val="20"/>
        </w:rPr>
        <w:t>1)</w:t>
      </w:r>
      <w:r w:rsidRPr="00BD4B6E">
        <w:rPr>
          <w:sz w:val="20"/>
          <w:szCs w:val="20"/>
        </w:rPr>
        <w:tab/>
        <w:t>The motion to strike is granted with costs payable by the intervener Canada’s Research-Based Pharmaceutical Companies</w:t>
      </w:r>
      <w:r w:rsidRPr="00BD4B6E">
        <w:rPr>
          <w:sz w:val="20"/>
          <w:szCs w:val="20"/>
          <w:lang w:val="en-GB"/>
        </w:rPr>
        <w:t>;</w:t>
      </w:r>
    </w:p>
    <w:p w:rsidR="00DC6F21" w:rsidRPr="00BD4B6E" w:rsidRDefault="00DC6F21" w:rsidP="00DC6F21">
      <w:pPr>
        <w:spacing w:line="230" w:lineRule="auto"/>
        <w:jc w:val="both"/>
        <w:rPr>
          <w:sz w:val="20"/>
          <w:szCs w:val="20"/>
        </w:rPr>
      </w:pPr>
    </w:p>
    <w:p w:rsidR="00DC6F21" w:rsidRPr="00BD4B6E" w:rsidRDefault="00DC6F21" w:rsidP="00DC6F21">
      <w:pPr>
        <w:tabs>
          <w:tab w:val="left" w:pos="-1440"/>
        </w:tabs>
        <w:spacing w:line="230" w:lineRule="auto"/>
        <w:ind w:left="1440" w:hanging="720"/>
        <w:jc w:val="both"/>
        <w:rPr>
          <w:sz w:val="20"/>
          <w:szCs w:val="20"/>
        </w:rPr>
      </w:pPr>
      <w:r w:rsidRPr="00BD4B6E">
        <w:rPr>
          <w:sz w:val="20"/>
          <w:szCs w:val="20"/>
        </w:rPr>
        <w:t>2)</w:t>
      </w:r>
      <w:r w:rsidRPr="00BD4B6E">
        <w:rPr>
          <w:sz w:val="20"/>
          <w:szCs w:val="20"/>
        </w:rPr>
        <w:tab/>
        <w:t>The appellant and the respondents Pfizer are both granted permission to file a reply factum, not exceeding 5 pages, to address the issues of foreign law, harmonization and Canada’s international treaty obligations on or before March 19, 2012;</w:t>
      </w:r>
    </w:p>
    <w:p w:rsidR="00DC6F21" w:rsidRDefault="00DC6F21" w:rsidP="00DC6F21">
      <w:pPr>
        <w:tabs>
          <w:tab w:val="left" w:pos="-1440"/>
        </w:tabs>
        <w:spacing w:line="230" w:lineRule="auto"/>
        <w:ind w:left="720" w:hanging="720"/>
        <w:jc w:val="both"/>
        <w:rPr>
          <w:sz w:val="20"/>
          <w:szCs w:val="20"/>
        </w:rPr>
      </w:pPr>
    </w:p>
    <w:p w:rsidR="00DC6F21" w:rsidRPr="00BD4B6E" w:rsidRDefault="00DC6F21" w:rsidP="00DC6F21">
      <w:pPr>
        <w:tabs>
          <w:tab w:val="left" w:pos="-1440"/>
        </w:tabs>
        <w:spacing w:line="230" w:lineRule="auto"/>
        <w:ind w:left="1440" w:hanging="720"/>
        <w:jc w:val="both"/>
        <w:rPr>
          <w:sz w:val="20"/>
          <w:szCs w:val="20"/>
        </w:rPr>
      </w:pPr>
      <w:r w:rsidRPr="00BD4B6E">
        <w:rPr>
          <w:sz w:val="20"/>
          <w:szCs w:val="20"/>
        </w:rPr>
        <w:t>3)</w:t>
      </w:r>
      <w:r w:rsidRPr="00BD4B6E">
        <w:rPr>
          <w:sz w:val="20"/>
          <w:szCs w:val="20"/>
        </w:rPr>
        <w:tab/>
        <w:t>The request for additional time for oral argument is denied.</w:t>
      </w:r>
    </w:p>
    <w:p w:rsidR="00DC6F21" w:rsidRPr="00BD4B6E" w:rsidRDefault="00DC6F21" w:rsidP="00DC6F21">
      <w:pPr>
        <w:spacing w:line="230" w:lineRule="auto"/>
        <w:jc w:val="both"/>
        <w:rPr>
          <w:sz w:val="20"/>
          <w:szCs w:val="20"/>
        </w:rPr>
      </w:pPr>
    </w:p>
    <w:p w:rsidR="00DC6F21" w:rsidRPr="00BD4B6E" w:rsidRDefault="00DC6F21" w:rsidP="00DC6F21">
      <w:pPr>
        <w:spacing w:line="230" w:lineRule="auto"/>
        <w:jc w:val="both"/>
        <w:rPr>
          <w:sz w:val="20"/>
          <w:szCs w:val="20"/>
        </w:rPr>
      </w:pPr>
    </w:p>
    <w:p w:rsidR="00DC6F21" w:rsidRPr="00BD4B6E" w:rsidRDefault="00DC6F21" w:rsidP="00DC6F21">
      <w:pPr>
        <w:spacing w:line="230" w:lineRule="auto"/>
        <w:jc w:val="both"/>
        <w:rPr>
          <w:sz w:val="20"/>
          <w:szCs w:val="20"/>
          <w:lang w:val="fr-FR"/>
        </w:rPr>
      </w:pPr>
      <w:r w:rsidRPr="00BD4B6E">
        <w:rPr>
          <w:b/>
          <w:sz w:val="20"/>
          <w:szCs w:val="20"/>
          <w:lang w:val="fr-FR"/>
        </w:rPr>
        <w:t>À LA SUITE DE LA DEMANDE</w:t>
      </w:r>
      <w:r w:rsidRPr="00BD4B6E">
        <w:rPr>
          <w:sz w:val="20"/>
          <w:szCs w:val="20"/>
          <w:lang w:val="fr-FR"/>
        </w:rPr>
        <w:t xml:space="preserve"> de l’appelante en vue d’obtenir :</w:t>
      </w:r>
    </w:p>
    <w:p w:rsidR="00DC6F21" w:rsidRPr="00BD4B6E" w:rsidRDefault="00DC6F21" w:rsidP="00DC6F21">
      <w:pPr>
        <w:spacing w:line="230" w:lineRule="auto"/>
        <w:jc w:val="both"/>
        <w:rPr>
          <w:sz w:val="20"/>
          <w:szCs w:val="20"/>
          <w:lang w:val="fr-FR"/>
        </w:rPr>
      </w:pPr>
    </w:p>
    <w:p w:rsidR="00DC6F21" w:rsidRPr="00BD4B6E" w:rsidRDefault="00DC6F21" w:rsidP="00DC6F21">
      <w:pPr>
        <w:spacing w:line="230" w:lineRule="auto"/>
        <w:jc w:val="both"/>
        <w:rPr>
          <w:sz w:val="20"/>
          <w:szCs w:val="20"/>
          <w:lang w:val="fr-FR"/>
        </w:rPr>
      </w:pPr>
      <w:r w:rsidRPr="00BD4B6E">
        <w:rPr>
          <w:sz w:val="20"/>
          <w:szCs w:val="20"/>
          <w:lang w:val="fr-FR"/>
        </w:rPr>
        <w:t>1) la radiation des deux dernières phrases du paragraphe 6; des paragraphes 9, 10, 11; du schéma 3; des paragraphes 12(2), 12(3), 16, 17, 18, 19, 20, 21; des quatre premières phrases du paragraphe 22; du paragraphe 23; et de la quatrième phrase du paragraphe 24 du mémoire déposé par l’intervenante Les compagnies de recherche pharmaceutique du Canada;</w:t>
      </w:r>
    </w:p>
    <w:p w:rsidR="00DC6F21" w:rsidRPr="00BD4B6E" w:rsidRDefault="00DC6F21" w:rsidP="00DC6F21">
      <w:pPr>
        <w:pStyle w:val="ListParagraph"/>
        <w:spacing w:line="230" w:lineRule="auto"/>
        <w:ind w:left="1080"/>
        <w:jc w:val="both"/>
        <w:rPr>
          <w:sz w:val="20"/>
          <w:szCs w:val="20"/>
          <w:lang w:val="fr-FR"/>
        </w:rPr>
      </w:pPr>
    </w:p>
    <w:p w:rsidR="00DC6F21" w:rsidRPr="00BD4B6E" w:rsidRDefault="00DC6F21" w:rsidP="00DC6F21">
      <w:pPr>
        <w:spacing w:line="230" w:lineRule="auto"/>
        <w:jc w:val="both"/>
        <w:rPr>
          <w:sz w:val="20"/>
          <w:szCs w:val="20"/>
          <w:lang w:val="fr-FR"/>
        </w:rPr>
      </w:pPr>
      <w:r w:rsidRPr="00BD4B6E">
        <w:rPr>
          <w:sz w:val="20"/>
          <w:szCs w:val="20"/>
          <w:lang w:val="fr-FR"/>
        </w:rPr>
        <w:t>2) l’autorisation de déposer un mémoire en réplique, d’au plus cinq pages, pour traiter des questions de droit étranger, d’harmonisation et des obligations qui incombent au Canada en application de traités internationaux ainsi que l’autorisation de prolonger de 5 minutes sa plaidoirie orale ;</w:t>
      </w:r>
    </w:p>
    <w:p w:rsidR="00DC6F21" w:rsidRPr="00BD4B6E" w:rsidRDefault="00DC6F21" w:rsidP="00DC6F21">
      <w:pPr>
        <w:spacing w:line="230" w:lineRule="auto"/>
        <w:jc w:val="both"/>
        <w:rPr>
          <w:sz w:val="20"/>
          <w:szCs w:val="20"/>
          <w:lang w:val="fr-FR"/>
        </w:rPr>
      </w:pPr>
    </w:p>
    <w:p w:rsidR="00DC6F21" w:rsidRPr="00BD4B6E" w:rsidRDefault="00DC6F21" w:rsidP="00DC6F21">
      <w:pPr>
        <w:spacing w:line="230" w:lineRule="auto"/>
        <w:jc w:val="both"/>
        <w:rPr>
          <w:sz w:val="20"/>
          <w:szCs w:val="20"/>
          <w:lang w:val="fr-FR"/>
        </w:rPr>
      </w:pPr>
      <w:r w:rsidRPr="00BD4B6E">
        <w:rPr>
          <w:b/>
          <w:sz w:val="20"/>
          <w:szCs w:val="20"/>
          <w:lang w:val="fr-FR"/>
        </w:rPr>
        <w:t>ET APRÈS EXAMEN</w:t>
      </w:r>
      <w:r w:rsidRPr="00BD4B6E">
        <w:rPr>
          <w:sz w:val="20"/>
          <w:szCs w:val="20"/>
          <w:lang w:val="fr-FR"/>
        </w:rPr>
        <w:t xml:space="preserve"> des documents déposés, </w:t>
      </w:r>
    </w:p>
    <w:p w:rsidR="00DC6F21" w:rsidRPr="00BD4B6E" w:rsidRDefault="00DC6F21" w:rsidP="00DC6F21">
      <w:pPr>
        <w:spacing w:line="230" w:lineRule="auto"/>
        <w:jc w:val="both"/>
        <w:rPr>
          <w:sz w:val="20"/>
          <w:szCs w:val="20"/>
          <w:lang w:val="fr-FR"/>
        </w:rPr>
      </w:pPr>
    </w:p>
    <w:p w:rsidR="00DC6F21" w:rsidRPr="00BD4B6E" w:rsidRDefault="00DC6F21" w:rsidP="00DC6F21">
      <w:pPr>
        <w:spacing w:line="230" w:lineRule="auto"/>
        <w:jc w:val="both"/>
        <w:rPr>
          <w:b/>
          <w:sz w:val="20"/>
          <w:szCs w:val="20"/>
          <w:lang w:val="fr-FR"/>
        </w:rPr>
      </w:pPr>
      <w:r w:rsidRPr="00BD4B6E">
        <w:rPr>
          <w:b/>
          <w:sz w:val="20"/>
          <w:szCs w:val="20"/>
          <w:lang w:val="fr-FR"/>
        </w:rPr>
        <w:t>IL EST ORDONNÉ CE QUI SUIT :</w:t>
      </w:r>
    </w:p>
    <w:p w:rsidR="00DC6F21" w:rsidRPr="00BD4B6E" w:rsidRDefault="00DC6F21" w:rsidP="00DC6F21">
      <w:pPr>
        <w:spacing w:line="230" w:lineRule="auto"/>
        <w:jc w:val="both"/>
        <w:rPr>
          <w:sz w:val="20"/>
          <w:szCs w:val="20"/>
          <w:lang w:val="fr-FR"/>
        </w:rPr>
      </w:pPr>
    </w:p>
    <w:p w:rsidR="00DC6F21" w:rsidRPr="00BD4B6E" w:rsidRDefault="00DC6F21" w:rsidP="00DC6F21">
      <w:pPr>
        <w:pStyle w:val="ListParagraph"/>
        <w:widowControl w:val="0"/>
        <w:numPr>
          <w:ilvl w:val="0"/>
          <w:numId w:val="5"/>
        </w:numPr>
        <w:autoSpaceDE w:val="0"/>
        <w:autoSpaceDN w:val="0"/>
        <w:adjustRightInd w:val="0"/>
        <w:spacing w:line="230" w:lineRule="auto"/>
        <w:ind w:left="1440" w:hanging="720"/>
        <w:jc w:val="both"/>
        <w:rPr>
          <w:sz w:val="20"/>
          <w:szCs w:val="20"/>
          <w:lang w:val="fr-FR"/>
        </w:rPr>
      </w:pPr>
      <w:r w:rsidRPr="00BD4B6E">
        <w:rPr>
          <w:sz w:val="20"/>
          <w:szCs w:val="20"/>
          <w:lang w:val="fr-FR"/>
        </w:rPr>
        <w:t>La requête en radiation est accueillie avec les dépens payables par l’intervenante Les compagnies de recherche pharmaceutique du Canada;</w:t>
      </w:r>
    </w:p>
    <w:p w:rsidR="00DC6F21" w:rsidRPr="00BD4B6E" w:rsidRDefault="00DC6F21" w:rsidP="00DC6F21">
      <w:pPr>
        <w:pStyle w:val="ListParagraph"/>
        <w:spacing w:line="230" w:lineRule="auto"/>
        <w:ind w:left="0"/>
        <w:jc w:val="both"/>
        <w:rPr>
          <w:sz w:val="20"/>
          <w:szCs w:val="20"/>
          <w:lang w:val="fr-FR"/>
        </w:rPr>
      </w:pPr>
    </w:p>
    <w:p w:rsidR="00DC6F21" w:rsidRPr="00BD4B6E" w:rsidRDefault="00DC6F21" w:rsidP="00DC6F21">
      <w:pPr>
        <w:pStyle w:val="ListParagraph"/>
        <w:widowControl w:val="0"/>
        <w:numPr>
          <w:ilvl w:val="0"/>
          <w:numId w:val="5"/>
        </w:numPr>
        <w:autoSpaceDE w:val="0"/>
        <w:autoSpaceDN w:val="0"/>
        <w:adjustRightInd w:val="0"/>
        <w:spacing w:line="230" w:lineRule="auto"/>
        <w:ind w:left="1440" w:hanging="720"/>
        <w:jc w:val="both"/>
        <w:rPr>
          <w:sz w:val="20"/>
          <w:szCs w:val="20"/>
          <w:lang w:val="fr-FR"/>
        </w:rPr>
      </w:pPr>
      <w:r w:rsidRPr="00BD4B6E">
        <w:rPr>
          <w:sz w:val="20"/>
          <w:szCs w:val="20"/>
          <w:lang w:val="fr-FR"/>
        </w:rPr>
        <w:t>L’appelante et le groupe d’intimées Pfizer sont chacun autorisés à déposer, au plus tard le 19 mars 2012, un mémoire en réplique d’au plus cinq pages, pour traiter des questions de droit étranger, d’harmonisation et des obligations qui incombent au Canada en application de traités internationaux;</w:t>
      </w:r>
    </w:p>
    <w:p w:rsidR="00DC6F21" w:rsidRPr="00BD4B6E" w:rsidRDefault="00DC6F21" w:rsidP="00DC6F21">
      <w:pPr>
        <w:pStyle w:val="ListParagraph"/>
        <w:spacing w:line="230" w:lineRule="auto"/>
        <w:ind w:left="0"/>
        <w:rPr>
          <w:sz w:val="20"/>
          <w:szCs w:val="20"/>
          <w:lang w:val="fr-FR"/>
        </w:rPr>
      </w:pPr>
    </w:p>
    <w:p w:rsidR="00DC6F21" w:rsidRPr="00BD4B6E" w:rsidRDefault="00DC6F21" w:rsidP="00DC6F21">
      <w:pPr>
        <w:pStyle w:val="ListParagraph"/>
        <w:widowControl w:val="0"/>
        <w:numPr>
          <w:ilvl w:val="0"/>
          <w:numId w:val="5"/>
        </w:numPr>
        <w:autoSpaceDE w:val="0"/>
        <w:autoSpaceDN w:val="0"/>
        <w:adjustRightInd w:val="0"/>
        <w:spacing w:line="230" w:lineRule="auto"/>
        <w:ind w:left="1440" w:hanging="720"/>
        <w:jc w:val="both"/>
        <w:rPr>
          <w:sz w:val="20"/>
          <w:szCs w:val="20"/>
          <w:lang w:val="fr-FR"/>
        </w:rPr>
      </w:pPr>
      <w:r w:rsidRPr="00BD4B6E">
        <w:rPr>
          <w:sz w:val="20"/>
          <w:szCs w:val="20"/>
          <w:lang w:val="fr-FR"/>
        </w:rPr>
        <w:t>La requête sollicitant une prolongation de la plaidoirie orale est rejetée.</w:t>
      </w:r>
    </w:p>
    <w:p w:rsidR="00DC6F21" w:rsidRPr="00BD4B6E" w:rsidRDefault="00DC6F21" w:rsidP="00DC6F21">
      <w:pPr>
        <w:tabs>
          <w:tab w:val="left" w:pos="-1440"/>
          <w:tab w:val="left" w:pos="-720"/>
        </w:tabs>
        <w:jc w:val="both"/>
        <w:rPr>
          <w:sz w:val="20"/>
          <w:szCs w:val="20"/>
          <w:lang w:val="fr-FR"/>
        </w:rPr>
      </w:pPr>
    </w:p>
    <w:p w:rsidR="00DC6F21" w:rsidRPr="00BD4B6E" w:rsidRDefault="009019DC" w:rsidP="00DC6F21">
      <w:pPr>
        <w:tabs>
          <w:tab w:val="left" w:pos="-1440"/>
          <w:tab w:val="left" w:pos="-720"/>
        </w:tabs>
        <w:jc w:val="both"/>
        <w:rPr>
          <w:sz w:val="20"/>
          <w:szCs w:val="20"/>
          <w:lang w:val="fr-CA"/>
        </w:rPr>
      </w:pPr>
      <w:r w:rsidRPr="009019DC">
        <w:rPr>
          <w:sz w:val="20"/>
          <w:szCs w:val="20"/>
          <w:lang w:val="fr-CA"/>
        </w:rPr>
        <w:pict>
          <v:rect id="_x0000_i1051" style="width:2in;height:1pt" o:hrpct="0" o:hralign="center" o:hrstd="t" o:hrnoshade="t" o:hr="t" fillcolor="black [3213]" stroked="f"/>
        </w:pict>
      </w:r>
    </w:p>
    <w:p w:rsidR="00DC6F21" w:rsidRPr="00BD4B6E" w:rsidRDefault="00DC6F21" w:rsidP="00DC6F21">
      <w:pPr>
        <w:tabs>
          <w:tab w:val="left" w:pos="-1440"/>
          <w:tab w:val="left" w:pos="-720"/>
        </w:tabs>
        <w:jc w:val="both"/>
        <w:rPr>
          <w:sz w:val="20"/>
          <w:szCs w:val="20"/>
          <w:lang w:val="fr-CA"/>
        </w:rPr>
      </w:pPr>
    </w:p>
    <w:p w:rsidR="00DC6F21" w:rsidRPr="00BD4B6E" w:rsidRDefault="00DC6F21" w:rsidP="00DC6F21">
      <w:pPr>
        <w:tabs>
          <w:tab w:val="left" w:pos="-1440"/>
          <w:tab w:val="left" w:pos="-720"/>
          <w:tab w:val="left" w:pos="810"/>
        </w:tabs>
        <w:jc w:val="both"/>
        <w:rPr>
          <w:sz w:val="20"/>
          <w:szCs w:val="20"/>
          <w:lang w:val="fr-CA"/>
        </w:rPr>
      </w:pPr>
      <w:r w:rsidRPr="00BD4B6E">
        <w:rPr>
          <w:sz w:val="20"/>
          <w:szCs w:val="20"/>
          <w:lang w:val="fr-CA"/>
        </w:rPr>
        <w:t>07.03.2012</w:t>
      </w:r>
    </w:p>
    <w:p w:rsidR="00DC6F21" w:rsidRPr="00BD4B6E" w:rsidRDefault="00DC6F21" w:rsidP="00DC6F21">
      <w:pPr>
        <w:tabs>
          <w:tab w:val="left" w:pos="-1440"/>
          <w:tab w:val="left" w:pos="-720"/>
          <w:tab w:val="left" w:pos="810"/>
        </w:tabs>
        <w:jc w:val="both"/>
        <w:rPr>
          <w:sz w:val="20"/>
          <w:szCs w:val="20"/>
          <w:lang w:val="fr-CA"/>
        </w:rPr>
      </w:pPr>
    </w:p>
    <w:p w:rsidR="00DC6F21" w:rsidRPr="00BD4B6E" w:rsidRDefault="00DC6F21" w:rsidP="00DC6F21">
      <w:pPr>
        <w:tabs>
          <w:tab w:val="left" w:pos="-1440"/>
          <w:tab w:val="left" w:pos="-720"/>
          <w:tab w:val="left" w:pos="810"/>
        </w:tabs>
        <w:jc w:val="both"/>
        <w:rPr>
          <w:sz w:val="20"/>
          <w:szCs w:val="20"/>
          <w:lang w:val="fr-CA"/>
        </w:rPr>
      </w:pPr>
      <w:r w:rsidRPr="00BD4B6E">
        <w:rPr>
          <w:sz w:val="20"/>
          <w:szCs w:val="20"/>
          <w:lang w:val="fr-CA"/>
        </w:rPr>
        <w:t>Before / Devant :   ROTHSTEIN J. / LE JUGE ROTHSTEIN</w:t>
      </w:r>
    </w:p>
    <w:p w:rsidR="00DC6F21" w:rsidRPr="00BD4B6E" w:rsidRDefault="00DC6F21" w:rsidP="00DC6F21">
      <w:pPr>
        <w:tabs>
          <w:tab w:val="left" w:pos="-1440"/>
          <w:tab w:val="left" w:pos="-720"/>
          <w:tab w:val="left" w:pos="81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DC6F21" w:rsidRPr="00BD4B6E" w:rsidTr="003F4F9C">
        <w:tc>
          <w:tcPr>
            <w:tcW w:w="4338" w:type="dxa"/>
            <w:gridSpan w:val="2"/>
          </w:tcPr>
          <w:p w:rsidR="00DC6F21" w:rsidRPr="00BD4B6E" w:rsidRDefault="00DC6F21" w:rsidP="003F4F9C">
            <w:pPr>
              <w:tabs>
                <w:tab w:val="left" w:pos="810"/>
              </w:tabs>
              <w:rPr>
                <w:b/>
                <w:sz w:val="20"/>
                <w:szCs w:val="20"/>
              </w:rPr>
            </w:pPr>
            <w:r w:rsidRPr="00BD4B6E">
              <w:rPr>
                <w:b/>
                <w:sz w:val="20"/>
                <w:szCs w:val="20"/>
              </w:rPr>
              <w:t>Motion for leave to intervene</w:t>
            </w:r>
            <w:r w:rsidRPr="00BD4B6E">
              <w:rPr>
                <w:sz w:val="20"/>
                <w:szCs w:val="20"/>
              </w:rPr>
              <w:t xml:space="preserve"> </w:t>
            </w:r>
            <w:r w:rsidR="009019DC" w:rsidRPr="00BD4B6E">
              <w:rPr>
                <w:sz w:val="20"/>
                <w:szCs w:val="20"/>
              </w:rPr>
              <w:fldChar w:fldCharType="begin"/>
            </w:r>
            <w:r w:rsidRPr="00BD4B6E">
              <w:rPr>
                <w:sz w:val="20"/>
                <w:szCs w:val="20"/>
              </w:rPr>
              <w:instrText xml:space="preserve"> SEQ CHAPTER \h \r 1</w:instrText>
            </w:r>
            <w:r w:rsidR="009019DC" w:rsidRPr="00BD4B6E">
              <w:rPr>
                <w:sz w:val="20"/>
                <w:szCs w:val="20"/>
              </w:rPr>
              <w:fldChar w:fldCharType="end"/>
            </w:r>
          </w:p>
        </w:tc>
        <w:tc>
          <w:tcPr>
            <w:tcW w:w="1170" w:type="dxa"/>
          </w:tcPr>
          <w:p w:rsidR="00DC6F21" w:rsidRPr="00BD4B6E" w:rsidRDefault="00DC6F21" w:rsidP="003F4F9C">
            <w:pPr>
              <w:tabs>
                <w:tab w:val="left" w:pos="810"/>
              </w:tabs>
              <w:rPr>
                <w:sz w:val="20"/>
                <w:szCs w:val="20"/>
              </w:rPr>
            </w:pPr>
          </w:p>
          <w:p w:rsidR="00DC6F21" w:rsidRPr="00BD4B6E" w:rsidRDefault="00DC6F21" w:rsidP="003F4F9C">
            <w:pPr>
              <w:tabs>
                <w:tab w:val="left" w:pos="810"/>
              </w:tabs>
              <w:rPr>
                <w:sz w:val="20"/>
                <w:szCs w:val="20"/>
              </w:rPr>
            </w:pPr>
          </w:p>
        </w:tc>
        <w:tc>
          <w:tcPr>
            <w:tcW w:w="4327" w:type="dxa"/>
          </w:tcPr>
          <w:p w:rsidR="00DC6F21" w:rsidRPr="00BD4B6E" w:rsidRDefault="00DC6F21" w:rsidP="003F4F9C">
            <w:pPr>
              <w:tabs>
                <w:tab w:val="left" w:pos="810"/>
              </w:tabs>
              <w:rPr>
                <w:b/>
                <w:sz w:val="20"/>
                <w:szCs w:val="20"/>
              </w:rPr>
            </w:pPr>
            <w:r w:rsidRPr="00BD4B6E">
              <w:rPr>
                <w:b/>
                <w:bCs/>
                <w:sz w:val="20"/>
                <w:szCs w:val="20"/>
                <w:lang w:val="fr-CA"/>
              </w:rPr>
              <w:t>Requête en autorisation d’intervenir</w:t>
            </w:r>
            <w:r w:rsidRPr="00BD4B6E">
              <w:rPr>
                <w:sz w:val="20"/>
                <w:szCs w:val="20"/>
              </w:rPr>
              <w:t xml:space="preserve"> </w:t>
            </w:r>
            <w:r w:rsidR="009019DC" w:rsidRPr="00BD4B6E">
              <w:rPr>
                <w:sz w:val="20"/>
                <w:szCs w:val="20"/>
              </w:rPr>
              <w:fldChar w:fldCharType="begin"/>
            </w:r>
            <w:r w:rsidRPr="00BD4B6E">
              <w:rPr>
                <w:sz w:val="20"/>
                <w:szCs w:val="20"/>
              </w:rPr>
              <w:instrText xml:space="preserve"> SEQ CHAPTER \h \r 1</w:instrText>
            </w:r>
            <w:r w:rsidR="009019DC" w:rsidRPr="00BD4B6E">
              <w:rPr>
                <w:sz w:val="20"/>
                <w:szCs w:val="20"/>
              </w:rPr>
              <w:fldChar w:fldCharType="end"/>
            </w:r>
          </w:p>
        </w:tc>
      </w:tr>
      <w:tr w:rsidR="00DC6F21" w:rsidRPr="00BD4B6E" w:rsidTr="003F4F9C">
        <w:tc>
          <w:tcPr>
            <w:tcW w:w="1368" w:type="dxa"/>
          </w:tcPr>
          <w:p w:rsidR="00DC6F21" w:rsidRPr="00BD4B6E" w:rsidRDefault="00DC6F21" w:rsidP="003F4F9C">
            <w:pPr>
              <w:tabs>
                <w:tab w:val="left" w:pos="810"/>
              </w:tabs>
              <w:rPr>
                <w:sz w:val="20"/>
                <w:szCs w:val="20"/>
              </w:rPr>
            </w:pPr>
            <w:r w:rsidRPr="00BD4B6E">
              <w:rPr>
                <w:sz w:val="20"/>
                <w:szCs w:val="20"/>
              </w:rPr>
              <w:t>BY / PAR</w:t>
            </w:r>
          </w:p>
        </w:tc>
        <w:tc>
          <w:tcPr>
            <w:tcW w:w="2970" w:type="dxa"/>
          </w:tcPr>
          <w:p w:rsidR="00DC6F21" w:rsidRPr="00BD4B6E" w:rsidRDefault="00DC6F21" w:rsidP="003F4F9C">
            <w:pPr>
              <w:tabs>
                <w:tab w:val="left" w:pos="810"/>
              </w:tabs>
              <w:rPr>
                <w:sz w:val="20"/>
                <w:szCs w:val="20"/>
              </w:rPr>
            </w:pPr>
            <w:r w:rsidRPr="00BD4B6E">
              <w:rPr>
                <w:sz w:val="20"/>
                <w:szCs w:val="20"/>
              </w:rPr>
              <w:t>Attorney General of Ontario</w:t>
            </w:r>
          </w:p>
        </w:tc>
        <w:tc>
          <w:tcPr>
            <w:tcW w:w="1170" w:type="dxa"/>
          </w:tcPr>
          <w:p w:rsidR="00DC6F21" w:rsidRPr="00BD4B6E" w:rsidRDefault="00DC6F21" w:rsidP="003F4F9C">
            <w:pPr>
              <w:tabs>
                <w:tab w:val="left" w:pos="810"/>
              </w:tabs>
              <w:rPr>
                <w:sz w:val="20"/>
                <w:szCs w:val="20"/>
              </w:rPr>
            </w:pPr>
          </w:p>
        </w:tc>
        <w:tc>
          <w:tcPr>
            <w:tcW w:w="4327" w:type="dxa"/>
          </w:tcPr>
          <w:p w:rsidR="00DC6F21" w:rsidRPr="00BD4B6E" w:rsidRDefault="00DC6F21" w:rsidP="003F4F9C">
            <w:pPr>
              <w:tabs>
                <w:tab w:val="left" w:pos="810"/>
              </w:tabs>
              <w:rPr>
                <w:sz w:val="20"/>
                <w:szCs w:val="20"/>
              </w:rPr>
            </w:pPr>
          </w:p>
        </w:tc>
      </w:tr>
      <w:tr w:rsidR="00DC6F21" w:rsidRPr="00BD4B6E" w:rsidTr="003F4F9C">
        <w:tc>
          <w:tcPr>
            <w:tcW w:w="1368" w:type="dxa"/>
          </w:tcPr>
          <w:p w:rsidR="00DC6F21" w:rsidRPr="00BD4B6E" w:rsidRDefault="00DC6F21" w:rsidP="003F4F9C">
            <w:pPr>
              <w:tabs>
                <w:tab w:val="left" w:pos="810"/>
              </w:tabs>
              <w:rPr>
                <w:sz w:val="20"/>
                <w:szCs w:val="20"/>
              </w:rPr>
            </w:pPr>
          </w:p>
        </w:tc>
        <w:tc>
          <w:tcPr>
            <w:tcW w:w="2970" w:type="dxa"/>
          </w:tcPr>
          <w:p w:rsidR="00DC6F21" w:rsidRPr="00BD4B6E" w:rsidRDefault="00DC6F21" w:rsidP="003F4F9C">
            <w:pPr>
              <w:tabs>
                <w:tab w:val="left" w:pos="810"/>
              </w:tabs>
              <w:rPr>
                <w:sz w:val="20"/>
                <w:szCs w:val="20"/>
              </w:rPr>
            </w:pPr>
          </w:p>
        </w:tc>
        <w:tc>
          <w:tcPr>
            <w:tcW w:w="1170" w:type="dxa"/>
          </w:tcPr>
          <w:p w:rsidR="00DC6F21" w:rsidRPr="00BD4B6E" w:rsidRDefault="00DC6F21" w:rsidP="003F4F9C">
            <w:pPr>
              <w:tabs>
                <w:tab w:val="left" w:pos="810"/>
              </w:tabs>
              <w:rPr>
                <w:sz w:val="20"/>
                <w:szCs w:val="20"/>
              </w:rPr>
            </w:pPr>
          </w:p>
        </w:tc>
        <w:tc>
          <w:tcPr>
            <w:tcW w:w="4327" w:type="dxa"/>
          </w:tcPr>
          <w:p w:rsidR="00DC6F21" w:rsidRPr="00BD4B6E" w:rsidRDefault="00DC6F21" w:rsidP="003F4F9C">
            <w:pPr>
              <w:tabs>
                <w:tab w:val="left" w:pos="810"/>
              </w:tabs>
              <w:rPr>
                <w:sz w:val="20"/>
                <w:szCs w:val="20"/>
              </w:rPr>
            </w:pPr>
          </w:p>
        </w:tc>
      </w:tr>
      <w:tr w:rsidR="00DC6F21" w:rsidRPr="00BD4B6E" w:rsidTr="003F4F9C">
        <w:tc>
          <w:tcPr>
            <w:tcW w:w="1368" w:type="dxa"/>
          </w:tcPr>
          <w:p w:rsidR="00DC6F21" w:rsidRPr="00BD4B6E" w:rsidRDefault="00DC6F21" w:rsidP="003F4F9C">
            <w:pPr>
              <w:tabs>
                <w:tab w:val="left" w:pos="810"/>
              </w:tabs>
              <w:rPr>
                <w:sz w:val="20"/>
                <w:szCs w:val="20"/>
              </w:rPr>
            </w:pPr>
            <w:r w:rsidRPr="00BD4B6E">
              <w:rPr>
                <w:sz w:val="20"/>
                <w:szCs w:val="20"/>
              </w:rPr>
              <w:t>IN / DANS :</w:t>
            </w:r>
          </w:p>
        </w:tc>
        <w:tc>
          <w:tcPr>
            <w:tcW w:w="2970" w:type="dxa"/>
          </w:tcPr>
          <w:p w:rsidR="00DC6F21" w:rsidRPr="00BD4B6E" w:rsidRDefault="00DC6F21" w:rsidP="003F4F9C">
            <w:pPr>
              <w:tabs>
                <w:tab w:val="left" w:pos="810"/>
              </w:tabs>
              <w:rPr>
                <w:sz w:val="20"/>
                <w:szCs w:val="20"/>
              </w:rPr>
            </w:pPr>
            <w:r w:rsidRPr="00BD4B6E">
              <w:rPr>
                <w:sz w:val="20"/>
                <w:szCs w:val="20"/>
              </w:rPr>
              <w:t xml:space="preserve">Her Majesty the Queen </w:t>
            </w:r>
          </w:p>
          <w:p w:rsidR="00DC6F21" w:rsidRPr="00BD4B6E" w:rsidRDefault="00DC6F21" w:rsidP="003F4F9C">
            <w:pPr>
              <w:tabs>
                <w:tab w:val="left" w:pos="810"/>
              </w:tabs>
              <w:rPr>
                <w:sz w:val="20"/>
                <w:szCs w:val="20"/>
              </w:rPr>
            </w:pPr>
          </w:p>
        </w:tc>
        <w:tc>
          <w:tcPr>
            <w:tcW w:w="1170" w:type="dxa"/>
          </w:tcPr>
          <w:p w:rsidR="00DC6F21" w:rsidRPr="00BD4B6E" w:rsidRDefault="00DC6F21" w:rsidP="003F4F9C">
            <w:pPr>
              <w:tabs>
                <w:tab w:val="left" w:pos="810"/>
              </w:tabs>
              <w:rPr>
                <w:sz w:val="20"/>
                <w:szCs w:val="20"/>
              </w:rPr>
            </w:pPr>
          </w:p>
        </w:tc>
        <w:tc>
          <w:tcPr>
            <w:tcW w:w="4327" w:type="dxa"/>
          </w:tcPr>
          <w:p w:rsidR="00DC6F21" w:rsidRPr="00BD4B6E" w:rsidRDefault="00DC6F21" w:rsidP="003F4F9C">
            <w:pPr>
              <w:tabs>
                <w:tab w:val="left" w:pos="810"/>
              </w:tabs>
              <w:rPr>
                <w:sz w:val="20"/>
                <w:szCs w:val="20"/>
              </w:rPr>
            </w:pPr>
          </w:p>
        </w:tc>
      </w:tr>
      <w:tr w:rsidR="00DC6F21" w:rsidRPr="00BD4B6E" w:rsidTr="003F4F9C">
        <w:tc>
          <w:tcPr>
            <w:tcW w:w="1368" w:type="dxa"/>
          </w:tcPr>
          <w:p w:rsidR="00DC6F21" w:rsidRPr="00BD4B6E" w:rsidRDefault="00DC6F21" w:rsidP="003F4F9C">
            <w:pPr>
              <w:tabs>
                <w:tab w:val="left" w:pos="810"/>
              </w:tabs>
              <w:rPr>
                <w:sz w:val="20"/>
                <w:szCs w:val="20"/>
              </w:rPr>
            </w:pPr>
          </w:p>
        </w:tc>
        <w:tc>
          <w:tcPr>
            <w:tcW w:w="2970" w:type="dxa"/>
          </w:tcPr>
          <w:p w:rsidR="00DC6F21" w:rsidRPr="00BD4B6E" w:rsidRDefault="00DC6F21" w:rsidP="003F4F9C">
            <w:pPr>
              <w:tabs>
                <w:tab w:val="left" w:pos="810"/>
              </w:tabs>
              <w:rPr>
                <w:sz w:val="20"/>
                <w:szCs w:val="20"/>
              </w:rPr>
            </w:pPr>
            <w:r w:rsidRPr="00BD4B6E">
              <w:rPr>
                <w:sz w:val="20"/>
                <w:szCs w:val="20"/>
              </w:rPr>
              <w:tab/>
              <w:t>v. (34132)</w:t>
            </w:r>
          </w:p>
          <w:p w:rsidR="00DC6F21" w:rsidRPr="00BD4B6E" w:rsidRDefault="00DC6F21" w:rsidP="003F4F9C">
            <w:pPr>
              <w:tabs>
                <w:tab w:val="left" w:pos="810"/>
              </w:tabs>
              <w:rPr>
                <w:sz w:val="20"/>
                <w:szCs w:val="20"/>
              </w:rPr>
            </w:pPr>
          </w:p>
        </w:tc>
        <w:tc>
          <w:tcPr>
            <w:tcW w:w="1170" w:type="dxa"/>
          </w:tcPr>
          <w:p w:rsidR="00DC6F21" w:rsidRPr="00BD4B6E" w:rsidRDefault="00DC6F21" w:rsidP="003F4F9C">
            <w:pPr>
              <w:tabs>
                <w:tab w:val="left" w:pos="810"/>
              </w:tabs>
              <w:rPr>
                <w:sz w:val="20"/>
                <w:szCs w:val="20"/>
              </w:rPr>
            </w:pPr>
          </w:p>
        </w:tc>
        <w:tc>
          <w:tcPr>
            <w:tcW w:w="4327" w:type="dxa"/>
          </w:tcPr>
          <w:p w:rsidR="00DC6F21" w:rsidRPr="00BD4B6E" w:rsidRDefault="00DC6F21" w:rsidP="003F4F9C">
            <w:pPr>
              <w:tabs>
                <w:tab w:val="left" w:pos="810"/>
              </w:tabs>
              <w:rPr>
                <w:sz w:val="20"/>
                <w:szCs w:val="20"/>
              </w:rPr>
            </w:pPr>
          </w:p>
        </w:tc>
      </w:tr>
      <w:tr w:rsidR="00DC6F21" w:rsidRPr="00BD4B6E" w:rsidTr="003F4F9C">
        <w:tc>
          <w:tcPr>
            <w:tcW w:w="1368" w:type="dxa"/>
          </w:tcPr>
          <w:p w:rsidR="00DC6F21" w:rsidRPr="00BD4B6E" w:rsidRDefault="00DC6F21" w:rsidP="003F4F9C">
            <w:pPr>
              <w:tabs>
                <w:tab w:val="left" w:pos="810"/>
              </w:tabs>
              <w:rPr>
                <w:sz w:val="20"/>
                <w:szCs w:val="20"/>
              </w:rPr>
            </w:pPr>
          </w:p>
        </w:tc>
        <w:tc>
          <w:tcPr>
            <w:tcW w:w="2970" w:type="dxa"/>
          </w:tcPr>
          <w:p w:rsidR="00DC6F21" w:rsidRPr="00BD4B6E" w:rsidRDefault="00DC6F21" w:rsidP="003F4F9C">
            <w:pPr>
              <w:tabs>
                <w:tab w:val="left" w:pos="810"/>
              </w:tabs>
              <w:jc w:val="both"/>
              <w:rPr>
                <w:sz w:val="20"/>
                <w:szCs w:val="20"/>
              </w:rPr>
            </w:pPr>
            <w:r w:rsidRPr="00BD4B6E">
              <w:rPr>
                <w:sz w:val="20"/>
                <w:szCs w:val="20"/>
              </w:rPr>
              <w:t>A.D.H. (Crim.) (Sask.)</w:t>
            </w:r>
          </w:p>
        </w:tc>
        <w:tc>
          <w:tcPr>
            <w:tcW w:w="1170" w:type="dxa"/>
          </w:tcPr>
          <w:p w:rsidR="00DC6F21" w:rsidRPr="00BD4B6E" w:rsidRDefault="00DC6F21" w:rsidP="003F4F9C">
            <w:pPr>
              <w:tabs>
                <w:tab w:val="left" w:pos="810"/>
              </w:tabs>
              <w:rPr>
                <w:sz w:val="20"/>
                <w:szCs w:val="20"/>
              </w:rPr>
            </w:pPr>
          </w:p>
        </w:tc>
        <w:tc>
          <w:tcPr>
            <w:tcW w:w="4327" w:type="dxa"/>
          </w:tcPr>
          <w:p w:rsidR="00DC6F21" w:rsidRPr="00BD4B6E" w:rsidRDefault="00DC6F21" w:rsidP="003F4F9C">
            <w:pPr>
              <w:tabs>
                <w:tab w:val="left" w:pos="810"/>
              </w:tabs>
              <w:rPr>
                <w:sz w:val="20"/>
                <w:szCs w:val="20"/>
              </w:rPr>
            </w:pPr>
          </w:p>
        </w:tc>
      </w:tr>
    </w:tbl>
    <w:p w:rsidR="00DC6F21" w:rsidRPr="00BD4B6E" w:rsidRDefault="00DC6F21" w:rsidP="00DC6F21">
      <w:pPr>
        <w:tabs>
          <w:tab w:val="left" w:pos="-1440"/>
          <w:tab w:val="left" w:pos="-720"/>
          <w:tab w:val="left" w:pos="810"/>
        </w:tabs>
        <w:jc w:val="both"/>
        <w:rPr>
          <w:sz w:val="20"/>
          <w:szCs w:val="20"/>
        </w:rPr>
      </w:pPr>
    </w:p>
    <w:p w:rsidR="00DC6F21" w:rsidRPr="00BD4B6E" w:rsidRDefault="00DC6F21" w:rsidP="00DC6F21">
      <w:pPr>
        <w:tabs>
          <w:tab w:val="left" w:pos="-1440"/>
          <w:tab w:val="left" w:pos="-720"/>
          <w:tab w:val="left" w:pos="810"/>
        </w:tabs>
        <w:jc w:val="both"/>
        <w:rPr>
          <w:sz w:val="20"/>
          <w:szCs w:val="20"/>
        </w:rPr>
      </w:pPr>
      <w:r w:rsidRPr="00BD4B6E">
        <w:rPr>
          <w:b/>
          <w:sz w:val="20"/>
          <w:szCs w:val="20"/>
        </w:rPr>
        <w:t>GRANTED / ACCORDÉE</w:t>
      </w:r>
    </w:p>
    <w:p w:rsidR="00DC6F21" w:rsidRPr="00BD4B6E" w:rsidRDefault="00DC6F21" w:rsidP="00DC6F21">
      <w:pPr>
        <w:tabs>
          <w:tab w:val="left" w:pos="-1440"/>
          <w:tab w:val="left" w:pos="-720"/>
          <w:tab w:val="left" w:pos="810"/>
        </w:tabs>
        <w:jc w:val="both"/>
        <w:rPr>
          <w:sz w:val="20"/>
          <w:szCs w:val="20"/>
        </w:rPr>
      </w:pPr>
    </w:p>
    <w:p w:rsidR="00DC6F21" w:rsidRPr="00BD4B6E" w:rsidRDefault="00DC6F21" w:rsidP="00DC6F21">
      <w:pPr>
        <w:tabs>
          <w:tab w:val="left" w:pos="810"/>
        </w:tabs>
        <w:spacing w:line="233" w:lineRule="auto"/>
        <w:jc w:val="both"/>
        <w:rPr>
          <w:sz w:val="20"/>
          <w:szCs w:val="20"/>
        </w:rPr>
      </w:pPr>
      <w:r w:rsidRPr="00BD4B6E">
        <w:rPr>
          <w:b/>
          <w:bCs/>
          <w:sz w:val="20"/>
          <w:szCs w:val="20"/>
        </w:rPr>
        <w:t xml:space="preserve">UPON APPLICATION </w:t>
      </w:r>
      <w:r w:rsidRPr="00BD4B6E">
        <w:rPr>
          <w:sz w:val="20"/>
          <w:szCs w:val="20"/>
        </w:rPr>
        <w:t>by the Attorney General of Ontario for leave to intervene in the above appeal;</w:t>
      </w:r>
    </w:p>
    <w:p w:rsidR="00DC6F21" w:rsidRPr="00BD4B6E" w:rsidRDefault="00DC6F21" w:rsidP="00DC6F21">
      <w:pPr>
        <w:tabs>
          <w:tab w:val="left" w:pos="810"/>
        </w:tabs>
        <w:spacing w:line="233" w:lineRule="auto"/>
        <w:jc w:val="both"/>
        <w:rPr>
          <w:sz w:val="20"/>
          <w:szCs w:val="20"/>
        </w:rPr>
      </w:pPr>
    </w:p>
    <w:p w:rsidR="00DC6F21" w:rsidRPr="00BD4B6E" w:rsidRDefault="00DC6F21" w:rsidP="00DC6F21">
      <w:pPr>
        <w:tabs>
          <w:tab w:val="left" w:pos="810"/>
        </w:tabs>
        <w:spacing w:line="233" w:lineRule="auto"/>
        <w:jc w:val="both"/>
        <w:rPr>
          <w:sz w:val="20"/>
          <w:szCs w:val="20"/>
        </w:rPr>
      </w:pPr>
      <w:r w:rsidRPr="00BD4B6E">
        <w:rPr>
          <w:b/>
          <w:bCs/>
          <w:sz w:val="20"/>
          <w:szCs w:val="20"/>
        </w:rPr>
        <w:t>AND THE MATERIAL FILED</w:t>
      </w:r>
      <w:r w:rsidRPr="00BD4B6E">
        <w:rPr>
          <w:sz w:val="20"/>
          <w:szCs w:val="20"/>
        </w:rPr>
        <w:t xml:space="preserve"> having been read;</w:t>
      </w:r>
    </w:p>
    <w:p w:rsidR="00DC6F21" w:rsidRPr="00BD4B6E" w:rsidRDefault="00DC6F21" w:rsidP="00DC6F21">
      <w:pPr>
        <w:tabs>
          <w:tab w:val="left" w:pos="810"/>
        </w:tabs>
        <w:spacing w:line="233" w:lineRule="auto"/>
        <w:jc w:val="both"/>
        <w:rPr>
          <w:sz w:val="20"/>
          <w:szCs w:val="20"/>
        </w:rPr>
      </w:pPr>
    </w:p>
    <w:p w:rsidR="00DC6F21" w:rsidRPr="00BD4B6E" w:rsidRDefault="00DC6F21" w:rsidP="00DC6F21">
      <w:pPr>
        <w:tabs>
          <w:tab w:val="left" w:pos="810"/>
        </w:tabs>
        <w:spacing w:line="233" w:lineRule="auto"/>
        <w:jc w:val="both"/>
        <w:rPr>
          <w:sz w:val="20"/>
          <w:szCs w:val="20"/>
        </w:rPr>
      </w:pPr>
      <w:r w:rsidRPr="00BD4B6E">
        <w:rPr>
          <w:b/>
          <w:bCs/>
          <w:sz w:val="20"/>
          <w:szCs w:val="20"/>
        </w:rPr>
        <w:t>IT IS HEREBY ORDERED THAT:</w:t>
      </w:r>
    </w:p>
    <w:p w:rsidR="00DC6F21" w:rsidRPr="00BD4B6E" w:rsidRDefault="00DC6F21" w:rsidP="00DC6F21">
      <w:pPr>
        <w:tabs>
          <w:tab w:val="left" w:pos="810"/>
        </w:tabs>
        <w:spacing w:line="233" w:lineRule="auto"/>
        <w:jc w:val="both"/>
        <w:rPr>
          <w:sz w:val="20"/>
          <w:szCs w:val="20"/>
        </w:rPr>
      </w:pPr>
    </w:p>
    <w:p w:rsidR="00DC6F21" w:rsidRPr="00BD4B6E" w:rsidRDefault="00DC6F21" w:rsidP="00DC6F21">
      <w:pPr>
        <w:tabs>
          <w:tab w:val="left" w:pos="810"/>
        </w:tabs>
        <w:spacing w:line="233" w:lineRule="auto"/>
        <w:jc w:val="both"/>
        <w:rPr>
          <w:sz w:val="20"/>
          <w:szCs w:val="20"/>
        </w:rPr>
      </w:pPr>
      <w:r w:rsidRPr="00BD4B6E">
        <w:rPr>
          <w:sz w:val="20"/>
          <w:szCs w:val="20"/>
        </w:rPr>
        <w:t>The motion for leave to intervene of the Attorney General of Ontario is granted and the said intervener shall be entitled to serve and file a factum not to exceed 10 pages in length on or before May 2, 2012.</w:t>
      </w:r>
    </w:p>
    <w:p w:rsidR="00DC6F21" w:rsidRPr="00BD4B6E" w:rsidRDefault="00DC6F21" w:rsidP="00DC6F21">
      <w:pPr>
        <w:tabs>
          <w:tab w:val="left" w:pos="810"/>
        </w:tabs>
        <w:spacing w:line="233" w:lineRule="auto"/>
        <w:jc w:val="both"/>
        <w:rPr>
          <w:sz w:val="20"/>
          <w:szCs w:val="20"/>
        </w:rPr>
      </w:pPr>
    </w:p>
    <w:p w:rsidR="00DC6F21" w:rsidRPr="00BD4B6E" w:rsidRDefault="00DC6F21" w:rsidP="00DC6F21">
      <w:pPr>
        <w:tabs>
          <w:tab w:val="left" w:pos="810"/>
        </w:tabs>
        <w:spacing w:line="233" w:lineRule="auto"/>
        <w:jc w:val="both"/>
        <w:rPr>
          <w:sz w:val="20"/>
          <w:szCs w:val="20"/>
        </w:rPr>
      </w:pPr>
      <w:r w:rsidRPr="00BD4B6E">
        <w:rPr>
          <w:sz w:val="20"/>
          <w:szCs w:val="20"/>
        </w:rPr>
        <w:t>The request to present oral argument is deferred to a date following receipt and consideration of the written arguments of the parties and the intervener.</w:t>
      </w:r>
    </w:p>
    <w:p w:rsidR="00DC6F21" w:rsidRPr="00BD4B6E" w:rsidRDefault="00DC6F21" w:rsidP="00DC6F21">
      <w:pPr>
        <w:tabs>
          <w:tab w:val="left" w:pos="810"/>
        </w:tabs>
        <w:spacing w:line="233" w:lineRule="auto"/>
        <w:jc w:val="both"/>
        <w:rPr>
          <w:sz w:val="20"/>
          <w:szCs w:val="20"/>
        </w:rPr>
      </w:pPr>
    </w:p>
    <w:p w:rsidR="00DC6F21" w:rsidRPr="00BD4B6E" w:rsidRDefault="00DC6F21" w:rsidP="00DC6F21">
      <w:pPr>
        <w:tabs>
          <w:tab w:val="left" w:pos="810"/>
        </w:tabs>
        <w:spacing w:line="233" w:lineRule="auto"/>
        <w:jc w:val="both"/>
        <w:rPr>
          <w:sz w:val="20"/>
          <w:szCs w:val="20"/>
        </w:rPr>
      </w:pPr>
      <w:r w:rsidRPr="00BD4B6E">
        <w:rPr>
          <w:sz w:val="20"/>
          <w:szCs w:val="20"/>
        </w:rPr>
        <w:lastRenderedPageBreak/>
        <w:t>The intervener shall not be entitled to raise new issues or to adduce further evidence or otherwise to supplement the record of the parties.</w:t>
      </w:r>
    </w:p>
    <w:p w:rsidR="00DC6F21" w:rsidRPr="00BD4B6E" w:rsidRDefault="00DC6F21" w:rsidP="00DC6F21">
      <w:pPr>
        <w:tabs>
          <w:tab w:val="left" w:pos="810"/>
        </w:tabs>
        <w:spacing w:line="233" w:lineRule="auto"/>
        <w:jc w:val="both"/>
        <w:rPr>
          <w:sz w:val="20"/>
          <w:szCs w:val="20"/>
        </w:rPr>
      </w:pPr>
    </w:p>
    <w:p w:rsidR="00DC6F21" w:rsidRPr="00BD4B6E" w:rsidRDefault="00DC6F21" w:rsidP="00DC6F21">
      <w:pPr>
        <w:tabs>
          <w:tab w:val="left" w:pos="810"/>
        </w:tabs>
        <w:spacing w:line="233" w:lineRule="auto"/>
        <w:jc w:val="both"/>
        <w:rPr>
          <w:sz w:val="20"/>
          <w:szCs w:val="20"/>
        </w:rPr>
      </w:pPr>
      <w:r w:rsidRPr="00BD4B6E">
        <w:rPr>
          <w:sz w:val="20"/>
          <w:szCs w:val="20"/>
        </w:rPr>
        <w:t>Pursuant to Rule 59(1)(</w:t>
      </w:r>
      <w:r w:rsidRPr="00BD4B6E">
        <w:rPr>
          <w:i/>
          <w:iCs/>
          <w:sz w:val="20"/>
          <w:szCs w:val="20"/>
        </w:rPr>
        <w:t>a</w:t>
      </w:r>
      <w:r w:rsidRPr="00BD4B6E">
        <w:rPr>
          <w:sz w:val="20"/>
          <w:szCs w:val="20"/>
        </w:rPr>
        <w:t xml:space="preserve">) of the </w:t>
      </w:r>
      <w:r w:rsidRPr="00BD4B6E">
        <w:rPr>
          <w:i/>
          <w:iCs/>
          <w:sz w:val="20"/>
          <w:szCs w:val="20"/>
        </w:rPr>
        <w:t>Rules of the Supreme Court of Canada</w:t>
      </w:r>
      <w:r w:rsidRPr="00BD4B6E">
        <w:rPr>
          <w:sz w:val="20"/>
          <w:szCs w:val="20"/>
        </w:rPr>
        <w:t>, the intervener shall pay to the appellant and respondent any additional disbursements occasioned to the appellant and respondent by its intervention.</w:t>
      </w:r>
    </w:p>
    <w:p w:rsidR="00DC6F21" w:rsidRPr="00BD4B6E" w:rsidRDefault="00DC6F21" w:rsidP="00DC6F21">
      <w:pPr>
        <w:tabs>
          <w:tab w:val="left" w:pos="810"/>
        </w:tabs>
        <w:spacing w:line="233" w:lineRule="auto"/>
        <w:jc w:val="both"/>
        <w:rPr>
          <w:sz w:val="20"/>
          <w:szCs w:val="20"/>
        </w:rPr>
      </w:pPr>
    </w:p>
    <w:p w:rsidR="00DC6F21" w:rsidRPr="00BD4B6E" w:rsidRDefault="00DC6F21" w:rsidP="00DC6F21">
      <w:pPr>
        <w:tabs>
          <w:tab w:val="left" w:pos="810"/>
        </w:tabs>
        <w:spacing w:line="233" w:lineRule="auto"/>
        <w:jc w:val="both"/>
        <w:rPr>
          <w:sz w:val="20"/>
          <w:szCs w:val="20"/>
        </w:rPr>
      </w:pPr>
    </w:p>
    <w:p w:rsidR="00DC6F21" w:rsidRPr="00BD4B6E" w:rsidRDefault="00DC6F21" w:rsidP="00DC6F21">
      <w:pPr>
        <w:tabs>
          <w:tab w:val="left" w:pos="810"/>
        </w:tabs>
        <w:spacing w:line="233" w:lineRule="auto"/>
        <w:jc w:val="both"/>
        <w:rPr>
          <w:sz w:val="20"/>
          <w:szCs w:val="20"/>
        </w:rPr>
      </w:pPr>
    </w:p>
    <w:p w:rsidR="00DC6F21" w:rsidRPr="00BD4B6E" w:rsidRDefault="00DC6F21" w:rsidP="00DC6F21">
      <w:pPr>
        <w:tabs>
          <w:tab w:val="left" w:pos="810"/>
        </w:tabs>
        <w:spacing w:line="233" w:lineRule="auto"/>
        <w:jc w:val="both"/>
        <w:rPr>
          <w:sz w:val="20"/>
          <w:szCs w:val="20"/>
          <w:lang w:val="fr-FR"/>
        </w:rPr>
      </w:pPr>
      <w:r w:rsidRPr="00BD4B6E">
        <w:rPr>
          <w:b/>
          <w:sz w:val="20"/>
          <w:szCs w:val="20"/>
          <w:lang w:val="fr-FR"/>
        </w:rPr>
        <w:t>À LA SUITE DE LA DEMANDE</w:t>
      </w:r>
      <w:r w:rsidRPr="00BD4B6E">
        <w:rPr>
          <w:sz w:val="20"/>
          <w:szCs w:val="20"/>
          <w:lang w:val="fr-FR"/>
        </w:rPr>
        <w:t xml:space="preserve"> présentée par le procureur général de l’Ontario en autorisation d'intervenir dans l'appel;</w:t>
      </w:r>
    </w:p>
    <w:p w:rsidR="00DC6F21" w:rsidRPr="00BD4B6E" w:rsidRDefault="00DC6F21" w:rsidP="00DC6F21">
      <w:pPr>
        <w:tabs>
          <w:tab w:val="left" w:pos="810"/>
        </w:tabs>
        <w:spacing w:line="233" w:lineRule="auto"/>
        <w:jc w:val="both"/>
        <w:rPr>
          <w:sz w:val="20"/>
          <w:szCs w:val="20"/>
          <w:lang w:val="fr-FR"/>
        </w:rPr>
      </w:pPr>
    </w:p>
    <w:p w:rsidR="00DC6F21" w:rsidRPr="00BD4B6E" w:rsidRDefault="00DC6F21" w:rsidP="00DC6F21">
      <w:pPr>
        <w:tabs>
          <w:tab w:val="left" w:pos="810"/>
        </w:tabs>
        <w:spacing w:line="233" w:lineRule="auto"/>
        <w:jc w:val="both"/>
        <w:rPr>
          <w:sz w:val="20"/>
          <w:szCs w:val="20"/>
          <w:lang w:val="fr-FR"/>
        </w:rPr>
      </w:pPr>
      <w:r w:rsidRPr="00BD4B6E">
        <w:rPr>
          <w:b/>
          <w:sz w:val="20"/>
          <w:szCs w:val="20"/>
          <w:lang w:val="fr-FR"/>
        </w:rPr>
        <w:t>ET APRÈS EXAMEN</w:t>
      </w:r>
      <w:r w:rsidRPr="00BD4B6E">
        <w:rPr>
          <w:sz w:val="20"/>
          <w:szCs w:val="20"/>
          <w:lang w:val="fr-FR"/>
        </w:rPr>
        <w:t xml:space="preserve"> des documents déposés; </w:t>
      </w:r>
    </w:p>
    <w:p w:rsidR="00DC6F21" w:rsidRPr="00BD4B6E" w:rsidRDefault="00DC6F21" w:rsidP="00DC6F21">
      <w:pPr>
        <w:tabs>
          <w:tab w:val="left" w:pos="810"/>
        </w:tabs>
        <w:spacing w:line="233" w:lineRule="auto"/>
        <w:jc w:val="both"/>
        <w:rPr>
          <w:sz w:val="20"/>
          <w:szCs w:val="20"/>
          <w:lang w:val="fr-FR"/>
        </w:rPr>
      </w:pPr>
    </w:p>
    <w:p w:rsidR="00DC6F21" w:rsidRPr="00BD4B6E" w:rsidRDefault="00DC6F21" w:rsidP="00DC6F21">
      <w:pPr>
        <w:tabs>
          <w:tab w:val="left" w:pos="810"/>
        </w:tabs>
        <w:spacing w:line="233" w:lineRule="auto"/>
        <w:jc w:val="both"/>
        <w:rPr>
          <w:b/>
          <w:sz w:val="20"/>
          <w:szCs w:val="20"/>
          <w:lang w:val="fr-FR"/>
        </w:rPr>
      </w:pPr>
      <w:r w:rsidRPr="00BD4B6E">
        <w:rPr>
          <w:b/>
          <w:sz w:val="20"/>
          <w:szCs w:val="20"/>
          <w:lang w:val="fr-FR"/>
        </w:rPr>
        <w:t xml:space="preserve">IL EST ORDONNÉ CE QUI SUIT : </w:t>
      </w:r>
    </w:p>
    <w:p w:rsidR="00DC6F21" w:rsidRPr="00BD4B6E" w:rsidRDefault="00DC6F21" w:rsidP="00DC6F21">
      <w:pPr>
        <w:tabs>
          <w:tab w:val="left" w:pos="810"/>
        </w:tabs>
        <w:spacing w:line="233" w:lineRule="auto"/>
        <w:jc w:val="both"/>
        <w:rPr>
          <w:sz w:val="20"/>
          <w:szCs w:val="20"/>
          <w:lang w:val="fr-FR"/>
        </w:rPr>
      </w:pPr>
    </w:p>
    <w:p w:rsidR="00DC6F21" w:rsidRPr="00BD4B6E" w:rsidRDefault="00DC6F21" w:rsidP="00DC6F21">
      <w:pPr>
        <w:tabs>
          <w:tab w:val="left" w:pos="810"/>
        </w:tabs>
        <w:spacing w:line="233" w:lineRule="auto"/>
        <w:jc w:val="both"/>
        <w:rPr>
          <w:sz w:val="20"/>
          <w:szCs w:val="20"/>
          <w:lang w:val="fr-FR"/>
        </w:rPr>
      </w:pPr>
      <w:r w:rsidRPr="00BD4B6E">
        <w:rPr>
          <w:sz w:val="20"/>
          <w:szCs w:val="20"/>
          <w:lang w:val="fr-FR"/>
        </w:rPr>
        <w:t xml:space="preserve">La requête en autorisation d'intervenir présentée par le procureur général de l’Ontario est accordée et le requérant pourra signifier et déposer un mémoire d'au plus dix (10) pages au plus tard le 2 mai 2012. </w:t>
      </w:r>
    </w:p>
    <w:p w:rsidR="00DC6F21" w:rsidRPr="00BD4B6E" w:rsidRDefault="00DC6F21" w:rsidP="00DC6F21">
      <w:pPr>
        <w:tabs>
          <w:tab w:val="left" w:pos="810"/>
        </w:tabs>
        <w:spacing w:line="233" w:lineRule="auto"/>
        <w:jc w:val="both"/>
        <w:rPr>
          <w:sz w:val="20"/>
          <w:szCs w:val="20"/>
          <w:lang w:val="fr-FR"/>
        </w:rPr>
      </w:pPr>
    </w:p>
    <w:p w:rsidR="00DC6F21" w:rsidRPr="00BD4B6E" w:rsidRDefault="00DC6F21" w:rsidP="00DC6F21">
      <w:pPr>
        <w:tabs>
          <w:tab w:val="left" w:pos="810"/>
        </w:tabs>
        <w:spacing w:line="233" w:lineRule="auto"/>
        <w:jc w:val="both"/>
        <w:rPr>
          <w:sz w:val="20"/>
          <w:szCs w:val="20"/>
          <w:lang w:val="fr-FR"/>
        </w:rPr>
      </w:pPr>
      <w:r w:rsidRPr="00BD4B6E">
        <w:rPr>
          <w:sz w:val="20"/>
          <w:szCs w:val="20"/>
          <w:lang w:val="fr-FR"/>
        </w:rPr>
        <w:t xml:space="preserve">La décision sur la demande en vue de présenter une plaidoirie orale sera rendue après réception et examen des arguments écrits des parties et de l'intervenant. </w:t>
      </w:r>
    </w:p>
    <w:p w:rsidR="00DC6F21" w:rsidRPr="00BD4B6E" w:rsidRDefault="00DC6F21" w:rsidP="00DC6F21">
      <w:pPr>
        <w:tabs>
          <w:tab w:val="left" w:pos="810"/>
        </w:tabs>
        <w:spacing w:line="233" w:lineRule="auto"/>
        <w:jc w:val="both"/>
        <w:rPr>
          <w:sz w:val="20"/>
          <w:szCs w:val="20"/>
          <w:lang w:val="fr-FR"/>
        </w:rPr>
      </w:pPr>
    </w:p>
    <w:p w:rsidR="00DC6F21" w:rsidRPr="00BD4B6E" w:rsidRDefault="00DC6F21" w:rsidP="00DC6F21">
      <w:pPr>
        <w:tabs>
          <w:tab w:val="left" w:pos="810"/>
        </w:tabs>
        <w:spacing w:line="233" w:lineRule="auto"/>
        <w:jc w:val="both"/>
        <w:rPr>
          <w:sz w:val="20"/>
          <w:szCs w:val="20"/>
          <w:lang w:val="fr-FR"/>
        </w:rPr>
      </w:pPr>
      <w:r w:rsidRPr="00BD4B6E">
        <w:rPr>
          <w:sz w:val="20"/>
          <w:szCs w:val="20"/>
          <w:lang w:val="fr-FR"/>
        </w:rPr>
        <w:t>L'intervenant n'a pas le droit de soulever de nouvelles questions, de produire d'autres éléments de preuve ni de compléter de quelque autre façon le dossier des parties.</w:t>
      </w:r>
    </w:p>
    <w:p w:rsidR="00DC6F21" w:rsidRPr="00BD4B6E" w:rsidRDefault="00DC6F21" w:rsidP="00DC6F21">
      <w:pPr>
        <w:tabs>
          <w:tab w:val="left" w:pos="810"/>
        </w:tabs>
        <w:spacing w:line="233" w:lineRule="auto"/>
        <w:jc w:val="both"/>
        <w:rPr>
          <w:sz w:val="20"/>
          <w:szCs w:val="20"/>
          <w:lang w:val="fr-FR"/>
        </w:rPr>
      </w:pPr>
    </w:p>
    <w:p w:rsidR="00DC6F21" w:rsidRPr="00BD4B6E" w:rsidRDefault="00DC6F21" w:rsidP="00DC6F21">
      <w:pPr>
        <w:tabs>
          <w:tab w:val="left" w:pos="810"/>
        </w:tabs>
        <w:spacing w:line="233" w:lineRule="auto"/>
        <w:jc w:val="both"/>
        <w:rPr>
          <w:sz w:val="20"/>
          <w:szCs w:val="20"/>
          <w:lang w:val="fr-FR"/>
        </w:rPr>
      </w:pPr>
      <w:r w:rsidRPr="00BD4B6E">
        <w:rPr>
          <w:sz w:val="20"/>
          <w:szCs w:val="20"/>
          <w:lang w:val="fr-FR"/>
        </w:rPr>
        <w:t>Conformément à l'alinéa 59(1)</w:t>
      </w:r>
      <w:r w:rsidRPr="00BD4B6E">
        <w:rPr>
          <w:i/>
          <w:sz w:val="20"/>
          <w:szCs w:val="20"/>
          <w:lang w:val="fr-FR"/>
        </w:rPr>
        <w:t>a</w:t>
      </w:r>
      <w:r w:rsidRPr="00BD4B6E">
        <w:rPr>
          <w:sz w:val="20"/>
          <w:szCs w:val="20"/>
          <w:lang w:val="fr-FR"/>
        </w:rPr>
        <w:t xml:space="preserve">) des </w:t>
      </w:r>
      <w:r w:rsidRPr="00BD4B6E">
        <w:rPr>
          <w:i/>
          <w:sz w:val="20"/>
          <w:szCs w:val="20"/>
          <w:lang w:val="fr-FR"/>
        </w:rPr>
        <w:t>Règles de la Cour suprême du Canada</w:t>
      </w:r>
      <w:r w:rsidRPr="00BD4B6E">
        <w:rPr>
          <w:sz w:val="20"/>
          <w:szCs w:val="20"/>
          <w:lang w:val="fr-FR"/>
        </w:rPr>
        <w:t>, l'intervenant paiera à l’appelante et à l'intimé tous débours supplémentaires résultant de son intervention.</w:t>
      </w:r>
    </w:p>
    <w:p w:rsidR="00DC6F21" w:rsidRPr="00BD4B6E" w:rsidRDefault="00DC6F21" w:rsidP="00DC6F21">
      <w:pPr>
        <w:tabs>
          <w:tab w:val="left" w:pos="-1440"/>
          <w:tab w:val="left" w:pos="-720"/>
          <w:tab w:val="left" w:pos="810"/>
        </w:tabs>
        <w:jc w:val="both"/>
        <w:rPr>
          <w:sz w:val="20"/>
          <w:szCs w:val="20"/>
          <w:lang w:val="fr-FR"/>
        </w:rPr>
      </w:pPr>
    </w:p>
    <w:p w:rsidR="00DC6F21" w:rsidRPr="00BD4B6E" w:rsidRDefault="009019DC" w:rsidP="00DC6F21">
      <w:pPr>
        <w:tabs>
          <w:tab w:val="left" w:pos="-1440"/>
          <w:tab w:val="left" w:pos="-720"/>
          <w:tab w:val="left" w:pos="810"/>
        </w:tabs>
        <w:jc w:val="both"/>
        <w:rPr>
          <w:sz w:val="20"/>
          <w:szCs w:val="20"/>
          <w:lang w:val="fr-CA"/>
        </w:rPr>
      </w:pPr>
      <w:r w:rsidRPr="009019DC">
        <w:rPr>
          <w:sz w:val="20"/>
          <w:szCs w:val="20"/>
          <w:lang w:val="fr-CA"/>
        </w:rPr>
        <w:pict>
          <v:rect id="_x0000_i1052" style="width:2in;height:1pt" o:hrpct="0" o:hralign="center" o:hrstd="t" o:hrnoshade="t" o:hr="t" fillcolor="black [3213]" stroked="f"/>
        </w:pict>
      </w:r>
    </w:p>
    <w:p w:rsidR="00DC6F21" w:rsidRPr="00BD4B6E" w:rsidRDefault="00DC6F21" w:rsidP="00DC6F21">
      <w:pPr>
        <w:tabs>
          <w:tab w:val="left" w:pos="-1440"/>
          <w:tab w:val="left" w:pos="-720"/>
          <w:tab w:val="left" w:pos="810"/>
        </w:tabs>
        <w:jc w:val="both"/>
        <w:rPr>
          <w:sz w:val="20"/>
          <w:szCs w:val="20"/>
          <w:lang w:val="fr-CA"/>
        </w:rPr>
      </w:pPr>
    </w:p>
    <w:p w:rsidR="00DC6F21" w:rsidRPr="00BD4B6E" w:rsidRDefault="00DC6F21" w:rsidP="00DC6F21">
      <w:pPr>
        <w:tabs>
          <w:tab w:val="left" w:pos="-1440"/>
          <w:tab w:val="left" w:pos="-720"/>
        </w:tabs>
        <w:jc w:val="both"/>
        <w:rPr>
          <w:sz w:val="20"/>
          <w:szCs w:val="20"/>
          <w:lang w:val="fr-CA"/>
        </w:rPr>
      </w:pPr>
      <w:r w:rsidRPr="00BD4B6E">
        <w:rPr>
          <w:sz w:val="20"/>
          <w:szCs w:val="20"/>
          <w:lang w:val="fr-CA"/>
        </w:rPr>
        <w:t>07.03.2012</w:t>
      </w:r>
    </w:p>
    <w:p w:rsidR="00DC6F21" w:rsidRPr="00BD4B6E" w:rsidRDefault="00DC6F21" w:rsidP="00DC6F21">
      <w:pPr>
        <w:tabs>
          <w:tab w:val="left" w:pos="-1440"/>
          <w:tab w:val="left" w:pos="-720"/>
        </w:tabs>
        <w:jc w:val="both"/>
        <w:rPr>
          <w:sz w:val="20"/>
          <w:szCs w:val="20"/>
          <w:lang w:val="fr-CA"/>
        </w:rPr>
      </w:pPr>
    </w:p>
    <w:p w:rsidR="00DC6F21" w:rsidRPr="00BD4B6E" w:rsidRDefault="00DC6F21" w:rsidP="00DC6F21">
      <w:pPr>
        <w:tabs>
          <w:tab w:val="left" w:pos="-1440"/>
          <w:tab w:val="left" w:pos="-720"/>
        </w:tabs>
        <w:jc w:val="both"/>
        <w:rPr>
          <w:sz w:val="20"/>
          <w:szCs w:val="20"/>
          <w:lang w:val="fr-CA"/>
        </w:rPr>
      </w:pPr>
      <w:r w:rsidRPr="00BD4B6E">
        <w:rPr>
          <w:sz w:val="20"/>
          <w:szCs w:val="20"/>
          <w:lang w:val="fr-CA"/>
        </w:rPr>
        <w:t>Before / Devant :   FISH J. / LE JUGE FISH</w:t>
      </w:r>
    </w:p>
    <w:p w:rsidR="00DC6F21" w:rsidRPr="00BD4B6E" w:rsidRDefault="00DC6F21" w:rsidP="00DC6F2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C6F21" w:rsidRPr="00F8135D" w:rsidTr="003F4F9C">
        <w:tc>
          <w:tcPr>
            <w:tcW w:w="4338" w:type="dxa"/>
          </w:tcPr>
          <w:p w:rsidR="00DC6F21" w:rsidRPr="00BD4B6E" w:rsidRDefault="009019DC" w:rsidP="003F4F9C">
            <w:pPr>
              <w:tabs>
                <w:tab w:val="left" w:pos="-1440"/>
                <w:tab w:val="left" w:pos="-720"/>
              </w:tabs>
              <w:jc w:val="both"/>
              <w:rPr>
                <w:b/>
                <w:sz w:val="20"/>
                <w:szCs w:val="20"/>
              </w:rPr>
            </w:pPr>
            <w:r w:rsidRPr="00BD4B6E">
              <w:rPr>
                <w:sz w:val="20"/>
                <w:szCs w:val="20"/>
              </w:rPr>
              <w:fldChar w:fldCharType="begin"/>
            </w:r>
            <w:r w:rsidR="00DC6F21" w:rsidRPr="00BD4B6E">
              <w:rPr>
                <w:sz w:val="20"/>
                <w:szCs w:val="20"/>
              </w:rPr>
              <w:instrText xml:space="preserve"> SEQ CHAPTER \h \r 1</w:instrText>
            </w:r>
            <w:r w:rsidRPr="00BD4B6E">
              <w:rPr>
                <w:sz w:val="20"/>
                <w:szCs w:val="20"/>
              </w:rPr>
              <w:fldChar w:fldCharType="end"/>
            </w:r>
            <w:r w:rsidR="00DC6F21" w:rsidRPr="00BD4B6E">
              <w:rPr>
                <w:b/>
                <w:bCs/>
                <w:sz w:val="20"/>
                <w:szCs w:val="20"/>
              </w:rPr>
              <w:t>Motion to file a reply factum on appeal</w:t>
            </w:r>
          </w:p>
        </w:tc>
        <w:tc>
          <w:tcPr>
            <w:tcW w:w="1170" w:type="dxa"/>
          </w:tcPr>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p>
        </w:tc>
        <w:tc>
          <w:tcPr>
            <w:tcW w:w="4327" w:type="dxa"/>
          </w:tcPr>
          <w:p w:rsidR="00DC6F21" w:rsidRPr="00BD4B6E" w:rsidRDefault="009019DC" w:rsidP="003F4F9C">
            <w:pPr>
              <w:tabs>
                <w:tab w:val="left" w:pos="-1440"/>
                <w:tab w:val="left" w:pos="-720"/>
              </w:tabs>
              <w:jc w:val="both"/>
              <w:rPr>
                <w:sz w:val="20"/>
                <w:szCs w:val="20"/>
                <w:lang w:val="fr-CA"/>
              </w:rPr>
            </w:pPr>
            <w:r w:rsidRPr="00BD4B6E">
              <w:rPr>
                <w:sz w:val="20"/>
                <w:szCs w:val="20"/>
              </w:rPr>
              <w:fldChar w:fldCharType="begin"/>
            </w:r>
            <w:r w:rsidR="00DC6F21" w:rsidRPr="00BD4B6E">
              <w:rPr>
                <w:sz w:val="20"/>
                <w:szCs w:val="20"/>
                <w:lang w:val="fr-CA"/>
              </w:rPr>
              <w:instrText xml:space="preserve"> SEQ CHAPTER \h \r 1</w:instrText>
            </w:r>
            <w:r w:rsidRPr="00BD4B6E">
              <w:rPr>
                <w:sz w:val="20"/>
                <w:szCs w:val="20"/>
              </w:rPr>
              <w:fldChar w:fldCharType="end"/>
            </w:r>
            <w:r w:rsidR="00DC6F21" w:rsidRPr="00BD4B6E">
              <w:rPr>
                <w:b/>
                <w:bCs/>
                <w:sz w:val="20"/>
                <w:szCs w:val="20"/>
                <w:lang w:val="fr-CA"/>
              </w:rPr>
              <w:t>Requête en vue de déposer un mémoire en réplique concernant l’appel</w:t>
            </w:r>
            <w:r w:rsidRPr="00BD4B6E">
              <w:rPr>
                <w:sz w:val="20"/>
                <w:szCs w:val="20"/>
              </w:rPr>
              <w:fldChar w:fldCharType="begin"/>
            </w:r>
            <w:r w:rsidR="00DC6F21" w:rsidRPr="00BD4B6E">
              <w:rPr>
                <w:sz w:val="20"/>
                <w:szCs w:val="20"/>
                <w:lang w:val="fr-CA"/>
              </w:rPr>
              <w:instrText xml:space="preserve"> SEQ CHAPTER \h \r 1</w:instrText>
            </w:r>
            <w:r w:rsidRPr="00BD4B6E">
              <w:rPr>
                <w:sz w:val="20"/>
                <w:szCs w:val="20"/>
              </w:rPr>
              <w:fldChar w:fldCharType="end"/>
            </w:r>
          </w:p>
        </w:tc>
      </w:tr>
      <w:tr w:rsidR="00DC6F21" w:rsidRPr="00BD4B6E" w:rsidTr="003F4F9C">
        <w:tc>
          <w:tcPr>
            <w:tcW w:w="4338" w:type="dxa"/>
          </w:tcPr>
          <w:p w:rsidR="00DC6F21" w:rsidRPr="00BD4B6E" w:rsidRDefault="00DC6F21" w:rsidP="003F4F9C">
            <w:pPr>
              <w:rPr>
                <w:sz w:val="20"/>
                <w:szCs w:val="20"/>
              </w:rPr>
            </w:pPr>
            <w:r w:rsidRPr="00BD4B6E">
              <w:rPr>
                <w:sz w:val="20"/>
                <w:szCs w:val="20"/>
              </w:rPr>
              <w:t>James Peter Emms</w:t>
            </w:r>
          </w:p>
          <w:p w:rsidR="00DC6F21" w:rsidRPr="00BD4B6E" w:rsidRDefault="00DC6F21" w:rsidP="003F4F9C">
            <w:pPr>
              <w:rPr>
                <w:sz w:val="20"/>
                <w:szCs w:val="20"/>
              </w:rPr>
            </w:pPr>
          </w:p>
          <w:p w:rsidR="00DC6F21" w:rsidRPr="00BD4B6E" w:rsidRDefault="00DC6F21" w:rsidP="003F4F9C">
            <w:pPr>
              <w:rPr>
                <w:sz w:val="20"/>
                <w:szCs w:val="20"/>
              </w:rPr>
            </w:pPr>
            <w:r w:rsidRPr="00BD4B6E">
              <w:rPr>
                <w:sz w:val="20"/>
                <w:szCs w:val="20"/>
              </w:rPr>
              <w:tab/>
              <w:t>v. (34087)</w:t>
            </w:r>
          </w:p>
          <w:p w:rsidR="00DC6F21" w:rsidRPr="00BD4B6E" w:rsidRDefault="00DC6F21" w:rsidP="003F4F9C">
            <w:pPr>
              <w:rPr>
                <w:sz w:val="20"/>
                <w:szCs w:val="20"/>
              </w:rPr>
            </w:pPr>
          </w:p>
          <w:p w:rsidR="00DC6F21" w:rsidRPr="00BD4B6E" w:rsidRDefault="00DC6F21" w:rsidP="003F4F9C">
            <w:pPr>
              <w:tabs>
                <w:tab w:val="left" w:pos="-1440"/>
                <w:tab w:val="left" w:pos="-720"/>
              </w:tabs>
              <w:jc w:val="both"/>
              <w:rPr>
                <w:sz w:val="20"/>
                <w:szCs w:val="20"/>
              </w:rPr>
            </w:pPr>
            <w:r w:rsidRPr="00BD4B6E">
              <w:rPr>
                <w:sz w:val="20"/>
                <w:szCs w:val="20"/>
              </w:rPr>
              <w:t>Her Majesty the Queen (Crim.) (Ont.)</w:t>
            </w:r>
          </w:p>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r w:rsidRPr="00BD4B6E">
              <w:rPr>
                <w:sz w:val="20"/>
                <w:szCs w:val="20"/>
              </w:rPr>
              <w:t>- and between -</w:t>
            </w:r>
          </w:p>
          <w:p w:rsidR="00DC6F21" w:rsidRPr="00BD4B6E" w:rsidRDefault="00DC6F21" w:rsidP="003F4F9C">
            <w:pPr>
              <w:tabs>
                <w:tab w:val="left" w:pos="-1440"/>
                <w:tab w:val="left" w:pos="-720"/>
              </w:tabs>
              <w:jc w:val="both"/>
              <w:rPr>
                <w:sz w:val="20"/>
                <w:szCs w:val="20"/>
              </w:rPr>
            </w:pPr>
          </w:p>
          <w:p w:rsidR="00DC6F21" w:rsidRPr="00BD4B6E" w:rsidRDefault="00DC6F21" w:rsidP="003F4F9C">
            <w:pPr>
              <w:rPr>
                <w:sz w:val="20"/>
                <w:szCs w:val="20"/>
              </w:rPr>
            </w:pPr>
            <w:r w:rsidRPr="00BD4B6E">
              <w:rPr>
                <w:sz w:val="20"/>
                <w:szCs w:val="20"/>
              </w:rPr>
              <w:t>Ibrahim Yumnu</w:t>
            </w:r>
          </w:p>
          <w:p w:rsidR="00DC6F21" w:rsidRPr="00BD4B6E" w:rsidRDefault="00DC6F21" w:rsidP="003F4F9C">
            <w:pPr>
              <w:rPr>
                <w:sz w:val="20"/>
                <w:szCs w:val="20"/>
              </w:rPr>
            </w:pPr>
          </w:p>
          <w:p w:rsidR="00DC6F21" w:rsidRPr="00BD4B6E" w:rsidRDefault="00DC6F21" w:rsidP="003F4F9C">
            <w:pPr>
              <w:rPr>
                <w:sz w:val="20"/>
                <w:szCs w:val="20"/>
              </w:rPr>
            </w:pPr>
            <w:r w:rsidRPr="00BD4B6E">
              <w:rPr>
                <w:sz w:val="20"/>
                <w:szCs w:val="20"/>
              </w:rPr>
              <w:tab/>
              <w:t>v. (34090)</w:t>
            </w:r>
          </w:p>
          <w:p w:rsidR="00DC6F21" w:rsidRPr="00BD4B6E" w:rsidRDefault="00DC6F21" w:rsidP="003F4F9C">
            <w:pPr>
              <w:rPr>
                <w:sz w:val="20"/>
                <w:szCs w:val="20"/>
              </w:rPr>
            </w:pPr>
          </w:p>
          <w:p w:rsidR="00DC6F21" w:rsidRPr="00BD4B6E" w:rsidRDefault="00DC6F21" w:rsidP="003F4F9C">
            <w:pPr>
              <w:tabs>
                <w:tab w:val="left" w:pos="-1440"/>
                <w:tab w:val="left" w:pos="-720"/>
              </w:tabs>
              <w:jc w:val="both"/>
              <w:rPr>
                <w:sz w:val="20"/>
                <w:szCs w:val="20"/>
              </w:rPr>
            </w:pPr>
            <w:r w:rsidRPr="00BD4B6E">
              <w:rPr>
                <w:sz w:val="20"/>
                <w:szCs w:val="20"/>
              </w:rPr>
              <w:t>Her Majesty the Queen (Crim.) (Ont.)</w:t>
            </w:r>
          </w:p>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r w:rsidRPr="00BD4B6E">
              <w:rPr>
                <w:sz w:val="20"/>
                <w:szCs w:val="20"/>
              </w:rPr>
              <w:t>- and between -</w:t>
            </w:r>
          </w:p>
          <w:p w:rsidR="00DC6F21" w:rsidRPr="00BD4B6E" w:rsidRDefault="00DC6F21" w:rsidP="003F4F9C">
            <w:pPr>
              <w:tabs>
                <w:tab w:val="left" w:pos="-1440"/>
                <w:tab w:val="left" w:pos="-720"/>
              </w:tabs>
              <w:jc w:val="both"/>
              <w:rPr>
                <w:sz w:val="20"/>
                <w:szCs w:val="20"/>
              </w:rPr>
            </w:pPr>
          </w:p>
          <w:p w:rsidR="00DC6F21" w:rsidRPr="00BD4B6E" w:rsidRDefault="00DC6F21" w:rsidP="003F4F9C">
            <w:pPr>
              <w:rPr>
                <w:sz w:val="20"/>
                <w:szCs w:val="20"/>
              </w:rPr>
            </w:pPr>
            <w:r w:rsidRPr="00BD4B6E">
              <w:rPr>
                <w:sz w:val="20"/>
                <w:szCs w:val="20"/>
              </w:rPr>
              <w:t>Vinicio Cardoso</w:t>
            </w:r>
          </w:p>
          <w:p w:rsidR="00DC6F21" w:rsidRPr="00BD4B6E" w:rsidRDefault="00DC6F21" w:rsidP="003F4F9C">
            <w:pPr>
              <w:rPr>
                <w:sz w:val="20"/>
                <w:szCs w:val="20"/>
              </w:rPr>
            </w:pPr>
          </w:p>
          <w:p w:rsidR="00DC6F21" w:rsidRPr="00BD4B6E" w:rsidRDefault="00DC6F21" w:rsidP="003F4F9C">
            <w:pPr>
              <w:rPr>
                <w:sz w:val="20"/>
                <w:szCs w:val="20"/>
              </w:rPr>
            </w:pPr>
            <w:r w:rsidRPr="00BD4B6E">
              <w:rPr>
                <w:sz w:val="20"/>
                <w:szCs w:val="20"/>
              </w:rPr>
              <w:tab/>
              <w:t>v. (34091)</w:t>
            </w:r>
          </w:p>
          <w:p w:rsidR="00DC6F21" w:rsidRPr="00BD4B6E" w:rsidRDefault="00DC6F21" w:rsidP="003F4F9C">
            <w:pPr>
              <w:rPr>
                <w:sz w:val="20"/>
                <w:szCs w:val="20"/>
              </w:rPr>
            </w:pPr>
          </w:p>
          <w:p w:rsidR="00DC6F21" w:rsidRPr="00BD4B6E" w:rsidRDefault="00DC6F21" w:rsidP="003F4F9C">
            <w:pPr>
              <w:tabs>
                <w:tab w:val="left" w:pos="-1440"/>
                <w:tab w:val="left" w:pos="-720"/>
              </w:tabs>
              <w:jc w:val="both"/>
              <w:rPr>
                <w:sz w:val="20"/>
                <w:szCs w:val="20"/>
              </w:rPr>
            </w:pPr>
            <w:r w:rsidRPr="00BD4B6E">
              <w:rPr>
                <w:sz w:val="20"/>
                <w:szCs w:val="20"/>
              </w:rPr>
              <w:lastRenderedPageBreak/>
              <w:t>Her Majesty the Queen (Crim.) (Ont.)</w:t>
            </w:r>
          </w:p>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r w:rsidRPr="00BD4B6E">
              <w:rPr>
                <w:sz w:val="20"/>
                <w:szCs w:val="20"/>
              </w:rPr>
              <w:t>- and between -</w:t>
            </w:r>
          </w:p>
          <w:p w:rsidR="00DC6F21" w:rsidRPr="00BD4B6E" w:rsidRDefault="00DC6F21" w:rsidP="003F4F9C">
            <w:pPr>
              <w:tabs>
                <w:tab w:val="left" w:pos="-1440"/>
                <w:tab w:val="left" w:pos="-720"/>
              </w:tabs>
              <w:jc w:val="both"/>
              <w:rPr>
                <w:sz w:val="20"/>
                <w:szCs w:val="20"/>
              </w:rPr>
            </w:pPr>
          </w:p>
          <w:p w:rsidR="00DC6F21" w:rsidRPr="00BD4B6E" w:rsidRDefault="00DC6F21" w:rsidP="003F4F9C">
            <w:pPr>
              <w:rPr>
                <w:sz w:val="20"/>
                <w:szCs w:val="20"/>
              </w:rPr>
            </w:pPr>
            <w:r w:rsidRPr="00BD4B6E">
              <w:rPr>
                <w:sz w:val="20"/>
                <w:szCs w:val="20"/>
              </w:rPr>
              <w:t>Troy Gilbert Davey</w:t>
            </w:r>
          </w:p>
          <w:p w:rsidR="00DC6F21" w:rsidRPr="00BD4B6E" w:rsidRDefault="00DC6F21" w:rsidP="003F4F9C">
            <w:pPr>
              <w:rPr>
                <w:sz w:val="20"/>
                <w:szCs w:val="20"/>
              </w:rPr>
            </w:pPr>
          </w:p>
          <w:p w:rsidR="00DC6F21" w:rsidRPr="00BD4B6E" w:rsidRDefault="00DC6F21" w:rsidP="003F4F9C">
            <w:pPr>
              <w:rPr>
                <w:sz w:val="20"/>
                <w:szCs w:val="20"/>
              </w:rPr>
            </w:pPr>
            <w:r w:rsidRPr="00BD4B6E">
              <w:rPr>
                <w:sz w:val="20"/>
                <w:szCs w:val="20"/>
              </w:rPr>
              <w:tab/>
              <w:t>v. (34179)</w:t>
            </w:r>
          </w:p>
          <w:p w:rsidR="00DC6F21" w:rsidRPr="00BD4B6E" w:rsidRDefault="00DC6F21" w:rsidP="003F4F9C">
            <w:pPr>
              <w:rPr>
                <w:sz w:val="20"/>
                <w:szCs w:val="20"/>
              </w:rPr>
            </w:pPr>
          </w:p>
          <w:p w:rsidR="00DC6F21" w:rsidRPr="00BD4B6E" w:rsidRDefault="00DC6F21" w:rsidP="003F4F9C">
            <w:pPr>
              <w:tabs>
                <w:tab w:val="left" w:pos="-1440"/>
                <w:tab w:val="left" w:pos="-720"/>
              </w:tabs>
              <w:jc w:val="both"/>
              <w:rPr>
                <w:sz w:val="20"/>
                <w:szCs w:val="20"/>
              </w:rPr>
            </w:pPr>
            <w:r w:rsidRPr="00BD4B6E">
              <w:rPr>
                <w:sz w:val="20"/>
                <w:szCs w:val="20"/>
              </w:rPr>
              <w:t>Her Majesty the Queen (Crim.) (Ont.)</w:t>
            </w:r>
          </w:p>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r w:rsidRPr="00BD4B6E">
              <w:rPr>
                <w:sz w:val="20"/>
                <w:szCs w:val="20"/>
              </w:rPr>
              <w:t>- and between -</w:t>
            </w:r>
          </w:p>
          <w:p w:rsidR="00DC6F21" w:rsidRPr="00BD4B6E" w:rsidRDefault="00DC6F21" w:rsidP="003F4F9C">
            <w:pPr>
              <w:tabs>
                <w:tab w:val="left" w:pos="-1440"/>
                <w:tab w:val="left" w:pos="-720"/>
              </w:tabs>
              <w:jc w:val="both"/>
              <w:rPr>
                <w:sz w:val="20"/>
                <w:szCs w:val="20"/>
              </w:rPr>
            </w:pPr>
          </w:p>
          <w:p w:rsidR="00DC6F21" w:rsidRPr="00BD4B6E" w:rsidRDefault="00DC6F21" w:rsidP="003F4F9C">
            <w:pPr>
              <w:rPr>
                <w:sz w:val="20"/>
                <w:szCs w:val="20"/>
              </w:rPr>
            </w:pPr>
            <w:r w:rsidRPr="00BD4B6E">
              <w:rPr>
                <w:sz w:val="20"/>
                <w:szCs w:val="20"/>
              </w:rPr>
              <w:t>Tung Chi Duong</w:t>
            </w:r>
          </w:p>
          <w:p w:rsidR="00DC6F21" w:rsidRPr="00BD4B6E" w:rsidRDefault="00DC6F21" w:rsidP="003F4F9C">
            <w:pPr>
              <w:rPr>
                <w:sz w:val="20"/>
                <w:szCs w:val="20"/>
              </w:rPr>
            </w:pPr>
          </w:p>
          <w:p w:rsidR="00DC6F21" w:rsidRPr="00BD4B6E" w:rsidRDefault="00DC6F21" w:rsidP="003F4F9C">
            <w:pPr>
              <w:rPr>
                <w:sz w:val="20"/>
                <w:szCs w:val="20"/>
              </w:rPr>
            </w:pPr>
            <w:r w:rsidRPr="00BD4B6E">
              <w:rPr>
                <w:sz w:val="20"/>
                <w:szCs w:val="20"/>
              </w:rPr>
              <w:tab/>
              <w:t>v. (34340)</w:t>
            </w:r>
          </w:p>
          <w:p w:rsidR="00DC6F21" w:rsidRPr="00BD4B6E" w:rsidRDefault="00DC6F21" w:rsidP="003F4F9C">
            <w:pPr>
              <w:rPr>
                <w:sz w:val="20"/>
                <w:szCs w:val="20"/>
              </w:rPr>
            </w:pPr>
          </w:p>
          <w:p w:rsidR="00DC6F21" w:rsidRPr="00BD4B6E" w:rsidRDefault="00DC6F21" w:rsidP="003F4F9C">
            <w:pPr>
              <w:tabs>
                <w:tab w:val="left" w:pos="-1440"/>
                <w:tab w:val="left" w:pos="-720"/>
              </w:tabs>
              <w:jc w:val="both"/>
              <w:rPr>
                <w:sz w:val="20"/>
                <w:szCs w:val="20"/>
              </w:rPr>
            </w:pPr>
            <w:r w:rsidRPr="00BD4B6E">
              <w:rPr>
                <w:sz w:val="20"/>
                <w:szCs w:val="20"/>
              </w:rPr>
              <w:t>Her Majesty the Queen (Crim.) (Ont.)</w:t>
            </w:r>
          </w:p>
        </w:tc>
        <w:tc>
          <w:tcPr>
            <w:tcW w:w="1170" w:type="dxa"/>
          </w:tcPr>
          <w:p w:rsidR="00DC6F21" w:rsidRPr="00BD4B6E" w:rsidRDefault="00DC6F21" w:rsidP="003F4F9C">
            <w:pPr>
              <w:tabs>
                <w:tab w:val="left" w:pos="-1440"/>
                <w:tab w:val="left" w:pos="-720"/>
              </w:tabs>
              <w:jc w:val="both"/>
              <w:rPr>
                <w:sz w:val="20"/>
                <w:szCs w:val="20"/>
              </w:rPr>
            </w:pPr>
          </w:p>
        </w:tc>
        <w:tc>
          <w:tcPr>
            <w:tcW w:w="4327" w:type="dxa"/>
          </w:tcPr>
          <w:p w:rsidR="00DC6F21" w:rsidRPr="00BD4B6E" w:rsidRDefault="00DC6F21" w:rsidP="003F4F9C">
            <w:pPr>
              <w:tabs>
                <w:tab w:val="left" w:pos="-1440"/>
                <w:tab w:val="left" w:pos="-720"/>
              </w:tabs>
              <w:jc w:val="both"/>
              <w:rPr>
                <w:sz w:val="20"/>
                <w:szCs w:val="20"/>
              </w:rPr>
            </w:pPr>
          </w:p>
        </w:tc>
      </w:tr>
    </w:tbl>
    <w:p w:rsidR="00DC6F21" w:rsidRPr="00BD4B6E" w:rsidRDefault="00DC6F21" w:rsidP="00DC6F21">
      <w:pPr>
        <w:tabs>
          <w:tab w:val="left" w:pos="-1440"/>
          <w:tab w:val="left" w:pos="-720"/>
        </w:tabs>
        <w:jc w:val="both"/>
        <w:rPr>
          <w:sz w:val="20"/>
          <w:szCs w:val="20"/>
        </w:rPr>
      </w:pPr>
    </w:p>
    <w:p w:rsidR="00DC6F21" w:rsidRPr="00BD4B6E" w:rsidRDefault="00DC6F21" w:rsidP="00DC6F21">
      <w:pPr>
        <w:tabs>
          <w:tab w:val="left" w:pos="-1440"/>
          <w:tab w:val="left" w:pos="-720"/>
        </w:tabs>
        <w:jc w:val="both"/>
        <w:rPr>
          <w:b/>
          <w:sz w:val="20"/>
          <w:szCs w:val="20"/>
        </w:rPr>
      </w:pPr>
      <w:r w:rsidRPr="00BD4B6E">
        <w:rPr>
          <w:b/>
          <w:sz w:val="20"/>
          <w:szCs w:val="20"/>
        </w:rPr>
        <w:t>GRANTED / ACCORDÉE</w:t>
      </w:r>
    </w:p>
    <w:p w:rsidR="00DC6F21" w:rsidRPr="00BD4B6E" w:rsidRDefault="00DC6F21" w:rsidP="00DC6F21">
      <w:pPr>
        <w:tabs>
          <w:tab w:val="left" w:pos="-1440"/>
          <w:tab w:val="left" w:pos="-720"/>
        </w:tabs>
        <w:jc w:val="both"/>
        <w:rPr>
          <w:sz w:val="20"/>
          <w:szCs w:val="20"/>
        </w:rPr>
      </w:pPr>
    </w:p>
    <w:p w:rsidR="00DC6F21" w:rsidRPr="00BD4B6E" w:rsidRDefault="00DC6F21" w:rsidP="00DC6F21">
      <w:pPr>
        <w:spacing w:line="233" w:lineRule="auto"/>
        <w:jc w:val="both"/>
        <w:rPr>
          <w:sz w:val="20"/>
          <w:szCs w:val="20"/>
        </w:rPr>
      </w:pPr>
      <w:r w:rsidRPr="00BD4B6E">
        <w:rPr>
          <w:b/>
          <w:bCs/>
          <w:sz w:val="20"/>
          <w:szCs w:val="20"/>
        </w:rPr>
        <w:t xml:space="preserve">UPON APPLICATION </w:t>
      </w:r>
      <w:r w:rsidRPr="00BD4B6E">
        <w:rPr>
          <w:sz w:val="20"/>
          <w:szCs w:val="20"/>
        </w:rPr>
        <w:t>by the respondent for an order permitting the filing of a reply factum to the factums of the interveners;</w:t>
      </w:r>
    </w:p>
    <w:p w:rsidR="00DC6F21" w:rsidRPr="00BD4B6E" w:rsidRDefault="00DC6F21" w:rsidP="00DC6F21">
      <w:pPr>
        <w:spacing w:line="233" w:lineRule="auto"/>
        <w:jc w:val="both"/>
        <w:rPr>
          <w:sz w:val="20"/>
          <w:szCs w:val="20"/>
        </w:rPr>
      </w:pPr>
    </w:p>
    <w:p w:rsidR="00DC6F21" w:rsidRPr="00BD4B6E" w:rsidRDefault="00DC6F21" w:rsidP="00DC6F21">
      <w:pPr>
        <w:spacing w:line="233" w:lineRule="auto"/>
        <w:jc w:val="both"/>
        <w:rPr>
          <w:sz w:val="20"/>
          <w:szCs w:val="20"/>
        </w:rPr>
      </w:pPr>
      <w:r w:rsidRPr="00BD4B6E">
        <w:rPr>
          <w:b/>
          <w:bCs/>
          <w:sz w:val="20"/>
          <w:szCs w:val="20"/>
        </w:rPr>
        <w:t>AND THE MATERIAL FILED</w:t>
      </w:r>
      <w:r w:rsidRPr="00BD4B6E">
        <w:rPr>
          <w:sz w:val="20"/>
          <w:szCs w:val="20"/>
        </w:rPr>
        <w:t xml:space="preserve"> having been read;</w:t>
      </w:r>
    </w:p>
    <w:p w:rsidR="00DC6F21" w:rsidRPr="00BD4B6E" w:rsidRDefault="00DC6F21" w:rsidP="00DC6F21">
      <w:pPr>
        <w:spacing w:line="233" w:lineRule="auto"/>
        <w:jc w:val="both"/>
        <w:rPr>
          <w:sz w:val="20"/>
          <w:szCs w:val="20"/>
        </w:rPr>
      </w:pPr>
    </w:p>
    <w:p w:rsidR="00DC6F21" w:rsidRPr="00BD4B6E" w:rsidRDefault="00DC6F21" w:rsidP="00DC6F21">
      <w:pPr>
        <w:spacing w:after="200" w:line="276" w:lineRule="auto"/>
        <w:rPr>
          <w:sz w:val="20"/>
          <w:szCs w:val="20"/>
        </w:rPr>
      </w:pPr>
      <w:r w:rsidRPr="00BD4B6E">
        <w:rPr>
          <w:b/>
          <w:bCs/>
          <w:sz w:val="20"/>
          <w:szCs w:val="20"/>
        </w:rPr>
        <w:t>IT IS HEREBY ORDERED THAT:</w:t>
      </w:r>
    </w:p>
    <w:p w:rsidR="00DC6F21" w:rsidRPr="00BD4B6E" w:rsidRDefault="00DC6F21" w:rsidP="00DC6F21">
      <w:pPr>
        <w:spacing w:line="233" w:lineRule="auto"/>
        <w:jc w:val="both"/>
        <w:rPr>
          <w:sz w:val="20"/>
          <w:szCs w:val="20"/>
          <w:lang w:val="fr-FR"/>
        </w:rPr>
      </w:pPr>
      <w:r w:rsidRPr="00BD4B6E">
        <w:rPr>
          <w:sz w:val="20"/>
          <w:szCs w:val="20"/>
        </w:rPr>
        <w:tab/>
      </w:r>
      <w:r w:rsidRPr="00BD4B6E">
        <w:rPr>
          <w:sz w:val="20"/>
          <w:szCs w:val="20"/>
          <w:lang w:val="fr-FR"/>
        </w:rPr>
        <w:t>The motion is granted.</w:t>
      </w:r>
    </w:p>
    <w:p w:rsidR="00DC6F21" w:rsidRPr="00BD4B6E" w:rsidRDefault="00DC6F21" w:rsidP="00DC6F21">
      <w:pPr>
        <w:spacing w:line="233" w:lineRule="auto"/>
        <w:jc w:val="both"/>
        <w:rPr>
          <w:sz w:val="20"/>
          <w:szCs w:val="20"/>
          <w:lang w:val="fr-FR"/>
        </w:rPr>
      </w:pPr>
    </w:p>
    <w:p w:rsidR="00DC6F21" w:rsidRPr="00BD4B6E" w:rsidRDefault="00DC6F21" w:rsidP="00DC6F21">
      <w:pPr>
        <w:spacing w:line="233" w:lineRule="auto"/>
        <w:jc w:val="both"/>
        <w:rPr>
          <w:sz w:val="20"/>
          <w:szCs w:val="20"/>
          <w:lang w:val="fr-FR"/>
        </w:rPr>
      </w:pPr>
    </w:p>
    <w:p w:rsidR="00DC6F21" w:rsidRPr="00BD4B6E" w:rsidRDefault="00DC6F21" w:rsidP="00DC6F21">
      <w:pPr>
        <w:spacing w:line="233" w:lineRule="auto"/>
        <w:jc w:val="both"/>
        <w:rPr>
          <w:sz w:val="20"/>
          <w:szCs w:val="20"/>
          <w:lang w:val="fr-FR"/>
        </w:rPr>
      </w:pPr>
    </w:p>
    <w:p w:rsidR="00DC6F21" w:rsidRPr="00BD4B6E" w:rsidRDefault="00DC6F21" w:rsidP="00DC6F21">
      <w:pPr>
        <w:spacing w:line="233" w:lineRule="auto"/>
        <w:jc w:val="both"/>
        <w:rPr>
          <w:sz w:val="20"/>
          <w:szCs w:val="20"/>
          <w:lang w:val="fr-FR"/>
        </w:rPr>
      </w:pPr>
      <w:r w:rsidRPr="00BD4B6E">
        <w:rPr>
          <w:b/>
          <w:sz w:val="20"/>
          <w:szCs w:val="20"/>
          <w:lang w:val="fr-FR"/>
        </w:rPr>
        <w:t>À LA SUITE DE LA DEMANDE</w:t>
      </w:r>
      <w:r w:rsidRPr="00BD4B6E">
        <w:rPr>
          <w:sz w:val="20"/>
          <w:szCs w:val="20"/>
          <w:lang w:val="fr-FR"/>
        </w:rPr>
        <w:t xml:space="preserve"> présentée par l’intimée en vue de déposer un mémoire en réplique aux mémoires des intervenants;</w:t>
      </w:r>
    </w:p>
    <w:p w:rsidR="00DC6F21" w:rsidRPr="00BD4B6E" w:rsidRDefault="00DC6F21" w:rsidP="00DC6F21">
      <w:pPr>
        <w:spacing w:line="233" w:lineRule="auto"/>
        <w:jc w:val="both"/>
        <w:rPr>
          <w:sz w:val="20"/>
          <w:szCs w:val="20"/>
          <w:lang w:val="fr-FR"/>
        </w:rPr>
      </w:pPr>
    </w:p>
    <w:p w:rsidR="00DC6F21" w:rsidRPr="00BD4B6E" w:rsidRDefault="00DC6F21" w:rsidP="00DC6F21">
      <w:pPr>
        <w:spacing w:line="233" w:lineRule="auto"/>
        <w:jc w:val="both"/>
        <w:rPr>
          <w:sz w:val="20"/>
          <w:szCs w:val="20"/>
          <w:lang w:val="fr-FR"/>
        </w:rPr>
      </w:pPr>
      <w:r w:rsidRPr="00BD4B6E">
        <w:rPr>
          <w:b/>
          <w:sz w:val="20"/>
          <w:szCs w:val="20"/>
          <w:lang w:val="fr-FR"/>
        </w:rPr>
        <w:t>ET APRÈS EXAMEN</w:t>
      </w:r>
      <w:r w:rsidRPr="00BD4B6E">
        <w:rPr>
          <w:sz w:val="20"/>
          <w:szCs w:val="20"/>
          <w:lang w:val="fr-FR"/>
        </w:rPr>
        <w:t xml:space="preserve"> des documents déposés;</w:t>
      </w:r>
    </w:p>
    <w:p w:rsidR="00DC6F21" w:rsidRPr="00BD4B6E" w:rsidRDefault="00DC6F21" w:rsidP="00DC6F21">
      <w:pPr>
        <w:spacing w:line="233" w:lineRule="auto"/>
        <w:jc w:val="both"/>
        <w:rPr>
          <w:sz w:val="20"/>
          <w:szCs w:val="20"/>
          <w:lang w:val="fr-FR"/>
        </w:rPr>
      </w:pPr>
    </w:p>
    <w:p w:rsidR="00DC6F21" w:rsidRPr="00BD4B6E" w:rsidRDefault="00DC6F21" w:rsidP="00DC6F21">
      <w:pPr>
        <w:spacing w:line="233" w:lineRule="auto"/>
        <w:jc w:val="both"/>
        <w:rPr>
          <w:b/>
          <w:sz w:val="20"/>
          <w:szCs w:val="20"/>
          <w:lang w:val="fr-FR"/>
        </w:rPr>
      </w:pPr>
      <w:r w:rsidRPr="00BD4B6E">
        <w:rPr>
          <w:b/>
          <w:sz w:val="20"/>
          <w:szCs w:val="20"/>
          <w:lang w:val="fr-FR"/>
        </w:rPr>
        <w:t>IL EST ORDONNÉ CE QUI SUIT :</w:t>
      </w:r>
    </w:p>
    <w:p w:rsidR="00DC6F21" w:rsidRPr="00BD4B6E" w:rsidRDefault="00DC6F21" w:rsidP="00DC6F21">
      <w:pPr>
        <w:spacing w:line="233" w:lineRule="auto"/>
        <w:jc w:val="both"/>
        <w:rPr>
          <w:sz w:val="20"/>
          <w:szCs w:val="20"/>
          <w:lang w:val="fr-FR"/>
        </w:rPr>
      </w:pPr>
    </w:p>
    <w:p w:rsidR="00DC6F21" w:rsidRPr="00BD4B6E" w:rsidRDefault="00DC6F21" w:rsidP="00DC6F21">
      <w:pPr>
        <w:spacing w:line="233" w:lineRule="auto"/>
        <w:ind w:firstLine="720"/>
        <w:jc w:val="both"/>
        <w:rPr>
          <w:sz w:val="20"/>
          <w:szCs w:val="20"/>
          <w:lang w:val="fr-FR"/>
        </w:rPr>
      </w:pPr>
      <w:r w:rsidRPr="00BD4B6E">
        <w:rPr>
          <w:sz w:val="20"/>
          <w:szCs w:val="20"/>
          <w:lang w:val="fr-FR"/>
        </w:rPr>
        <w:t>La requête est accordée.</w:t>
      </w:r>
    </w:p>
    <w:p w:rsidR="00DC6F21" w:rsidRPr="00BD4B6E" w:rsidRDefault="00DC6F21" w:rsidP="00DC6F21">
      <w:pPr>
        <w:tabs>
          <w:tab w:val="left" w:pos="-1440"/>
          <w:tab w:val="left" w:pos="-720"/>
        </w:tabs>
        <w:jc w:val="both"/>
        <w:rPr>
          <w:sz w:val="20"/>
          <w:szCs w:val="20"/>
        </w:rPr>
      </w:pPr>
    </w:p>
    <w:p w:rsidR="00DC6F21" w:rsidRPr="00BD4B6E" w:rsidRDefault="009019DC" w:rsidP="00DC6F21">
      <w:pPr>
        <w:tabs>
          <w:tab w:val="left" w:pos="-1440"/>
          <w:tab w:val="left" w:pos="-720"/>
        </w:tabs>
        <w:jc w:val="both"/>
        <w:rPr>
          <w:sz w:val="20"/>
          <w:szCs w:val="20"/>
        </w:rPr>
      </w:pPr>
      <w:r w:rsidRPr="009019DC">
        <w:rPr>
          <w:sz w:val="20"/>
          <w:szCs w:val="20"/>
          <w:lang w:val="fr-CA"/>
        </w:rPr>
        <w:pict>
          <v:rect id="_x0000_i1053" style="width:2in;height:1pt" o:hrpct="0" o:hralign="center" o:hrstd="t" o:hrnoshade="t" o:hr="t" fillcolor="black [3213]" stroked="f"/>
        </w:pict>
      </w:r>
    </w:p>
    <w:p w:rsidR="00DC6F21" w:rsidRPr="00BD4B6E" w:rsidRDefault="00DC6F21" w:rsidP="00DC6F21">
      <w:pPr>
        <w:tabs>
          <w:tab w:val="left" w:pos="-1440"/>
          <w:tab w:val="left" w:pos="-720"/>
        </w:tabs>
        <w:jc w:val="both"/>
        <w:rPr>
          <w:sz w:val="20"/>
          <w:szCs w:val="20"/>
        </w:rPr>
      </w:pPr>
    </w:p>
    <w:p w:rsidR="00EF177C" w:rsidRDefault="00EF177C">
      <w:pPr>
        <w:rPr>
          <w:sz w:val="20"/>
          <w:szCs w:val="20"/>
          <w:lang w:val="fr-CA"/>
        </w:rPr>
      </w:pPr>
      <w:r>
        <w:rPr>
          <w:sz w:val="20"/>
          <w:szCs w:val="20"/>
          <w:lang w:val="fr-CA"/>
        </w:rPr>
        <w:br w:type="page"/>
      </w:r>
    </w:p>
    <w:p w:rsidR="00DC6F21" w:rsidRPr="00BD4B6E" w:rsidRDefault="00DC6F21" w:rsidP="00DC6F21">
      <w:pPr>
        <w:tabs>
          <w:tab w:val="left" w:pos="-1440"/>
          <w:tab w:val="left" w:pos="-720"/>
        </w:tabs>
        <w:jc w:val="both"/>
        <w:rPr>
          <w:sz w:val="20"/>
          <w:szCs w:val="20"/>
          <w:lang w:val="fr-CA"/>
        </w:rPr>
      </w:pPr>
      <w:r w:rsidRPr="00BD4B6E">
        <w:rPr>
          <w:sz w:val="20"/>
          <w:szCs w:val="20"/>
          <w:lang w:val="fr-CA"/>
        </w:rPr>
        <w:lastRenderedPageBreak/>
        <w:t>08.03.2012</w:t>
      </w:r>
    </w:p>
    <w:p w:rsidR="00DC6F21" w:rsidRPr="00BD4B6E" w:rsidRDefault="00DC6F21" w:rsidP="00DC6F21">
      <w:pPr>
        <w:tabs>
          <w:tab w:val="left" w:pos="-1440"/>
          <w:tab w:val="left" w:pos="-720"/>
        </w:tabs>
        <w:jc w:val="both"/>
        <w:rPr>
          <w:sz w:val="20"/>
          <w:szCs w:val="20"/>
          <w:lang w:val="fr-CA"/>
        </w:rPr>
      </w:pPr>
    </w:p>
    <w:p w:rsidR="00DC6F21" w:rsidRPr="00BD4B6E" w:rsidRDefault="00DC6F21" w:rsidP="00DC6F21">
      <w:pPr>
        <w:tabs>
          <w:tab w:val="left" w:pos="-1440"/>
          <w:tab w:val="left" w:pos="-720"/>
        </w:tabs>
        <w:jc w:val="both"/>
        <w:rPr>
          <w:sz w:val="20"/>
          <w:szCs w:val="20"/>
          <w:lang w:val="fr-CA"/>
        </w:rPr>
      </w:pPr>
      <w:r w:rsidRPr="00BD4B6E">
        <w:rPr>
          <w:sz w:val="20"/>
          <w:szCs w:val="20"/>
          <w:lang w:val="fr-CA"/>
        </w:rPr>
        <w:t>Before / Devant :   DESCHAMPS J. / LA JUGE DESCHAMPS</w:t>
      </w:r>
    </w:p>
    <w:p w:rsidR="00DC6F21" w:rsidRPr="00BD4B6E" w:rsidRDefault="00DC6F21" w:rsidP="00DC6F2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C6F21" w:rsidRPr="00F8135D" w:rsidTr="003F4F9C">
        <w:tc>
          <w:tcPr>
            <w:tcW w:w="4338" w:type="dxa"/>
          </w:tcPr>
          <w:p w:rsidR="00DC6F21" w:rsidRPr="00BD4B6E" w:rsidRDefault="00DC6F21" w:rsidP="003F4F9C">
            <w:pPr>
              <w:tabs>
                <w:tab w:val="left" w:pos="-1440"/>
                <w:tab w:val="left" w:pos="-720"/>
              </w:tabs>
              <w:jc w:val="both"/>
              <w:rPr>
                <w:b/>
                <w:sz w:val="20"/>
                <w:szCs w:val="20"/>
              </w:rPr>
            </w:pPr>
            <w:r w:rsidRPr="00BD4B6E">
              <w:rPr>
                <w:b/>
                <w:bCs/>
                <w:sz w:val="20"/>
                <w:szCs w:val="20"/>
              </w:rPr>
              <w:t>Motion to extend the time to serve and file the respondent's factum and book of authorities to Februry 8, 2012, and for an order pursuant to Rule 71(3) permitting oral argument at the hearing of the appeal</w:t>
            </w:r>
          </w:p>
        </w:tc>
        <w:tc>
          <w:tcPr>
            <w:tcW w:w="1170" w:type="dxa"/>
          </w:tcPr>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p>
        </w:tc>
        <w:tc>
          <w:tcPr>
            <w:tcW w:w="4327" w:type="dxa"/>
          </w:tcPr>
          <w:p w:rsidR="00DC6F21" w:rsidRPr="00BD4B6E" w:rsidRDefault="00DC6F21" w:rsidP="003F4F9C">
            <w:pPr>
              <w:tabs>
                <w:tab w:val="left" w:pos="-1440"/>
                <w:tab w:val="left" w:pos="-720"/>
              </w:tabs>
              <w:jc w:val="both"/>
              <w:rPr>
                <w:sz w:val="20"/>
                <w:szCs w:val="20"/>
                <w:lang w:val="fr-CA"/>
              </w:rPr>
            </w:pPr>
            <w:r w:rsidRPr="00BD4B6E">
              <w:rPr>
                <w:b/>
                <w:bCs/>
                <w:sz w:val="20"/>
                <w:szCs w:val="20"/>
                <w:lang w:val="fr-CA"/>
              </w:rPr>
              <w:t xml:space="preserve">Requête de l'intimée en prorogation du délai de signification et de dépôt de ses mémoire et recueil de sources jusqu'au 8 février 2012, et en vue de présenter une plaidoirie orale à l'audition en vertu du par. 71(3) des </w:t>
            </w:r>
            <w:r w:rsidRPr="00BD4B6E">
              <w:rPr>
                <w:b/>
                <w:bCs/>
                <w:i/>
                <w:sz w:val="20"/>
                <w:szCs w:val="20"/>
                <w:lang w:val="fr-CA"/>
              </w:rPr>
              <w:t>Règles</w:t>
            </w:r>
            <w:r w:rsidRPr="00BD4B6E">
              <w:rPr>
                <w:sz w:val="20"/>
                <w:szCs w:val="20"/>
                <w:lang w:val="fr-CA"/>
              </w:rPr>
              <w:t xml:space="preserve"> </w:t>
            </w:r>
            <w:r w:rsidR="009019DC" w:rsidRPr="00BD4B6E">
              <w:rPr>
                <w:sz w:val="20"/>
                <w:szCs w:val="20"/>
              </w:rPr>
              <w:fldChar w:fldCharType="begin"/>
            </w:r>
            <w:r w:rsidRPr="00BD4B6E">
              <w:rPr>
                <w:sz w:val="20"/>
                <w:szCs w:val="20"/>
                <w:lang w:val="fr-CA"/>
              </w:rPr>
              <w:instrText xml:space="preserve"> SEQ CHAPTER \h \r 1</w:instrText>
            </w:r>
            <w:r w:rsidR="009019DC" w:rsidRPr="00BD4B6E">
              <w:rPr>
                <w:sz w:val="20"/>
                <w:szCs w:val="20"/>
              </w:rPr>
              <w:fldChar w:fldCharType="end"/>
            </w:r>
          </w:p>
        </w:tc>
      </w:tr>
      <w:tr w:rsidR="00DC6F21" w:rsidRPr="00BD4B6E" w:rsidTr="003F4F9C">
        <w:tc>
          <w:tcPr>
            <w:tcW w:w="4338" w:type="dxa"/>
          </w:tcPr>
          <w:p w:rsidR="00DC6F21" w:rsidRPr="00BD4B6E" w:rsidRDefault="00DC6F21" w:rsidP="003F4F9C">
            <w:pPr>
              <w:rPr>
                <w:sz w:val="20"/>
                <w:szCs w:val="20"/>
              </w:rPr>
            </w:pPr>
            <w:r w:rsidRPr="00BD4B6E">
              <w:rPr>
                <w:sz w:val="20"/>
                <w:szCs w:val="20"/>
              </w:rPr>
              <w:t>Frederick Moore on behalf of Jeffrey P. Moore</w:t>
            </w:r>
          </w:p>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r w:rsidRPr="00BD4B6E">
              <w:rPr>
                <w:sz w:val="20"/>
                <w:szCs w:val="20"/>
              </w:rPr>
              <w:tab/>
              <w:t>v. (34041)</w:t>
            </w:r>
          </w:p>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r w:rsidRPr="00BD4B6E">
              <w:rPr>
                <w:sz w:val="20"/>
                <w:szCs w:val="20"/>
              </w:rPr>
              <w:t>Her Majesty the Queen in Right of the Province of British Columbia as represented by the Ministry of Education et al. (B.C.)</w:t>
            </w:r>
          </w:p>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r w:rsidRPr="00BD4B6E">
              <w:rPr>
                <w:sz w:val="20"/>
                <w:szCs w:val="20"/>
              </w:rPr>
              <w:t>- and between -</w:t>
            </w:r>
          </w:p>
          <w:p w:rsidR="00DC6F21" w:rsidRPr="00BD4B6E" w:rsidRDefault="00DC6F21" w:rsidP="003F4F9C">
            <w:pPr>
              <w:tabs>
                <w:tab w:val="left" w:pos="-1440"/>
                <w:tab w:val="left" w:pos="-720"/>
              </w:tabs>
              <w:jc w:val="both"/>
              <w:rPr>
                <w:sz w:val="20"/>
                <w:szCs w:val="20"/>
              </w:rPr>
            </w:pPr>
          </w:p>
          <w:p w:rsidR="00DC6F21" w:rsidRPr="00BD4B6E" w:rsidRDefault="00DC6F21" w:rsidP="003F4F9C">
            <w:pPr>
              <w:rPr>
                <w:sz w:val="20"/>
                <w:szCs w:val="20"/>
              </w:rPr>
            </w:pPr>
            <w:r w:rsidRPr="00BD4B6E">
              <w:rPr>
                <w:sz w:val="20"/>
                <w:szCs w:val="20"/>
              </w:rPr>
              <w:t>Frederick Moore on behalf of Jeffrey P. Moore</w:t>
            </w:r>
          </w:p>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r w:rsidRPr="00BD4B6E">
              <w:rPr>
                <w:sz w:val="20"/>
                <w:szCs w:val="20"/>
              </w:rPr>
              <w:tab/>
              <w:t>v (34040)</w:t>
            </w:r>
          </w:p>
          <w:p w:rsidR="00DC6F21" w:rsidRPr="00BD4B6E" w:rsidRDefault="00DC6F21" w:rsidP="003F4F9C">
            <w:pPr>
              <w:tabs>
                <w:tab w:val="left" w:pos="-1440"/>
                <w:tab w:val="left" w:pos="-720"/>
              </w:tabs>
              <w:jc w:val="both"/>
              <w:rPr>
                <w:sz w:val="20"/>
                <w:szCs w:val="20"/>
              </w:rPr>
            </w:pPr>
          </w:p>
          <w:p w:rsidR="00DC6F21" w:rsidRPr="00BD4B6E" w:rsidRDefault="00DC6F21" w:rsidP="003F4F9C">
            <w:pPr>
              <w:tabs>
                <w:tab w:val="left" w:pos="-1440"/>
                <w:tab w:val="left" w:pos="-720"/>
              </w:tabs>
              <w:jc w:val="both"/>
              <w:rPr>
                <w:sz w:val="20"/>
                <w:szCs w:val="20"/>
              </w:rPr>
            </w:pPr>
            <w:r w:rsidRPr="00BD4B6E">
              <w:rPr>
                <w:sz w:val="20"/>
                <w:szCs w:val="20"/>
              </w:rPr>
              <w:t>Her Majesty the Queen in Right of the Province of British Columbia as represented by the Ministry of Education et al. (B.C.)</w:t>
            </w:r>
          </w:p>
        </w:tc>
        <w:tc>
          <w:tcPr>
            <w:tcW w:w="1170" w:type="dxa"/>
          </w:tcPr>
          <w:p w:rsidR="00DC6F21" w:rsidRPr="00BD4B6E" w:rsidRDefault="00DC6F21" w:rsidP="003F4F9C">
            <w:pPr>
              <w:tabs>
                <w:tab w:val="left" w:pos="-1440"/>
                <w:tab w:val="left" w:pos="-720"/>
              </w:tabs>
              <w:jc w:val="both"/>
              <w:rPr>
                <w:sz w:val="20"/>
                <w:szCs w:val="20"/>
              </w:rPr>
            </w:pPr>
          </w:p>
        </w:tc>
        <w:tc>
          <w:tcPr>
            <w:tcW w:w="4327" w:type="dxa"/>
          </w:tcPr>
          <w:p w:rsidR="00DC6F21" w:rsidRPr="00BD4B6E" w:rsidRDefault="00DC6F21" w:rsidP="003F4F9C">
            <w:pPr>
              <w:tabs>
                <w:tab w:val="left" w:pos="-1440"/>
                <w:tab w:val="left" w:pos="-720"/>
              </w:tabs>
              <w:jc w:val="both"/>
              <w:rPr>
                <w:sz w:val="20"/>
                <w:szCs w:val="20"/>
              </w:rPr>
            </w:pPr>
          </w:p>
        </w:tc>
      </w:tr>
    </w:tbl>
    <w:p w:rsidR="00DC6F21" w:rsidRPr="00BD4B6E" w:rsidRDefault="00DC6F21" w:rsidP="00DC6F21">
      <w:pPr>
        <w:tabs>
          <w:tab w:val="left" w:pos="-1440"/>
          <w:tab w:val="left" w:pos="-720"/>
        </w:tabs>
        <w:jc w:val="both"/>
        <w:rPr>
          <w:sz w:val="20"/>
          <w:szCs w:val="20"/>
        </w:rPr>
      </w:pPr>
    </w:p>
    <w:p w:rsidR="00DC6F21" w:rsidRPr="00BD4B6E" w:rsidRDefault="00DC6F21" w:rsidP="00DC6F21">
      <w:pPr>
        <w:tabs>
          <w:tab w:val="left" w:pos="-1440"/>
          <w:tab w:val="left" w:pos="-720"/>
        </w:tabs>
        <w:jc w:val="both"/>
        <w:rPr>
          <w:b/>
          <w:sz w:val="20"/>
          <w:szCs w:val="20"/>
        </w:rPr>
      </w:pPr>
      <w:r w:rsidRPr="00BD4B6E">
        <w:rPr>
          <w:b/>
          <w:sz w:val="20"/>
          <w:szCs w:val="20"/>
        </w:rPr>
        <w:t>GRANTED / ACCORDÉE</w:t>
      </w:r>
    </w:p>
    <w:p w:rsidR="00DC6F21" w:rsidRPr="00BD4B6E" w:rsidRDefault="00DC6F21" w:rsidP="00DC6F21">
      <w:pPr>
        <w:tabs>
          <w:tab w:val="left" w:pos="-1440"/>
          <w:tab w:val="left" w:pos="-720"/>
        </w:tabs>
        <w:jc w:val="both"/>
        <w:rPr>
          <w:sz w:val="20"/>
          <w:szCs w:val="20"/>
        </w:rPr>
      </w:pPr>
    </w:p>
    <w:p w:rsidR="00DC6F21" w:rsidRPr="00BD4B6E" w:rsidRDefault="009019DC" w:rsidP="00DC6F21">
      <w:pPr>
        <w:tabs>
          <w:tab w:val="left" w:pos="-1440"/>
          <w:tab w:val="left" w:pos="-720"/>
        </w:tabs>
        <w:jc w:val="both"/>
        <w:rPr>
          <w:sz w:val="20"/>
          <w:szCs w:val="20"/>
        </w:rPr>
      </w:pPr>
      <w:r w:rsidRPr="009019DC">
        <w:rPr>
          <w:sz w:val="20"/>
          <w:szCs w:val="20"/>
          <w:lang w:val="fr-CA"/>
        </w:rPr>
        <w:pict>
          <v:rect id="_x0000_i1054" style="width:2in;height:1pt" o:hrpct="0" o:hralign="center" o:hrstd="t" o:hrnoshade="t" o:hr="t" fillcolor="black [3213]" stroked="f"/>
        </w:pict>
      </w:r>
    </w:p>
    <w:p w:rsidR="00DC6F21" w:rsidRPr="00BD4B6E" w:rsidRDefault="00DC6F21" w:rsidP="00DC6F21">
      <w:pPr>
        <w:tabs>
          <w:tab w:val="left" w:pos="-1440"/>
          <w:tab w:val="left" w:pos="-720"/>
        </w:tabs>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F8135D"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8F226F" w:rsidP="003B3977">
            <w:pPr>
              <w:rPr>
                <w:sz w:val="20"/>
                <w:szCs w:val="20"/>
              </w:rPr>
            </w:pPr>
            <w:r>
              <w:rPr>
                <w:sz w:val="20"/>
                <w:szCs w:val="20"/>
              </w:rPr>
              <w:t>24</w:t>
            </w:r>
            <w:r w:rsidR="0010587F" w:rsidRPr="003B3977">
              <w:rPr>
                <w:sz w:val="20"/>
                <w:szCs w:val="20"/>
              </w:rPr>
              <w:t>.0</w:t>
            </w:r>
            <w:r>
              <w:rPr>
                <w:sz w:val="20"/>
                <w:szCs w:val="20"/>
              </w:rPr>
              <w:t>2</w:t>
            </w:r>
            <w:r w:rsidR="0010587F" w:rsidRPr="003B3977">
              <w:rPr>
                <w:sz w:val="20"/>
                <w:szCs w:val="20"/>
              </w:rPr>
              <w:t>.201</w:t>
            </w:r>
            <w:r>
              <w:rPr>
                <w:sz w:val="20"/>
                <w:szCs w:val="20"/>
              </w:rPr>
              <w:t>2</w:t>
            </w:r>
          </w:p>
          <w:p w:rsidR="0010587F" w:rsidRPr="003B3977" w:rsidRDefault="0010587F" w:rsidP="003B3977">
            <w:pPr>
              <w:rPr>
                <w:sz w:val="20"/>
                <w:szCs w:val="20"/>
              </w:rPr>
            </w:pPr>
          </w:p>
          <w:p w:rsidR="0010587F" w:rsidRPr="003B3977" w:rsidRDefault="008F226F" w:rsidP="003B3977">
            <w:pPr>
              <w:rPr>
                <w:b/>
                <w:sz w:val="20"/>
                <w:szCs w:val="20"/>
              </w:rPr>
            </w:pPr>
            <w:r w:rsidRPr="003B3977">
              <w:rPr>
                <w:b/>
                <w:sz w:val="20"/>
                <w:szCs w:val="20"/>
              </w:rPr>
              <w:t>Her Majesty the Queen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8F226F">
              <w:rPr>
                <w:b/>
                <w:sz w:val="20"/>
                <w:szCs w:val="20"/>
              </w:rPr>
              <w:t>469</w:t>
            </w:r>
            <w:r w:rsidRPr="003B3977">
              <w:rPr>
                <w:b/>
                <w:sz w:val="20"/>
                <w:szCs w:val="20"/>
              </w:rPr>
              <w:t>4)</w:t>
            </w:r>
          </w:p>
          <w:p w:rsidR="0010587F" w:rsidRPr="003B3977" w:rsidRDefault="0010587F" w:rsidP="003B3977">
            <w:pPr>
              <w:rPr>
                <w:b/>
                <w:sz w:val="20"/>
                <w:szCs w:val="20"/>
              </w:rPr>
            </w:pPr>
          </w:p>
          <w:p w:rsidR="0010587F" w:rsidRPr="003B3977" w:rsidRDefault="008F226F" w:rsidP="003B3977">
            <w:pPr>
              <w:rPr>
                <w:b/>
                <w:sz w:val="20"/>
                <w:szCs w:val="20"/>
              </w:rPr>
            </w:pPr>
            <w:r>
              <w:rPr>
                <w:b/>
                <w:sz w:val="20"/>
                <w:szCs w:val="20"/>
              </w:rPr>
              <w:t>K</w:t>
            </w:r>
            <w:r w:rsidR="0010587F" w:rsidRPr="003B3977">
              <w:rPr>
                <w:b/>
                <w:sz w:val="20"/>
                <w:szCs w:val="20"/>
              </w:rPr>
              <w:t>e</w:t>
            </w:r>
            <w:r>
              <w:rPr>
                <w:b/>
                <w:sz w:val="20"/>
                <w:szCs w:val="20"/>
              </w:rPr>
              <w:t>ll</w:t>
            </w:r>
            <w:r w:rsidR="0010587F" w:rsidRPr="003B3977">
              <w:rPr>
                <w:b/>
                <w:sz w:val="20"/>
                <w:szCs w:val="20"/>
              </w:rPr>
              <w:t>y</w:t>
            </w:r>
            <w:r>
              <w:rPr>
                <w:b/>
                <w:sz w:val="20"/>
                <w:szCs w:val="20"/>
              </w:rPr>
              <w:t xml:space="preserve"> Josep</w:t>
            </w:r>
            <w:r w:rsidR="0010587F" w:rsidRPr="003B3977">
              <w:rPr>
                <w:b/>
                <w:sz w:val="20"/>
                <w:szCs w:val="20"/>
              </w:rPr>
              <w:t>th</w:t>
            </w:r>
            <w:r>
              <w:rPr>
                <w:b/>
                <w:sz w:val="20"/>
                <w:szCs w:val="20"/>
              </w:rPr>
              <w:t xml:space="preserve"> O’Bri</w:t>
            </w:r>
            <w:r w:rsidR="0010587F" w:rsidRPr="003B3977">
              <w:rPr>
                <w:b/>
                <w:sz w:val="20"/>
                <w:szCs w:val="20"/>
              </w:rPr>
              <w:t>en (</w:t>
            </w:r>
            <w:r>
              <w:rPr>
                <w:b/>
                <w:sz w:val="20"/>
                <w:szCs w:val="20"/>
              </w:rPr>
              <w:t>M</w:t>
            </w:r>
            <w:r w:rsidR="0010587F" w:rsidRPr="003B3977">
              <w:rPr>
                <w:b/>
                <w:sz w:val="20"/>
                <w:szCs w:val="20"/>
              </w:rPr>
              <w:t>a</w:t>
            </w:r>
            <w:r>
              <w:rPr>
                <w:b/>
                <w:sz w:val="20"/>
                <w:szCs w:val="20"/>
              </w:rPr>
              <w:t>n</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9019DC" w:rsidP="003B3977">
            <w:pPr>
              <w:rPr>
                <w:sz w:val="20"/>
                <w:szCs w:val="20"/>
                <w:lang w:val="fr-CA"/>
              </w:rPr>
            </w:pPr>
            <w:r w:rsidRPr="009019DC">
              <w:rPr>
                <w:sz w:val="20"/>
                <w:szCs w:val="20"/>
                <w:lang w:val="fr-CA"/>
              </w:rPr>
              <w:pict>
                <v:rect id="_x0000_i1057"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F8135D"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671CD6" w:rsidRDefault="00671CD6" w:rsidP="00732DB7">
      <w:pPr>
        <w:widowControl w:val="0"/>
        <w:rPr>
          <w:sz w:val="20"/>
          <w:szCs w:val="20"/>
        </w:rPr>
      </w:pPr>
      <w:r>
        <w:rPr>
          <w:sz w:val="20"/>
          <w:szCs w:val="20"/>
        </w:rPr>
        <w:t>13.03.2012</w:t>
      </w:r>
    </w:p>
    <w:p w:rsidR="00671CD6" w:rsidRDefault="00671CD6" w:rsidP="00732DB7">
      <w:pPr>
        <w:widowControl w:val="0"/>
        <w:rPr>
          <w:sz w:val="20"/>
          <w:szCs w:val="20"/>
        </w:rPr>
      </w:pPr>
    </w:p>
    <w:p w:rsidR="00671CD6" w:rsidRPr="004F4482" w:rsidRDefault="00671CD6" w:rsidP="00A62471">
      <w:pPr>
        <w:widowControl w:val="0"/>
        <w:ind w:left="720" w:hanging="720"/>
        <w:rPr>
          <w:rFonts w:eastAsia="Calibri" w:cs="Times New Roman"/>
          <w:sz w:val="20"/>
          <w:szCs w:val="20"/>
          <w:u w:val="single"/>
        </w:rPr>
      </w:pPr>
      <w:r w:rsidRPr="004F4482">
        <w:rPr>
          <w:rFonts w:eastAsia="Calibri" w:cs="Times New Roman"/>
          <w:sz w:val="20"/>
          <w:szCs w:val="20"/>
        </w:rPr>
        <w:t xml:space="preserve">Coram: </w:t>
      </w:r>
      <w:r w:rsidRPr="004F4482">
        <w:rPr>
          <w:rFonts w:eastAsia="Calibri" w:cs="Times New Roman"/>
          <w:sz w:val="20"/>
          <w:szCs w:val="20"/>
        </w:rPr>
        <w:tab/>
      </w:r>
      <w:r w:rsidRPr="004F4482">
        <w:rPr>
          <w:rFonts w:eastAsia="Calibri" w:cs="Times New Roman"/>
          <w:sz w:val="20"/>
          <w:szCs w:val="20"/>
          <w:u w:val="single"/>
        </w:rPr>
        <w:t>LeBel, Deschamps, Fish, Abella, Rothstein, Moldaver and Karakatsanis JJ.</w:t>
      </w:r>
    </w:p>
    <w:p w:rsidR="00671CD6" w:rsidRDefault="00671CD6"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671CD6" w:rsidRPr="00C50A5C" w:rsidTr="00CB0DA3">
        <w:tc>
          <w:tcPr>
            <w:tcW w:w="4380" w:type="dxa"/>
            <w:tcMar>
              <w:left w:w="0" w:type="dxa"/>
              <w:right w:w="0" w:type="dxa"/>
            </w:tcMar>
          </w:tcPr>
          <w:p w:rsidR="00671CD6" w:rsidRDefault="00890FD6" w:rsidP="00CB0DA3">
            <w:pPr>
              <w:widowControl w:val="0"/>
              <w:jc w:val="both"/>
              <w:rPr>
                <w:b/>
                <w:sz w:val="20"/>
                <w:szCs w:val="20"/>
              </w:rPr>
            </w:pPr>
            <w:r w:rsidRPr="004F4482">
              <w:rPr>
                <w:rStyle w:val="SCCSsocChar"/>
                <w:b/>
                <w:i w:val="0"/>
              </w:rPr>
              <w:t>St.Michael Trust Corp., as Trustee of the Fundy Settlement</w:t>
            </w:r>
            <w:r w:rsidRPr="00C50A5C">
              <w:rPr>
                <w:b/>
                <w:sz w:val="20"/>
                <w:szCs w:val="20"/>
              </w:rPr>
              <w:t xml:space="preserve"> </w:t>
            </w:r>
          </w:p>
          <w:p w:rsidR="00890FD6" w:rsidRPr="00C50A5C" w:rsidRDefault="00890FD6" w:rsidP="00CB0DA3">
            <w:pPr>
              <w:widowControl w:val="0"/>
              <w:jc w:val="both"/>
              <w:rPr>
                <w:b/>
                <w:sz w:val="20"/>
                <w:szCs w:val="20"/>
              </w:rPr>
            </w:pPr>
          </w:p>
          <w:p w:rsidR="00671CD6" w:rsidRPr="00C50A5C" w:rsidRDefault="00671CD6" w:rsidP="00CB0DA3">
            <w:pPr>
              <w:widowControl w:val="0"/>
              <w:tabs>
                <w:tab w:val="left" w:pos="736"/>
              </w:tabs>
              <w:jc w:val="both"/>
              <w:rPr>
                <w:b/>
                <w:sz w:val="20"/>
                <w:szCs w:val="20"/>
              </w:rPr>
            </w:pPr>
            <w:r w:rsidRPr="00C50A5C">
              <w:rPr>
                <w:b/>
                <w:sz w:val="20"/>
                <w:szCs w:val="20"/>
              </w:rPr>
              <w:tab/>
              <w:t>v. (3</w:t>
            </w:r>
            <w:r>
              <w:rPr>
                <w:b/>
                <w:sz w:val="20"/>
                <w:szCs w:val="20"/>
              </w:rPr>
              <w:t>4</w:t>
            </w:r>
            <w:r w:rsidR="00890FD6">
              <w:rPr>
                <w:b/>
                <w:sz w:val="20"/>
                <w:szCs w:val="20"/>
              </w:rPr>
              <w:t>056</w:t>
            </w:r>
            <w:r w:rsidRPr="00C50A5C">
              <w:rPr>
                <w:b/>
                <w:sz w:val="20"/>
                <w:szCs w:val="20"/>
              </w:rPr>
              <w:t>)</w:t>
            </w:r>
          </w:p>
          <w:p w:rsidR="00671CD6" w:rsidRPr="00C50A5C" w:rsidRDefault="00671CD6" w:rsidP="00CB0DA3">
            <w:pPr>
              <w:widowControl w:val="0"/>
              <w:jc w:val="both"/>
              <w:rPr>
                <w:b/>
                <w:sz w:val="20"/>
                <w:szCs w:val="20"/>
              </w:rPr>
            </w:pPr>
          </w:p>
          <w:p w:rsidR="00890FD6" w:rsidRDefault="00890FD6" w:rsidP="00890FD6">
            <w:pPr>
              <w:widowControl w:val="0"/>
              <w:jc w:val="both"/>
              <w:rPr>
                <w:b/>
                <w:sz w:val="20"/>
                <w:szCs w:val="20"/>
              </w:rPr>
            </w:pPr>
            <w:r w:rsidRPr="004F4482">
              <w:rPr>
                <w:rStyle w:val="SCCSsocChar"/>
                <w:b/>
                <w:i w:val="0"/>
              </w:rPr>
              <w:t>Her Majesty the Queen</w:t>
            </w:r>
            <w:r w:rsidR="00671CD6" w:rsidRPr="00C50A5C">
              <w:rPr>
                <w:b/>
                <w:sz w:val="20"/>
                <w:szCs w:val="20"/>
              </w:rPr>
              <w:t xml:space="preserve"> (</w:t>
            </w:r>
            <w:r>
              <w:rPr>
                <w:b/>
                <w:sz w:val="20"/>
                <w:szCs w:val="20"/>
              </w:rPr>
              <w:t>F</w:t>
            </w:r>
            <w:r w:rsidR="00671CD6" w:rsidRPr="00C50A5C">
              <w:rPr>
                <w:b/>
                <w:sz w:val="20"/>
                <w:szCs w:val="20"/>
              </w:rPr>
              <w:t>.C.) (Civil) (By Leave)</w:t>
            </w:r>
          </w:p>
          <w:p w:rsidR="00890FD6" w:rsidRDefault="00890FD6" w:rsidP="00890FD6">
            <w:pPr>
              <w:widowControl w:val="0"/>
              <w:jc w:val="both"/>
              <w:rPr>
                <w:b/>
                <w:sz w:val="20"/>
                <w:szCs w:val="20"/>
              </w:rPr>
            </w:pPr>
          </w:p>
          <w:p w:rsidR="00890FD6" w:rsidRDefault="00890FD6" w:rsidP="00890FD6">
            <w:pPr>
              <w:widowControl w:val="0"/>
              <w:jc w:val="both"/>
              <w:rPr>
                <w:b/>
                <w:sz w:val="20"/>
                <w:szCs w:val="20"/>
              </w:rPr>
            </w:pPr>
            <w:r>
              <w:rPr>
                <w:b/>
                <w:sz w:val="20"/>
                <w:szCs w:val="20"/>
              </w:rPr>
              <w:t>- and between -</w:t>
            </w:r>
          </w:p>
          <w:p w:rsidR="00890FD6" w:rsidRDefault="00890FD6" w:rsidP="00890FD6">
            <w:pPr>
              <w:widowControl w:val="0"/>
              <w:jc w:val="both"/>
              <w:rPr>
                <w:b/>
                <w:sz w:val="20"/>
                <w:szCs w:val="20"/>
              </w:rPr>
            </w:pPr>
          </w:p>
          <w:p w:rsidR="00890FD6" w:rsidRDefault="00890FD6" w:rsidP="00890FD6">
            <w:pPr>
              <w:jc w:val="both"/>
              <w:rPr>
                <w:rStyle w:val="SCCSsocChar"/>
                <w:b/>
                <w:i w:val="0"/>
              </w:rPr>
            </w:pPr>
            <w:r w:rsidRPr="004F4482">
              <w:rPr>
                <w:rStyle w:val="SCCSsocChar"/>
                <w:b/>
                <w:i w:val="0"/>
              </w:rPr>
              <w:t xml:space="preserve">St.Michael Trust Corp., as Trustee of the Summersby Settlement </w:t>
            </w:r>
          </w:p>
          <w:p w:rsidR="00890FD6" w:rsidRDefault="00890FD6" w:rsidP="00890FD6">
            <w:pPr>
              <w:jc w:val="both"/>
              <w:rPr>
                <w:rStyle w:val="SCCSsocChar"/>
                <w:b/>
                <w:i w:val="0"/>
              </w:rPr>
            </w:pPr>
          </w:p>
          <w:p w:rsidR="00890FD6" w:rsidRDefault="00890FD6" w:rsidP="00890FD6">
            <w:pPr>
              <w:jc w:val="both"/>
              <w:rPr>
                <w:rStyle w:val="SCCSsocChar"/>
                <w:b/>
                <w:i w:val="0"/>
              </w:rPr>
            </w:pPr>
            <w:r>
              <w:rPr>
                <w:rStyle w:val="SCCSsocChar"/>
                <w:b/>
                <w:i w:val="0"/>
              </w:rPr>
              <w:tab/>
            </w:r>
            <w:r w:rsidRPr="004F4482">
              <w:rPr>
                <w:rStyle w:val="SCCSsocChar"/>
                <w:b/>
                <w:i w:val="0"/>
              </w:rPr>
              <w:t xml:space="preserve">v. </w:t>
            </w:r>
            <w:r>
              <w:rPr>
                <w:rStyle w:val="SCCSsocChar"/>
                <w:b/>
                <w:i w:val="0"/>
              </w:rPr>
              <w:t>(34057)</w:t>
            </w:r>
          </w:p>
          <w:p w:rsidR="00890FD6" w:rsidRDefault="00890FD6" w:rsidP="00890FD6">
            <w:pPr>
              <w:jc w:val="both"/>
              <w:rPr>
                <w:rStyle w:val="SCCSsocChar"/>
                <w:b/>
                <w:i w:val="0"/>
              </w:rPr>
            </w:pPr>
          </w:p>
          <w:p w:rsidR="00890FD6" w:rsidRPr="00671CD6" w:rsidRDefault="00890FD6" w:rsidP="00890FD6">
            <w:pPr>
              <w:jc w:val="both"/>
              <w:rPr>
                <w:sz w:val="20"/>
                <w:szCs w:val="20"/>
              </w:rPr>
            </w:pPr>
            <w:r w:rsidRPr="004F4482">
              <w:rPr>
                <w:rStyle w:val="SCCSsocChar"/>
                <w:b/>
                <w:i w:val="0"/>
              </w:rPr>
              <w:t xml:space="preserve">Her Majesty the Queen </w:t>
            </w:r>
            <w:r w:rsidRPr="00890FD6">
              <w:rPr>
                <w:rFonts w:eastAsia="Calibri" w:cs="Times New Roman"/>
                <w:b/>
                <w:sz w:val="20"/>
                <w:szCs w:val="20"/>
              </w:rPr>
              <w:t>(F.C.) (Civil) (By Leave)</w:t>
            </w:r>
            <w:r w:rsidRPr="004F4482">
              <w:rPr>
                <w:rFonts w:eastAsia="Calibri" w:cs="Times New Roman"/>
                <w:sz w:val="20"/>
                <w:szCs w:val="20"/>
              </w:rPr>
              <w:t xml:space="preserve"> </w:t>
            </w:r>
          </w:p>
        </w:tc>
        <w:tc>
          <w:tcPr>
            <w:tcW w:w="720" w:type="dxa"/>
            <w:tcMar>
              <w:left w:w="0" w:type="dxa"/>
              <w:right w:w="0" w:type="dxa"/>
            </w:tcMar>
          </w:tcPr>
          <w:p w:rsidR="00671CD6" w:rsidRPr="00671CD6" w:rsidRDefault="00671CD6" w:rsidP="00CB0DA3">
            <w:pPr>
              <w:widowControl w:val="0"/>
              <w:jc w:val="center"/>
              <w:rPr>
                <w:sz w:val="20"/>
                <w:szCs w:val="20"/>
              </w:rPr>
            </w:pPr>
          </w:p>
        </w:tc>
        <w:tc>
          <w:tcPr>
            <w:tcW w:w="4380" w:type="dxa"/>
            <w:tcMar>
              <w:left w:w="0" w:type="dxa"/>
              <w:right w:w="0" w:type="dxa"/>
            </w:tcMar>
          </w:tcPr>
          <w:p w:rsidR="00A62471" w:rsidRPr="00306429" w:rsidRDefault="00A62471" w:rsidP="00A62471">
            <w:pPr>
              <w:jc w:val="both"/>
              <w:rPr>
                <w:sz w:val="20"/>
                <w:szCs w:val="20"/>
              </w:rPr>
            </w:pPr>
            <w:r w:rsidRPr="00306429">
              <w:rPr>
                <w:sz w:val="20"/>
                <w:szCs w:val="20"/>
              </w:rPr>
              <w:t>Douglas H. Mathew</w:t>
            </w:r>
            <w:r>
              <w:rPr>
                <w:sz w:val="20"/>
                <w:szCs w:val="20"/>
              </w:rPr>
              <w:t xml:space="preserve">, </w:t>
            </w:r>
            <w:r w:rsidRPr="00306429">
              <w:rPr>
                <w:sz w:val="20"/>
                <w:szCs w:val="20"/>
                <w:lang w:val="en-US"/>
              </w:rPr>
              <w:t>Matthew G. Williams</w:t>
            </w:r>
            <w:r>
              <w:rPr>
                <w:sz w:val="20"/>
                <w:szCs w:val="20"/>
                <w:lang w:val="en-US"/>
              </w:rPr>
              <w:t xml:space="preserve"> and </w:t>
            </w:r>
            <w:r w:rsidRPr="00306429">
              <w:rPr>
                <w:sz w:val="20"/>
                <w:szCs w:val="20"/>
                <w:lang w:val="en-US"/>
              </w:rPr>
              <w:t>Mark A. Barbour</w:t>
            </w:r>
            <w:r>
              <w:rPr>
                <w:sz w:val="20"/>
                <w:szCs w:val="20"/>
                <w:lang w:val="en-US"/>
              </w:rPr>
              <w:t xml:space="preserve"> f</w:t>
            </w:r>
            <w:r w:rsidRPr="00306429">
              <w:rPr>
                <w:sz w:val="20"/>
                <w:szCs w:val="20"/>
              </w:rPr>
              <w:t xml:space="preserve">or the </w:t>
            </w:r>
            <w:r>
              <w:rPr>
                <w:sz w:val="20"/>
                <w:szCs w:val="20"/>
              </w:rPr>
              <w:t>a</w:t>
            </w:r>
            <w:r w:rsidRPr="00306429">
              <w:rPr>
                <w:sz w:val="20"/>
                <w:szCs w:val="20"/>
              </w:rPr>
              <w:t>ppellants.</w:t>
            </w:r>
          </w:p>
          <w:p w:rsidR="00A62471" w:rsidRPr="00306429" w:rsidRDefault="00A62471" w:rsidP="00A62471">
            <w:pPr>
              <w:jc w:val="both"/>
              <w:rPr>
                <w:sz w:val="20"/>
                <w:szCs w:val="20"/>
                <w:lang w:val="en-US"/>
              </w:rPr>
            </w:pPr>
          </w:p>
          <w:p w:rsidR="00671CD6" w:rsidRPr="00C50A5C" w:rsidRDefault="00A62471" w:rsidP="00A62471">
            <w:pPr>
              <w:widowControl w:val="0"/>
              <w:jc w:val="both"/>
              <w:rPr>
                <w:sz w:val="20"/>
                <w:szCs w:val="20"/>
              </w:rPr>
            </w:pPr>
            <w:r w:rsidRPr="00306429">
              <w:rPr>
                <w:sz w:val="20"/>
                <w:szCs w:val="20"/>
              </w:rPr>
              <w:t>Anne M. Turley</w:t>
            </w:r>
            <w:r>
              <w:rPr>
                <w:sz w:val="20"/>
                <w:szCs w:val="20"/>
              </w:rPr>
              <w:t xml:space="preserve"> and </w:t>
            </w:r>
            <w:r w:rsidRPr="00306429">
              <w:rPr>
                <w:sz w:val="20"/>
                <w:szCs w:val="20"/>
                <w:lang w:val="en-US"/>
              </w:rPr>
              <w:t>Daniel Bourgeois</w:t>
            </w:r>
            <w:r>
              <w:rPr>
                <w:sz w:val="20"/>
                <w:szCs w:val="20"/>
                <w:lang w:val="en-US"/>
              </w:rPr>
              <w:t xml:space="preserve"> f</w:t>
            </w:r>
            <w:r w:rsidRPr="00306429">
              <w:rPr>
                <w:sz w:val="20"/>
                <w:szCs w:val="20"/>
              </w:rPr>
              <w:t xml:space="preserve">or the </w:t>
            </w:r>
            <w:r>
              <w:rPr>
                <w:sz w:val="20"/>
                <w:szCs w:val="20"/>
              </w:rPr>
              <w:t>r</w:t>
            </w:r>
            <w:r w:rsidRPr="00306429">
              <w:rPr>
                <w:sz w:val="20"/>
                <w:szCs w:val="20"/>
              </w:rPr>
              <w:t>espondent.</w:t>
            </w:r>
          </w:p>
        </w:tc>
      </w:tr>
    </w:tbl>
    <w:p w:rsidR="00671CD6" w:rsidRDefault="00671CD6" w:rsidP="00732DB7">
      <w:pPr>
        <w:widowControl w:val="0"/>
        <w:rPr>
          <w:sz w:val="20"/>
          <w:szCs w:val="20"/>
        </w:rPr>
      </w:pPr>
    </w:p>
    <w:p w:rsidR="00671CD6" w:rsidRPr="0085476B" w:rsidRDefault="00671CD6" w:rsidP="00671CD6">
      <w:pPr>
        <w:widowControl w:val="0"/>
        <w:rPr>
          <w:sz w:val="20"/>
          <w:szCs w:val="20"/>
        </w:rPr>
      </w:pPr>
      <w:r w:rsidRPr="0085476B">
        <w:rPr>
          <w:b/>
          <w:sz w:val="20"/>
          <w:szCs w:val="20"/>
        </w:rPr>
        <w:t xml:space="preserve">RESERVED / </w:t>
      </w:r>
      <w:r w:rsidRPr="0085476B">
        <w:rPr>
          <w:b/>
          <w:sz w:val="20"/>
          <w:szCs w:val="20"/>
          <w:lang w:val="fr-CA"/>
        </w:rPr>
        <w:t>EN DÉLIBÉRÉ</w:t>
      </w:r>
    </w:p>
    <w:p w:rsidR="00671CD6" w:rsidRDefault="00671CD6"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671CD6" w:rsidRPr="00F8135D" w:rsidTr="00CB0DA3">
        <w:tc>
          <w:tcPr>
            <w:tcW w:w="4380" w:type="dxa"/>
            <w:tcMar>
              <w:left w:w="0" w:type="dxa"/>
              <w:right w:w="0" w:type="dxa"/>
            </w:tcMar>
          </w:tcPr>
          <w:p w:rsidR="00671CD6" w:rsidRPr="00CC4D84" w:rsidRDefault="00671CD6" w:rsidP="00CB0DA3">
            <w:pPr>
              <w:widowControl w:val="0"/>
              <w:jc w:val="both"/>
              <w:rPr>
                <w:b/>
                <w:sz w:val="20"/>
                <w:szCs w:val="20"/>
                <w:u w:val="single"/>
              </w:rPr>
            </w:pPr>
            <w:r w:rsidRPr="00CC4D84">
              <w:rPr>
                <w:b/>
                <w:sz w:val="20"/>
                <w:szCs w:val="20"/>
                <w:u w:val="single"/>
              </w:rPr>
              <w:t>Nature of the case</w:t>
            </w:r>
            <w:r w:rsidR="00B24AE6">
              <w:rPr>
                <w:b/>
                <w:sz w:val="20"/>
                <w:szCs w:val="20"/>
                <w:u w:val="single"/>
              </w:rPr>
              <w:t xml:space="preserve"> - 34056</w:t>
            </w:r>
            <w:r w:rsidRPr="00CC4D84">
              <w:rPr>
                <w:b/>
                <w:sz w:val="20"/>
                <w:szCs w:val="20"/>
                <w:u w:val="single"/>
              </w:rPr>
              <w:t>:</w:t>
            </w:r>
          </w:p>
          <w:p w:rsidR="00671CD6" w:rsidRPr="00C1697B" w:rsidRDefault="00671CD6" w:rsidP="00CB0DA3">
            <w:pPr>
              <w:widowControl w:val="0"/>
              <w:jc w:val="both"/>
              <w:rPr>
                <w:b/>
                <w:sz w:val="20"/>
                <w:szCs w:val="20"/>
              </w:rPr>
            </w:pPr>
          </w:p>
          <w:p w:rsidR="00671CD6" w:rsidRPr="00C1697B" w:rsidRDefault="00B24AE6" w:rsidP="00B24AE6">
            <w:pPr>
              <w:widowControl w:val="0"/>
              <w:jc w:val="both"/>
              <w:rPr>
                <w:b/>
                <w:sz w:val="20"/>
                <w:szCs w:val="20"/>
              </w:rPr>
            </w:pPr>
            <w:r w:rsidRPr="00A565BA">
              <w:rPr>
                <w:sz w:val="20"/>
                <w:szCs w:val="20"/>
              </w:rPr>
              <w:t xml:space="preserve">Taxation </w:t>
            </w:r>
            <w:r w:rsidRPr="00A565BA">
              <w:rPr>
                <w:sz w:val="20"/>
                <w:szCs w:val="20"/>
              </w:rPr>
              <w:noBreakHyphen/>
              <w:t xml:space="preserve"> Income tax </w:t>
            </w:r>
            <w:r w:rsidRPr="00A565BA">
              <w:rPr>
                <w:sz w:val="20"/>
                <w:szCs w:val="20"/>
              </w:rPr>
              <w:noBreakHyphen/>
              <w:t xml:space="preserve"> Trusts </w:t>
            </w:r>
            <w:r w:rsidRPr="00A565BA">
              <w:rPr>
                <w:sz w:val="20"/>
                <w:szCs w:val="20"/>
              </w:rPr>
              <w:noBreakHyphen/>
              <w:t xml:space="preserve"> Residency </w:t>
            </w:r>
            <w:r w:rsidRPr="00A565BA">
              <w:rPr>
                <w:sz w:val="20"/>
                <w:szCs w:val="20"/>
              </w:rPr>
              <w:noBreakHyphen/>
              <w:t xml:space="preserve"> Legislation </w:t>
            </w:r>
            <w:r w:rsidRPr="00A565BA">
              <w:rPr>
                <w:sz w:val="20"/>
                <w:szCs w:val="20"/>
              </w:rPr>
              <w:noBreakHyphen/>
              <w:t xml:space="preserve"> Interpretation </w:t>
            </w:r>
            <w:r w:rsidRPr="00A565BA">
              <w:rPr>
                <w:sz w:val="20"/>
                <w:szCs w:val="20"/>
              </w:rPr>
              <w:noBreakHyphen/>
              <w:t xml:space="preserve"> What is the proper test for determining the residence of a trust for income tax purposes </w:t>
            </w:r>
            <w:r w:rsidRPr="00A565BA">
              <w:rPr>
                <w:sz w:val="20"/>
                <w:szCs w:val="20"/>
              </w:rPr>
              <w:noBreakHyphen/>
              <w:t xml:space="preserve"> </w:t>
            </w:r>
            <w:r w:rsidRPr="00A565BA">
              <w:rPr>
                <w:i/>
                <w:sz w:val="20"/>
                <w:szCs w:val="20"/>
              </w:rPr>
              <w:t>Income Tax Act</w:t>
            </w:r>
            <w:r w:rsidRPr="00A565BA">
              <w:rPr>
                <w:sz w:val="20"/>
                <w:szCs w:val="20"/>
              </w:rPr>
              <w:t>, R.S.C. 1985, c. 1 (5</w:t>
            </w:r>
            <w:r w:rsidRPr="00A565BA">
              <w:rPr>
                <w:sz w:val="20"/>
                <w:szCs w:val="20"/>
                <w:vertAlign w:val="superscript"/>
              </w:rPr>
              <w:t>th</w:t>
            </w:r>
            <w:r w:rsidRPr="00A565BA">
              <w:rPr>
                <w:sz w:val="20"/>
                <w:szCs w:val="20"/>
              </w:rPr>
              <w:t xml:space="preserve"> Supp.), ss. 94(1) and 245.</w:t>
            </w:r>
          </w:p>
        </w:tc>
        <w:tc>
          <w:tcPr>
            <w:tcW w:w="720" w:type="dxa"/>
            <w:tcMar>
              <w:left w:w="0" w:type="dxa"/>
              <w:right w:w="0" w:type="dxa"/>
            </w:tcMar>
          </w:tcPr>
          <w:p w:rsidR="00671CD6" w:rsidRPr="00C1697B" w:rsidRDefault="00671CD6" w:rsidP="00CB0DA3">
            <w:pPr>
              <w:widowControl w:val="0"/>
              <w:jc w:val="center"/>
              <w:rPr>
                <w:sz w:val="20"/>
                <w:szCs w:val="20"/>
              </w:rPr>
            </w:pPr>
          </w:p>
        </w:tc>
        <w:tc>
          <w:tcPr>
            <w:tcW w:w="4380" w:type="dxa"/>
            <w:tcMar>
              <w:left w:w="0" w:type="dxa"/>
              <w:right w:w="0" w:type="dxa"/>
            </w:tcMar>
          </w:tcPr>
          <w:p w:rsidR="00671CD6" w:rsidRPr="00CC4D84" w:rsidRDefault="00671CD6" w:rsidP="00CB0DA3">
            <w:pPr>
              <w:widowControl w:val="0"/>
              <w:jc w:val="both"/>
              <w:rPr>
                <w:b/>
                <w:sz w:val="20"/>
                <w:szCs w:val="20"/>
                <w:u w:val="single"/>
                <w:lang w:val="fr-CA"/>
              </w:rPr>
            </w:pPr>
            <w:r w:rsidRPr="00CC4D84">
              <w:rPr>
                <w:b/>
                <w:sz w:val="20"/>
                <w:szCs w:val="20"/>
                <w:u w:val="single"/>
                <w:lang w:val="fr-CA"/>
              </w:rPr>
              <w:t xml:space="preserve">Nature de la cause </w:t>
            </w:r>
            <w:r w:rsidR="00B24AE6">
              <w:rPr>
                <w:b/>
                <w:sz w:val="20"/>
                <w:szCs w:val="20"/>
                <w:u w:val="single"/>
                <w:lang w:val="fr-CA"/>
              </w:rPr>
              <w:t xml:space="preserve">– 34056 </w:t>
            </w:r>
            <w:r w:rsidRPr="00CC4D84">
              <w:rPr>
                <w:b/>
                <w:sz w:val="20"/>
                <w:szCs w:val="20"/>
                <w:u w:val="single"/>
                <w:lang w:val="fr-CA"/>
              </w:rPr>
              <w:t>:</w:t>
            </w:r>
          </w:p>
          <w:p w:rsidR="00671CD6" w:rsidRDefault="00671CD6" w:rsidP="00CB0DA3">
            <w:pPr>
              <w:widowControl w:val="0"/>
              <w:jc w:val="both"/>
              <w:rPr>
                <w:sz w:val="20"/>
                <w:szCs w:val="20"/>
                <w:lang w:val="fr-CA"/>
              </w:rPr>
            </w:pPr>
          </w:p>
          <w:p w:rsidR="00671CD6" w:rsidRPr="00C1697B" w:rsidRDefault="00B24AE6" w:rsidP="00B24AE6">
            <w:pPr>
              <w:widowControl w:val="0"/>
              <w:jc w:val="both"/>
              <w:rPr>
                <w:sz w:val="20"/>
                <w:szCs w:val="20"/>
                <w:lang w:val="fr-CA"/>
              </w:rPr>
            </w:pPr>
            <w:r w:rsidRPr="00270F79">
              <w:rPr>
                <w:sz w:val="20"/>
                <w:szCs w:val="20"/>
                <w:lang w:val="fr-CA"/>
              </w:rPr>
              <w:t xml:space="preserve">Droit fiscal </w:t>
            </w:r>
            <w:r w:rsidRPr="00270F79">
              <w:rPr>
                <w:sz w:val="20"/>
                <w:szCs w:val="20"/>
                <w:lang w:val="fr-CA"/>
              </w:rPr>
              <w:noBreakHyphen/>
              <w:t xml:space="preserve"> Impôt sur le revenu </w:t>
            </w:r>
            <w:r w:rsidRPr="00270F79">
              <w:rPr>
                <w:sz w:val="20"/>
                <w:szCs w:val="20"/>
                <w:lang w:val="fr-CA"/>
              </w:rPr>
              <w:noBreakHyphen/>
              <w:t xml:space="preserve"> Fiducie </w:t>
            </w:r>
            <w:r w:rsidRPr="00270F79">
              <w:rPr>
                <w:sz w:val="20"/>
                <w:szCs w:val="20"/>
                <w:lang w:val="fr-CA"/>
              </w:rPr>
              <w:noBreakHyphen/>
              <w:t xml:space="preserve"> Résidence </w:t>
            </w:r>
            <w:r w:rsidRPr="00270F79">
              <w:rPr>
                <w:sz w:val="20"/>
                <w:szCs w:val="20"/>
                <w:lang w:val="fr-CA"/>
              </w:rPr>
              <w:noBreakHyphen/>
              <w:t xml:space="preserve"> Législation </w:t>
            </w:r>
            <w:r w:rsidRPr="00270F79">
              <w:rPr>
                <w:sz w:val="20"/>
                <w:szCs w:val="20"/>
                <w:lang w:val="fr-CA"/>
              </w:rPr>
              <w:noBreakHyphen/>
              <w:t xml:space="preserve"> Interprétation </w:t>
            </w:r>
            <w:r w:rsidRPr="00270F79">
              <w:rPr>
                <w:sz w:val="20"/>
                <w:szCs w:val="20"/>
                <w:lang w:val="fr-CA"/>
              </w:rPr>
              <w:noBreakHyphen/>
              <w:t xml:space="preserve"> Quel critère permet de déterminer la résidence d’une fiducie aux fins de l’impôt sur le revenu? </w:t>
            </w:r>
            <w:r w:rsidRPr="00270F79">
              <w:rPr>
                <w:sz w:val="20"/>
                <w:szCs w:val="20"/>
                <w:lang w:val="fr-CA"/>
              </w:rPr>
              <w:noBreakHyphen/>
              <w:t xml:space="preserve"> </w:t>
            </w:r>
            <w:r w:rsidRPr="00270F79">
              <w:rPr>
                <w:i/>
                <w:iCs/>
                <w:sz w:val="20"/>
                <w:szCs w:val="20"/>
                <w:lang w:val="fr-CA"/>
              </w:rPr>
              <w:t>Loi de l’impôt sur le revenu</w:t>
            </w:r>
            <w:r w:rsidRPr="00270F79">
              <w:rPr>
                <w:sz w:val="20"/>
                <w:szCs w:val="20"/>
                <w:lang w:val="fr-CA"/>
              </w:rPr>
              <w:t>, L.R.C. 1985, ch. 1 (5</w:t>
            </w:r>
            <w:r w:rsidRPr="00270F79">
              <w:rPr>
                <w:sz w:val="20"/>
                <w:szCs w:val="20"/>
                <w:vertAlign w:val="superscript"/>
                <w:lang w:val="fr-CA"/>
              </w:rPr>
              <w:t>e</w:t>
            </w:r>
            <w:r w:rsidRPr="00270F79">
              <w:rPr>
                <w:sz w:val="20"/>
                <w:szCs w:val="20"/>
                <w:lang w:val="fr-CA"/>
              </w:rPr>
              <w:t xml:space="preserve"> suppl.), art. 94(1) et 245.</w:t>
            </w:r>
          </w:p>
        </w:tc>
      </w:tr>
    </w:tbl>
    <w:p w:rsidR="00671CD6" w:rsidRDefault="00671CD6" w:rsidP="00732DB7">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B24AE6" w:rsidRPr="00F8135D" w:rsidTr="00CB0DA3">
        <w:tc>
          <w:tcPr>
            <w:tcW w:w="4380" w:type="dxa"/>
            <w:tcMar>
              <w:left w:w="0" w:type="dxa"/>
              <w:right w:w="0" w:type="dxa"/>
            </w:tcMar>
          </w:tcPr>
          <w:p w:rsidR="00B24AE6" w:rsidRPr="00CC4D84" w:rsidRDefault="00B24AE6" w:rsidP="00CB0DA3">
            <w:pPr>
              <w:widowControl w:val="0"/>
              <w:jc w:val="both"/>
              <w:rPr>
                <w:b/>
                <w:sz w:val="20"/>
                <w:szCs w:val="20"/>
                <w:u w:val="single"/>
              </w:rPr>
            </w:pPr>
            <w:r w:rsidRPr="00CC4D84">
              <w:rPr>
                <w:b/>
                <w:sz w:val="20"/>
                <w:szCs w:val="20"/>
                <w:u w:val="single"/>
              </w:rPr>
              <w:t>Nature of the case</w:t>
            </w:r>
            <w:r>
              <w:rPr>
                <w:b/>
                <w:sz w:val="20"/>
                <w:szCs w:val="20"/>
                <w:u w:val="single"/>
              </w:rPr>
              <w:t xml:space="preserve"> - 34057</w:t>
            </w:r>
            <w:r w:rsidRPr="00CC4D84">
              <w:rPr>
                <w:b/>
                <w:sz w:val="20"/>
                <w:szCs w:val="20"/>
                <w:u w:val="single"/>
              </w:rPr>
              <w:t>:</w:t>
            </w:r>
          </w:p>
          <w:p w:rsidR="00B24AE6" w:rsidRPr="00C1697B" w:rsidRDefault="00B24AE6" w:rsidP="00CB0DA3">
            <w:pPr>
              <w:widowControl w:val="0"/>
              <w:jc w:val="both"/>
              <w:rPr>
                <w:b/>
                <w:sz w:val="20"/>
                <w:szCs w:val="20"/>
              </w:rPr>
            </w:pPr>
          </w:p>
          <w:p w:rsidR="00B24AE6" w:rsidRPr="00C1697B" w:rsidRDefault="00B24AE6" w:rsidP="00B24AE6">
            <w:pPr>
              <w:widowControl w:val="0"/>
              <w:jc w:val="both"/>
              <w:rPr>
                <w:b/>
                <w:sz w:val="20"/>
                <w:szCs w:val="20"/>
              </w:rPr>
            </w:pPr>
            <w:r w:rsidRPr="000B35A5">
              <w:rPr>
                <w:sz w:val="20"/>
                <w:szCs w:val="20"/>
              </w:rPr>
              <w:t xml:space="preserve">Taxation </w:t>
            </w:r>
            <w:r w:rsidRPr="000B35A5">
              <w:rPr>
                <w:sz w:val="20"/>
                <w:szCs w:val="20"/>
              </w:rPr>
              <w:noBreakHyphen/>
              <w:t xml:space="preserve"> Income tax </w:t>
            </w:r>
            <w:r w:rsidRPr="000B35A5">
              <w:rPr>
                <w:sz w:val="20"/>
                <w:szCs w:val="20"/>
              </w:rPr>
              <w:noBreakHyphen/>
              <w:t xml:space="preserve"> Trusts </w:t>
            </w:r>
            <w:r w:rsidRPr="000B35A5">
              <w:rPr>
                <w:sz w:val="20"/>
                <w:szCs w:val="20"/>
              </w:rPr>
              <w:noBreakHyphen/>
              <w:t xml:space="preserve"> Residency </w:t>
            </w:r>
            <w:r w:rsidRPr="000B35A5">
              <w:rPr>
                <w:sz w:val="20"/>
                <w:szCs w:val="20"/>
              </w:rPr>
              <w:noBreakHyphen/>
              <w:t xml:space="preserve"> Legislation </w:t>
            </w:r>
            <w:r w:rsidRPr="000B35A5">
              <w:rPr>
                <w:sz w:val="20"/>
                <w:szCs w:val="20"/>
              </w:rPr>
              <w:noBreakHyphen/>
              <w:t xml:space="preserve"> Interpretation </w:t>
            </w:r>
            <w:r w:rsidRPr="000B35A5">
              <w:rPr>
                <w:sz w:val="20"/>
                <w:szCs w:val="20"/>
              </w:rPr>
              <w:noBreakHyphen/>
              <w:t xml:space="preserve"> What is the proper test for determining the residence of a trust for income tax purposes </w:t>
            </w:r>
            <w:r w:rsidRPr="000B35A5">
              <w:rPr>
                <w:sz w:val="20"/>
                <w:szCs w:val="20"/>
              </w:rPr>
              <w:noBreakHyphen/>
              <w:t xml:space="preserve"> </w:t>
            </w:r>
            <w:r w:rsidRPr="000B35A5">
              <w:rPr>
                <w:i/>
                <w:sz w:val="20"/>
                <w:szCs w:val="20"/>
              </w:rPr>
              <w:t>Income Tax Act</w:t>
            </w:r>
            <w:r w:rsidRPr="000B35A5">
              <w:rPr>
                <w:sz w:val="20"/>
                <w:szCs w:val="20"/>
              </w:rPr>
              <w:t>, R.S.C. 1985, c. 1 (5</w:t>
            </w:r>
            <w:r w:rsidRPr="000B35A5">
              <w:rPr>
                <w:sz w:val="20"/>
                <w:szCs w:val="20"/>
                <w:vertAlign w:val="superscript"/>
              </w:rPr>
              <w:t>th</w:t>
            </w:r>
            <w:r w:rsidRPr="000B35A5">
              <w:rPr>
                <w:sz w:val="20"/>
                <w:szCs w:val="20"/>
              </w:rPr>
              <w:t xml:space="preserve"> Supp.), ss. 94(1) and 245.</w:t>
            </w:r>
          </w:p>
        </w:tc>
        <w:tc>
          <w:tcPr>
            <w:tcW w:w="720" w:type="dxa"/>
            <w:tcMar>
              <w:left w:w="0" w:type="dxa"/>
              <w:right w:w="0" w:type="dxa"/>
            </w:tcMar>
          </w:tcPr>
          <w:p w:rsidR="00B24AE6" w:rsidRPr="00C1697B" w:rsidRDefault="00B24AE6" w:rsidP="00CB0DA3">
            <w:pPr>
              <w:widowControl w:val="0"/>
              <w:jc w:val="center"/>
              <w:rPr>
                <w:sz w:val="20"/>
                <w:szCs w:val="20"/>
              </w:rPr>
            </w:pPr>
          </w:p>
        </w:tc>
        <w:tc>
          <w:tcPr>
            <w:tcW w:w="4380" w:type="dxa"/>
            <w:tcMar>
              <w:left w:w="0" w:type="dxa"/>
              <w:right w:w="0" w:type="dxa"/>
            </w:tcMar>
          </w:tcPr>
          <w:p w:rsidR="00B24AE6" w:rsidRPr="00CC4D84" w:rsidRDefault="00B24AE6" w:rsidP="00CB0DA3">
            <w:pPr>
              <w:widowControl w:val="0"/>
              <w:jc w:val="both"/>
              <w:rPr>
                <w:b/>
                <w:sz w:val="20"/>
                <w:szCs w:val="20"/>
                <w:u w:val="single"/>
                <w:lang w:val="fr-CA"/>
              </w:rPr>
            </w:pPr>
            <w:r w:rsidRPr="00CC4D84">
              <w:rPr>
                <w:b/>
                <w:sz w:val="20"/>
                <w:szCs w:val="20"/>
                <w:u w:val="single"/>
                <w:lang w:val="fr-CA"/>
              </w:rPr>
              <w:t xml:space="preserve">Nature de la cause </w:t>
            </w:r>
            <w:r>
              <w:rPr>
                <w:b/>
                <w:sz w:val="20"/>
                <w:szCs w:val="20"/>
                <w:u w:val="single"/>
                <w:lang w:val="fr-CA"/>
              </w:rPr>
              <w:t xml:space="preserve">– 34057 </w:t>
            </w:r>
            <w:r w:rsidRPr="00CC4D84">
              <w:rPr>
                <w:b/>
                <w:sz w:val="20"/>
                <w:szCs w:val="20"/>
                <w:u w:val="single"/>
                <w:lang w:val="fr-CA"/>
              </w:rPr>
              <w:t>:</w:t>
            </w:r>
          </w:p>
          <w:p w:rsidR="00B24AE6" w:rsidRPr="00C1697B" w:rsidRDefault="00B24AE6" w:rsidP="00CB0DA3">
            <w:pPr>
              <w:widowControl w:val="0"/>
              <w:jc w:val="both"/>
              <w:rPr>
                <w:sz w:val="20"/>
                <w:szCs w:val="20"/>
                <w:lang w:val="fr-CA"/>
              </w:rPr>
            </w:pPr>
          </w:p>
          <w:p w:rsidR="00B24AE6" w:rsidRPr="00C1697B" w:rsidRDefault="00B24AE6" w:rsidP="00CB0DA3">
            <w:pPr>
              <w:widowControl w:val="0"/>
              <w:jc w:val="both"/>
              <w:rPr>
                <w:sz w:val="20"/>
                <w:szCs w:val="20"/>
                <w:lang w:val="fr-CA"/>
              </w:rPr>
            </w:pPr>
            <w:r w:rsidRPr="00BD3337">
              <w:rPr>
                <w:sz w:val="20"/>
                <w:szCs w:val="20"/>
                <w:lang w:val="fr-CA"/>
              </w:rPr>
              <w:t xml:space="preserve">Droit fiscal </w:t>
            </w:r>
            <w:r w:rsidRPr="00BD3337">
              <w:rPr>
                <w:sz w:val="20"/>
                <w:szCs w:val="20"/>
                <w:lang w:val="fr-CA"/>
              </w:rPr>
              <w:noBreakHyphen/>
              <w:t xml:space="preserve"> Impôt sur le revenu </w:t>
            </w:r>
            <w:r w:rsidRPr="00BD3337">
              <w:rPr>
                <w:sz w:val="20"/>
                <w:szCs w:val="20"/>
                <w:lang w:val="fr-CA"/>
              </w:rPr>
              <w:noBreakHyphen/>
              <w:t xml:space="preserve"> Fiducie </w:t>
            </w:r>
            <w:r w:rsidRPr="00BD3337">
              <w:rPr>
                <w:sz w:val="20"/>
                <w:szCs w:val="20"/>
                <w:lang w:val="fr-CA"/>
              </w:rPr>
              <w:noBreakHyphen/>
              <w:t xml:space="preserve"> Résidence </w:t>
            </w:r>
            <w:r w:rsidRPr="00BD3337">
              <w:rPr>
                <w:sz w:val="20"/>
                <w:szCs w:val="20"/>
                <w:lang w:val="fr-CA"/>
              </w:rPr>
              <w:noBreakHyphen/>
              <w:t xml:space="preserve"> Législation </w:t>
            </w:r>
            <w:r w:rsidRPr="00BD3337">
              <w:rPr>
                <w:sz w:val="20"/>
                <w:szCs w:val="20"/>
                <w:lang w:val="fr-CA"/>
              </w:rPr>
              <w:noBreakHyphen/>
              <w:t xml:space="preserve"> Interprétation </w:t>
            </w:r>
            <w:r w:rsidRPr="00BD3337">
              <w:rPr>
                <w:sz w:val="20"/>
                <w:szCs w:val="20"/>
                <w:lang w:val="fr-CA"/>
              </w:rPr>
              <w:noBreakHyphen/>
              <w:t xml:space="preserve"> Quel critère permet de déterminer la résidence d’une fiducie aux fins de l’impôt sur le revenu? </w:t>
            </w:r>
            <w:r w:rsidRPr="00BD3337">
              <w:rPr>
                <w:sz w:val="20"/>
                <w:szCs w:val="20"/>
                <w:lang w:val="fr-CA"/>
              </w:rPr>
              <w:noBreakHyphen/>
              <w:t xml:space="preserve"> </w:t>
            </w:r>
            <w:r w:rsidRPr="00BD3337">
              <w:rPr>
                <w:i/>
                <w:iCs/>
                <w:sz w:val="20"/>
                <w:szCs w:val="20"/>
                <w:lang w:val="fr-CA"/>
              </w:rPr>
              <w:t>Loi de l’impôt sur le revenu</w:t>
            </w:r>
            <w:r w:rsidRPr="00BD3337">
              <w:rPr>
                <w:sz w:val="20"/>
                <w:szCs w:val="20"/>
                <w:lang w:val="fr-CA"/>
              </w:rPr>
              <w:t>, L.R.C. 1985, ch. 1 (5</w:t>
            </w:r>
            <w:r w:rsidRPr="00BD3337">
              <w:rPr>
                <w:sz w:val="20"/>
                <w:szCs w:val="20"/>
                <w:vertAlign w:val="superscript"/>
                <w:lang w:val="fr-CA"/>
              </w:rPr>
              <w:t>e</w:t>
            </w:r>
            <w:r w:rsidRPr="00BD3337">
              <w:rPr>
                <w:sz w:val="20"/>
                <w:szCs w:val="20"/>
                <w:lang w:val="fr-CA"/>
              </w:rPr>
              <w:t xml:space="preserve"> suppl.), art. 94(1) et 245.</w:t>
            </w:r>
          </w:p>
        </w:tc>
      </w:tr>
    </w:tbl>
    <w:p w:rsidR="00B24AE6" w:rsidRPr="00671CD6" w:rsidRDefault="00B24AE6" w:rsidP="00732DB7">
      <w:pPr>
        <w:widowControl w:val="0"/>
        <w:rPr>
          <w:sz w:val="20"/>
          <w:szCs w:val="20"/>
          <w:lang w:val="fr-CA"/>
        </w:rPr>
      </w:pPr>
    </w:p>
    <w:p w:rsidR="00671CD6" w:rsidRPr="00671CD6" w:rsidRDefault="009019DC" w:rsidP="00732DB7">
      <w:pPr>
        <w:widowControl w:val="0"/>
        <w:rPr>
          <w:sz w:val="20"/>
          <w:szCs w:val="20"/>
          <w:lang w:val="fr-CA"/>
        </w:rPr>
      </w:pPr>
      <w:r w:rsidRPr="009019DC">
        <w:rPr>
          <w:sz w:val="20"/>
          <w:szCs w:val="20"/>
          <w:lang w:val="fr-CA"/>
        </w:rPr>
        <w:pict>
          <v:rect id="_x0000_i1060" style="width:2in;height:1pt" o:hrpct="0" o:hralign="center" o:hrstd="t" o:hrnoshade="t" o:hr="t" fillcolor="black [3213]" stroked="f"/>
        </w:pict>
      </w:r>
    </w:p>
    <w:p w:rsidR="008A5449" w:rsidRDefault="008A5449">
      <w:pPr>
        <w:rPr>
          <w:sz w:val="20"/>
          <w:szCs w:val="20"/>
          <w:lang w:val="fr-CA"/>
        </w:rPr>
      </w:pPr>
      <w:r>
        <w:rPr>
          <w:sz w:val="20"/>
          <w:szCs w:val="20"/>
          <w:lang w:val="fr-CA"/>
        </w:rPr>
        <w:br w:type="page"/>
      </w:r>
    </w:p>
    <w:p w:rsidR="00671CD6" w:rsidRDefault="00671CD6" w:rsidP="00671CD6">
      <w:pPr>
        <w:widowControl w:val="0"/>
        <w:rPr>
          <w:sz w:val="20"/>
          <w:szCs w:val="20"/>
        </w:rPr>
      </w:pPr>
      <w:r>
        <w:rPr>
          <w:sz w:val="20"/>
          <w:szCs w:val="20"/>
        </w:rPr>
        <w:lastRenderedPageBreak/>
        <w:t>14</w:t>
      </w:r>
      <w:r w:rsidR="00BA4DCE">
        <w:rPr>
          <w:sz w:val="20"/>
          <w:szCs w:val="20"/>
        </w:rPr>
        <w:t>/15</w:t>
      </w:r>
      <w:r>
        <w:rPr>
          <w:sz w:val="20"/>
          <w:szCs w:val="20"/>
        </w:rPr>
        <w:t>.03.2012</w:t>
      </w:r>
    </w:p>
    <w:p w:rsidR="00671CD6" w:rsidRDefault="00671CD6" w:rsidP="00671CD6">
      <w:pPr>
        <w:widowControl w:val="0"/>
        <w:rPr>
          <w:sz w:val="20"/>
          <w:szCs w:val="20"/>
        </w:rPr>
      </w:pPr>
    </w:p>
    <w:p w:rsidR="003B76D9" w:rsidRPr="002C5825" w:rsidRDefault="003B76D9" w:rsidP="003B76D9">
      <w:pPr>
        <w:widowControl w:val="0"/>
        <w:ind w:left="720" w:hanging="720"/>
        <w:rPr>
          <w:rFonts w:eastAsia="Calibri" w:cs="Times New Roman"/>
          <w:sz w:val="20"/>
          <w:szCs w:val="20"/>
          <w:u w:val="single"/>
        </w:rPr>
      </w:pPr>
      <w:r w:rsidRPr="002C5825">
        <w:rPr>
          <w:rFonts w:eastAsia="Calibri" w:cs="Times New Roman"/>
          <w:sz w:val="20"/>
          <w:szCs w:val="20"/>
        </w:rPr>
        <w:t xml:space="preserve">Coram: </w:t>
      </w:r>
      <w:r w:rsidRPr="002C5825">
        <w:rPr>
          <w:rFonts w:eastAsia="Calibri" w:cs="Times New Roman"/>
          <w:sz w:val="20"/>
          <w:szCs w:val="20"/>
        </w:rPr>
        <w:tab/>
      </w:r>
      <w:r w:rsidRPr="002C5825">
        <w:rPr>
          <w:rFonts w:eastAsia="Calibri" w:cs="Times New Roman"/>
          <w:sz w:val="20"/>
          <w:szCs w:val="20"/>
          <w:u w:val="single"/>
        </w:rPr>
        <w:t>McLachlin C.J. and LeBel, Deschamps, Fish, Abella, Rothstein, Cromwell, Moldaver and Karakatsanis JJ.</w:t>
      </w:r>
    </w:p>
    <w:p w:rsidR="003B76D9" w:rsidRDefault="003B76D9" w:rsidP="00671CD6">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671CD6" w:rsidRPr="00C50A5C" w:rsidTr="00CB0DA3">
        <w:tc>
          <w:tcPr>
            <w:tcW w:w="4380" w:type="dxa"/>
            <w:tcMar>
              <w:left w:w="0" w:type="dxa"/>
              <w:right w:w="0" w:type="dxa"/>
            </w:tcMar>
          </w:tcPr>
          <w:p w:rsidR="00671CD6" w:rsidRPr="00F3363A" w:rsidRDefault="00F3363A" w:rsidP="00CB0DA3">
            <w:pPr>
              <w:widowControl w:val="0"/>
              <w:jc w:val="both"/>
              <w:rPr>
                <w:b/>
                <w:sz w:val="20"/>
                <w:szCs w:val="20"/>
              </w:rPr>
            </w:pPr>
            <w:r w:rsidRPr="002C5825">
              <w:rPr>
                <w:rStyle w:val="SCCSsocChar"/>
                <w:b/>
                <w:i w:val="0"/>
              </w:rPr>
              <w:t>I</w:t>
            </w:r>
            <w:r w:rsidRPr="00F3363A">
              <w:rPr>
                <w:rStyle w:val="SCCSsocChar"/>
                <w:b/>
                <w:i w:val="0"/>
              </w:rPr>
              <w:t>brahim Yumnu</w:t>
            </w:r>
          </w:p>
          <w:p w:rsidR="00671CD6" w:rsidRPr="00F3363A" w:rsidRDefault="00671CD6" w:rsidP="00CB0DA3">
            <w:pPr>
              <w:widowControl w:val="0"/>
              <w:jc w:val="both"/>
              <w:rPr>
                <w:b/>
                <w:sz w:val="20"/>
                <w:szCs w:val="20"/>
              </w:rPr>
            </w:pPr>
          </w:p>
          <w:p w:rsidR="00671CD6" w:rsidRPr="00F3363A" w:rsidRDefault="00671CD6" w:rsidP="00CB0DA3">
            <w:pPr>
              <w:widowControl w:val="0"/>
              <w:tabs>
                <w:tab w:val="left" w:pos="736"/>
              </w:tabs>
              <w:jc w:val="both"/>
              <w:rPr>
                <w:b/>
                <w:sz w:val="20"/>
                <w:szCs w:val="20"/>
              </w:rPr>
            </w:pPr>
            <w:r w:rsidRPr="00F3363A">
              <w:rPr>
                <w:b/>
                <w:sz w:val="20"/>
                <w:szCs w:val="20"/>
              </w:rPr>
              <w:tab/>
              <w:t>v. (34</w:t>
            </w:r>
            <w:r w:rsidR="00F3363A" w:rsidRPr="00F3363A">
              <w:rPr>
                <w:b/>
                <w:sz w:val="20"/>
                <w:szCs w:val="20"/>
              </w:rPr>
              <w:t>090</w:t>
            </w:r>
            <w:r w:rsidRPr="00F3363A">
              <w:rPr>
                <w:b/>
                <w:sz w:val="20"/>
                <w:szCs w:val="20"/>
              </w:rPr>
              <w:t>)</w:t>
            </w:r>
          </w:p>
          <w:p w:rsidR="00671CD6" w:rsidRPr="00F3363A" w:rsidRDefault="00671CD6" w:rsidP="00CB0DA3">
            <w:pPr>
              <w:widowControl w:val="0"/>
              <w:jc w:val="both"/>
              <w:rPr>
                <w:b/>
                <w:sz w:val="20"/>
                <w:szCs w:val="20"/>
              </w:rPr>
            </w:pPr>
          </w:p>
          <w:p w:rsidR="00F3363A" w:rsidRPr="00F3363A" w:rsidRDefault="00F3363A" w:rsidP="00F3363A">
            <w:pPr>
              <w:jc w:val="both"/>
              <w:rPr>
                <w:rStyle w:val="SCCSsocChar"/>
                <w:b/>
                <w:i w:val="0"/>
              </w:rPr>
            </w:pPr>
            <w:r w:rsidRPr="00F3363A">
              <w:rPr>
                <w:rStyle w:val="SCCSsocChar"/>
                <w:b/>
                <w:i w:val="0"/>
              </w:rPr>
              <w:t>Her Majesty the Queen (Ont.) (Criminal) (By</w:t>
            </w:r>
            <w:r>
              <w:rPr>
                <w:rStyle w:val="SCCSsocChar"/>
                <w:b/>
                <w:i w:val="0"/>
              </w:rPr>
              <w:t> </w:t>
            </w:r>
            <w:r w:rsidRPr="00F3363A">
              <w:rPr>
                <w:rStyle w:val="SCCSsocChar"/>
                <w:b/>
                <w:i w:val="0"/>
              </w:rPr>
              <w:t xml:space="preserve">Leave) </w:t>
            </w:r>
          </w:p>
          <w:p w:rsidR="00F3363A" w:rsidRPr="00F3363A" w:rsidRDefault="00F3363A" w:rsidP="00F3363A">
            <w:pPr>
              <w:jc w:val="both"/>
              <w:rPr>
                <w:rStyle w:val="SCCSsocChar"/>
                <w:b/>
                <w:i w:val="0"/>
              </w:rPr>
            </w:pPr>
          </w:p>
          <w:p w:rsidR="00F3363A" w:rsidRPr="00F3363A" w:rsidRDefault="00F3363A" w:rsidP="00F3363A">
            <w:pPr>
              <w:jc w:val="both"/>
              <w:rPr>
                <w:rStyle w:val="SCCSsocChar"/>
                <w:b/>
                <w:i w:val="0"/>
              </w:rPr>
            </w:pPr>
            <w:r w:rsidRPr="00F3363A">
              <w:rPr>
                <w:rStyle w:val="SCCSsocChar"/>
                <w:b/>
                <w:i w:val="0"/>
              </w:rPr>
              <w:t xml:space="preserve">- and between - </w:t>
            </w:r>
          </w:p>
          <w:p w:rsidR="00F3363A" w:rsidRPr="00F3363A" w:rsidRDefault="00F3363A" w:rsidP="00F3363A">
            <w:pPr>
              <w:jc w:val="both"/>
              <w:rPr>
                <w:rStyle w:val="SCCSsocChar"/>
                <w:b/>
                <w:i w:val="0"/>
              </w:rPr>
            </w:pPr>
          </w:p>
          <w:p w:rsidR="00F3363A" w:rsidRPr="00F3363A" w:rsidRDefault="00F3363A" w:rsidP="00F3363A">
            <w:pPr>
              <w:jc w:val="both"/>
              <w:rPr>
                <w:rStyle w:val="SCCSsocChar"/>
                <w:b/>
                <w:i w:val="0"/>
              </w:rPr>
            </w:pPr>
            <w:r w:rsidRPr="00F3363A">
              <w:rPr>
                <w:rStyle w:val="SCCSsocChar"/>
                <w:b/>
                <w:i w:val="0"/>
              </w:rPr>
              <w:t>Vinicio Cardoso</w:t>
            </w:r>
          </w:p>
          <w:p w:rsidR="00F3363A" w:rsidRPr="00F3363A" w:rsidRDefault="00F3363A" w:rsidP="00F3363A">
            <w:pPr>
              <w:jc w:val="both"/>
              <w:rPr>
                <w:rStyle w:val="SCCSsocChar"/>
                <w:b/>
                <w:i w:val="0"/>
              </w:rPr>
            </w:pPr>
          </w:p>
          <w:p w:rsidR="00F3363A" w:rsidRPr="00F3363A" w:rsidRDefault="00F3363A" w:rsidP="00F3363A">
            <w:pPr>
              <w:jc w:val="both"/>
              <w:rPr>
                <w:rStyle w:val="SCCSsocChar"/>
                <w:b/>
                <w:i w:val="0"/>
              </w:rPr>
            </w:pPr>
            <w:r w:rsidRPr="00F3363A">
              <w:rPr>
                <w:rStyle w:val="SCCSsocChar"/>
                <w:b/>
                <w:i w:val="0"/>
              </w:rPr>
              <w:tab/>
              <w:t>v. (34091)</w:t>
            </w:r>
          </w:p>
          <w:p w:rsidR="00F3363A" w:rsidRPr="00F3363A" w:rsidRDefault="00F3363A" w:rsidP="00F3363A">
            <w:pPr>
              <w:jc w:val="both"/>
              <w:rPr>
                <w:rStyle w:val="SCCSsocChar"/>
                <w:b/>
                <w:i w:val="0"/>
              </w:rPr>
            </w:pPr>
          </w:p>
          <w:p w:rsidR="00F3363A" w:rsidRPr="00F3363A" w:rsidRDefault="00F3363A" w:rsidP="00F3363A">
            <w:pPr>
              <w:jc w:val="both"/>
              <w:rPr>
                <w:rStyle w:val="SCCSsocChar"/>
                <w:b/>
                <w:i w:val="0"/>
              </w:rPr>
            </w:pPr>
            <w:r w:rsidRPr="00F3363A">
              <w:rPr>
                <w:rStyle w:val="SCCSsocChar"/>
                <w:b/>
                <w:i w:val="0"/>
              </w:rPr>
              <w:t>Her Majesty the Queen (Ont.) (Criminal) (By</w:t>
            </w:r>
            <w:r>
              <w:rPr>
                <w:rStyle w:val="SCCSsocChar"/>
                <w:b/>
                <w:i w:val="0"/>
              </w:rPr>
              <w:t> </w:t>
            </w:r>
            <w:r w:rsidRPr="00F3363A">
              <w:rPr>
                <w:rStyle w:val="SCCSsocChar"/>
                <w:b/>
                <w:i w:val="0"/>
              </w:rPr>
              <w:t xml:space="preserve">Leave) </w:t>
            </w:r>
          </w:p>
          <w:p w:rsidR="00F3363A" w:rsidRPr="00F3363A" w:rsidRDefault="00F3363A" w:rsidP="00F3363A">
            <w:pPr>
              <w:jc w:val="both"/>
              <w:rPr>
                <w:rStyle w:val="SCCSsocChar"/>
                <w:b/>
                <w:i w:val="0"/>
              </w:rPr>
            </w:pPr>
          </w:p>
          <w:p w:rsidR="00F3363A" w:rsidRPr="00F3363A" w:rsidRDefault="00F3363A" w:rsidP="00F3363A">
            <w:pPr>
              <w:jc w:val="both"/>
              <w:rPr>
                <w:rStyle w:val="SCCSsocChar"/>
                <w:b/>
                <w:i w:val="0"/>
              </w:rPr>
            </w:pPr>
            <w:r w:rsidRPr="00F3363A">
              <w:rPr>
                <w:rStyle w:val="SCCSsocChar"/>
                <w:b/>
                <w:i w:val="0"/>
              </w:rPr>
              <w:t xml:space="preserve">- and between - </w:t>
            </w:r>
          </w:p>
          <w:p w:rsidR="00F3363A" w:rsidRPr="00F3363A" w:rsidRDefault="00F3363A" w:rsidP="00F3363A">
            <w:pPr>
              <w:jc w:val="both"/>
              <w:rPr>
                <w:rStyle w:val="SCCSsocChar"/>
                <w:b/>
                <w:i w:val="0"/>
              </w:rPr>
            </w:pPr>
          </w:p>
          <w:p w:rsidR="00F3363A" w:rsidRPr="00F3363A" w:rsidRDefault="00F3363A" w:rsidP="00F3363A">
            <w:pPr>
              <w:jc w:val="both"/>
              <w:rPr>
                <w:rStyle w:val="SCCSsocChar"/>
                <w:b/>
                <w:i w:val="0"/>
                <w:lang w:val="en-US"/>
              </w:rPr>
            </w:pPr>
            <w:r w:rsidRPr="00F3363A">
              <w:rPr>
                <w:rStyle w:val="SCCSsocChar"/>
                <w:b/>
                <w:i w:val="0"/>
                <w:lang w:val="en-US"/>
              </w:rPr>
              <w:t xml:space="preserve">Tung Chi Duong </w:t>
            </w:r>
          </w:p>
          <w:p w:rsidR="00F3363A" w:rsidRPr="00F3363A" w:rsidRDefault="00F3363A" w:rsidP="00F3363A">
            <w:pPr>
              <w:jc w:val="both"/>
              <w:rPr>
                <w:rStyle w:val="SCCSsocChar"/>
                <w:b/>
                <w:i w:val="0"/>
                <w:lang w:val="en-US"/>
              </w:rPr>
            </w:pPr>
          </w:p>
          <w:p w:rsidR="00F3363A" w:rsidRPr="00F3363A" w:rsidRDefault="00F3363A" w:rsidP="00F3363A">
            <w:pPr>
              <w:jc w:val="both"/>
              <w:rPr>
                <w:rStyle w:val="SCCSsocChar"/>
                <w:b/>
                <w:i w:val="0"/>
                <w:lang w:val="en-US"/>
              </w:rPr>
            </w:pPr>
            <w:r w:rsidRPr="00F3363A">
              <w:rPr>
                <w:rStyle w:val="SCCSsocChar"/>
                <w:b/>
                <w:i w:val="0"/>
                <w:lang w:val="en-US"/>
              </w:rPr>
              <w:tab/>
              <w:t>v. (34340)</w:t>
            </w:r>
          </w:p>
          <w:p w:rsidR="00F3363A" w:rsidRPr="00F3363A" w:rsidRDefault="00F3363A" w:rsidP="00F3363A">
            <w:pPr>
              <w:jc w:val="both"/>
              <w:rPr>
                <w:rStyle w:val="SCCSsocChar"/>
                <w:b/>
                <w:i w:val="0"/>
                <w:lang w:val="en-US"/>
              </w:rPr>
            </w:pPr>
          </w:p>
          <w:p w:rsidR="00F3363A" w:rsidRPr="00F3363A" w:rsidRDefault="00F3363A" w:rsidP="00F3363A">
            <w:pPr>
              <w:jc w:val="both"/>
              <w:rPr>
                <w:rStyle w:val="SCCSsocChar"/>
                <w:b/>
                <w:i w:val="0"/>
                <w:lang w:val="en-US"/>
              </w:rPr>
            </w:pPr>
            <w:r w:rsidRPr="00F3363A">
              <w:rPr>
                <w:rStyle w:val="SCCSsocChar"/>
                <w:b/>
                <w:i w:val="0"/>
                <w:lang w:val="en-US"/>
              </w:rPr>
              <w:t>Her Majesty the Queen (Ont.) (Criminal) (By</w:t>
            </w:r>
            <w:r>
              <w:rPr>
                <w:rStyle w:val="SCCSsocChar"/>
                <w:b/>
                <w:i w:val="0"/>
                <w:lang w:val="en-US"/>
              </w:rPr>
              <w:t> </w:t>
            </w:r>
            <w:r w:rsidRPr="00F3363A">
              <w:rPr>
                <w:rStyle w:val="SCCSsocChar"/>
                <w:b/>
                <w:i w:val="0"/>
                <w:lang w:val="en-US"/>
              </w:rPr>
              <w:t xml:space="preserve">Leave) </w:t>
            </w:r>
          </w:p>
          <w:p w:rsidR="00F3363A" w:rsidRPr="00F3363A" w:rsidRDefault="00F3363A" w:rsidP="00F3363A">
            <w:pPr>
              <w:jc w:val="both"/>
              <w:rPr>
                <w:rStyle w:val="SCCSsocChar"/>
                <w:b/>
                <w:i w:val="0"/>
                <w:lang w:val="en-US"/>
              </w:rPr>
            </w:pPr>
          </w:p>
          <w:p w:rsidR="00F3363A" w:rsidRPr="00F3363A" w:rsidRDefault="00F3363A" w:rsidP="00F3363A">
            <w:pPr>
              <w:jc w:val="both"/>
              <w:rPr>
                <w:rStyle w:val="SCCSsocChar"/>
                <w:b/>
                <w:i w:val="0"/>
                <w:lang w:val="en-US"/>
              </w:rPr>
            </w:pPr>
            <w:r w:rsidRPr="00F3363A">
              <w:rPr>
                <w:rStyle w:val="SCCSsocChar"/>
                <w:b/>
                <w:i w:val="0"/>
                <w:lang w:val="en-US"/>
              </w:rPr>
              <w:t xml:space="preserve">- and between - </w:t>
            </w:r>
          </w:p>
          <w:p w:rsidR="00F3363A" w:rsidRPr="00F3363A" w:rsidRDefault="00F3363A" w:rsidP="00F3363A">
            <w:pPr>
              <w:jc w:val="both"/>
              <w:rPr>
                <w:rStyle w:val="SCCSsocChar"/>
                <w:b/>
                <w:i w:val="0"/>
                <w:lang w:val="en-US"/>
              </w:rPr>
            </w:pPr>
          </w:p>
          <w:p w:rsidR="00F3363A" w:rsidRPr="00F3363A" w:rsidRDefault="00F3363A" w:rsidP="00F3363A">
            <w:pPr>
              <w:jc w:val="both"/>
              <w:rPr>
                <w:rStyle w:val="SCCSsocChar"/>
                <w:b/>
                <w:i w:val="0"/>
                <w:lang w:val="en-US"/>
              </w:rPr>
            </w:pPr>
            <w:r w:rsidRPr="00F3363A">
              <w:rPr>
                <w:rStyle w:val="SCCSsocChar"/>
                <w:b/>
                <w:i w:val="0"/>
                <w:lang w:val="en-US"/>
              </w:rPr>
              <w:t>James Peter Emms</w:t>
            </w:r>
          </w:p>
          <w:p w:rsidR="00F3363A" w:rsidRPr="00F3363A" w:rsidRDefault="00F3363A" w:rsidP="00F3363A">
            <w:pPr>
              <w:jc w:val="both"/>
              <w:rPr>
                <w:rStyle w:val="SCCSsocChar"/>
                <w:b/>
                <w:i w:val="0"/>
                <w:lang w:val="en-US"/>
              </w:rPr>
            </w:pPr>
          </w:p>
          <w:p w:rsidR="00F3363A" w:rsidRPr="00F3363A" w:rsidRDefault="00F3363A" w:rsidP="00F3363A">
            <w:pPr>
              <w:jc w:val="both"/>
              <w:rPr>
                <w:rStyle w:val="SCCSsocChar"/>
                <w:b/>
                <w:i w:val="0"/>
                <w:lang w:val="en-US"/>
              </w:rPr>
            </w:pPr>
            <w:r w:rsidRPr="00F3363A">
              <w:rPr>
                <w:rStyle w:val="SCCSsocChar"/>
                <w:b/>
                <w:i w:val="0"/>
                <w:lang w:val="en-US"/>
              </w:rPr>
              <w:tab/>
              <w:t>v. (34087)</w:t>
            </w:r>
          </w:p>
          <w:p w:rsidR="00F3363A" w:rsidRPr="00F3363A" w:rsidRDefault="00F3363A" w:rsidP="00F3363A">
            <w:pPr>
              <w:jc w:val="both"/>
              <w:rPr>
                <w:rStyle w:val="SCCSsocChar"/>
                <w:b/>
                <w:i w:val="0"/>
                <w:lang w:val="en-US"/>
              </w:rPr>
            </w:pPr>
          </w:p>
          <w:p w:rsidR="00F3363A" w:rsidRPr="00F3363A" w:rsidRDefault="00F3363A" w:rsidP="00F3363A">
            <w:pPr>
              <w:jc w:val="both"/>
              <w:rPr>
                <w:rStyle w:val="SCCSsocChar"/>
                <w:b/>
                <w:i w:val="0"/>
                <w:lang w:val="en-US"/>
              </w:rPr>
            </w:pPr>
            <w:r w:rsidRPr="00F3363A">
              <w:rPr>
                <w:rStyle w:val="SCCSsocChar"/>
                <w:b/>
                <w:i w:val="0"/>
                <w:lang w:val="en-US"/>
              </w:rPr>
              <w:t>Her Majesty the Queen (Ont.) (Criminal) (By</w:t>
            </w:r>
            <w:r>
              <w:rPr>
                <w:rStyle w:val="SCCSsocChar"/>
                <w:b/>
                <w:i w:val="0"/>
                <w:lang w:val="en-US"/>
              </w:rPr>
              <w:t> </w:t>
            </w:r>
            <w:r w:rsidRPr="00F3363A">
              <w:rPr>
                <w:rStyle w:val="SCCSsocChar"/>
                <w:b/>
                <w:i w:val="0"/>
                <w:lang w:val="en-US"/>
              </w:rPr>
              <w:t xml:space="preserve">Leave) </w:t>
            </w:r>
          </w:p>
          <w:p w:rsidR="00F3363A" w:rsidRPr="00F3363A" w:rsidRDefault="00F3363A" w:rsidP="00F3363A">
            <w:pPr>
              <w:jc w:val="both"/>
              <w:rPr>
                <w:rStyle w:val="SCCSsocChar"/>
                <w:b/>
                <w:i w:val="0"/>
                <w:lang w:val="en-US"/>
              </w:rPr>
            </w:pPr>
          </w:p>
          <w:p w:rsidR="00F3363A" w:rsidRPr="00F3363A" w:rsidRDefault="00F3363A" w:rsidP="00F3363A">
            <w:pPr>
              <w:jc w:val="both"/>
              <w:rPr>
                <w:rStyle w:val="SCCSsocChar"/>
                <w:b/>
                <w:i w:val="0"/>
                <w:lang w:val="en-US"/>
              </w:rPr>
            </w:pPr>
            <w:r w:rsidRPr="00F3363A">
              <w:rPr>
                <w:rStyle w:val="SCCSsocChar"/>
                <w:b/>
                <w:i w:val="0"/>
                <w:lang w:val="en-US"/>
              </w:rPr>
              <w:t xml:space="preserve">- and between - </w:t>
            </w:r>
          </w:p>
          <w:p w:rsidR="00F3363A" w:rsidRPr="00F3363A" w:rsidRDefault="00F3363A" w:rsidP="00F3363A">
            <w:pPr>
              <w:jc w:val="both"/>
              <w:rPr>
                <w:rStyle w:val="SCCSsocChar"/>
                <w:b/>
                <w:i w:val="0"/>
                <w:lang w:val="en-US"/>
              </w:rPr>
            </w:pPr>
          </w:p>
          <w:p w:rsidR="00F3363A" w:rsidRPr="00F3363A" w:rsidRDefault="00F3363A" w:rsidP="00F3363A">
            <w:pPr>
              <w:jc w:val="both"/>
              <w:rPr>
                <w:rStyle w:val="SCCSsocChar"/>
                <w:b/>
                <w:i w:val="0"/>
                <w:lang w:val="en-US"/>
              </w:rPr>
            </w:pPr>
            <w:r w:rsidRPr="00F3363A">
              <w:rPr>
                <w:rStyle w:val="SCCSsocChar"/>
                <w:b/>
                <w:i w:val="0"/>
                <w:lang w:val="en-US"/>
              </w:rPr>
              <w:t>Troy Gilbert Davey</w:t>
            </w:r>
          </w:p>
          <w:p w:rsidR="00F3363A" w:rsidRPr="00F3363A" w:rsidRDefault="00F3363A" w:rsidP="00F3363A">
            <w:pPr>
              <w:jc w:val="both"/>
              <w:rPr>
                <w:rStyle w:val="SCCSsocChar"/>
                <w:b/>
                <w:i w:val="0"/>
                <w:lang w:val="en-US"/>
              </w:rPr>
            </w:pPr>
          </w:p>
          <w:p w:rsidR="00F3363A" w:rsidRPr="00F3363A" w:rsidRDefault="00F3363A" w:rsidP="00F3363A">
            <w:pPr>
              <w:jc w:val="both"/>
              <w:rPr>
                <w:rStyle w:val="SCCSsocChar"/>
                <w:b/>
                <w:i w:val="0"/>
                <w:lang w:val="en-US"/>
              </w:rPr>
            </w:pPr>
            <w:r w:rsidRPr="00F3363A">
              <w:rPr>
                <w:rStyle w:val="SCCSsocChar"/>
                <w:b/>
                <w:i w:val="0"/>
                <w:lang w:val="en-US"/>
              </w:rPr>
              <w:tab/>
              <w:t>v. (34179)</w:t>
            </w:r>
          </w:p>
          <w:p w:rsidR="00F3363A" w:rsidRPr="00F3363A" w:rsidRDefault="00F3363A" w:rsidP="00F3363A">
            <w:pPr>
              <w:jc w:val="both"/>
              <w:rPr>
                <w:rStyle w:val="SCCSsocChar"/>
                <w:b/>
                <w:i w:val="0"/>
                <w:lang w:val="en-US"/>
              </w:rPr>
            </w:pPr>
          </w:p>
          <w:p w:rsidR="00671CD6" w:rsidRPr="00671CD6" w:rsidRDefault="00F3363A" w:rsidP="00F3363A">
            <w:pPr>
              <w:jc w:val="both"/>
              <w:rPr>
                <w:sz w:val="20"/>
                <w:szCs w:val="20"/>
              </w:rPr>
            </w:pPr>
            <w:r w:rsidRPr="00F3363A">
              <w:rPr>
                <w:rStyle w:val="SCCSsocChar"/>
                <w:b/>
                <w:i w:val="0"/>
                <w:lang w:val="en-US"/>
              </w:rPr>
              <w:t>Her Majesty the Queen (Ont.) (Criminal) (By</w:t>
            </w:r>
            <w:r>
              <w:rPr>
                <w:rStyle w:val="SCCSsocChar"/>
                <w:b/>
                <w:i w:val="0"/>
                <w:lang w:val="en-US"/>
              </w:rPr>
              <w:t> </w:t>
            </w:r>
            <w:r w:rsidRPr="00F3363A">
              <w:rPr>
                <w:rStyle w:val="SCCSsocChar"/>
                <w:b/>
                <w:i w:val="0"/>
                <w:lang w:val="en-US"/>
              </w:rPr>
              <w:t xml:space="preserve">Leave) </w:t>
            </w:r>
          </w:p>
        </w:tc>
        <w:tc>
          <w:tcPr>
            <w:tcW w:w="720" w:type="dxa"/>
            <w:tcMar>
              <w:left w:w="0" w:type="dxa"/>
              <w:right w:w="0" w:type="dxa"/>
            </w:tcMar>
          </w:tcPr>
          <w:p w:rsidR="00671CD6" w:rsidRPr="00671CD6" w:rsidRDefault="00671CD6" w:rsidP="00CB0DA3">
            <w:pPr>
              <w:widowControl w:val="0"/>
              <w:jc w:val="center"/>
              <w:rPr>
                <w:sz w:val="20"/>
                <w:szCs w:val="20"/>
              </w:rPr>
            </w:pPr>
          </w:p>
        </w:tc>
        <w:tc>
          <w:tcPr>
            <w:tcW w:w="4380" w:type="dxa"/>
            <w:tcMar>
              <w:left w:w="0" w:type="dxa"/>
              <w:right w:w="0" w:type="dxa"/>
            </w:tcMar>
          </w:tcPr>
          <w:p w:rsidR="008A5449" w:rsidRPr="007B0EA7" w:rsidRDefault="008A5449" w:rsidP="008A5449">
            <w:pPr>
              <w:jc w:val="both"/>
              <w:rPr>
                <w:sz w:val="20"/>
                <w:szCs w:val="20"/>
              </w:rPr>
            </w:pPr>
            <w:r w:rsidRPr="007B0EA7">
              <w:rPr>
                <w:sz w:val="20"/>
                <w:szCs w:val="20"/>
              </w:rPr>
              <w:t>Gregory Lafontaine</w:t>
            </w:r>
            <w:r>
              <w:rPr>
                <w:sz w:val="20"/>
                <w:szCs w:val="20"/>
              </w:rPr>
              <w:t xml:space="preserve">, </w:t>
            </w:r>
            <w:r w:rsidRPr="007B0EA7">
              <w:rPr>
                <w:sz w:val="20"/>
                <w:szCs w:val="20"/>
              </w:rPr>
              <w:t>Vincenzo Rondinelli</w:t>
            </w:r>
            <w:r>
              <w:rPr>
                <w:sz w:val="20"/>
                <w:szCs w:val="20"/>
              </w:rPr>
              <w:t xml:space="preserve"> and </w:t>
            </w:r>
            <w:r w:rsidRPr="007B0EA7">
              <w:rPr>
                <w:sz w:val="20"/>
                <w:szCs w:val="20"/>
              </w:rPr>
              <w:t>Lori Anne Thomas</w:t>
            </w:r>
            <w:r>
              <w:rPr>
                <w:sz w:val="20"/>
                <w:szCs w:val="20"/>
              </w:rPr>
              <w:t xml:space="preserve"> f</w:t>
            </w:r>
            <w:r w:rsidRPr="007B0EA7">
              <w:rPr>
                <w:sz w:val="20"/>
                <w:szCs w:val="20"/>
              </w:rPr>
              <w:t xml:space="preserve">or the </w:t>
            </w:r>
            <w:r>
              <w:rPr>
                <w:sz w:val="20"/>
                <w:szCs w:val="20"/>
              </w:rPr>
              <w:t>a</w:t>
            </w:r>
            <w:r w:rsidRPr="007B0EA7">
              <w:rPr>
                <w:sz w:val="20"/>
                <w:szCs w:val="20"/>
              </w:rPr>
              <w:t>ppellant (34090).</w:t>
            </w:r>
          </w:p>
          <w:p w:rsidR="008A5449" w:rsidRPr="007B0EA7" w:rsidRDefault="008A5449" w:rsidP="008A5449">
            <w:pPr>
              <w:jc w:val="both"/>
              <w:rPr>
                <w:sz w:val="20"/>
                <w:szCs w:val="20"/>
              </w:rPr>
            </w:pPr>
          </w:p>
          <w:p w:rsidR="008A5449" w:rsidRPr="007B0EA7" w:rsidRDefault="008A5449" w:rsidP="008A5449">
            <w:pPr>
              <w:jc w:val="both"/>
              <w:rPr>
                <w:sz w:val="20"/>
                <w:szCs w:val="20"/>
              </w:rPr>
            </w:pPr>
            <w:r w:rsidRPr="007B0EA7">
              <w:rPr>
                <w:sz w:val="20"/>
                <w:szCs w:val="20"/>
              </w:rPr>
              <w:t>Timothy E. Breen</w:t>
            </w:r>
            <w:r>
              <w:rPr>
                <w:sz w:val="20"/>
                <w:szCs w:val="20"/>
              </w:rPr>
              <w:t xml:space="preserve"> f</w:t>
            </w:r>
            <w:r w:rsidRPr="007B0EA7">
              <w:rPr>
                <w:sz w:val="20"/>
                <w:szCs w:val="20"/>
              </w:rPr>
              <w:t xml:space="preserve">or the </w:t>
            </w:r>
            <w:r>
              <w:rPr>
                <w:sz w:val="20"/>
                <w:szCs w:val="20"/>
              </w:rPr>
              <w:t>a</w:t>
            </w:r>
            <w:r w:rsidRPr="007B0EA7">
              <w:rPr>
                <w:sz w:val="20"/>
                <w:szCs w:val="20"/>
              </w:rPr>
              <w:t>ppellant (34340).</w:t>
            </w:r>
          </w:p>
          <w:p w:rsidR="008A5449" w:rsidRPr="007B0EA7" w:rsidRDefault="008A5449" w:rsidP="008A5449">
            <w:pPr>
              <w:jc w:val="both"/>
              <w:rPr>
                <w:sz w:val="20"/>
                <w:szCs w:val="20"/>
              </w:rPr>
            </w:pPr>
          </w:p>
          <w:p w:rsidR="008A5449" w:rsidRPr="007B0EA7" w:rsidRDefault="008A5449" w:rsidP="008A5449">
            <w:pPr>
              <w:jc w:val="both"/>
              <w:rPr>
                <w:sz w:val="20"/>
                <w:szCs w:val="20"/>
              </w:rPr>
            </w:pPr>
            <w:r w:rsidRPr="007B0EA7">
              <w:rPr>
                <w:sz w:val="20"/>
                <w:szCs w:val="20"/>
              </w:rPr>
              <w:t>Catriona Verner</w:t>
            </w:r>
            <w:r>
              <w:rPr>
                <w:sz w:val="20"/>
                <w:szCs w:val="20"/>
              </w:rPr>
              <w:t xml:space="preserve"> and </w:t>
            </w:r>
            <w:r w:rsidRPr="007B0EA7">
              <w:rPr>
                <w:sz w:val="20"/>
                <w:szCs w:val="20"/>
              </w:rPr>
              <w:t>Kristin Bailey</w:t>
            </w:r>
            <w:r>
              <w:rPr>
                <w:sz w:val="20"/>
                <w:szCs w:val="20"/>
              </w:rPr>
              <w:t xml:space="preserve"> f</w:t>
            </w:r>
            <w:r w:rsidRPr="007B0EA7">
              <w:rPr>
                <w:sz w:val="20"/>
                <w:szCs w:val="20"/>
              </w:rPr>
              <w:t xml:space="preserve">or the </w:t>
            </w:r>
            <w:r>
              <w:rPr>
                <w:sz w:val="20"/>
                <w:szCs w:val="20"/>
              </w:rPr>
              <w:t>a</w:t>
            </w:r>
            <w:r w:rsidRPr="007B0EA7">
              <w:rPr>
                <w:sz w:val="20"/>
                <w:szCs w:val="20"/>
              </w:rPr>
              <w:t>ppellant (34091).</w:t>
            </w:r>
          </w:p>
          <w:p w:rsidR="008A5449" w:rsidRPr="007B0EA7" w:rsidRDefault="008A5449" w:rsidP="008A5449">
            <w:pPr>
              <w:jc w:val="both"/>
              <w:rPr>
                <w:sz w:val="20"/>
                <w:szCs w:val="20"/>
              </w:rPr>
            </w:pPr>
          </w:p>
          <w:p w:rsidR="008A5449" w:rsidRPr="007B0EA7" w:rsidRDefault="008A5449" w:rsidP="008A5449">
            <w:pPr>
              <w:jc w:val="both"/>
              <w:rPr>
                <w:sz w:val="20"/>
                <w:szCs w:val="20"/>
              </w:rPr>
            </w:pPr>
            <w:r w:rsidRPr="007B0EA7">
              <w:rPr>
                <w:sz w:val="20"/>
                <w:szCs w:val="20"/>
              </w:rPr>
              <w:t>Christopher Hicks</w:t>
            </w:r>
            <w:r>
              <w:rPr>
                <w:sz w:val="20"/>
                <w:szCs w:val="20"/>
              </w:rPr>
              <w:t xml:space="preserve"> and </w:t>
            </w:r>
            <w:r w:rsidRPr="007B0EA7">
              <w:rPr>
                <w:sz w:val="20"/>
                <w:szCs w:val="20"/>
              </w:rPr>
              <w:t>Theodore Sarantis</w:t>
            </w:r>
            <w:r>
              <w:rPr>
                <w:sz w:val="20"/>
                <w:szCs w:val="20"/>
              </w:rPr>
              <w:t xml:space="preserve"> f</w:t>
            </w:r>
            <w:r w:rsidRPr="007B0EA7">
              <w:rPr>
                <w:sz w:val="20"/>
                <w:szCs w:val="20"/>
              </w:rPr>
              <w:t xml:space="preserve">or the </w:t>
            </w:r>
            <w:r>
              <w:rPr>
                <w:sz w:val="20"/>
                <w:szCs w:val="20"/>
              </w:rPr>
              <w:t>a</w:t>
            </w:r>
            <w:r w:rsidRPr="007B0EA7">
              <w:rPr>
                <w:sz w:val="20"/>
                <w:szCs w:val="20"/>
              </w:rPr>
              <w:t>ppellant (34179).</w:t>
            </w:r>
          </w:p>
          <w:p w:rsidR="008A5449" w:rsidRPr="007B0EA7" w:rsidRDefault="008A5449" w:rsidP="008A5449">
            <w:pPr>
              <w:jc w:val="both"/>
              <w:rPr>
                <w:sz w:val="20"/>
                <w:szCs w:val="20"/>
              </w:rPr>
            </w:pPr>
          </w:p>
          <w:p w:rsidR="008A5449" w:rsidRPr="007B0EA7" w:rsidRDefault="008A5449" w:rsidP="008A5449">
            <w:pPr>
              <w:jc w:val="both"/>
              <w:rPr>
                <w:sz w:val="20"/>
                <w:szCs w:val="20"/>
              </w:rPr>
            </w:pPr>
            <w:r w:rsidRPr="007B0EA7">
              <w:rPr>
                <w:sz w:val="20"/>
                <w:szCs w:val="20"/>
              </w:rPr>
              <w:t>Mark C. Halfyard</w:t>
            </w:r>
            <w:r>
              <w:rPr>
                <w:sz w:val="20"/>
                <w:szCs w:val="20"/>
              </w:rPr>
              <w:t xml:space="preserve"> and </w:t>
            </w:r>
            <w:r w:rsidRPr="007B0EA7">
              <w:rPr>
                <w:sz w:val="20"/>
                <w:szCs w:val="20"/>
              </w:rPr>
              <w:t>Daniel Brown</w:t>
            </w:r>
            <w:r>
              <w:rPr>
                <w:sz w:val="20"/>
                <w:szCs w:val="20"/>
              </w:rPr>
              <w:t xml:space="preserve"> f</w:t>
            </w:r>
            <w:r w:rsidRPr="007B0EA7">
              <w:rPr>
                <w:sz w:val="20"/>
                <w:szCs w:val="20"/>
              </w:rPr>
              <w:t>or the Appellant (34087).</w:t>
            </w:r>
          </w:p>
          <w:p w:rsidR="008A5449" w:rsidRPr="007B0EA7" w:rsidRDefault="008A5449" w:rsidP="008A5449">
            <w:pPr>
              <w:jc w:val="both"/>
              <w:rPr>
                <w:sz w:val="20"/>
                <w:szCs w:val="20"/>
              </w:rPr>
            </w:pPr>
          </w:p>
          <w:p w:rsidR="008A5449" w:rsidRPr="007B0EA7" w:rsidRDefault="008A5449" w:rsidP="008A5449">
            <w:pPr>
              <w:jc w:val="both"/>
              <w:rPr>
                <w:sz w:val="20"/>
                <w:szCs w:val="20"/>
              </w:rPr>
            </w:pPr>
            <w:r w:rsidRPr="007B0EA7">
              <w:rPr>
                <w:sz w:val="20"/>
                <w:szCs w:val="20"/>
              </w:rPr>
              <w:t>Frank Addario</w:t>
            </w:r>
            <w:r>
              <w:rPr>
                <w:sz w:val="20"/>
                <w:szCs w:val="20"/>
              </w:rPr>
              <w:t xml:space="preserve"> f</w:t>
            </w:r>
            <w:r w:rsidRPr="007B0EA7">
              <w:rPr>
                <w:sz w:val="20"/>
                <w:szCs w:val="20"/>
              </w:rPr>
              <w:t xml:space="preserve">or the </w:t>
            </w:r>
            <w:r>
              <w:rPr>
                <w:sz w:val="20"/>
                <w:szCs w:val="20"/>
              </w:rPr>
              <w:t>i</w:t>
            </w:r>
            <w:r w:rsidRPr="007B0EA7">
              <w:rPr>
                <w:sz w:val="20"/>
                <w:szCs w:val="20"/>
              </w:rPr>
              <w:t>ntervener</w:t>
            </w:r>
            <w:r>
              <w:rPr>
                <w:sz w:val="20"/>
                <w:szCs w:val="20"/>
              </w:rPr>
              <w:t xml:space="preserve"> </w:t>
            </w:r>
            <w:r w:rsidRPr="007B0EA7">
              <w:rPr>
                <w:sz w:val="20"/>
                <w:szCs w:val="20"/>
              </w:rPr>
              <w:t>Canadian Civil Liberties Association</w:t>
            </w:r>
            <w:r>
              <w:rPr>
                <w:sz w:val="20"/>
                <w:szCs w:val="20"/>
              </w:rPr>
              <w:t xml:space="preserve"> </w:t>
            </w:r>
            <w:r w:rsidRPr="007B0EA7">
              <w:rPr>
                <w:sz w:val="20"/>
                <w:szCs w:val="20"/>
              </w:rPr>
              <w:t>(34090-34091-34087-34179-34340)</w:t>
            </w:r>
            <w:r>
              <w:rPr>
                <w:sz w:val="20"/>
                <w:szCs w:val="20"/>
              </w:rPr>
              <w:t>.</w:t>
            </w:r>
          </w:p>
          <w:p w:rsidR="008A5449" w:rsidRPr="007B0EA7" w:rsidRDefault="008A5449" w:rsidP="008A5449">
            <w:pPr>
              <w:jc w:val="both"/>
              <w:rPr>
                <w:sz w:val="20"/>
                <w:szCs w:val="20"/>
              </w:rPr>
            </w:pPr>
          </w:p>
          <w:p w:rsidR="008A5449" w:rsidRPr="007B0EA7" w:rsidRDefault="008A5449" w:rsidP="008A5449">
            <w:pPr>
              <w:jc w:val="both"/>
              <w:rPr>
                <w:sz w:val="20"/>
                <w:szCs w:val="20"/>
              </w:rPr>
            </w:pPr>
            <w:r w:rsidRPr="007B0EA7">
              <w:rPr>
                <w:sz w:val="20"/>
                <w:szCs w:val="20"/>
              </w:rPr>
              <w:t>Nader R. Hasan</w:t>
            </w:r>
            <w:r>
              <w:rPr>
                <w:sz w:val="20"/>
                <w:szCs w:val="20"/>
              </w:rPr>
              <w:t xml:space="preserve"> and </w:t>
            </w:r>
            <w:r w:rsidRPr="007B0EA7">
              <w:rPr>
                <w:sz w:val="20"/>
                <w:szCs w:val="20"/>
              </w:rPr>
              <w:t>Gerald Chan</w:t>
            </w:r>
            <w:r>
              <w:rPr>
                <w:sz w:val="20"/>
                <w:szCs w:val="20"/>
              </w:rPr>
              <w:t xml:space="preserve"> f</w:t>
            </w:r>
            <w:r w:rsidRPr="007B0EA7">
              <w:rPr>
                <w:sz w:val="20"/>
                <w:szCs w:val="20"/>
              </w:rPr>
              <w:t xml:space="preserve">or the </w:t>
            </w:r>
            <w:r>
              <w:rPr>
                <w:sz w:val="20"/>
                <w:szCs w:val="20"/>
              </w:rPr>
              <w:t>i</w:t>
            </w:r>
            <w:r w:rsidRPr="007B0EA7">
              <w:rPr>
                <w:sz w:val="20"/>
                <w:szCs w:val="20"/>
              </w:rPr>
              <w:t>ntervener</w:t>
            </w:r>
            <w:r>
              <w:rPr>
                <w:sz w:val="20"/>
                <w:szCs w:val="20"/>
              </w:rPr>
              <w:t xml:space="preserve"> </w:t>
            </w:r>
            <w:r w:rsidRPr="007B0EA7">
              <w:rPr>
                <w:sz w:val="20"/>
                <w:szCs w:val="20"/>
              </w:rPr>
              <w:t>British Columbia Civil Liberties Association</w:t>
            </w:r>
            <w:r>
              <w:rPr>
                <w:sz w:val="20"/>
                <w:szCs w:val="20"/>
              </w:rPr>
              <w:t xml:space="preserve"> </w:t>
            </w:r>
            <w:r w:rsidRPr="007B0EA7">
              <w:rPr>
                <w:sz w:val="20"/>
                <w:szCs w:val="20"/>
              </w:rPr>
              <w:t>(34090-34091-34087-34179-34340)</w:t>
            </w:r>
            <w:r>
              <w:rPr>
                <w:sz w:val="20"/>
                <w:szCs w:val="20"/>
              </w:rPr>
              <w:t>.</w:t>
            </w:r>
          </w:p>
          <w:p w:rsidR="008A5449" w:rsidRPr="007B0EA7" w:rsidRDefault="008A5449" w:rsidP="008A5449">
            <w:pPr>
              <w:jc w:val="both"/>
              <w:rPr>
                <w:sz w:val="20"/>
                <w:szCs w:val="20"/>
              </w:rPr>
            </w:pPr>
          </w:p>
          <w:p w:rsidR="008A5449" w:rsidRPr="007B0EA7" w:rsidRDefault="008A5449" w:rsidP="008A5449">
            <w:pPr>
              <w:jc w:val="both"/>
              <w:rPr>
                <w:sz w:val="20"/>
                <w:szCs w:val="20"/>
              </w:rPr>
            </w:pPr>
            <w:r w:rsidRPr="007B0EA7">
              <w:rPr>
                <w:sz w:val="20"/>
                <w:szCs w:val="20"/>
              </w:rPr>
              <w:t>Cheryl Milne</w:t>
            </w:r>
            <w:r>
              <w:rPr>
                <w:sz w:val="20"/>
                <w:szCs w:val="20"/>
              </w:rPr>
              <w:t xml:space="preserve"> and </w:t>
            </w:r>
            <w:r w:rsidRPr="007B0EA7">
              <w:rPr>
                <w:sz w:val="20"/>
                <w:szCs w:val="20"/>
              </w:rPr>
              <w:t>Lisa Austin</w:t>
            </w:r>
            <w:r>
              <w:rPr>
                <w:sz w:val="20"/>
                <w:szCs w:val="20"/>
              </w:rPr>
              <w:t xml:space="preserve"> f</w:t>
            </w:r>
            <w:r w:rsidRPr="007B0EA7">
              <w:rPr>
                <w:sz w:val="20"/>
                <w:szCs w:val="20"/>
              </w:rPr>
              <w:t xml:space="preserve">or the </w:t>
            </w:r>
            <w:r>
              <w:rPr>
                <w:sz w:val="20"/>
                <w:szCs w:val="20"/>
              </w:rPr>
              <w:t>i</w:t>
            </w:r>
            <w:r w:rsidRPr="007B0EA7">
              <w:rPr>
                <w:sz w:val="20"/>
                <w:szCs w:val="20"/>
              </w:rPr>
              <w:t>ntervener</w:t>
            </w:r>
            <w:r>
              <w:rPr>
                <w:sz w:val="20"/>
                <w:szCs w:val="20"/>
              </w:rPr>
              <w:t xml:space="preserve"> </w:t>
            </w:r>
            <w:r w:rsidRPr="007B0EA7">
              <w:rPr>
                <w:sz w:val="20"/>
                <w:szCs w:val="20"/>
              </w:rPr>
              <w:t>David Asper Centre for Constitutional Rights</w:t>
            </w:r>
            <w:r>
              <w:rPr>
                <w:sz w:val="20"/>
                <w:szCs w:val="20"/>
              </w:rPr>
              <w:t xml:space="preserve"> </w:t>
            </w:r>
            <w:r w:rsidRPr="007B0EA7">
              <w:rPr>
                <w:sz w:val="20"/>
                <w:szCs w:val="20"/>
              </w:rPr>
              <w:t>(34090-34091-34087-34179-34340)</w:t>
            </w:r>
            <w:r>
              <w:rPr>
                <w:sz w:val="20"/>
                <w:szCs w:val="20"/>
              </w:rPr>
              <w:t>.</w:t>
            </w:r>
          </w:p>
          <w:p w:rsidR="008A5449" w:rsidRPr="007B0EA7" w:rsidRDefault="008A5449" w:rsidP="008A5449">
            <w:pPr>
              <w:jc w:val="both"/>
              <w:rPr>
                <w:sz w:val="20"/>
                <w:szCs w:val="20"/>
              </w:rPr>
            </w:pPr>
          </w:p>
          <w:p w:rsidR="008A5449" w:rsidRPr="007B0EA7" w:rsidRDefault="008A5449" w:rsidP="008A5449">
            <w:pPr>
              <w:jc w:val="both"/>
              <w:rPr>
                <w:sz w:val="20"/>
                <w:szCs w:val="20"/>
              </w:rPr>
            </w:pPr>
            <w:r w:rsidRPr="007B0EA7">
              <w:rPr>
                <w:sz w:val="20"/>
                <w:szCs w:val="20"/>
              </w:rPr>
              <w:t>William S. Challis</w:t>
            </w:r>
            <w:r>
              <w:rPr>
                <w:sz w:val="20"/>
                <w:szCs w:val="20"/>
              </w:rPr>
              <w:t xml:space="preserve"> and </w:t>
            </w:r>
            <w:r w:rsidRPr="007B0EA7">
              <w:rPr>
                <w:sz w:val="20"/>
                <w:szCs w:val="20"/>
              </w:rPr>
              <w:t>Stephen McCammon</w:t>
            </w:r>
            <w:r>
              <w:rPr>
                <w:sz w:val="20"/>
                <w:szCs w:val="20"/>
              </w:rPr>
              <w:t xml:space="preserve"> f</w:t>
            </w:r>
            <w:r w:rsidRPr="007B0EA7">
              <w:rPr>
                <w:sz w:val="20"/>
                <w:szCs w:val="20"/>
              </w:rPr>
              <w:t xml:space="preserve">or the </w:t>
            </w:r>
            <w:r>
              <w:rPr>
                <w:sz w:val="20"/>
                <w:szCs w:val="20"/>
              </w:rPr>
              <w:t>i</w:t>
            </w:r>
            <w:r w:rsidRPr="007B0EA7">
              <w:rPr>
                <w:sz w:val="20"/>
                <w:szCs w:val="20"/>
              </w:rPr>
              <w:t>ntervener</w:t>
            </w:r>
            <w:r>
              <w:rPr>
                <w:sz w:val="20"/>
                <w:szCs w:val="20"/>
              </w:rPr>
              <w:t xml:space="preserve"> </w:t>
            </w:r>
            <w:r w:rsidRPr="007B0EA7">
              <w:rPr>
                <w:sz w:val="20"/>
                <w:szCs w:val="20"/>
              </w:rPr>
              <w:t>Information and Privacy Commissioner of Ontario</w:t>
            </w:r>
            <w:r>
              <w:rPr>
                <w:sz w:val="20"/>
                <w:szCs w:val="20"/>
              </w:rPr>
              <w:t xml:space="preserve"> </w:t>
            </w:r>
            <w:r w:rsidRPr="007B0EA7">
              <w:rPr>
                <w:sz w:val="20"/>
                <w:szCs w:val="20"/>
              </w:rPr>
              <w:t>(34090-34091-34087-34179-34340)</w:t>
            </w:r>
          </w:p>
          <w:p w:rsidR="008A5449" w:rsidRPr="007B0EA7" w:rsidRDefault="008A5449" w:rsidP="008A5449">
            <w:pPr>
              <w:jc w:val="both"/>
              <w:rPr>
                <w:sz w:val="20"/>
                <w:szCs w:val="20"/>
              </w:rPr>
            </w:pPr>
          </w:p>
          <w:p w:rsidR="008A5449" w:rsidRPr="007B0EA7" w:rsidRDefault="008A5449" w:rsidP="008A5449">
            <w:pPr>
              <w:jc w:val="both"/>
              <w:rPr>
                <w:sz w:val="20"/>
                <w:szCs w:val="20"/>
              </w:rPr>
            </w:pPr>
            <w:r w:rsidRPr="007B0EA7">
              <w:rPr>
                <w:sz w:val="20"/>
                <w:szCs w:val="20"/>
              </w:rPr>
              <w:t>Anthony Moustacalis</w:t>
            </w:r>
            <w:r>
              <w:rPr>
                <w:sz w:val="20"/>
                <w:szCs w:val="20"/>
              </w:rPr>
              <w:t xml:space="preserve"> and </w:t>
            </w:r>
            <w:r w:rsidRPr="007B0EA7">
              <w:rPr>
                <w:sz w:val="20"/>
                <w:szCs w:val="20"/>
              </w:rPr>
              <w:t>Peter Thorning</w:t>
            </w:r>
            <w:r>
              <w:rPr>
                <w:sz w:val="20"/>
                <w:szCs w:val="20"/>
              </w:rPr>
              <w:t xml:space="preserve"> f</w:t>
            </w:r>
            <w:r w:rsidRPr="007B0EA7">
              <w:rPr>
                <w:sz w:val="20"/>
                <w:szCs w:val="20"/>
              </w:rPr>
              <w:t xml:space="preserve">or the </w:t>
            </w:r>
            <w:r>
              <w:rPr>
                <w:sz w:val="20"/>
                <w:szCs w:val="20"/>
              </w:rPr>
              <w:t>i</w:t>
            </w:r>
            <w:r w:rsidRPr="007B0EA7">
              <w:rPr>
                <w:sz w:val="20"/>
                <w:szCs w:val="20"/>
              </w:rPr>
              <w:t>ntervener</w:t>
            </w:r>
            <w:r>
              <w:rPr>
                <w:sz w:val="20"/>
                <w:szCs w:val="20"/>
              </w:rPr>
              <w:t xml:space="preserve"> </w:t>
            </w:r>
            <w:r w:rsidRPr="007B0EA7">
              <w:rPr>
                <w:sz w:val="20"/>
                <w:szCs w:val="20"/>
              </w:rPr>
              <w:t>Criminal Lawyers’ Association</w:t>
            </w:r>
            <w:r>
              <w:rPr>
                <w:sz w:val="20"/>
                <w:szCs w:val="20"/>
              </w:rPr>
              <w:t xml:space="preserve"> </w:t>
            </w:r>
            <w:r w:rsidRPr="007B0EA7">
              <w:rPr>
                <w:sz w:val="20"/>
                <w:szCs w:val="20"/>
              </w:rPr>
              <w:t>(34090-34091-34087-34179-34340)</w:t>
            </w:r>
          </w:p>
          <w:p w:rsidR="00671CD6" w:rsidRDefault="00671CD6" w:rsidP="00CB0DA3">
            <w:pPr>
              <w:widowControl w:val="0"/>
              <w:jc w:val="both"/>
              <w:rPr>
                <w:sz w:val="20"/>
                <w:szCs w:val="20"/>
              </w:rPr>
            </w:pPr>
          </w:p>
          <w:p w:rsidR="008A5449" w:rsidRPr="007B0EA7" w:rsidRDefault="008A5449" w:rsidP="008A5449">
            <w:pPr>
              <w:jc w:val="both"/>
              <w:rPr>
                <w:sz w:val="20"/>
                <w:szCs w:val="20"/>
              </w:rPr>
            </w:pPr>
            <w:r w:rsidRPr="007B0EA7">
              <w:rPr>
                <w:sz w:val="20"/>
                <w:szCs w:val="20"/>
              </w:rPr>
              <w:t>Michal Fairburn</w:t>
            </w:r>
            <w:r>
              <w:rPr>
                <w:sz w:val="20"/>
                <w:szCs w:val="20"/>
              </w:rPr>
              <w:t xml:space="preserve">, </w:t>
            </w:r>
            <w:r w:rsidRPr="007B0EA7">
              <w:rPr>
                <w:sz w:val="20"/>
                <w:szCs w:val="20"/>
              </w:rPr>
              <w:t>Deborah Krick</w:t>
            </w:r>
            <w:r>
              <w:rPr>
                <w:sz w:val="20"/>
                <w:szCs w:val="20"/>
              </w:rPr>
              <w:t xml:space="preserve">, </w:t>
            </w:r>
            <w:r w:rsidRPr="007B0EA7">
              <w:rPr>
                <w:sz w:val="20"/>
                <w:szCs w:val="20"/>
              </w:rPr>
              <w:t>John S. McInnes</w:t>
            </w:r>
            <w:r>
              <w:rPr>
                <w:sz w:val="20"/>
                <w:szCs w:val="20"/>
              </w:rPr>
              <w:t xml:space="preserve"> and </w:t>
            </w:r>
            <w:r w:rsidRPr="007B0EA7">
              <w:rPr>
                <w:sz w:val="20"/>
                <w:szCs w:val="20"/>
              </w:rPr>
              <w:t>Susan Magotiaux</w:t>
            </w:r>
            <w:r>
              <w:rPr>
                <w:sz w:val="20"/>
                <w:szCs w:val="20"/>
              </w:rPr>
              <w:t xml:space="preserve"> f</w:t>
            </w:r>
            <w:r w:rsidRPr="007B0EA7">
              <w:rPr>
                <w:sz w:val="20"/>
                <w:szCs w:val="20"/>
              </w:rPr>
              <w:t xml:space="preserve">or the </w:t>
            </w:r>
            <w:r>
              <w:rPr>
                <w:sz w:val="20"/>
                <w:szCs w:val="20"/>
              </w:rPr>
              <w:t>r</w:t>
            </w:r>
            <w:r w:rsidRPr="007B0EA7">
              <w:rPr>
                <w:sz w:val="20"/>
                <w:szCs w:val="20"/>
              </w:rPr>
              <w:t>espondents</w:t>
            </w:r>
            <w:r>
              <w:rPr>
                <w:sz w:val="20"/>
                <w:szCs w:val="20"/>
              </w:rPr>
              <w:t xml:space="preserve"> </w:t>
            </w:r>
            <w:r w:rsidRPr="007B0EA7">
              <w:rPr>
                <w:sz w:val="20"/>
                <w:szCs w:val="20"/>
              </w:rPr>
              <w:t>(34087-34090-34091-34179-34340)</w:t>
            </w:r>
            <w:r>
              <w:rPr>
                <w:sz w:val="20"/>
                <w:szCs w:val="20"/>
              </w:rPr>
              <w:t>.</w:t>
            </w:r>
          </w:p>
          <w:p w:rsidR="008A5449" w:rsidRPr="007B0EA7" w:rsidRDefault="008A5449" w:rsidP="008A5449">
            <w:pPr>
              <w:jc w:val="both"/>
              <w:rPr>
                <w:sz w:val="20"/>
                <w:szCs w:val="20"/>
              </w:rPr>
            </w:pPr>
          </w:p>
          <w:p w:rsidR="008A5449" w:rsidRPr="007B0EA7" w:rsidRDefault="008A5449" w:rsidP="008A5449">
            <w:pPr>
              <w:jc w:val="both"/>
              <w:rPr>
                <w:sz w:val="20"/>
                <w:szCs w:val="20"/>
              </w:rPr>
            </w:pPr>
            <w:r w:rsidRPr="007B0EA7">
              <w:rPr>
                <w:sz w:val="20"/>
                <w:szCs w:val="20"/>
              </w:rPr>
              <w:t>Maureen McGuire</w:t>
            </w:r>
            <w:r>
              <w:rPr>
                <w:sz w:val="20"/>
                <w:szCs w:val="20"/>
              </w:rPr>
              <w:t xml:space="preserve"> f</w:t>
            </w:r>
            <w:r w:rsidRPr="007B0EA7">
              <w:rPr>
                <w:sz w:val="20"/>
                <w:szCs w:val="20"/>
              </w:rPr>
              <w:t xml:space="preserve">or the </w:t>
            </w:r>
            <w:r>
              <w:rPr>
                <w:sz w:val="20"/>
                <w:szCs w:val="20"/>
              </w:rPr>
              <w:t>i</w:t>
            </w:r>
            <w:r w:rsidRPr="007B0EA7">
              <w:rPr>
                <w:sz w:val="20"/>
                <w:szCs w:val="20"/>
              </w:rPr>
              <w:t>ntervener</w:t>
            </w:r>
            <w:r>
              <w:rPr>
                <w:sz w:val="20"/>
                <w:szCs w:val="20"/>
              </w:rPr>
              <w:t xml:space="preserve"> </w:t>
            </w:r>
            <w:r w:rsidRPr="007B0EA7">
              <w:rPr>
                <w:sz w:val="20"/>
                <w:szCs w:val="20"/>
              </w:rPr>
              <w:t>Attorney General of Alberta</w:t>
            </w:r>
            <w:r>
              <w:rPr>
                <w:sz w:val="20"/>
                <w:szCs w:val="20"/>
              </w:rPr>
              <w:t xml:space="preserve"> </w:t>
            </w:r>
            <w:r w:rsidRPr="007B0EA7">
              <w:rPr>
                <w:sz w:val="20"/>
                <w:szCs w:val="20"/>
              </w:rPr>
              <w:t>(34340)</w:t>
            </w:r>
            <w:r>
              <w:rPr>
                <w:sz w:val="20"/>
                <w:szCs w:val="20"/>
              </w:rPr>
              <w:t>.</w:t>
            </w:r>
          </w:p>
          <w:p w:rsidR="008A5449" w:rsidRPr="007B0EA7" w:rsidRDefault="008A5449" w:rsidP="008A5449">
            <w:pPr>
              <w:jc w:val="both"/>
              <w:rPr>
                <w:sz w:val="20"/>
                <w:szCs w:val="20"/>
              </w:rPr>
            </w:pPr>
          </w:p>
          <w:p w:rsidR="008A5449" w:rsidRPr="00C50A5C" w:rsidRDefault="008A5449" w:rsidP="008A5449">
            <w:pPr>
              <w:widowControl w:val="0"/>
              <w:jc w:val="both"/>
              <w:rPr>
                <w:sz w:val="20"/>
                <w:szCs w:val="20"/>
              </w:rPr>
            </w:pPr>
            <w:r w:rsidRPr="007B0EA7">
              <w:rPr>
                <w:sz w:val="20"/>
                <w:szCs w:val="20"/>
              </w:rPr>
              <w:t>Paul J.J. Cavalluzo</w:t>
            </w:r>
            <w:r>
              <w:rPr>
                <w:sz w:val="20"/>
                <w:szCs w:val="20"/>
              </w:rPr>
              <w:t xml:space="preserve"> and </w:t>
            </w:r>
            <w:r w:rsidRPr="007B0EA7">
              <w:rPr>
                <w:sz w:val="20"/>
                <w:szCs w:val="20"/>
              </w:rPr>
              <w:t>Shaun O’Brien</w:t>
            </w:r>
            <w:r>
              <w:rPr>
                <w:sz w:val="20"/>
                <w:szCs w:val="20"/>
              </w:rPr>
              <w:t xml:space="preserve"> f</w:t>
            </w:r>
            <w:r w:rsidRPr="007B0EA7">
              <w:rPr>
                <w:sz w:val="20"/>
                <w:szCs w:val="20"/>
              </w:rPr>
              <w:t xml:space="preserve">or the </w:t>
            </w:r>
            <w:r>
              <w:rPr>
                <w:sz w:val="20"/>
                <w:szCs w:val="20"/>
              </w:rPr>
              <w:t>i</w:t>
            </w:r>
            <w:r w:rsidRPr="007B0EA7">
              <w:rPr>
                <w:sz w:val="20"/>
                <w:szCs w:val="20"/>
              </w:rPr>
              <w:t>ntervener</w:t>
            </w:r>
            <w:r>
              <w:rPr>
                <w:sz w:val="20"/>
                <w:szCs w:val="20"/>
              </w:rPr>
              <w:t xml:space="preserve"> </w:t>
            </w:r>
            <w:r w:rsidRPr="007B0EA7">
              <w:rPr>
                <w:sz w:val="20"/>
                <w:szCs w:val="20"/>
              </w:rPr>
              <w:t>Ontario Crown’s Attorneys’ Association</w:t>
            </w:r>
            <w:r>
              <w:rPr>
                <w:sz w:val="20"/>
                <w:szCs w:val="20"/>
              </w:rPr>
              <w:t xml:space="preserve"> </w:t>
            </w:r>
            <w:r w:rsidRPr="007B0EA7">
              <w:rPr>
                <w:sz w:val="20"/>
                <w:szCs w:val="20"/>
              </w:rPr>
              <w:t>(34090-34091-34087-34340)</w:t>
            </w:r>
            <w:r>
              <w:rPr>
                <w:sz w:val="20"/>
                <w:szCs w:val="20"/>
              </w:rPr>
              <w:t>.</w:t>
            </w:r>
          </w:p>
        </w:tc>
      </w:tr>
    </w:tbl>
    <w:p w:rsidR="00671CD6" w:rsidRDefault="00671CD6" w:rsidP="00671CD6">
      <w:pPr>
        <w:widowControl w:val="0"/>
        <w:rPr>
          <w:sz w:val="20"/>
          <w:szCs w:val="20"/>
        </w:rPr>
      </w:pPr>
    </w:p>
    <w:p w:rsidR="00671CD6" w:rsidRPr="0085476B" w:rsidRDefault="00671CD6" w:rsidP="00671CD6">
      <w:pPr>
        <w:widowControl w:val="0"/>
        <w:rPr>
          <w:sz w:val="20"/>
          <w:szCs w:val="20"/>
        </w:rPr>
      </w:pPr>
      <w:r w:rsidRPr="0085476B">
        <w:rPr>
          <w:b/>
          <w:sz w:val="20"/>
          <w:szCs w:val="20"/>
        </w:rPr>
        <w:t xml:space="preserve">RESERVED / </w:t>
      </w:r>
      <w:r w:rsidRPr="0085476B">
        <w:rPr>
          <w:b/>
          <w:sz w:val="20"/>
          <w:szCs w:val="20"/>
          <w:lang w:val="fr-CA"/>
        </w:rPr>
        <w:t>EN DÉLIBÉRÉ</w:t>
      </w:r>
    </w:p>
    <w:p w:rsidR="008A5449" w:rsidRDefault="008A5449">
      <w:pPr>
        <w:rPr>
          <w:sz w:val="20"/>
          <w:szCs w:val="20"/>
        </w:rPr>
      </w:pPr>
      <w:r>
        <w:rPr>
          <w:sz w:val="20"/>
          <w:szCs w:val="20"/>
        </w:rPr>
        <w:br w:type="page"/>
      </w:r>
    </w:p>
    <w:tbl>
      <w:tblPr>
        <w:tblW w:w="0" w:type="auto"/>
        <w:tblLayout w:type="fixed"/>
        <w:tblCellMar>
          <w:left w:w="0" w:type="dxa"/>
          <w:right w:w="0" w:type="dxa"/>
        </w:tblCellMar>
        <w:tblLook w:val="0000"/>
      </w:tblPr>
      <w:tblGrid>
        <w:gridCol w:w="4380"/>
        <w:gridCol w:w="720"/>
        <w:gridCol w:w="4380"/>
      </w:tblGrid>
      <w:tr w:rsidR="00671CD6" w:rsidRPr="00F8135D" w:rsidTr="00CB0DA3">
        <w:tc>
          <w:tcPr>
            <w:tcW w:w="4380" w:type="dxa"/>
            <w:tcMar>
              <w:left w:w="0" w:type="dxa"/>
              <w:right w:w="0" w:type="dxa"/>
            </w:tcMar>
          </w:tcPr>
          <w:p w:rsidR="00671CD6" w:rsidRPr="00CC4D84" w:rsidRDefault="00671CD6" w:rsidP="00CB0DA3">
            <w:pPr>
              <w:widowControl w:val="0"/>
              <w:jc w:val="both"/>
              <w:rPr>
                <w:b/>
                <w:sz w:val="20"/>
                <w:szCs w:val="20"/>
                <w:u w:val="single"/>
              </w:rPr>
            </w:pPr>
            <w:r w:rsidRPr="00CC4D84">
              <w:rPr>
                <w:b/>
                <w:sz w:val="20"/>
                <w:szCs w:val="20"/>
                <w:u w:val="single"/>
              </w:rPr>
              <w:lastRenderedPageBreak/>
              <w:t>Nature of the case</w:t>
            </w:r>
            <w:r w:rsidR="00466618">
              <w:rPr>
                <w:b/>
                <w:sz w:val="20"/>
                <w:szCs w:val="20"/>
                <w:u w:val="single"/>
              </w:rPr>
              <w:t xml:space="preserve"> - 34090</w:t>
            </w:r>
            <w:r w:rsidRPr="00CC4D84">
              <w:rPr>
                <w:b/>
                <w:sz w:val="20"/>
                <w:szCs w:val="20"/>
                <w:u w:val="single"/>
              </w:rPr>
              <w:t>:</w:t>
            </w:r>
          </w:p>
          <w:p w:rsidR="00671CD6" w:rsidRPr="00C1697B" w:rsidRDefault="00671CD6" w:rsidP="00CB0DA3">
            <w:pPr>
              <w:widowControl w:val="0"/>
              <w:jc w:val="both"/>
              <w:rPr>
                <w:b/>
                <w:sz w:val="20"/>
                <w:szCs w:val="20"/>
              </w:rPr>
            </w:pPr>
          </w:p>
          <w:p w:rsidR="00671CD6" w:rsidRPr="00C1697B" w:rsidRDefault="003B76D9" w:rsidP="003B76D9">
            <w:pPr>
              <w:widowControl w:val="0"/>
              <w:jc w:val="both"/>
              <w:rPr>
                <w:b/>
                <w:sz w:val="20"/>
                <w:szCs w:val="20"/>
              </w:rPr>
            </w:pPr>
            <w:r w:rsidRPr="00FE500D">
              <w:rPr>
                <w:sz w:val="20"/>
                <w:szCs w:val="20"/>
              </w:rPr>
              <w:t xml:space="preserve">Criminal law </w:t>
            </w:r>
            <w:r w:rsidRPr="00FE500D">
              <w:rPr>
                <w:sz w:val="20"/>
                <w:szCs w:val="20"/>
              </w:rPr>
              <w:noBreakHyphen/>
              <w:t xml:space="preserve"> Juries </w:t>
            </w:r>
            <w:r w:rsidRPr="00FE500D">
              <w:rPr>
                <w:sz w:val="20"/>
                <w:szCs w:val="20"/>
              </w:rPr>
              <w:noBreakHyphen/>
              <w:t xml:space="preserve"> Selection </w:t>
            </w:r>
            <w:r w:rsidRPr="00FE500D">
              <w:rPr>
                <w:sz w:val="20"/>
                <w:szCs w:val="20"/>
              </w:rPr>
              <w:noBreakHyphen/>
              <w:t xml:space="preserve"> Non</w:t>
            </w:r>
            <w:r w:rsidRPr="00FE500D">
              <w:rPr>
                <w:sz w:val="20"/>
                <w:szCs w:val="20"/>
              </w:rPr>
              <w:noBreakHyphen/>
              <w:t xml:space="preserve">disclosure of results of investigation of potential jurors conducted by the police and the Crown prior to the selection of the jury </w:t>
            </w:r>
            <w:r w:rsidRPr="00FE500D">
              <w:rPr>
                <w:sz w:val="20"/>
                <w:szCs w:val="20"/>
              </w:rPr>
              <w:noBreakHyphen/>
              <w:t xml:space="preserve"> Impact of this on the overall fairness of the trial process </w:t>
            </w:r>
            <w:r w:rsidRPr="00FE500D">
              <w:rPr>
                <w:sz w:val="20"/>
                <w:szCs w:val="20"/>
              </w:rPr>
              <w:noBreakHyphen/>
              <w:t xml:space="preserve"> Was Applicant’s right to make full answer and defence impaired? </w:t>
            </w:r>
            <w:r w:rsidRPr="00FE500D">
              <w:rPr>
                <w:sz w:val="20"/>
                <w:szCs w:val="20"/>
              </w:rPr>
              <w:noBreakHyphen/>
              <w:t xml:space="preserve"> Whether this so affected the overall appearance of fairness that a new trial is required.</w:t>
            </w:r>
          </w:p>
        </w:tc>
        <w:tc>
          <w:tcPr>
            <w:tcW w:w="720" w:type="dxa"/>
            <w:tcMar>
              <w:left w:w="0" w:type="dxa"/>
              <w:right w:w="0" w:type="dxa"/>
            </w:tcMar>
          </w:tcPr>
          <w:p w:rsidR="00671CD6" w:rsidRPr="00C1697B" w:rsidRDefault="00671CD6" w:rsidP="00CB0DA3">
            <w:pPr>
              <w:widowControl w:val="0"/>
              <w:jc w:val="center"/>
              <w:rPr>
                <w:sz w:val="20"/>
                <w:szCs w:val="20"/>
              </w:rPr>
            </w:pPr>
          </w:p>
        </w:tc>
        <w:tc>
          <w:tcPr>
            <w:tcW w:w="4380" w:type="dxa"/>
            <w:tcMar>
              <w:left w:w="0" w:type="dxa"/>
              <w:right w:w="0" w:type="dxa"/>
            </w:tcMar>
          </w:tcPr>
          <w:p w:rsidR="00671CD6" w:rsidRPr="00CC4D84" w:rsidRDefault="00671CD6" w:rsidP="00CB0DA3">
            <w:pPr>
              <w:widowControl w:val="0"/>
              <w:jc w:val="both"/>
              <w:rPr>
                <w:b/>
                <w:sz w:val="20"/>
                <w:szCs w:val="20"/>
                <w:u w:val="single"/>
                <w:lang w:val="fr-CA"/>
              </w:rPr>
            </w:pPr>
            <w:r w:rsidRPr="00CC4D84">
              <w:rPr>
                <w:b/>
                <w:sz w:val="20"/>
                <w:szCs w:val="20"/>
                <w:u w:val="single"/>
                <w:lang w:val="fr-CA"/>
              </w:rPr>
              <w:t xml:space="preserve">Nature de la cause </w:t>
            </w:r>
            <w:r w:rsidR="00466618">
              <w:rPr>
                <w:b/>
                <w:sz w:val="20"/>
                <w:szCs w:val="20"/>
                <w:u w:val="single"/>
                <w:lang w:val="fr-CA"/>
              </w:rPr>
              <w:t xml:space="preserve">- 34090 </w:t>
            </w:r>
            <w:r w:rsidRPr="00CC4D84">
              <w:rPr>
                <w:b/>
                <w:sz w:val="20"/>
                <w:szCs w:val="20"/>
                <w:u w:val="single"/>
                <w:lang w:val="fr-CA"/>
              </w:rPr>
              <w:t>:</w:t>
            </w:r>
          </w:p>
          <w:p w:rsidR="00671CD6" w:rsidRPr="00C1697B" w:rsidRDefault="00671CD6" w:rsidP="00CB0DA3">
            <w:pPr>
              <w:widowControl w:val="0"/>
              <w:jc w:val="both"/>
              <w:rPr>
                <w:sz w:val="20"/>
                <w:szCs w:val="20"/>
                <w:lang w:val="fr-CA"/>
              </w:rPr>
            </w:pPr>
          </w:p>
          <w:p w:rsidR="00671CD6" w:rsidRPr="00C1697B" w:rsidRDefault="003B76D9" w:rsidP="003B76D9">
            <w:pPr>
              <w:jc w:val="both"/>
              <w:rPr>
                <w:sz w:val="20"/>
                <w:szCs w:val="20"/>
                <w:lang w:val="fr-CA"/>
              </w:rPr>
            </w:pPr>
            <w:r w:rsidRPr="00A952A0">
              <w:rPr>
                <w:rFonts w:eastAsia="Calibri" w:cs="Times New Roman"/>
                <w:sz w:val="20"/>
                <w:szCs w:val="20"/>
                <w:lang w:val="fr-CA"/>
              </w:rPr>
              <w:t xml:space="preserve">Droit criminel </w:t>
            </w:r>
            <w:r w:rsidRPr="00A952A0">
              <w:rPr>
                <w:rFonts w:eastAsia="Calibri" w:cs="Times New Roman"/>
                <w:sz w:val="20"/>
                <w:szCs w:val="20"/>
                <w:lang w:val="fr-CA"/>
              </w:rPr>
              <w:noBreakHyphen/>
              <w:t xml:space="preserve"> Jurys </w:t>
            </w:r>
            <w:r w:rsidRPr="00A952A0">
              <w:rPr>
                <w:rFonts w:eastAsia="Calibri" w:cs="Times New Roman"/>
                <w:sz w:val="20"/>
                <w:szCs w:val="20"/>
                <w:lang w:val="fr-CA"/>
              </w:rPr>
              <w:noBreakHyphen/>
              <w:t xml:space="preserve"> Sélection </w:t>
            </w:r>
            <w:r w:rsidRPr="00A952A0">
              <w:rPr>
                <w:rFonts w:eastAsia="Calibri" w:cs="Times New Roman"/>
                <w:sz w:val="20"/>
                <w:szCs w:val="20"/>
                <w:lang w:val="fr-CA"/>
              </w:rPr>
              <w:noBreakHyphen/>
              <w:t xml:space="preserve"> Omission de communiquer les résultats d’une enquête sur des jurés éventuels menée par la police et le ministère public avant la sélection des jurés </w:t>
            </w:r>
            <w:r w:rsidRPr="00A952A0">
              <w:rPr>
                <w:rFonts w:eastAsia="Calibri" w:cs="Times New Roman"/>
                <w:sz w:val="20"/>
                <w:szCs w:val="20"/>
                <w:lang w:val="fr-CA"/>
              </w:rPr>
              <w:noBreakHyphen/>
              <w:t xml:space="preserve"> Conséquence de cette omission sur l’équité générale du déroulement du procès </w:t>
            </w:r>
            <w:r w:rsidRPr="00A952A0">
              <w:rPr>
                <w:rFonts w:eastAsia="Calibri" w:cs="Times New Roman"/>
                <w:sz w:val="20"/>
                <w:szCs w:val="20"/>
                <w:lang w:val="fr-CA"/>
              </w:rPr>
              <w:noBreakHyphen/>
              <w:t xml:space="preserve"> Y a</w:t>
            </w:r>
            <w:r w:rsidRPr="00A952A0">
              <w:rPr>
                <w:rFonts w:eastAsia="Calibri" w:cs="Times New Roman"/>
                <w:sz w:val="20"/>
                <w:szCs w:val="20"/>
                <w:lang w:val="fr-CA"/>
              </w:rPr>
              <w:noBreakHyphen/>
              <w:t>t</w:t>
            </w:r>
            <w:r w:rsidRPr="00A952A0">
              <w:rPr>
                <w:rFonts w:eastAsia="Calibri" w:cs="Times New Roman"/>
                <w:sz w:val="20"/>
                <w:szCs w:val="20"/>
                <w:lang w:val="fr-CA"/>
              </w:rPr>
              <w:noBreakHyphen/>
              <w:t xml:space="preserve">il eu atteinte au droit du demandeur de présenter une défense pleine et entière? </w:t>
            </w:r>
            <w:r w:rsidRPr="00A952A0">
              <w:rPr>
                <w:rFonts w:eastAsia="Calibri" w:cs="Times New Roman"/>
                <w:sz w:val="20"/>
                <w:szCs w:val="20"/>
                <w:lang w:val="fr-CA"/>
              </w:rPr>
              <w:noBreakHyphen/>
              <w:t xml:space="preserve"> Cette omission a</w:t>
            </w:r>
            <w:r w:rsidRPr="00A952A0">
              <w:rPr>
                <w:rFonts w:eastAsia="Calibri" w:cs="Times New Roman"/>
                <w:sz w:val="20"/>
                <w:szCs w:val="20"/>
                <w:lang w:val="fr-CA"/>
              </w:rPr>
              <w:noBreakHyphen/>
              <w:t>t</w:t>
            </w:r>
            <w:r w:rsidRPr="00A952A0">
              <w:rPr>
                <w:rFonts w:eastAsia="Calibri" w:cs="Times New Roman"/>
                <w:sz w:val="20"/>
                <w:szCs w:val="20"/>
                <w:lang w:val="fr-CA"/>
              </w:rPr>
              <w:noBreakHyphen/>
              <w:t>elle à ce point nui à l’apparence générale d’équité qu’un nouveau procès est nécessaire?</w:t>
            </w:r>
          </w:p>
        </w:tc>
      </w:tr>
    </w:tbl>
    <w:p w:rsidR="008A5449" w:rsidRDefault="008A5449" w:rsidP="00671CD6">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466618" w:rsidRPr="00F8135D" w:rsidTr="003B76D9">
        <w:tc>
          <w:tcPr>
            <w:tcW w:w="4380" w:type="dxa"/>
            <w:tcMar>
              <w:left w:w="0" w:type="dxa"/>
              <w:right w:w="0" w:type="dxa"/>
            </w:tcMar>
          </w:tcPr>
          <w:p w:rsidR="00466618" w:rsidRPr="00CC4D84" w:rsidRDefault="00466618" w:rsidP="003B76D9">
            <w:pPr>
              <w:widowControl w:val="0"/>
              <w:jc w:val="both"/>
              <w:rPr>
                <w:b/>
                <w:sz w:val="20"/>
                <w:szCs w:val="20"/>
                <w:u w:val="single"/>
              </w:rPr>
            </w:pPr>
            <w:r w:rsidRPr="00CC4D84">
              <w:rPr>
                <w:b/>
                <w:sz w:val="20"/>
                <w:szCs w:val="20"/>
                <w:u w:val="single"/>
              </w:rPr>
              <w:t>Nature of the case</w:t>
            </w:r>
            <w:r>
              <w:rPr>
                <w:b/>
                <w:sz w:val="20"/>
                <w:szCs w:val="20"/>
                <w:u w:val="single"/>
              </w:rPr>
              <w:t xml:space="preserve"> - 34091</w:t>
            </w:r>
            <w:r w:rsidRPr="00CC4D84">
              <w:rPr>
                <w:b/>
                <w:sz w:val="20"/>
                <w:szCs w:val="20"/>
                <w:u w:val="single"/>
              </w:rPr>
              <w:t>:</w:t>
            </w:r>
          </w:p>
          <w:p w:rsidR="00466618" w:rsidRPr="00C1697B" w:rsidRDefault="00466618" w:rsidP="003B76D9">
            <w:pPr>
              <w:widowControl w:val="0"/>
              <w:jc w:val="both"/>
              <w:rPr>
                <w:b/>
                <w:sz w:val="20"/>
                <w:szCs w:val="20"/>
              </w:rPr>
            </w:pPr>
          </w:p>
          <w:p w:rsidR="00466618" w:rsidRPr="00C1697B" w:rsidRDefault="00000526" w:rsidP="00000526">
            <w:pPr>
              <w:widowControl w:val="0"/>
              <w:jc w:val="both"/>
              <w:rPr>
                <w:b/>
                <w:sz w:val="20"/>
                <w:szCs w:val="20"/>
              </w:rPr>
            </w:pPr>
            <w:r w:rsidRPr="00F74C30">
              <w:rPr>
                <w:sz w:val="20"/>
                <w:szCs w:val="20"/>
              </w:rPr>
              <w:t xml:space="preserve">Criminal law </w:t>
            </w:r>
            <w:r w:rsidRPr="00F74C30">
              <w:rPr>
                <w:sz w:val="20"/>
                <w:szCs w:val="20"/>
              </w:rPr>
              <w:noBreakHyphen/>
              <w:t xml:space="preserve"> Juries </w:t>
            </w:r>
            <w:r w:rsidRPr="00F74C30">
              <w:rPr>
                <w:sz w:val="20"/>
                <w:szCs w:val="20"/>
              </w:rPr>
              <w:noBreakHyphen/>
              <w:t xml:space="preserve"> Selection </w:t>
            </w:r>
            <w:r w:rsidRPr="00F74C30">
              <w:rPr>
                <w:sz w:val="20"/>
                <w:szCs w:val="20"/>
              </w:rPr>
              <w:noBreakHyphen/>
              <w:t xml:space="preserve"> What are the Crown’s disclosure obligations generally </w:t>
            </w:r>
            <w:r w:rsidRPr="00F74C30">
              <w:rPr>
                <w:sz w:val="20"/>
                <w:szCs w:val="20"/>
              </w:rPr>
              <w:noBreakHyphen/>
              <w:t xml:space="preserve"> In what circumstances does the Crown’s failure to disclose information gleaned about the prospective jurors amount to a miscarriage of justice? </w:t>
            </w:r>
          </w:p>
        </w:tc>
        <w:tc>
          <w:tcPr>
            <w:tcW w:w="720" w:type="dxa"/>
            <w:tcMar>
              <w:left w:w="0" w:type="dxa"/>
              <w:right w:w="0" w:type="dxa"/>
            </w:tcMar>
          </w:tcPr>
          <w:p w:rsidR="00466618" w:rsidRPr="00C1697B" w:rsidRDefault="00466618" w:rsidP="003B76D9">
            <w:pPr>
              <w:widowControl w:val="0"/>
              <w:jc w:val="center"/>
              <w:rPr>
                <w:sz w:val="20"/>
                <w:szCs w:val="20"/>
              </w:rPr>
            </w:pPr>
          </w:p>
        </w:tc>
        <w:tc>
          <w:tcPr>
            <w:tcW w:w="4380" w:type="dxa"/>
            <w:tcMar>
              <w:left w:w="0" w:type="dxa"/>
              <w:right w:w="0" w:type="dxa"/>
            </w:tcMar>
          </w:tcPr>
          <w:p w:rsidR="00466618" w:rsidRPr="00CC4D84" w:rsidRDefault="00466618" w:rsidP="003B76D9">
            <w:pPr>
              <w:widowControl w:val="0"/>
              <w:jc w:val="both"/>
              <w:rPr>
                <w:b/>
                <w:sz w:val="20"/>
                <w:szCs w:val="20"/>
                <w:u w:val="single"/>
                <w:lang w:val="fr-CA"/>
              </w:rPr>
            </w:pPr>
            <w:r w:rsidRPr="00CC4D84">
              <w:rPr>
                <w:b/>
                <w:sz w:val="20"/>
                <w:szCs w:val="20"/>
                <w:u w:val="single"/>
                <w:lang w:val="fr-CA"/>
              </w:rPr>
              <w:t xml:space="preserve">Nature de la cause </w:t>
            </w:r>
            <w:r>
              <w:rPr>
                <w:b/>
                <w:sz w:val="20"/>
                <w:szCs w:val="20"/>
                <w:u w:val="single"/>
                <w:lang w:val="fr-CA"/>
              </w:rPr>
              <w:t>-</w:t>
            </w:r>
            <w:r w:rsidR="00522C33">
              <w:rPr>
                <w:b/>
                <w:sz w:val="20"/>
                <w:szCs w:val="20"/>
                <w:u w:val="single"/>
                <w:lang w:val="fr-CA"/>
              </w:rPr>
              <w:t xml:space="preserve"> </w:t>
            </w:r>
            <w:r>
              <w:rPr>
                <w:b/>
                <w:sz w:val="20"/>
                <w:szCs w:val="20"/>
                <w:u w:val="single"/>
                <w:lang w:val="fr-CA"/>
              </w:rPr>
              <w:t xml:space="preserve">34091 </w:t>
            </w:r>
            <w:r w:rsidRPr="00CC4D84">
              <w:rPr>
                <w:b/>
                <w:sz w:val="20"/>
                <w:szCs w:val="20"/>
                <w:u w:val="single"/>
                <w:lang w:val="fr-CA"/>
              </w:rPr>
              <w:t>:</w:t>
            </w:r>
          </w:p>
          <w:p w:rsidR="00466618" w:rsidRPr="00C1697B" w:rsidRDefault="00466618" w:rsidP="003B76D9">
            <w:pPr>
              <w:widowControl w:val="0"/>
              <w:jc w:val="both"/>
              <w:rPr>
                <w:sz w:val="20"/>
                <w:szCs w:val="20"/>
                <w:lang w:val="fr-CA"/>
              </w:rPr>
            </w:pPr>
          </w:p>
          <w:p w:rsidR="00466618" w:rsidRPr="00C1697B" w:rsidRDefault="007312C1" w:rsidP="007312C1">
            <w:pPr>
              <w:jc w:val="both"/>
              <w:rPr>
                <w:sz w:val="20"/>
                <w:szCs w:val="20"/>
                <w:lang w:val="fr-CA"/>
              </w:rPr>
            </w:pPr>
            <w:r w:rsidRPr="00866CF1">
              <w:rPr>
                <w:rFonts w:eastAsia="Calibri" w:cs="Times New Roman"/>
                <w:sz w:val="20"/>
                <w:szCs w:val="20"/>
                <w:lang w:val="fr-CA"/>
              </w:rPr>
              <w:t xml:space="preserve">Droit criminel </w:t>
            </w:r>
            <w:r w:rsidRPr="00866CF1">
              <w:rPr>
                <w:rFonts w:eastAsia="Calibri" w:cs="Times New Roman"/>
                <w:sz w:val="20"/>
                <w:szCs w:val="20"/>
                <w:lang w:val="fr-CA"/>
              </w:rPr>
              <w:noBreakHyphen/>
              <w:t xml:space="preserve"> Jurys </w:t>
            </w:r>
            <w:r w:rsidRPr="00866CF1">
              <w:rPr>
                <w:rFonts w:eastAsia="Calibri" w:cs="Times New Roman"/>
                <w:sz w:val="20"/>
                <w:szCs w:val="20"/>
                <w:lang w:val="fr-CA"/>
              </w:rPr>
              <w:noBreakHyphen/>
              <w:t xml:space="preserve"> Sélection </w:t>
            </w:r>
            <w:r w:rsidRPr="00866CF1">
              <w:rPr>
                <w:rFonts w:eastAsia="Calibri" w:cs="Times New Roman"/>
                <w:sz w:val="20"/>
                <w:szCs w:val="20"/>
                <w:lang w:val="fr-CA"/>
              </w:rPr>
              <w:noBreakHyphen/>
              <w:t xml:space="preserve"> Quelles sont, en général, les obligations de communication du ministère public? </w:t>
            </w:r>
            <w:r w:rsidRPr="00866CF1">
              <w:rPr>
                <w:rFonts w:eastAsia="Calibri" w:cs="Times New Roman"/>
                <w:sz w:val="20"/>
                <w:szCs w:val="20"/>
                <w:lang w:val="fr-CA"/>
              </w:rPr>
              <w:noBreakHyphen/>
              <w:t xml:space="preserve"> Dans quelles circonstances l’omission du ministère public de communiquer des renseignements obtenus sur des jurés éventuels équivaut</w:t>
            </w:r>
            <w:r w:rsidRPr="00866CF1">
              <w:rPr>
                <w:rFonts w:eastAsia="Calibri" w:cs="Times New Roman"/>
                <w:sz w:val="20"/>
                <w:szCs w:val="20"/>
                <w:lang w:val="fr-CA"/>
              </w:rPr>
              <w:noBreakHyphen/>
              <w:t>elle à un déni de justice?</w:t>
            </w:r>
          </w:p>
        </w:tc>
      </w:tr>
    </w:tbl>
    <w:p w:rsidR="00466618" w:rsidRDefault="00466618" w:rsidP="00671CD6">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466618" w:rsidRPr="00F8135D" w:rsidTr="003B76D9">
        <w:tc>
          <w:tcPr>
            <w:tcW w:w="4380" w:type="dxa"/>
            <w:tcMar>
              <w:left w:w="0" w:type="dxa"/>
              <w:right w:w="0" w:type="dxa"/>
            </w:tcMar>
          </w:tcPr>
          <w:p w:rsidR="00466618" w:rsidRPr="00CC4D84" w:rsidRDefault="00466618" w:rsidP="003B76D9">
            <w:pPr>
              <w:widowControl w:val="0"/>
              <w:jc w:val="both"/>
              <w:rPr>
                <w:b/>
                <w:sz w:val="20"/>
                <w:szCs w:val="20"/>
                <w:u w:val="single"/>
              </w:rPr>
            </w:pPr>
            <w:r w:rsidRPr="00CC4D84">
              <w:rPr>
                <w:b/>
                <w:sz w:val="20"/>
                <w:szCs w:val="20"/>
                <w:u w:val="single"/>
              </w:rPr>
              <w:t>Nature of the case</w:t>
            </w:r>
            <w:r>
              <w:rPr>
                <w:b/>
                <w:sz w:val="20"/>
                <w:szCs w:val="20"/>
                <w:u w:val="single"/>
              </w:rPr>
              <w:t xml:space="preserve"> - 34340</w:t>
            </w:r>
            <w:r w:rsidRPr="00CC4D84">
              <w:rPr>
                <w:b/>
                <w:sz w:val="20"/>
                <w:szCs w:val="20"/>
                <w:u w:val="single"/>
              </w:rPr>
              <w:t>:</w:t>
            </w:r>
          </w:p>
          <w:p w:rsidR="00466618" w:rsidRPr="00C1697B" w:rsidRDefault="00466618" w:rsidP="003B76D9">
            <w:pPr>
              <w:widowControl w:val="0"/>
              <w:jc w:val="both"/>
              <w:rPr>
                <w:b/>
                <w:sz w:val="20"/>
                <w:szCs w:val="20"/>
              </w:rPr>
            </w:pPr>
          </w:p>
          <w:p w:rsidR="00466618" w:rsidRPr="00C1697B" w:rsidRDefault="007312C1" w:rsidP="007312C1">
            <w:pPr>
              <w:jc w:val="both"/>
              <w:rPr>
                <w:b/>
                <w:sz w:val="20"/>
                <w:szCs w:val="20"/>
              </w:rPr>
            </w:pPr>
            <w:r w:rsidRPr="00751642">
              <w:rPr>
                <w:sz w:val="20"/>
                <w:szCs w:val="20"/>
              </w:rPr>
              <w:t xml:space="preserve">Criminal law </w:t>
            </w:r>
            <w:r w:rsidRPr="00751642">
              <w:rPr>
                <w:sz w:val="20"/>
                <w:szCs w:val="20"/>
              </w:rPr>
              <w:noBreakHyphen/>
              <w:t xml:space="preserve"> Jurors </w:t>
            </w:r>
            <w:r w:rsidRPr="00751642">
              <w:rPr>
                <w:sz w:val="20"/>
                <w:szCs w:val="20"/>
              </w:rPr>
              <w:noBreakHyphen/>
              <w:t xml:space="preserve"> Selection </w:t>
            </w:r>
            <w:r w:rsidRPr="00751642">
              <w:rPr>
                <w:sz w:val="20"/>
                <w:szCs w:val="20"/>
              </w:rPr>
              <w:noBreakHyphen/>
              <w:t xml:space="preserve"> Whether Court of Appeal for Ontario err in concluding that the investigation or “vetting” of prospective jurors did not give rise to an appearance of unfairness resulting in a miscarriage of justice.</w:t>
            </w:r>
          </w:p>
        </w:tc>
        <w:tc>
          <w:tcPr>
            <w:tcW w:w="720" w:type="dxa"/>
            <w:tcMar>
              <w:left w:w="0" w:type="dxa"/>
              <w:right w:w="0" w:type="dxa"/>
            </w:tcMar>
          </w:tcPr>
          <w:p w:rsidR="00466618" w:rsidRPr="00C1697B" w:rsidRDefault="00466618" w:rsidP="003B76D9">
            <w:pPr>
              <w:widowControl w:val="0"/>
              <w:jc w:val="center"/>
              <w:rPr>
                <w:sz w:val="20"/>
                <w:szCs w:val="20"/>
              </w:rPr>
            </w:pPr>
          </w:p>
        </w:tc>
        <w:tc>
          <w:tcPr>
            <w:tcW w:w="4380" w:type="dxa"/>
            <w:tcMar>
              <w:left w:w="0" w:type="dxa"/>
              <w:right w:w="0" w:type="dxa"/>
            </w:tcMar>
          </w:tcPr>
          <w:p w:rsidR="00466618" w:rsidRPr="00CC4D84" w:rsidRDefault="00466618" w:rsidP="003B76D9">
            <w:pPr>
              <w:widowControl w:val="0"/>
              <w:jc w:val="both"/>
              <w:rPr>
                <w:b/>
                <w:sz w:val="20"/>
                <w:szCs w:val="20"/>
                <w:u w:val="single"/>
                <w:lang w:val="fr-CA"/>
              </w:rPr>
            </w:pPr>
            <w:r w:rsidRPr="00CC4D84">
              <w:rPr>
                <w:b/>
                <w:sz w:val="20"/>
                <w:szCs w:val="20"/>
                <w:u w:val="single"/>
                <w:lang w:val="fr-CA"/>
              </w:rPr>
              <w:t xml:space="preserve">Nature de la cause </w:t>
            </w:r>
            <w:r>
              <w:rPr>
                <w:b/>
                <w:sz w:val="20"/>
                <w:szCs w:val="20"/>
                <w:u w:val="single"/>
                <w:lang w:val="fr-CA"/>
              </w:rPr>
              <w:t xml:space="preserve">- 34340 </w:t>
            </w:r>
            <w:r w:rsidRPr="00CC4D84">
              <w:rPr>
                <w:b/>
                <w:sz w:val="20"/>
                <w:szCs w:val="20"/>
                <w:u w:val="single"/>
                <w:lang w:val="fr-CA"/>
              </w:rPr>
              <w:t>:</w:t>
            </w:r>
          </w:p>
          <w:p w:rsidR="00466618" w:rsidRPr="00C1697B" w:rsidRDefault="00466618" w:rsidP="003B76D9">
            <w:pPr>
              <w:widowControl w:val="0"/>
              <w:jc w:val="both"/>
              <w:rPr>
                <w:sz w:val="20"/>
                <w:szCs w:val="20"/>
                <w:lang w:val="fr-CA"/>
              </w:rPr>
            </w:pPr>
          </w:p>
          <w:p w:rsidR="00466618" w:rsidRPr="00C1697B" w:rsidRDefault="007312C1" w:rsidP="003B76D9">
            <w:pPr>
              <w:widowControl w:val="0"/>
              <w:jc w:val="both"/>
              <w:rPr>
                <w:sz w:val="20"/>
                <w:szCs w:val="20"/>
                <w:lang w:val="fr-CA"/>
              </w:rPr>
            </w:pPr>
            <w:r w:rsidRPr="0087589D">
              <w:rPr>
                <w:sz w:val="20"/>
                <w:szCs w:val="20"/>
                <w:lang w:val="fr-CA"/>
              </w:rPr>
              <w:t xml:space="preserve">Droit criminel </w:t>
            </w:r>
            <w:r w:rsidRPr="0087589D">
              <w:rPr>
                <w:sz w:val="20"/>
                <w:szCs w:val="20"/>
                <w:lang w:val="fr-CA"/>
              </w:rPr>
              <w:noBreakHyphen/>
              <w:t xml:space="preserve"> Jurés </w:t>
            </w:r>
            <w:r w:rsidRPr="0087589D">
              <w:rPr>
                <w:sz w:val="20"/>
                <w:szCs w:val="20"/>
                <w:lang w:val="fr-CA"/>
              </w:rPr>
              <w:noBreakHyphen/>
              <w:t xml:space="preserve"> Sélection </w:t>
            </w:r>
            <w:r w:rsidRPr="0087589D">
              <w:rPr>
                <w:sz w:val="20"/>
                <w:szCs w:val="20"/>
                <w:lang w:val="fr-CA"/>
              </w:rPr>
              <w:noBreakHyphen/>
              <w:t xml:space="preserve"> La Cour d’appel de l’Ontario a</w:t>
            </w:r>
            <w:r w:rsidRPr="0087589D">
              <w:rPr>
                <w:sz w:val="20"/>
                <w:szCs w:val="20"/>
                <w:lang w:val="fr-CA"/>
              </w:rPr>
              <w:noBreakHyphen/>
              <w:t>t</w:t>
            </w:r>
            <w:r w:rsidRPr="0087589D">
              <w:rPr>
                <w:sz w:val="20"/>
                <w:szCs w:val="20"/>
                <w:lang w:val="fr-CA"/>
              </w:rPr>
              <w:noBreakHyphen/>
              <w:t>elle eu tort de conclure que l’enquête sur des jurés éventuels ou leur triage ne donnait pas lieu à une apparence d’iniquité qui a entraîné un déni de justice?</w:t>
            </w:r>
          </w:p>
        </w:tc>
      </w:tr>
    </w:tbl>
    <w:p w:rsidR="00466618" w:rsidRDefault="00466618" w:rsidP="00671CD6">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466618" w:rsidRPr="00F8135D" w:rsidTr="003B76D9">
        <w:tc>
          <w:tcPr>
            <w:tcW w:w="4380" w:type="dxa"/>
            <w:tcMar>
              <w:left w:w="0" w:type="dxa"/>
              <w:right w:w="0" w:type="dxa"/>
            </w:tcMar>
          </w:tcPr>
          <w:p w:rsidR="00466618" w:rsidRPr="00CC4D84" w:rsidRDefault="00466618" w:rsidP="003B76D9">
            <w:pPr>
              <w:widowControl w:val="0"/>
              <w:jc w:val="both"/>
              <w:rPr>
                <w:b/>
                <w:sz w:val="20"/>
                <w:szCs w:val="20"/>
                <w:u w:val="single"/>
              </w:rPr>
            </w:pPr>
            <w:r w:rsidRPr="00CC4D84">
              <w:rPr>
                <w:b/>
                <w:sz w:val="20"/>
                <w:szCs w:val="20"/>
                <w:u w:val="single"/>
              </w:rPr>
              <w:t>Nature of the case</w:t>
            </w:r>
            <w:r>
              <w:rPr>
                <w:b/>
                <w:sz w:val="20"/>
                <w:szCs w:val="20"/>
                <w:u w:val="single"/>
              </w:rPr>
              <w:t xml:space="preserve"> - 34087</w:t>
            </w:r>
            <w:r w:rsidRPr="00CC4D84">
              <w:rPr>
                <w:b/>
                <w:sz w:val="20"/>
                <w:szCs w:val="20"/>
                <w:u w:val="single"/>
              </w:rPr>
              <w:t>:</w:t>
            </w:r>
          </w:p>
          <w:p w:rsidR="00466618" w:rsidRPr="00C1697B" w:rsidRDefault="00466618" w:rsidP="003B76D9">
            <w:pPr>
              <w:widowControl w:val="0"/>
              <w:jc w:val="both"/>
              <w:rPr>
                <w:b/>
                <w:sz w:val="20"/>
                <w:szCs w:val="20"/>
              </w:rPr>
            </w:pPr>
          </w:p>
          <w:p w:rsidR="00466618" w:rsidRPr="00C1697B" w:rsidRDefault="002E1DBA" w:rsidP="002E1DBA">
            <w:pPr>
              <w:widowControl w:val="0"/>
              <w:jc w:val="both"/>
              <w:rPr>
                <w:b/>
                <w:sz w:val="20"/>
                <w:szCs w:val="20"/>
              </w:rPr>
            </w:pPr>
            <w:r w:rsidRPr="00BC641A">
              <w:rPr>
                <w:sz w:val="20"/>
                <w:szCs w:val="20"/>
              </w:rPr>
              <w:t xml:space="preserve">Criminal law </w:t>
            </w:r>
            <w:r w:rsidRPr="00BC641A">
              <w:rPr>
                <w:sz w:val="20"/>
                <w:szCs w:val="20"/>
              </w:rPr>
              <w:noBreakHyphen/>
              <w:t xml:space="preserve"> Juries </w:t>
            </w:r>
            <w:r w:rsidRPr="00BC641A">
              <w:rPr>
                <w:sz w:val="20"/>
                <w:szCs w:val="20"/>
              </w:rPr>
              <w:noBreakHyphen/>
              <w:t xml:space="preserve"> Selection </w:t>
            </w:r>
            <w:r w:rsidRPr="00BC641A">
              <w:rPr>
                <w:sz w:val="20"/>
                <w:szCs w:val="20"/>
              </w:rPr>
              <w:noBreakHyphen/>
              <w:t xml:space="preserve"> Fresh evidence admitted on appeal revealed Crown improprieties with respect to selection of the jury </w:t>
            </w:r>
            <w:r w:rsidRPr="00BC641A">
              <w:rPr>
                <w:sz w:val="20"/>
                <w:szCs w:val="20"/>
              </w:rPr>
              <w:noBreakHyphen/>
              <w:t xml:space="preserve"> Whether defence bears the burden of demonstrating a “reasonable possibility” that the impropriety affected impartiality or the fairness of the trial </w:t>
            </w:r>
            <w:r w:rsidRPr="00BC641A">
              <w:rPr>
                <w:sz w:val="20"/>
                <w:szCs w:val="20"/>
              </w:rPr>
              <w:noBreakHyphen/>
              <w:t xml:space="preserve"> Whether the misuse of private, state funded databases by the Crown in the jury selection process results in an appearance of unfairness that requires a new trial.</w:t>
            </w:r>
          </w:p>
        </w:tc>
        <w:tc>
          <w:tcPr>
            <w:tcW w:w="720" w:type="dxa"/>
            <w:tcMar>
              <w:left w:w="0" w:type="dxa"/>
              <w:right w:w="0" w:type="dxa"/>
            </w:tcMar>
          </w:tcPr>
          <w:p w:rsidR="00466618" w:rsidRPr="00C1697B" w:rsidRDefault="00466618" w:rsidP="003B76D9">
            <w:pPr>
              <w:widowControl w:val="0"/>
              <w:jc w:val="center"/>
              <w:rPr>
                <w:sz w:val="20"/>
                <w:szCs w:val="20"/>
              </w:rPr>
            </w:pPr>
          </w:p>
        </w:tc>
        <w:tc>
          <w:tcPr>
            <w:tcW w:w="4380" w:type="dxa"/>
            <w:tcMar>
              <w:left w:w="0" w:type="dxa"/>
              <w:right w:w="0" w:type="dxa"/>
            </w:tcMar>
          </w:tcPr>
          <w:p w:rsidR="00466618" w:rsidRPr="00CC4D84" w:rsidRDefault="00466618" w:rsidP="003B76D9">
            <w:pPr>
              <w:widowControl w:val="0"/>
              <w:jc w:val="both"/>
              <w:rPr>
                <w:b/>
                <w:sz w:val="20"/>
                <w:szCs w:val="20"/>
                <w:u w:val="single"/>
                <w:lang w:val="fr-CA"/>
              </w:rPr>
            </w:pPr>
            <w:r w:rsidRPr="00CC4D84">
              <w:rPr>
                <w:b/>
                <w:sz w:val="20"/>
                <w:szCs w:val="20"/>
                <w:u w:val="single"/>
                <w:lang w:val="fr-CA"/>
              </w:rPr>
              <w:t xml:space="preserve">Nature de la cause </w:t>
            </w:r>
            <w:r w:rsidR="00522C33">
              <w:rPr>
                <w:b/>
                <w:sz w:val="20"/>
                <w:szCs w:val="20"/>
                <w:u w:val="single"/>
                <w:lang w:val="fr-CA"/>
              </w:rPr>
              <w:t>-</w:t>
            </w:r>
            <w:r>
              <w:rPr>
                <w:b/>
                <w:sz w:val="20"/>
                <w:szCs w:val="20"/>
                <w:u w:val="single"/>
                <w:lang w:val="fr-CA"/>
              </w:rPr>
              <w:t xml:space="preserve"> 34087 </w:t>
            </w:r>
            <w:r w:rsidRPr="00CC4D84">
              <w:rPr>
                <w:b/>
                <w:sz w:val="20"/>
                <w:szCs w:val="20"/>
                <w:u w:val="single"/>
                <w:lang w:val="fr-CA"/>
              </w:rPr>
              <w:t>:</w:t>
            </w:r>
          </w:p>
          <w:p w:rsidR="00466618" w:rsidRPr="00C1697B" w:rsidRDefault="00466618" w:rsidP="003B76D9">
            <w:pPr>
              <w:widowControl w:val="0"/>
              <w:jc w:val="both"/>
              <w:rPr>
                <w:sz w:val="20"/>
                <w:szCs w:val="20"/>
                <w:lang w:val="fr-CA"/>
              </w:rPr>
            </w:pPr>
          </w:p>
          <w:p w:rsidR="00466618" w:rsidRPr="00C1697B" w:rsidRDefault="002E1DBA" w:rsidP="003B76D9">
            <w:pPr>
              <w:widowControl w:val="0"/>
              <w:jc w:val="both"/>
              <w:rPr>
                <w:sz w:val="20"/>
                <w:szCs w:val="20"/>
                <w:lang w:val="fr-CA"/>
              </w:rPr>
            </w:pPr>
            <w:r w:rsidRPr="00AA3E33">
              <w:rPr>
                <w:rFonts w:eastAsia="Calibri" w:cs="Times New Roman"/>
                <w:sz w:val="20"/>
                <w:szCs w:val="20"/>
                <w:lang w:val="fr-CA"/>
              </w:rPr>
              <w:t xml:space="preserve">Droit criminel </w:t>
            </w:r>
            <w:r w:rsidRPr="00AA3E33">
              <w:rPr>
                <w:rFonts w:eastAsia="Calibri" w:cs="Times New Roman"/>
                <w:sz w:val="20"/>
                <w:szCs w:val="20"/>
                <w:lang w:val="fr-CA"/>
              </w:rPr>
              <w:noBreakHyphen/>
              <w:t xml:space="preserve"> Jurys </w:t>
            </w:r>
            <w:r w:rsidRPr="00AA3E33">
              <w:rPr>
                <w:rFonts w:eastAsia="Calibri" w:cs="Times New Roman"/>
                <w:sz w:val="20"/>
                <w:szCs w:val="20"/>
                <w:lang w:val="fr-CA"/>
              </w:rPr>
              <w:noBreakHyphen/>
              <w:t xml:space="preserve"> Sélection </w:t>
            </w:r>
            <w:r w:rsidRPr="00AA3E33">
              <w:rPr>
                <w:rFonts w:eastAsia="Calibri" w:cs="Times New Roman"/>
                <w:sz w:val="20"/>
                <w:szCs w:val="20"/>
                <w:lang w:val="fr-CA"/>
              </w:rPr>
              <w:noBreakHyphen/>
              <w:t xml:space="preserve"> De nouveaux éléments de preuve admis en appel ont révélé des irrégularités commises par le ministère public relativement à la sélection des jurés </w:t>
            </w:r>
            <w:r w:rsidRPr="00AA3E33">
              <w:rPr>
                <w:rFonts w:eastAsia="Calibri" w:cs="Times New Roman"/>
                <w:sz w:val="20"/>
                <w:szCs w:val="20"/>
                <w:lang w:val="fr-CA"/>
              </w:rPr>
              <w:noBreakHyphen/>
              <w:t xml:space="preserve"> La défense a</w:t>
            </w:r>
            <w:r w:rsidRPr="00AA3E33">
              <w:rPr>
                <w:rFonts w:eastAsia="Calibri" w:cs="Times New Roman"/>
                <w:sz w:val="20"/>
                <w:szCs w:val="20"/>
                <w:lang w:val="fr-CA"/>
              </w:rPr>
              <w:noBreakHyphen/>
              <w:t>t</w:t>
            </w:r>
            <w:r w:rsidRPr="00AA3E33">
              <w:rPr>
                <w:rFonts w:eastAsia="Calibri" w:cs="Times New Roman"/>
                <w:sz w:val="20"/>
                <w:szCs w:val="20"/>
                <w:lang w:val="fr-CA"/>
              </w:rPr>
              <w:noBreakHyphen/>
              <w:t xml:space="preserve">elle le fardeau de démontrer la « possibilité raisonnable » que l’illégalité ait nui à l’impartialité ou l’équité du procès? </w:t>
            </w:r>
            <w:r w:rsidRPr="00AA3E33">
              <w:rPr>
                <w:rFonts w:eastAsia="Calibri" w:cs="Times New Roman"/>
                <w:sz w:val="20"/>
                <w:szCs w:val="20"/>
                <w:lang w:val="fr-CA"/>
              </w:rPr>
              <w:noBreakHyphen/>
              <w:t xml:space="preserve"> L’utilisation abusive par le ministère public d’une base de données privée financée par l’État dans le processus de sélection des jurés crée</w:t>
            </w:r>
            <w:r w:rsidRPr="00AA3E33">
              <w:rPr>
                <w:rFonts w:eastAsia="Calibri" w:cs="Times New Roman"/>
                <w:sz w:val="20"/>
                <w:szCs w:val="20"/>
                <w:lang w:val="fr-CA"/>
              </w:rPr>
              <w:noBreakHyphen/>
              <w:t>t</w:t>
            </w:r>
            <w:r w:rsidRPr="00AA3E33">
              <w:rPr>
                <w:rFonts w:eastAsia="Calibri" w:cs="Times New Roman"/>
                <w:sz w:val="20"/>
                <w:szCs w:val="20"/>
                <w:lang w:val="fr-CA"/>
              </w:rPr>
              <w:noBreakHyphen/>
              <w:t>elle une apparence d’iniquité qui nécessite la tenue d’un nouveau procès?</w:t>
            </w:r>
          </w:p>
        </w:tc>
      </w:tr>
    </w:tbl>
    <w:p w:rsidR="00466618" w:rsidRDefault="00466618" w:rsidP="00671CD6">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466618" w:rsidRPr="00F8135D" w:rsidTr="003B76D9">
        <w:tc>
          <w:tcPr>
            <w:tcW w:w="4380" w:type="dxa"/>
            <w:tcMar>
              <w:left w:w="0" w:type="dxa"/>
              <w:right w:w="0" w:type="dxa"/>
            </w:tcMar>
          </w:tcPr>
          <w:p w:rsidR="00466618" w:rsidRPr="00CC4D84" w:rsidRDefault="00466618" w:rsidP="003B76D9">
            <w:pPr>
              <w:widowControl w:val="0"/>
              <w:jc w:val="both"/>
              <w:rPr>
                <w:b/>
                <w:sz w:val="20"/>
                <w:szCs w:val="20"/>
                <w:u w:val="single"/>
              </w:rPr>
            </w:pPr>
            <w:r w:rsidRPr="00CC4D84">
              <w:rPr>
                <w:b/>
                <w:sz w:val="20"/>
                <w:szCs w:val="20"/>
                <w:u w:val="single"/>
              </w:rPr>
              <w:t>Nature of the case</w:t>
            </w:r>
            <w:r>
              <w:rPr>
                <w:b/>
                <w:sz w:val="20"/>
                <w:szCs w:val="20"/>
                <w:u w:val="single"/>
              </w:rPr>
              <w:t xml:space="preserve"> - 34179</w:t>
            </w:r>
            <w:r w:rsidRPr="00CC4D84">
              <w:rPr>
                <w:b/>
                <w:sz w:val="20"/>
                <w:szCs w:val="20"/>
                <w:u w:val="single"/>
              </w:rPr>
              <w:t>:</w:t>
            </w:r>
          </w:p>
          <w:p w:rsidR="00466618" w:rsidRPr="00C1697B" w:rsidRDefault="00466618" w:rsidP="003B76D9">
            <w:pPr>
              <w:widowControl w:val="0"/>
              <w:jc w:val="both"/>
              <w:rPr>
                <w:b/>
                <w:sz w:val="20"/>
                <w:szCs w:val="20"/>
              </w:rPr>
            </w:pPr>
          </w:p>
          <w:p w:rsidR="00466618" w:rsidRPr="00C1697B" w:rsidRDefault="004C5C3C" w:rsidP="004C5C3C">
            <w:pPr>
              <w:jc w:val="both"/>
              <w:rPr>
                <w:b/>
                <w:sz w:val="20"/>
                <w:szCs w:val="20"/>
              </w:rPr>
            </w:pPr>
            <w:r w:rsidRPr="00AC157A">
              <w:rPr>
                <w:sz w:val="20"/>
                <w:szCs w:val="20"/>
              </w:rPr>
              <w:t xml:space="preserve">Davey was convicted by a jury of the first degree murder of a police officer.  That Davey killed the officer by slashing his throat is not in dispute; the relevant issue at trial was whether Davey had the requisite intent to support a murder conviction.  The prosecution case was based on evidence that Davey had planned to ambush a police officer by faking an emergency.  The defence adduced expert testimony that he was suffering from a major depressive disorder </w:t>
            </w:r>
            <w:r w:rsidRPr="00AC157A">
              <w:rPr>
                <w:sz w:val="20"/>
                <w:szCs w:val="20"/>
              </w:rPr>
              <w:lastRenderedPageBreak/>
              <w:t xml:space="preserve">at the time.  Davey appealed his conviction to the Court of Appeal alleging errors in the charge to the jury that he said improperly transferred the burden of proof to the accused.  While the appeal was pending, Davey sought to introduce fresh evidence of jury vetting.  The Court of Appeal allowed the fresh evidence, but dismissed the appeal.  </w:t>
            </w:r>
          </w:p>
        </w:tc>
        <w:tc>
          <w:tcPr>
            <w:tcW w:w="720" w:type="dxa"/>
            <w:tcMar>
              <w:left w:w="0" w:type="dxa"/>
              <w:right w:w="0" w:type="dxa"/>
            </w:tcMar>
          </w:tcPr>
          <w:p w:rsidR="00466618" w:rsidRPr="00C1697B" w:rsidRDefault="00466618" w:rsidP="003B76D9">
            <w:pPr>
              <w:widowControl w:val="0"/>
              <w:jc w:val="center"/>
              <w:rPr>
                <w:sz w:val="20"/>
                <w:szCs w:val="20"/>
              </w:rPr>
            </w:pPr>
          </w:p>
        </w:tc>
        <w:tc>
          <w:tcPr>
            <w:tcW w:w="4380" w:type="dxa"/>
            <w:tcMar>
              <w:left w:w="0" w:type="dxa"/>
              <w:right w:w="0" w:type="dxa"/>
            </w:tcMar>
          </w:tcPr>
          <w:p w:rsidR="00466618" w:rsidRPr="00CC4D84" w:rsidRDefault="00466618" w:rsidP="003B76D9">
            <w:pPr>
              <w:widowControl w:val="0"/>
              <w:jc w:val="both"/>
              <w:rPr>
                <w:b/>
                <w:sz w:val="20"/>
                <w:szCs w:val="20"/>
                <w:u w:val="single"/>
                <w:lang w:val="fr-CA"/>
              </w:rPr>
            </w:pPr>
            <w:r w:rsidRPr="00CC4D84">
              <w:rPr>
                <w:b/>
                <w:sz w:val="20"/>
                <w:szCs w:val="20"/>
                <w:u w:val="single"/>
                <w:lang w:val="fr-CA"/>
              </w:rPr>
              <w:t xml:space="preserve">Nature de la cause </w:t>
            </w:r>
            <w:r w:rsidR="00522C33">
              <w:rPr>
                <w:b/>
                <w:sz w:val="20"/>
                <w:szCs w:val="20"/>
                <w:u w:val="single"/>
                <w:lang w:val="fr-CA"/>
              </w:rPr>
              <w:t>-</w:t>
            </w:r>
            <w:r>
              <w:rPr>
                <w:b/>
                <w:sz w:val="20"/>
                <w:szCs w:val="20"/>
                <w:u w:val="single"/>
                <w:lang w:val="fr-CA"/>
              </w:rPr>
              <w:t xml:space="preserve"> 34179 </w:t>
            </w:r>
            <w:r w:rsidRPr="00CC4D84">
              <w:rPr>
                <w:b/>
                <w:sz w:val="20"/>
                <w:szCs w:val="20"/>
                <w:u w:val="single"/>
                <w:lang w:val="fr-CA"/>
              </w:rPr>
              <w:t>:</w:t>
            </w:r>
          </w:p>
          <w:p w:rsidR="00466618" w:rsidRPr="00C1697B" w:rsidRDefault="00466618" w:rsidP="003B76D9">
            <w:pPr>
              <w:widowControl w:val="0"/>
              <w:jc w:val="both"/>
              <w:rPr>
                <w:sz w:val="20"/>
                <w:szCs w:val="20"/>
                <w:lang w:val="fr-CA"/>
              </w:rPr>
            </w:pPr>
          </w:p>
          <w:p w:rsidR="00466618" w:rsidRPr="00C1697B" w:rsidRDefault="004C5C3C" w:rsidP="004C5C3C">
            <w:pPr>
              <w:jc w:val="both"/>
              <w:rPr>
                <w:sz w:val="20"/>
                <w:szCs w:val="20"/>
                <w:lang w:val="fr-CA"/>
              </w:rPr>
            </w:pPr>
            <w:r w:rsidRPr="00811D3E">
              <w:rPr>
                <w:rFonts w:eastAsia="Calibri" w:cs="Times New Roman"/>
                <w:sz w:val="20"/>
                <w:szCs w:val="20"/>
                <w:lang w:val="fr-CA"/>
              </w:rPr>
              <w:t xml:space="preserve">Monsieur Davey a été déclaré coupable par un jury du meurtre au premier degré d’un policier.  Le fait que Monsieur Davey ait tué le policier en lui tranchant la gorge n’est pas en litige.  En effet, la question pertinente dont était saisi le tribunal de première instance était celle de savoir si M. Davey avait l’intention requise pour soutenir une déclaration de culpabilité pour meurtre.  La thèse du ministère public était fondée sur la preuve selon laquelle M. Davey </w:t>
            </w:r>
            <w:r w:rsidRPr="00811D3E">
              <w:rPr>
                <w:rFonts w:eastAsia="Calibri" w:cs="Times New Roman"/>
                <w:sz w:val="20"/>
                <w:szCs w:val="20"/>
                <w:lang w:val="fr-CA"/>
              </w:rPr>
              <w:lastRenderedPageBreak/>
              <w:t>avait planifié de tendre une embuscade au policier en simulant une urgence. La défense a fait témoigner un expert selon lequel M. Davey souffrait d’un grave état dépressif au moment des faits.  M. Davey a interjeté appel de sa condamnation à la Cour d’appel, alléguant qu’il y avait eu des erreurs dans l’exposé au jury qui, selon lui, transférait à tort le fardeau de preuve sur l’accusé.  Pendant que l’appel était en instance, M. Davey a cherché à introduire de nouveaux éléments de preuve de triage des jurés.  La Cour d’appel a autorisé la production des nouveaux éléments de preuve, mais a rejeté l’appel.</w:t>
            </w:r>
          </w:p>
        </w:tc>
      </w:tr>
    </w:tbl>
    <w:p w:rsidR="00466618" w:rsidRPr="00671CD6" w:rsidRDefault="00466618" w:rsidP="00671CD6">
      <w:pPr>
        <w:widowControl w:val="0"/>
        <w:rPr>
          <w:sz w:val="20"/>
          <w:szCs w:val="20"/>
          <w:lang w:val="fr-CA"/>
        </w:rPr>
      </w:pPr>
    </w:p>
    <w:p w:rsidR="00671CD6" w:rsidRPr="00671CD6" w:rsidRDefault="009019DC" w:rsidP="00671CD6">
      <w:pPr>
        <w:widowControl w:val="0"/>
        <w:rPr>
          <w:sz w:val="20"/>
          <w:szCs w:val="20"/>
          <w:lang w:val="fr-CA"/>
        </w:rPr>
      </w:pPr>
      <w:r w:rsidRPr="009019DC">
        <w:rPr>
          <w:sz w:val="20"/>
          <w:szCs w:val="20"/>
          <w:lang w:val="fr-CA"/>
        </w:rPr>
        <w:pict>
          <v:rect id="_x0000_i1061" style="width:2in;height:1pt" o:hrpct="0" o:hralign="center" o:hrstd="t" o:hrnoshade="t" o:hr="t" fillcolor="black [3213]" stroked="f"/>
        </w:pict>
      </w:r>
    </w:p>
    <w:p w:rsidR="00671CD6" w:rsidRPr="00671CD6" w:rsidRDefault="00671CD6" w:rsidP="00671CD6">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F8135D"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AF1715" w:rsidP="00AF1715">
      <w:pPr>
        <w:rPr>
          <w:b/>
          <w:sz w:val="20"/>
          <w:szCs w:val="20"/>
        </w:rPr>
      </w:pPr>
      <w:r w:rsidRPr="003B3977">
        <w:rPr>
          <w:b/>
          <w:sz w:val="20"/>
          <w:szCs w:val="20"/>
        </w:rPr>
        <w:t>M</w:t>
      </w:r>
      <w:r w:rsidR="001958BD">
        <w:rPr>
          <w:b/>
          <w:sz w:val="20"/>
          <w:szCs w:val="20"/>
        </w:rPr>
        <w:t>A</w:t>
      </w:r>
      <w:r w:rsidRPr="003B3977">
        <w:rPr>
          <w:b/>
          <w:sz w:val="20"/>
          <w:szCs w:val="20"/>
        </w:rPr>
        <w:t>R</w:t>
      </w:r>
      <w:r w:rsidR="001958BD">
        <w:rPr>
          <w:b/>
          <w:sz w:val="20"/>
          <w:szCs w:val="20"/>
        </w:rPr>
        <w:t>CH 15</w:t>
      </w:r>
      <w:r w:rsidRPr="003B3977">
        <w:rPr>
          <w:b/>
          <w:sz w:val="20"/>
          <w:szCs w:val="20"/>
        </w:rPr>
        <w:t>, 201</w:t>
      </w:r>
      <w:r w:rsidR="001958BD">
        <w:rPr>
          <w:b/>
          <w:sz w:val="20"/>
          <w:szCs w:val="20"/>
        </w:rPr>
        <w:t>2</w:t>
      </w:r>
      <w:r w:rsidRPr="003B3977">
        <w:rPr>
          <w:b/>
          <w:sz w:val="20"/>
          <w:szCs w:val="20"/>
        </w:rPr>
        <w:t xml:space="preserve"> / LE </w:t>
      </w:r>
      <w:r w:rsidR="001958BD">
        <w:rPr>
          <w:b/>
          <w:sz w:val="20"/>
          <w:szCs w:val="20"/>
        </w:rPr>
        <w:t>15</w:t>
      </w:r>
      <w:r w:rsidRPr="003B3977">
        <w:rPr>
          <w:b/>
          <w:sz w:val="20"/>
          <w:szCs w:val="20"/>
        </w:rPr>
        <w:t xml:space="preserve"> M</w:t>
      </w:r>
      <w:r w:rsidR="001958BD">
        <w:rPr>
          <w:b/>
          <w:sz w:val="20"/>
          <w:szCs w:val="20"/>
        </w:rPr>
        <w:t>A</w:t>
      </w:r>
      <w:r w:rsidRPr="003B3977">
        <w:rPr>
          <w:b/>
          <w:sz w:val="20"/>
          <w:szCs w:val="20"/>
        </w:rPr>
        <w:t>R</w:t>
      </w:r>
      <w:r w:rsidR="001958BD">
        <w:rPr>
          <w:b/>
          <w:sz w:val="20"/>
          <w:szCs w:val="20"/>
        </w:rPr>
        <w:t>S</w:t>
      </w:r>
      <w:r w:rsidRPr="003B3977">
        <w:rPr>
          <w:b/>
          <w:sz w:val="20"/>
          <w:szCs w:val="20"/>
        </w:rPr>
        <w:t xml:space="preserve"> 201</w:t>
      </w:r>
      <w:r w:rsidR="001958BD">
        <w:rPr>
          <w:b/>
          <w:sz w:val="20"/>
          <w:szCs w:val="20"/>
        </w:rPr>
        <w:t>2</w:t>
      </w:r>
    </w:p>
    <w:p w:rsidR="00AF1715" w:rsidRPr="003B3977" w:rsidRDefault="00AF1715" w:rsidP="00AF1715">
      <w:pPr>
        <w:rPr>
          <w:sz w:val="20"/>
          <w:szCs w:val="20"/>
        </w:rPr>
      </w:pPr>
    </w:p>
    <w:p w:rsidR="00D75CA2" w:rsidRPr="00D75CA2" w:rsidRDefault="00D75CA2" w:rsidP="00D75CA2">
      <w:pPr>
        <w:ind w:left="1440" w:hanging="1440"/>
        <w:jc w:val="both"/>
        <w:rPr>
          <w:rStyle w:val="Hyperlink"/>
          <w:color w:val="auto"/>
          <w:sz w:val="20"/>
          <w:szCs w:val="20"/>
        </w:rPr>
      </w:pPr>
      <w:r w:rsidRPr="00446268">
        <w:rPr>
          <w:b/>
          <w:sz w:val="20"/>
          <w:szCs w:val="20"/>
        </w:rPr>
        <w:t>33999</w:t>
      </w:r>
      <w:r w:rsidRPr="00446268">
        <w:rPr>
          <w:b/>
          <w:sz w:val="20"/>
          <w:szCs w:val="20"/>
        </w:rPr>
        <w:tab/>
      </w:r>
      <w:r w:rsidRPr="00446268">
        <w:rPr>
          <w:b/>
          <w:iCs/>
          <w:sz w:val="20"/>
          <w:szCs w:val="20"/>
          <w:u w:val="single"/>
        </w:rPr>
        <w:t>Momentous.ca Corporation, Rapidz Sports and Entertainment Inc., Rapidz Baseball Club Inc. and Zip.ca Inc. v. Canadian American Association of Professional Baseball Ltd., Inside the Park LLC, Greg Lockard, Dan Moushon, Bruce Murdoch, City of Ottawa and Miles Wolff</w:t>
      </w:r>
      <w:r w:rsidRPr="00446268">
        <w:rPr>
          <w:i/>
          <w:iCs/>
          <w:sz w:val="20"/>
          <w:szCs w:val="20"/>
        </w:rPr>
        <w:t xml:space="preserve"> </w:t>
      </w:r>
      <w:r w:rsidRPr="00446268">
        <w:rPr>
          <w:sz w:val="20"/>
          <w:szCs w:val="20"/>
        </w:rPr>
        <w:t>(Ont.)</w:t>
      </w:r>
    </w:p>
    <w:p w:rsidR="00D75CA2" w:rsidRPr="00446268" w:rsidRDefault="00D75CA2" w:rsidP="00D75CA2">
      <w:pPr>
        <w:ind w:left="1440" w:hanging="1440"/>
        <w:jc w:val="both"/>
        <w:rPr>
          <w:b/>
          <w:sz w:val="20"/>
          <w:szCs w:val="20"/>
        </w:rPr>
      </w:pPr>
      <w:r>
        <w:rPr>
          <w:b/>
          <w:sz w:val="20"/>
          <w:szCs w:val="20"/>
        </w:rPr>
        <w:tab/>
      </w:r>
      <w:r w:rsidRPr="00446268">
        <w:rPr>
          <w:b/>
          <w:sz w:val="20"/>
          <w:szCs w:val="20"/>
        </w:rPr>
        <w:t>2012 SCC 9 / 2012 CSC 9</w:t>
      </w:r>
    </w:p>
    <w:p w:rsidR="00D75CA2" w:rsidRPr="00446268" w:rsidRDefault="00D75CA2" w:rsidP="00D75CA2">
      <w:pPr>
        <w:ind w:left="1440" w:hanging="1440"/>
        <w:jc w:val="both"/>
        <w:rPr>
          <w:b/>
          <w:sz w:val="20"/>
          <w:szCs w:val="20"/>
        </w:rPr>
      </w:pPr>
    </w:p>
    <w:p w:rsidR="00D75CA2" w:rsidRPr="00446268" w:rsidRDefault="00D75CA2" w:rsidP="00D75CA2">
      <w:pPr>
        <w:ind w:left="1440" w:hanging="1440"/>
        <w:jc w:val="both"/>
        <w:rPr>
          <w:sz w:val="20"/>
          <w:szCs w:val="20"/>
          <w:u w:val="single"/>
        </w:rPr>
      </w:pPr>
      <w:r w:rsidRPr="00446268">
        <w:rPr>
          <w:sz w:val="20"/>
          <w:szCs w:val="20"/>
        </w:rPr>
        <w:t>Coram:</w:t>
      </w:r>
      <w:r>
        <w:rPr>
          <w:sz w:val="20"/>
          <w:szCs w:val="20"/>
        </w:rPr>
        <w:tab/>
      </w:r>
      <w:r w:rsidRPr="00446268">
        <w:rPr>
          <w:sz w:val="20"/>
          <w:szCs w:val="20"/>
          <w:u w:val="single"/>
        </w:rPr>
        <w:t>McLachlin C.J. and LeBel, Fish, Rothstein, Cromwell, Moldaver and Karakatsanis JJ.</w:t>
      </w:r>
    </w:p>
    <w:p w:rsidR="00D75CA2" w:rsidRPr="00446268" w:rsidRDefault="00D75CA2" w:rsidP="00D75CA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D75CA2" w:rsidRPr="00446268" w:rsidRDefault="00D75CA2" w:rsidP="00D75CA2">
      <w:pPr>
        <w:jc w:val="both"/>
        <w:rPr>
          <w:sz w:val="20"/>
          <w:szCs w:val="20"/>
        </w:rPr>
      </w:pPr>
      <w:r w:rsidRPr="00446268">
        <w:rPr>
          <w:sz w:val="20"/>
          <w:szCs w:val="20"/>
        </w:rPr>
        <w:t>The appeal from the judgment of the Court of Appeal for Ontario, Number C51406, 2010 ONCA 722, dated October 29, 2010, heard on February 10, 2012, is dismissed with costs.</w:t>
      </w:r>
    </w:p>
    <w:p w:rsidR="00D75CA2" w:rsidRPr="00446268" w:rsidRDefault="00D75CA2" w:rsidP="00D75CA2">
      <w:pPr>
        <w:jc w:val="both"/>
        <w:rPr>
          <w:sz w:val="20"/>
          <w:szCs w:val="20"/>
        </w:rPr>
      </w:pPr>
    </w:p>
    <w:p w:rsidR="00D75CA2" w:rsidRPr="00446268" w:rsidRDefault="00D75CA2" w:rsidP="00D75CA2">
      <w:pPr>
        <w:jc w:val="both"/>
        <w:rPr>
          <w:sz w:val="20"/>
          <w:szCs w:val="20"/>
          <w:lang w:val="fr-CA"/>
        </w:rPr>
      </w:pPr>
      <w:r w:rsidRPr="00446268">
        <w:rPr>
          <w:sz w:val="20"/>
          <w:szCs w:val="20"/>
          <w:lang w:val="fr-CA"/>
        </w:rPr>
        <w:t xml:space="preserve">L’appel interjeté contre l’arrêt de la Cour d’appel de l’Ontario, numéro C51406, 2010 ONCA 722, en date du 29 octobre 2010, entendu le 10 février 2012, est rejeté avec dépens. </w:t>
      </w:r>
    </w:p>
    <w:p w:rsidR="001958BD" w:rsidRPr="003B3977" w:rsidRDefault="001958BD" w:rsidP="00AF1715">
      <w:pPr>
        <w:rPr>
          <w:sz w:val="20"/>
          <w:szCs w:val="20"/>
          <w:lang w:val="fr-CA"/>
        </w:rPr>
      </w:pPr>
    </w:p>
    <w:p w:rsidR="00AF1715" w:rsidRPr="003B3977" w:rsidRDefault="009019DC" w:rsidP="00AF1715">
      <w:pPr>
        <w:spacing w:line="0" w:lineRule="atLeast"/>
        <w:rPr>
          <w:sz w:val="20"/>
          <w:szCs w:val="20"/>
        </w:rPr>
      </w:pPr>
      <w:r w:rsidRPr="009019DC">
        <w:rPr>
          <w:b/>
          <w:sz w:val="20"/>
          <w:szCs w:val="20"/>
        </w:rPr>
        <w:pict>
          <v:rect id="_x0000_i1064" style="width:144.3pt;height:1pt" o:hrpct="300" o:hralign="center" o:hrstd="t" o:hrnoshade="t" o:hr="t" fillcolor="black [3213]" stroked="f"/>
        </w:pict>
      </w:r>
    </w:p>
    <w:p w:rsidR="00AF1715" w:rsidRPr="006C5F7A" w:rsidRDefault="00AF1715" w:rsidP="00AF1715">
      <w:pPr>
        <w:spacing w:line="0" w:lineRule="atLeast"/>
        <w:rPr>
          <w:rFonts w:cs="Times New Roman"/>
          <w:b/>
          <w:sz w:val="20"/>
          <w:szCs w:val="20"/>
        </w:rPr>
      </w:pPr>
    </w:p>
    <w:p w:rsidR="00AF1715" w:rsidRPr="006C5F7A" w:rsidRDefault="00AF1715" w:rsidP="00AF1715">
      <w:pPr>
        <w:rPr>
          <w:rFonts w:cs="Times New Roman"/>
          <w:b/>
          <w:sz w:val="20"/>
          <w:szCs w:val="20"/>
        </w:rPr>
      </w:pPr>
      <w:r w:rsidRPr="006C5F7A">
        <w:rPr>
          <w:rFonts w:cs="Times New Roman"/>
          <w:b/>
          <w:sz w:val="20"/>
          <w:szCs w:val="20"/>
        </w:rPr>
        <w:t>M</w:t>
      </w:r>
      <w:r w:rsidR="001958BD">
        <w:rPr>
          <w:rFonts w:cs="Times New Roman"/>
          <w:b/>
          <w:sz w:val="20"/>
          <w:szCs w:val="20"/>
        </w:rPr>
        <w:t>A</w:t>
      </w:r>
      <w:r w:rsidRPr="006C5F7A">
        <w:rPr>
          <w:rFonts w:cs="Times New Roman"/>
          <w:b/>
          <w:sz w:val="20"/>
          <w:szCs w:val="20"/>
        </w:rPr>
        <w:t>R</w:t>
      </w:r>
      <w:r w:rsidR="001958BD">
        <w:rPr>
          <w:rFonts w:cs="Times New Roman"/>
          <w:b/>
          <w:sz w:val="20"/>
          <w:szCs w:val="20"/>
        </w:rPr>
        <w:t>CH</w:t>
      </w:r>
      <w:r w:rsidRPr="006C5F7A">
        <w:rPr>
          <w:rFonts w:cs="Times New Roman"/>
          <w:b/>
          <w:sz w:val="20"/>
          <w:szCs w:val="20"/>
        </w:rPr>
        <w:t xml:space="preserve"> </w:t>
      </w:r>
      <w:r w:rsidR="001958BD">
        <w:rPr>
          <w:rFonts w:cs="Times New Roman"/>
          <w:b/>
          <w:sz w:val="20"/>
          <w:szCs w:val="20"/>
        </w:rPr>
        <w:t>16</w:t>
      </w:r>
      <w:r w:rsidRPr="006C5F7A">
        <w:rPr>
          <w:rFonts w:cs="Times New Roman"/>
          <w:b/>
          <w:sz w:val="20"/>
          <w:szCs w:val="20"/>
        </w:rPr>
        <w:t>, 201</w:t>
      </w:r>
      <w:r w:rsidR="001958BD">
        <w:rPr>
          <w:rFonts w:cs="Times New Roman"/>
          <w:b/>
          <w:sz w:val="20"/>
          <w:szCs w:val="20"/>
        </w:rPr>
        <w:t>2</w:t>
      </w:r>
      <w:r w:rsidRPr="006C5F7A">
        <w:rPr>
          <w:rFonts w:cs="Times New Roman"/>
          <w:b/>
          <w:sz w:val="20"/>
          <w:szCs w:val="20"/>
        </w:rPr>
        <w:t xml:space="preserve"> / LE </w:t>
      </w:r>
      <w:r w:rsidR="001958BD">
        <w:rPr>
          <w:rFonts w:cs="Times New Roman"/>
          <w:b/>
          <w:sz w:val="20"/>
          <w:szCs w:val="20"/>
        </w:rPr>
        <w:t>16</w:t>
      </w:r>
      <w:r w:rsidRPr="006C5F7A">
        <w:rPr>
          <w:rFonts w:cs="Times New Roman"/>
          <w:b/>
          <w:sz w:val="20"/>
          <w:szCs w:val="20"/>
        </w:rPr>
        <w:t xml:space="preserve"> M</w:t>
      </w:r>
      <w:r w:rsidR="001958BD">
        <w:rPr>
          <w:rFonts w:cs="Times New Roman"/>
          <w:b/>
          <w:sz w:val="20"/>
          <w:szCs w:val="20"/>
        </w:rPr>
        <w:t>A</w:t>
      </w:r>
      <w:r w:rsidRPr="006C5F7A">
        <w:rPr>
          <w:rFonts w:cs="Times New Roman"/>
          <w:b/>
          <w:sz w:val="20"/>
          <w:szCs w:val="20"/>
        </w:rPr>
        <w:t>R</w:t>
      </w:r>
      <w:r w:rsidR="001958BD">
        <w:rPr>
          <w:rFonts w:cs="Times New Roman"/>
          <w:b/>
          <w:sz w:val="20"/>
          <w:szCs w:val="20"/>
        </w:rPr>
        <w:t>S</w:t>
      </w:r>
      <w:r w:rsidRPr="006C5F7A">
        <w:rPr>
          <w:rFonts w:cs="Times New Roman"/>
          <w:b/>
          <w:sz w:val="20"/>
          <w:szCs w:val="20"/>
        </w:rPr>
        <w:t xml:space="preserve"> 201</w:t>
      </w:r>
      <w:r w:rsidR="001958BD">
        <w:rPr>
          <w:rFonts w:cs="Times New Roman"/>
          <w:b/>
          <w:sz w:val="20"/>
          <w:szCs w:val="20"/>
        </w:rPr>
        <w:t>2</w:t>
      </w:r>
    </w:p>
    <w:p w:rsidR="00AF1715" w:rsidRPr="001958BD" w:rsidRDefault="00AF1715" w:rsidP="00AF1715">
      <w:pPr>
        <w:spacing w:line="0" w:lineRule="atLeast"/>
        <w:rPr>
          <w:rFonts w:cs="Times New Roman"/>
          <w:sz w:val="20"/>
          <w:szCs w:val="20"/>
        </w:rPr>
      </w:pPr>
    </w:p>
    <w:p w:rsidR="009A30B4" w:rsidRPr="0003547F" w:rsidRDefault="009A30B4" w:rsidP="009A30B4">
      <w:pPr>
        <w:ind w:left="1440" w:hanging="1440"/>
        <w:jc w:val="both"/>
        <w:rPr>
          <w:sz w:val="20"/>
          <w:szCs w:val="20"/>
        </w:rPr>
      </w:pPr>
      <w:r w:rsidRPr="0003547F">
        <w:rPr>
          <w:b/>
          <w:sz w:val="20"/>
          <w:szCs w:val="20"/>
        </w:rPr>
        <w:t>33651</w:t>
      </w:r>
      <w:r w:rsidRPr="0003547F">
        <w:rPr>
          <w:b/>
          <w:sz w:val="20"/>
          <w:szCs w:val="20"/>
        </w:rPr>
        <w:tab/>
      </w:r>
      <w:r w:rsidRPr="0003547F">
        <w:rPr>
          <w:b/>
          <w:sz w:val="20"/>
          <w:szCs w:val="20"/>
          <w:u w:val="single"/>
        </w:rPr>
        <w:t>Halifax Regional Municipality, a body corporate duly incorporated pursuant to the laws of Nova Scotia v. Nova Scotia Human Rights Commission, Lucien Comeau, Lynn Connors and Her Majesty the Queen in Right of the Province of Nova Scotia – and – Canadian Human Rights Commission</w:t>
      </w:r>
      <w:r w:rsidRPr="0003547F">
        <w:rPr>
          <w:b/>
          <w:sz w:val="20"/>
          <w:szCs w:val="20"/>
        </w:rPr>
        <w:t xml:space="preserve"> </w:t>
      </w:r>
      <w:r w:rsidRPr="0003547F">
        <w:rPr>
          <w:sz w:val="20"/>
          <w:szCs w:val="20"/>
        </w:rPr>
        <w:t xml:space="preserve">(N.S.) </w:t>
      </w:r>
    </w:p>
    <w:p w:rsidR="009A30B4" w:rsidRPr="0003547F" w:rsidRDefault="009A30B4" w:rsidP="009A30B4">
      <w:pPr>
        <w:ind w:left="1440" w:hanging="1440"/>
        <w:jc w:val="both"/>
        <w:rPr>
          <w:b/>
          <w:sz w:val="20"/>
          <w:szCs w:val="20"/>
        </w:rPr>
      </w:pPr>
      <w:r w:rsidRPr="0003547F">
        <w:rPr>
          <w:b/>
          <w:sz w:val="20"/>
          <w:szCs w:val="20"/>
        </w:rPr>
        <w:tab/>
        <w:t>2012 SCC 10 / 2012 CSC 10</w:t>
      </w:r>
    </w:p>
    <w:p w:rsidR="009A30B4" w:rsidRPr="0003547F" w:rsidRDefault="009A30B4" w:rsidP="009A30B4">
      <w:pPr>
        <w:ind w:left="1440" w:hanging="1440"/>
        <w:jc w:val="both"/>
        <w:rPr>
          <w:b/>
          <w:sz w:val="20"/>
          <w:szCs w:val="20"/>
        </w:rPr>
      </w:pPr>
    </w:p>
    <w:p w:rsidR="009A30B4" w:rsidRPr="0003547F" w:rsidRDefault="009A30B4" w:rsidP="009A30B4">
      <w:pPr>
        <w:ind w:left="1440" w:hanging="1440"/>
        <w:jc w:val="both"/>
        <w:rPr>
          <w:sz w:val="20"/>
          <w:szCs w:val="20"/>
          <w:u w:val="single"/>
        </w:rPr>
      </w:pPr>
      <w:r w:rsidRPr="0003547F">
        <w:rPr>
          <w:sz w:val="20"/>
          <w:szCs w:val="20"/>
        </w:rPr>
        <w:t>Coram:</w:t>
      </w:r>
      <w:r>
        <w:rPr>
          <w:sz w:val="20"/>
          <w:szCs w:val="20"/>
        </w:rPr>
        <w:tab/>
      </w:r>
      <w:r w:rsidRPr="0003547F">
        <w:rPr>
          <w:sz w:val="20"/>
          <w:szCs w:val="20"/>
          <w:u w:val="single"/>
        </w:rPr>
        <w:t>McLachlin C.J. and LeBel, Deschamps, Fish, Abella, Rothstein and Cromwell JJ.</w:t>
      </w:r>
    </w:p>
    <w:p w:rsidR="009A30B4" w:rsidRPr="0003547F" w:rsidRDefault="009A30B4" w:rsidP="009A30B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9A30B4" w:rsidRPr="0003547F" w:rsidRDefault="009A30B4" w:rsidP="009A30B4">
      <w:pPr>
        <w:jc w:val="both"/>
        <w:rPr>
          <w:sz w:val="20"/>
          <w:szCs w:val="20"/>
        </w:rPr>
      </w:pPr>
      <w:r w:rsidRPr="0003547F">
        <w:rPr>
          <w:sz w:val="20"/>
          <w:szCs w:val="20"/>
        </w:rPr>
        <w:t xml:space="preserve">The appeal from the judgment </w:t>
      </w:r>
      <w:bookmarkStart w:id="1" w:name="BM_1_"/>
      <w:bookmarkEnd w:id="1"/>
      <w:r w:rsidRPr="0003547F">
        <w:rPr>
          <w:sz w:val="20"/>
          <w:szCs w:val="20"/>
        </w:rPr>
        <w:t>of the Nova Scotia Court of Appeal, Number CA 307568, 2010 NSCA 8, dated February 11, 2010, heard on October 19, 2011, is dismissed with costs to the Nova Scotia Human Rights Commission and Mr. Comeau.</w:t>
      </w:r>
    </w:p>
    <w:p w:rsidR="009A30B4" w:rsidRPr="0003547F" w:rsidRDefault="009A30B4" w:rsidP="009A30B4">
      <w:pPr>
        <w:jc w:val="both"/>
        <w:rPr>
          <w:sz w:val="20"/>
          <w:szCs w:val="20"/>
        </w:rPr>
      </w:pPr>
    </w:p>
    <w:p w:rsidR="009A30B4" w:rsidRPr="0003547F" w:rsidRDefault="009A30B4" w:rsidP="009A30B4">
      <w:pPr>
        <w:jc w:val="both"/>
        <w:rPr>
          <w:sz w:val="20"/>
          <w:szCs w:val="20"/>
          <w:lang w:val="fr-CA"/>
        </w:rPr>
      </w:pPr>
      <w:r w:rsidRPr="0003547F">
        <w:rPr>
          <w:sz w:val="20"/>
          <w:szCs w:val="20"/>
          <w:lang w:val="fr-CA"/>
        </w:rPr>
        <w:t>L’appel interjeté contre l’arrêt de la Cour d’appel de la Nouvelle-Écosse, numéro CA 307568, 2010 NSCA 8, en date du 11 février 2010, entendu le 19 octobre 2011, est rejeté avec dépens en faveur de la Nova Scotia Human Rights Commission et de M. Comeau.</w: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AF1715" w:rsidRPr="006C5F7A" w:rsidRDefault="009019DC" w:rsidP="00AF1715">
      <w:pPr>
        <w:spacing w:line="0" w:lineRule="atLeast"/>
        <w:rPr>
          <w:rFonts w:cs="Times New Roman"/>
          <w:b/>
          <w:sz w:val="20"/>
          <w:szCs w:val="20"/>
        </w:rPr>
      </w:pPr>
      <w:r w:rsidRPr="009019DC">
        <w:rPr>
          <w:rFonts w:cs="Times New Roman"/>
          <w:b/>
          <w:sz w:val="20"/>
          <w:szCs w:val="20"/>
        </w:rPr>
        <w:pict>
          <v:rect id="_x0000_i1065" style="width:144.3pt;height:1pt" o:hrpct="300" o:hralign="center" o:hrstd="t" o:hrnoshade="t" o:hr="t" fillcolor="black [3213]" stroked="f"/>
        </w:pic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3D2CDA" w:rsidRPr="009A686D" w:rsidRDefault="003D2CDA" w:rsidP="003D2CDA">
      <w:pPr>
        <w:rPr>
          <w:sz w:val="20"/>
          <w:szCs w:val="20"/>
        </w:rPr>
      </w:pPr>
      <w:r w:rsidRPr="009A686D">
        <w:rPr>
          <w:i/>
          <w:sz w:val="20"/>
          <w:szCs w:val="20"/>
        </w:rPr>
        <w:t xml:space="preserve">Momentous.ca Corporation et al. v. Canadian American Association of Professional Baseball Ltd. et al. </w:t>
      </w:r>
      <w:r w:rsidRPr="009A686D">
        <w:rPr>
          <w:sz w:val="20"/>
          <w:szCs w:val="20"/>
        </w:rPr>
        <w:t>(Ont.) (33999)</w:t>
      </w:r>
    </w:p>
    <w:p w:rsidR="003D2CDA" w:rsidRDefault="00E63D6A" w:rsidP="005C6840">
      <w:pPr>
        <w:rPr>
          <w:b/>
          <w:sz w:val="20"/>
          <w:szCs w:val="20"/>
        </w:rPr>
      </w:pPr>
      <w:r w:rsidRPr="000C7FE8">
        <w:rPr>
          <w:b/>
          <w:sz w:val="20"/>
          <w:szCs w:val="20"/>
        </w:rPr>
        <w:t xml:space="preserve">Indexed as:  Momentous.ca Corp. </w:t>
      </w:r>
      <w:r w:rsidRPr="000C7FE8">
        <w:rPr>
          <w:b/>
          <w:i/>
          <w:sz w:val="20"/>
          <w:szCs w:val="20"/>
        </w:rPr>
        <w:t>v.</w:t>
      </w:r>
      <w:r w:rsidRPr="000C7FE8">
        <w:rPr>
          <w:b/>
          <w:sz w:val="20"/>
          <w:szCs w:val="20"/>
        </w:rPr>
        <w:t xml:space="preserve"> Canadian American Association of Professional Baseball Ltd.</w:t>
      </w:r>
      <w:r>
        <w:rPr>
          <w:b/>
          <w:sz w:val="20"/>
          <w:szCs w:val="20"/>
        </w:rPr>
        <w:t xml:space="preserve"> /</w:t>
      </w:r>
    </w:p>
    <w:p w:rsidR="0066447F" w:rsidRPr="00AE6B6C" w:rsidRDefault="0066447F" w:rsidP="0066447F">
      <w:pPr>
        <w:jc w:val="both"/>
        <w:rPr>
          <w:b/>
          <w:sz w:val="20"/>
          <w:szCs w:val="20"/>
          <w:lang w:val="en-US"/>
        </w:rPr>
      </w:pPr>
      <w:r w:rsidRPr="00AE6B6C">
        <w:rPr>
          <w:b/>
          <w:sz w:val="20"/>
          <w:szCs w:val="20"/>
          <w:lang w:val="en-US"/>
        </w:rPr>
        <w:t xml:space="preserve">Répertorié : Momentous.ca Corp. </w:t>
      </w:r>
      <w:r w:rsidRPr="00AE6B6C">
        <w:rPr>
          <w:b/>
          <w:i/>
          <w:sz w:val="20"/>
          <w:szCs w:val="20"/>
          <w:lang w:val="en-US"/>
        </w:rPr>
        <w:t>c.</w:t>
      </w:r>
      <w:r w:rsidRPr="00AE6B6C">
        <w:rPr>
          <w:b/>
          <w:sz w:val="20"/>
          <w:szCs w:val="20"/>
          <w:lang w:val="en-US"/>
        </w:rPr>
        <w:t xml:space="preserve"> Canadian American Association of Professional Baseball Ltd.</w:t>
      </w:r>
    </w:p>
    <w:p w:rsidR="005C6840" w:rsidRPr="0066447F" w:rsidRDefault="005C6840" w:rsidP="005C6840">
      <w:pPr>
        <w:pStyle w:val="SCCSystemYear"/>
        <w:jc w:val="both"/>
        <w:rPr>
          <w:sz w:val="20"/>
        </w:rPr>
      </w:pPr>
      <w:r w:rsidRPr="0066447F">
        <w:rPr>
          <w:sz w:val="20"/>
        </w:rPr>
        <w:t>Neutral citation:  201</w:t>
      </w:r>
      <w:r w:rsidR="003D2CDA" w:rsidRPr="0066447F">
        <w:rPr>
          <w:sz w:val="20"/>
        </w:rPr>
        <w:t>2</w:t>
      </w:r>
      <w:r w:rsidRPr="0066447F">
        <w:rPr>
          <w:sz w:val="20"/>
        </w:rPr>
        <w:t xml:space="preserve"> SCC </w:t>
      </w:r>
      <w:r w:rsidR="003D2CDA" w:rsidRPr="0066447F">
        <w:rPr>
          <w:sz w:val="20"/>
        </w:rPr>
        <w:t>9</w:t>
      </w:r>
      <w:r w:rsidRPr="0066447F">
        <w:rPr>
          <w:sz w:val="20"/>
        </w:rPr>
        <w:t xml:space="preserve"> / Référence neutre : 201</w:t>
      </w:r>
      <w:r w:rsidR="003D2CDA" w:rsidRPr="0066447F">
        <w:rPr>
          <w:sz w:val="20"/>
        </w:rPr>
        <w:t>2</w:t>
      </w:r>
      <w:r w:rsidRPr="0066447F">
        <w:rPr>
          <w:sz w:val="20"/>
        </w:rPr>
        <w:t xml:space="preserve"> CSC </w:t>
      </w:r>
      <w:r w:rsidR="003D2CDA" w:rsidRPr="0066447F">
        <w:rPr>
          <w:sz w:val="20"/>
        </w:rPr>
        <w:t>9</w:t>
      </w:r>
    </w:p>
    <w:p w:rsidR="005C6840" w:rsidRPr="00E63D6A" w:rsidRDefault="005C6840" w:rsidP="005C6840">
      <w:pPr>
        <w:rPr>
          <w:rFonts w:cs="Times New Roman"/>
          <w:sz w:val="20"/>
          <w:szCs w:val="20"/>
        </w:rPr>
      </w:pPr>
      <w:r w:rsidRPr="00E63D6A">
        <w:rPr>
          <w:rFonts w:cs="Times New Roman"/>
          <w:sz w:val="20"/>
          <w:szCs w:val="20"/>
        </w:rPr>
        <w:t xml:space="preserve">Hearing:  </w:t>
      </w:r>
      <w:r w:rsidR="00E63D6A" w:rsidRPr="00E63D6A">
        <w:rPr>
          <w:rFonts w:cs="Times New Roman"/>
          <w:sz w:val="20"/>
          <w:szCs w:val="20"/>
        </w:rPr>
        <w:t>February 10</w:t>
      </w:r>
      <w:r w:rsidRPr="00E63D6A">
        <w:rPr>
          <w:rFonts w:cs="Times New Roman"/>
          <w:sz w:val="20"/>
          <w:szCs w:val="20"/>
        </w:rPr>
        <w:t>, 201</w:t>
      </w:r>
      <w:r w:rsidR="00E63D6A" w:rsidRPr="00E63D6A">
        <w:rPr>
          <w:rFonts w:cs="Times New Roman"/>
          <w:sz w:val="20"/>
          <w:szCs w:val="20"/>
        </w:rPr>
        <w:t>2</w:t>
      </w:r>
      <w:r w:rsidRPr="00E63D6A">
        <w:rPr>
          <w:rFonts w:cs="Times New Roman"/>
          <w:sz w:val="20"/>
          <w:szCs w:val="20"/>
        </w:rPr>
        <w:t xml:space="preserve"> / Judgment:  </w:t>
      </w:r>
      <w:r w:rsidR="003D2CDA" w:rsidRPr="00E63D6A">
        <w:rPr>
          <w:rFonts w:cs="Times New Roman"/>
          <w:sz w:val="20"/>
          <w:szCs w:val="20"/>
        </w:rPr>
        <w:t>March 15</w:t>
      </w:r>
      <w:r w:rsidRPr="00E63D6A">
        <w:rPr>
          <w:rFonts w:cs="Times New Roman"/>
          <w:sz w:val="20"/>
          <w:szCs w:val="20"/>
        </w:rPr>
        <w:t>, 201</w:t>
      </w:r>
      <w:r w:rsidR="003D2CDA" w:rsidRPr="00E63D6A">
        <w:rPr>
          <w:rFonts w:cs="Times New Roman"/>
          <w:sz w:val="20"/>
          <w:szCs w:val="20"/>
        </w:rPr>
        <w:t>2</w:t>
      </w:r>
    </w:p>
    <w:p w:rsidR="005C6840" w:rsidRPr="003B3977" w:rsidRDefault="005C6840" w:rsidP="005C6840">
      <w:pPr>
        <w:rPr>
          <w:rFonts w:cs="Times New Roman"/>
          <w:sz w:val="20"/>
          <w:szCs w:val="20"/>
          <w:lang w:val="fr-CA"/>
        </w:rPr>
      </w:pPr>
      <w:r w:rsidRPr="00B701ED">
        <w:rPr>
          <w:rFonts w:cs="Times New Roman"/>
          <w:sz w:val="20"/>
          <w:szCs w:val="20"/>
          <w:lang w:val="fr-CA"/>
        </w:rPr>
        <w:t xml:space="preserve">Audition </w:t>
      </w:r>
      <w:r w:rsidRPr="003B3977">
        <w:rPr>
          <w:rFonts w:cs="Times New Roman"/>
          <w:sz w:val="20"/>
          <w:szCs w:val="20"/>
          <w:lang w:val="fr-CA"/>
        </w:rPr>
        <w:t xml:space="preserve">: Le </w:t>
      </w:r>
      <w:r w:rsidR="00E63D6A">
        <w:rPr>
          <w:rFonts w:cs="Times New Roman"/>
          <w:sz w:val="20"/>
          <w:szCs w:val="20"/>
          <w:lang w:val="fr-CA"/>
        </w:rPr>
        <w:t>10 fév</w:t>
      </w:r>
      <w:r w:rsidRPr="003B3977">
        <w:rPr>
          <w:rFonts w:cs="Times New Roman"/>
          <w:sz w:val="20"/>
          <w:szCs w:val="20"/>
          <w:lang w:val="fr-CA"/>
        </w:rPr>
        <w:t>r</w:t>
      </w:r>
      <w:r w:rsidR="00E63D6A">
        <w:rPr>
          <w:rFonts w:cs="Times New Roman"/>
          <w:sz w:val="20"/>
          <w:szCs w:val="20"/>
          <w:lang w:val="fr-CA"/>
        </w:rPr>
        <w:t>i</w:t>
      </w:r>
      <w:r w:rsidRPr="003B3977">
        <w:rPr>
          <w:rFonts w:cs="Times New Roman"/>
          <w:sz w:val="20"/>
          <w:szCs w:val="20"/>
          <w:lang w:val="fr-CA"/>
        </w:rPr>
        <w:t>e</w:t>
      </w:r>
      <w:r w:rsidR="00E63D6A">
        <w:rPr>
          <w:rFonts w:cs="Times New Roman"/>
          <w:sz w:val="20"/>
          <w:szCs w:val="20"/>
          <w:lang w:val="fr-CA"/>
        </w:rPr>
        <w:t>r</w:t>
      </w:r>
      <w:r w:rsidRPr="003B3977">
        <w:rPr>
          <w:rFonts w:cs="Times New Roman"/>
          <w:sz w:val="20"/>
          <w:szCs w:val="20"/>
          <w:lang w:val="fr-CA"/>
        </w:rPr>
        <w:t xml:space="preserve"> 201</w:t>
      </w:r>
      <w:r w:rsidR="00E63D6A">
        <w:rPr>
          <w:rFonts w:cs="Times New Roman"/>
          <w:sz w:val="20"/>
          <w:szCs w:val="20"/>
          <w:lang w:val="fr-CA"/>
        </w:rPr>
        <w:t>2</w:t>
      </w:r>
      <w:r w:rsidRPr="003B3977">
        <w:rPr>
          <w:rFonts w:cs="Times New Roman"/>
          <w:sz w:val="20"/>
          <w:szCs w:val="20"/>
          <w:lang w:val="fr-CA"/>
        </w:rPr>
        <w:t xml:space="preserve"> / Jugement : Le </w:t>
      </w:r>
      <w:r w:rsidR="003D2CDA">
        <w:rPr>
          <w:rFonts w:cs="Times New Roman"/>
          <w:sz w:val="20"/>
          <w:szCs w:val="20"/>
          <w:lang w:val="fr-CA"/>
        </w:rPr>
        <w:t>15 mars</w:t>
      </w:r>
      <w:r w:rsidRPr="003B3977">
        <w:rPr>
          <w:rFonts w:cs="Times New Roman"/>
          <w:sz w:val="20"/>
          <w:szCs w:val="20"/>
          <w:lang w:val="fr-CA"/>
        </w:rPr>
        <w:t xml:space="preserve"> 201</w:t>
      </w:r>
      <w:r w:rsidR="003D2CDA">
        <w:rPr>
          <w:rFonts w:cs="Times New Roman"/>
          <w:sz w:val="20"/>
          <w:szCs w:val="20"/>
          <w:lang w:val="fr-CA"/>
        </w:rPr>
        <w:t>2</w:t>
      </w:r>
    </w:p>
    <w:p w:rsidR="005C6840" w:rsidRPr="003B3977" w:rsidRDefault="009019DC" w:rsidP="005C6840">
      <w:pPr>
        <w:rPr>
          <w:rFonts w:cs="Times New Roman"/>
          <w:sz w:val="20"/>
          <w:szCs w:val="20"/>
          <w:lang w:val="fr-CA"/>
        </w:rPr>
      </w:pPr>
      <w:r w:rsidRPr="009019DC">
        <w:rPr>
          <w:rFonts w:cs="Times New Roman"/>
          <w:i/>
          <w:sz w:val="20"/>
          <w:szCs w:val="20"/>
        </w:rPr>
        <w:pict>
          <v:rect id="_x0000_i1068" style="width:480.95pt;height:1pt" o:hralign="center" o:hrstd="t" o:hrnoshade="t" o:hr="t" fillcolor="black [3213]" stroked="f"/>
        </w:pict>
      </w:r>
    </w:p>
    <w:p w:rsidR="005C6840" w:rsidRDefault="005C6840" w:rsidP="005C6840">
      <w:pPr>
        <w:rPr>
          <w:rFonts w:cs="Times New Roman"/>
          <w:sz w:val="20"/>
          <w:szCs w:val="20"/>
          <w:lang w:val="fr-CA"/>
        </w:rPr>
      </w:pPr>
    </w:p>
    <w:p w:rsidR="00E63D6A" w:rsidRPr="000C7FE8" w:rsidRDefault="00E63D6A" w:rsidP="00E63D6A">
      <w:pPr>
        <w:jc w:val="both"/>
        <w:rPr>
          <w:sz w:val="20"/>
          <w:szCs w:val="20"/>
        </w:rPr>
      </w:pPr>
      <w:r w:rsidRPr="000C7FE8">
        <w:rPr>
          <w:sz w:val="20"/>
          <w:szCs w:val="20"/>
        </w:rPr>
        <w:t>Present:  McLachlin C.J. and LeBel, Fish, Rothstein, Cromwell, Moldaver and Karakatsanis JJ.</w:t>
      </w:r>
    </w:p>
    <w:p w:rsidR="00E63D6A" w:rsidRDefault="00E63D6A" w:rsidP="00E63D6A">
      <w:pPr>
        <w:pStyle w:val="SCCLowerCourtNameLowercase"/>
        <w:spacing w:line="240" w:lineRule="auto"/>
        <w:rPr>
          <w:sz w:val="20"/>
        </w:rPr>
      </w:pPr>
    </w:p>
    <w:p w:rsidR="00E63D6A" w:rsidRPr="000C7FE8" w:rsidRDefault="00E63D6A" w:rsidP="00E63D6A">
      <w:pPr>
        <w:pStyle w:val="SCCNormalDoubleSpacing"/>
        <w:spacing w:line="240" w:lineRule="auto"/>
        <w:rPr>
          <w:i/>
          <w:sz w:val="20"/>
        </w:rPr>
      </w:pPr>
      <w:r w:rsidRPr="000C7FE8">
        <w:rPr>
          <w:i/>
          <w:sz w:val="20"/>
        </w:rPr>
        <w:tab/>
        <w:t>Private international law — Jurisdiction of Ontario courts — Choice of forum clauses — Motion to dismiss action brought after statement of defence filed on ground that Ontario courts had no jurisdiction in light of forum selection clauses — Whether dismissal of action could be sought notwithstanding delivery of statement of defence — Rules of Civil Procedure, R.R.O. 1990, Reg. 194, r. 21.01(3)(a).</w:t>
      </w:r>
    </w:p>
    <w:p w:rsidR="00E63D6A" w:rsidRDefault="00E63D6A" w:rsidP="00E63D6A">
      <w:pPr>
        <w:pStyle w:val="SCCNormalDoubleSpacing"/>
        <w:spacing w:line="240" w:lineRule="auto"/>
        <w:rPr>
          <w:sz w:val="20"/>
        </w:rPr>
      </w:pPr>
    </w:p>
    <w:p w:rsidR="00E63D6A" w:rsidRPr="000C7FE8" w:rsidRDefault="00E63D6A" w:rsidP="00E63D6A">
      <w:pPr>
        <w:pStyle w:val="SCCNormalDoubleSpacing"/>
        <w:spacing w:line="240" w:lineRule="auto"/>
        <w:rPr>
          <w:sz w:val="20"/>
        </w:rPr>
      </w:pPr>
      <w:r w:rsidRPr="000C7FE8">
        <w:rPr>
          <w:sz w:val="20"/>
        </w:rPr>
        <w:tab/>
      </w:r>
      <w:r w:rsidRPr="000C7FE8">
        <w:rPr>
          <w:i/>
          <w:sz w:val="20"/>
        </w:rPr>
        <w:t>Held:</w:t>
      </w:r>
      <w:r w:rsidRPr="000C7FE8">
        <w:rPr>
          <w:sz w:val="20"/>
        </w:rPr>
        <w:t xml:space="preserve">  The appeal should be dismissed.</w:t>
      </w:r>
    </w:p>
    <w:p w:rsidR="00E63D6A" w:rsidRDefault="00E63D6A" w:rsidP="00E63D6A">
      <w:pPr>
        <w:pStyle w:val="SCCNormalDoubleSpacing"/>
        <w:spacing w:line="240" w:lineRule="auto"/>
        <w:rPr>
          <w:sz w:val="20"/>
        </w:rPr>
      </w:pPr>
    </w:p>
    <w:p w:rsidR="00E63D6A" w:rsidRDefault="00E63D6A" w:rsidP="00E63D6A">
      <w:pPr>
        <w:pStyle w:val="SCCNormalDoubleSpacing"/>
        <w:spacing w:line="240" w:lineRule="auto"/>
        <w:rPr>
          <w:sz w:val="20"/>
        </w:rPr>
      </w:pPr>
      <w:r w:rsidRPr="000C7FE8">
        <w:rPr>
          <w:sz w:val="20"/>
        </w:rPr>
        <w:tab/>
        <w:t xml:space="preserve">Unless there is “strong cause” to displace the forum that the parties have agreed should resolve their dispute, order and fairness are better achieved when parties are held to their bargains.  Here, the motion judge did not err in the exercise of her discretion to dismiss the action under Rule 21.01(3)(a) of the Ontario </w:t>
      </w:r>
      <w:r w:rsidRPr="000C7FE8">
        <w:rPr>
          <w:i/>
          <w:sz w:val="20"/>
        </w:rPr>
        <w:t>Rules of Civil Procedure</w:t>
      </w:r>
      <w:r w:rsidRPr="000C7FE8">
        <w:rPr>
          <w:sz w:val="20"/>
        </w:rPr>
        <w:t xml:space="preserve">, based upon the foreign forum selection clause.  Although the motion must be brought promptly, nothing in Rule 21.01(3)(a) requires it to be brought before delivery of a statement of defence. </w:t>
      </w:r>
    </w:p>
    <w:p w:rsidR="00E63D6A" w:rsidRPr="000C7FE8" w:rsidRDefault="00E63D6A" w:rsidP="00E63D6A">
      <w:pPr>
        <w:pStyle w:val="SCCNormalDoubleSpacing"/>
        <w:spacing w:line="240" w:lineRule="auto"/>
        <w:ind w:left="547" w:hanging="547"/>
        <w:rPr>
          <w:sz w:val="20"/>
        </w:rPr>
      </w:pPr>
    </w:p>
    <w:p w:rsidR="00E63D6A" w:rsidRDefault="00E63D6A" w:rsidP="00E63D6A">
      <w:pPr>
        <w:pStyle w:val="SCCNormalDoubleSpacing"/>
        <w:spacing w:line="240" w:lineRule="auto"/>
        <w:rPr>
          <w:sz w:val="20"/>
        </w:rPr>
      </w:pPr>
      <w:r w:rsidRPr="000C7FE8">
        <w:rPr>
          <w:sz w:val="20"/>
        </w:rPr>
        <w:tab/>
        <w:t>APPEAL from a judgment of the Ontario Court of Appeal (Laskin, Gillese and Juriansz JJ.A.), 2010 ONCA 722, 103 O.R. (3d) 467, 325 D.L.R. (4th) 685, 270 O.A.C. 36, [2010] O.J. No. 4595 (QL), 2010 CarswellOnt 8322, affirming a decision of Ratushny J., 2009 CanLII 65823, [2009] O.J. No. 5016 (QL), 2009 CarswellOnt 7353, with additional reasons, 2010 ONSC 97 (CanLII), [2010] O.J. No. 9 (QL), 2010 CarswellOnt 4.  Appeal dismissed.</w:t>
      </w:r>
    </w:p>
    <w:p w:rsidR="00E63D6A" w:rsidRPr="000C7FE8" w:rsidRDefault="00E63D6A" w:rsidP="00E63D6A">
      <w:pPr>
        <w:pStyle w:val="SCCNormalDoubleSpacing"/>
        <w:spacing w:line="240" w:lineRule="auto"/>
        <w:rPr>
          <w:sz w:val="20"/>
        </w:rPr>
      </w:pPr>
    </w:p>
    <w:p w:rsidR="00E63D6A" w:rsidRPr="000C7FE8" w:rsidRDefault="00E63D6A" w:rsidP="00E63D6A">
      <w:pPr>
        <w:pStyle w:val="SCCNormalDoubleSpacing"/>
        <w:spacing w:line="240" w:lineRule="auto"/>
        <w:rPr>
          <w:sz w:val="20"/>
        </w:rPr>
      </w:pPr>
      <w:r w:rsidRPr="000C7FE8">
        <w:rPr>
          <w:i/>
          <w:sz w:val="20"/>
        </w:rPr>
        <w:tab/>
        <w:t>Susan M. Brown, K. Scott McLean</w:t>
      </w:r>
      <w:r w:rsidRPr="000C7FE8">
        <w:rPr>
          <w:sz w:val="20"/>
        </w:rPr>
        <w:t xml:space="preserve"> and </w:t>
      </w:r>
      <w:r w:rsidRPr="000C7FE8">
        <w:rPr>
          <w:i/>
          <w:sz w:val="20"/>
        </w:rPr>
        <w:t>James M. Wishart</w:t>
      </w:r>
      <w:r w:rsidRPr="000C7FE8">
        <w:rPr>
          <w:sz w:val="20"/>
        </w:rPr>
        <w:t>, for the appellants.</w:t>
      </w:r>
    </w:p>
    <w:p w:rsidR="00E63D6A" w:rsidRDefault="00E63D6A" w:rsidP="00E63D6A">
      <w:pPr>
        <w:pStyle w:val="SCCNormalDoubleSpacing"/>
        <w:spacing w:line="240" w:lineRule="auto"/>
        <w:rPr>
          <w:i/>
          <w:sz w:val="20"/>
        </w:rPr>
      </w:pPr>
    </w:p>
    <w:p w:rsidR="00E63D6A" w:rsidRPr="000C7FE8" w:rsidRDefault="00E63D6A" w:rsidP="00E63D6A">
      <w:pPr>
        <w:pStyle w:val="SCCNormalDoubleSpacing"/>
        <w:spacing w:line="240" w:lineRule="auto"/>
        <w:rPr>
          <w:sz w:val="20"/>
        </w:rPr>
      </w:pPr>
      <w:r w:rsidRPr="000C7FE8">
        <w:rPr>
          <w:i/>
          <w:sz w:val="20"/>
        </w:rPr>
        <w:tab/>
        <w:t>Pasquale Santini</w:t>
      </w:r>
      <w:r w:rsidRPr="000C7FE8">
        <w:rPr>
          <w:sz w:val="20"/>
        </w:rPr>
        <w:t xml:space="preserve"> and </w:t>
      </w:r>
      <w:r w:rsidRPr="000C7FE8">
        <w:rPr>
          <w:i/>
          <w:sz w:val="20"/>
        </w:rPr>
        <w:t>Samantha A. Iturregui</w:t>
      </w:r>
      <w:r w:rsidRPr="000C7FE8">
        <w:rPr>
          <w:sz w:val="20"/>
        </w:rPr>
        <w:t>, for the respondents the Canadian American Association of Professional Baseball Ltd. et al.</w:t>
      </w:r>
    </w:p>
    <w:p w:rsidR="00E63D6A" w:rsidRDefault="00E63D6A" w:rsidP="00E63D6A">
      <w:pPr>
        <w:pStyle w:val="SCCNormalDoubleSpacing"/>
        <w:spacing w:line="240" w:lineRule="auto"/>
        <w:rPr>
          <w:i/>
          <w:sz w:val="20"/>
        </w:rPr>
      </w:pPr>
    </w:p>
    <w:p w:rsidR="00E63D6A" w:rsidRPr="000C7FE8" w:rsidRDefault="00E63D6A" w:rsidP="00E63D6A">
      <w:pPr>
        <w:pStyle w:val="SCCNormalDoubleSpacing"/>
        <w:spacing w:line="240" w:lineRule="auto"/>
        <w:rPr>
          <w:sz w:val="20"/>
        </w:rPr>
      </w:pPr>
      <w:r w:rsidRPr="000C7FE8">
        <w:rPr>
          <w:i/>
          <w:sz w:val="20"/>
        </w:rPr>
        <w:tab/>
        <w:t>Benoit Duchesne</w:t>
      </w:r>
      <w:r w:rsidRPr="000C7FE8">
        <w:rPr>
          <w:sz w:val="20"/>
        </w:rPr>
        <w:t xml:space="preserve"> and </w:t>
      </w:r>
      <w:r w:rsidRPr="000C7FE8">
        <w:rPr>
          <w:i/>
          <w:sz w:val="20"/>
        </w:rPr>
        <w:t>Lauren J. Wihak</w:t>
      </w:r>
      <w:r w:rsidRPr="000C7FE8">
        <w:rPr>
          <w:sz w:val="20"/>
        </w:rPr>
        <w:t>, for the respondent the City of Ottawa.</w:t>
      </w:r>
    </w:p>
    <w:p w:rsidR="00E63D6A" w:rsidRDefault="00E63D6A" w:rsidP="00E63D6A">
      <w:pPr>
        <w:pStyle w:val="SCCNormalDoubleSpacing"/>
        <w:spacing w:line="240" w:lineRule="auto"/>
        <w:rPr>
          <w:i/>
          <w:sz w:val="20"/>
        </w:rPr>
      </w:pPr>
    </w:p>
    <w:p w:rsidR="00E63D6A" w:rsidRPr="000C7FE8" w:rsidRDefault="00E63D6A" w:rsidP="00E63D6A">
      <w:pPr>
        <w:pStyle w:val="SCCNormalDoubleSpacing"/>
        <w:spacing w:line="240" w:lineRule="auto"/>
        <w:rPr>
          <w:sz w:val="20"/>
        </w:rPr>
      </w:pPr>
      <w:r w:rsidRPr="000C7FE8">
        <w:rPr>
          <w:i/>
          <w:sz w:val="20"/>
        </w:rPr>
        <w:tab/>
        <w:t>Eric M. Appotive</w:t>
      </w:r>
      <w:r w:rsidRPr="000C7FE8">
        <w:rPr>
          <w:sz w:val="20"/>
        </w:rPr>
        <w:t xml:space="preserve"> and </w:t>
      </w:r>
      <w:r w:rsidRPr="000C7FE8">
        <w:rPr>
          <w:i/>
          <w:sz w:val="20"/>
        </w:rPr>
        <w:t>Allison A. Russell</w:t>
      </w:r>
      <w:r w:rsidRPr="000C7FE8">
        <w:rPr>
          <w:sz w:val="20"/>
        </w:rPr>
        <w:t>, for the respondent Miles Wolff.</w:t>
      </w:r>
    </w:p>
    <w:p w:rsidR="00E63D6A" w:rsidRDefault="00E63D6A" w:rsidP="00E63D6A">
      <w:pPr>
        <w:pStyle w:val="SCCLawFirm"/>
        <w:spacing w:line="240" w:lineRule="auto"/>
        <w:rPr>
          <w:sz w:val="20"/>
        </w:rPr>
      </w:pPr>
    </w:p>
    <w:p w:rsidR="00E63D6A" w:rsidRPr="000C7FE8" w:rsidRDefault="00E63D6A" w:rsidP="00E63D6A">
      <w:pPr>
        <w:pStyle w:val="SCCLawFirm"/>
        <w:spacing w:line="240" w:lineRule="auto"/>
        <w:rPr>
          <w:sz w:val="20"/>
        </w:rPr>
      </w:pPr>
      <w:r w:rsidRPr="000C7FE8">
        <w:rPr>
          <w:sz w:val="20"/>
        </w:rPr>
        <w:tab/>
        <w:t>Solicitors for the appellants:  Fraser Milner Casgrain, Ottawa.</w:t>
      </w:r>
    </w:p>
    <w:p w:rsidR="00E63D6A" w:rsidRDefault="00E63D6A" w:rsidP="00E63D6A">
      <w:pPr>
        <w:pStyle w:val="SCCLawFirm"/>
        <w:spacing w:line="240" w:lineRule="auto"/>
        <w:rPr>
          <w:sz w:val="20"/>
        </w:rPr>
      </w:pPr>
    </w:p>
    <w:p w:rsidR="00E63D6A" w:rsidRPr="000C7FE8" w:rsidRDefault="00E63D6A" w:rsidP="00E63D6A">
      <w:pPr>
        <w:pStyle w:val="SCCLawFirm"/>
        <w:spacing w:line="240" w:lineRule="auto"/>
        <w:rPr>
          <w:sz w:val="20"/>
        </w:rPr>
      </w:pPr>
      <w:r w:rsidRPr="000C7FE8">
        <w:rPr>
          <w:sz w:val="20"/>
        </w:rPr>
        <w:tab/>
        <w:t>Solicitors for the respondents the Canadian American Association of Professional Baseball Ltd. et al.:  Kelly Santini, Ottawa.</w:t>
      </w:r>
    </w:p>
    <w:p w:rsidR="00E63D6A" w:rsidRDefault="00E63D6A" w:rsidP="00E63D6A">
      <w:pPr>
        <w:pStyle w:val="SCCLawFirm"/>
        <w:spacing w:line="240" w:lineRule="auto"/>
        <w:rPr>
          <w:sz w:val="20"/>
        </w:rPr>
      </w:pPr>
    </w:p>
    <w:p w:rsidR="00E63D6A" w:rsidRPr="000C7FE8" w:rsidRDefault="00E63D6A" w:rsidP="00E63D6A">
      <w:pPr>
        <w:pStyle w:val="SCCLawFirm"/>
        <w:spacing w:line="240" w:lineRule="auto"/>
        <w:rPr>
          <w:sz w:val="20"/>
        </w:rPr>
      </w:pPr>
      <w:r w:rsidRPr="000C7FE8">
        <w:rPr>
          <w:sz w:val="20"/>
        </w:rPr>
        <w:tab/>
        <w:t>Solicitors for the respondent the City of Ottawa:  Heenan Blaikie, Ottawa.</w:t>
      </w:r>
    </w:p>
    <w:p w:rsidR="00E63D6A" w:rsidRDefault="00E63D6A" w:rsidP="00E63D6A">
      <w:pPr>
        <w:pStyle w:val="SCCLawFirm"/>
        <w:spacing w:line="240" w:lineRule="auto"/>
        <w:rPr>
          <w:sz w:val="20"/>
        </w:rPr>
      </w:pPr>
    </w:p>
    <w:p w:rsidR="00E63D6A" w:rsidRPr="000C7FE8" w:rsidRDefault="00E63D6A" w:rsidP="00E63D6A">
      <w:pPr>
        <w:pStyle w:val="SCCLawFirm"/>
        <w:spacing w:line="240" w:lineRule="auto"/>
        <w:rPr>
          <w:sz w:val="20"/>
        </w:rPr>
      </w:pPr>
      <w:r w:rsidRPr="000C7FE8">
        <w:rPr>
          <w:sz w:val="20"/>
        </w:rPr>
        <w:tab/>
        <w:t>Solicitors for the respondent Miles Wolff:  Hamilton, Appotive, Ottawa.</w:t>
      </w:r>
    </w:p>
    <w:p w:rsidR="00DD0B49" w:rsidRPr="00B701ED" w:rsidRDefault="00DD0B49" w:rsidP="00DD0B49">
      <w:pPr>
        <w:rPr>
          <w:rFonts w:cs="Times New Roman"/>
          <w:sz w:val="20"/>
          <w:szCs w:val="20"/>
          <w:lang w:val="fr-CA"/>
        </w:rPr>
      </w:pPr>
      <w:r w:rsidRPr="00B701ED">
        <w:rPr>
          <w:rFonts w:cs="Times New Roman"/>
          <w:sz w:val="20"/>
          <w:szCs w:val="20"/>
          <w:lang w:val="fr-CA"/>
        </w:rPr>
        <w:t>________________________</w:t>
      </w:r>
    </w:p>
    <w:p w:rsidR="00DD0B49" w:rsidRPr="00B701ED" w:rsidRDefault="00DD0B49" w:rsidP="00DD0B49">
      <w:pPr>
        <w:rPr>
          <w:rFonts w:cs="Times New Roman"/>
          <w:sz w:val="20"/>
          <w:szCs w:val="20"/>
          <w:lang w:val="fr-CA"/>
        </w:rPr>
      </w:pPr>
    </w:p>
    <w:p w:rsidR="0066447F" w:rsidRPr="0066447F" w:rsidRDefault="0066447F" w:rsidP="0066447F">
      <w:pPr>
        <w:jc w:val="both"/>
        <w:rPr>
          <w:sz w:val="20"/>
          <w:szCs w:val="20"/>
          <w:lang w:val="fr-CA"/>
        </w:rPr>
      </w:pPr>
      <w:r w:rsidRPr="0066447F">
        <w:rPr>
          <w:sz w:val="20"/>
          <w:szCs w:val="20"/>
          <w:lang w:val="fr-CA"/>
        </w:rPr>
        <w:t>Présents : La juge en chef McLachlin et les juges LeBel, Fish, Rothstein, Cromwell, Moldaver et Karakatsanis.</w:t>
      </w:r>
    </w:p>
    <w:p w:rsidR="0066447F" w:rsidRPr="0066447F" w:rsidRDefault="0066447F" w:rsidP="0066447F">
      <w:pPr>
        <w:pStyle w:val="SCCLowerCourtNameLowercase"/>
        <w:spacing w:line="240" w:lineRule="auto"/>
        <w:rPr>
          <w:sz w:val="20"/>
          <w:lang w:val="fr-CA"/>
        </w:rPr>
      </w:pPr>
    </w:p>
    <w:p w:rsidR="0066447F" w:rsidRPr="0066447F" w:rsidRDefault="0066447F" w:rsidP="0066447F">
      <w:pPr>
        <w:pStyle w:val="SCCNormalDoubleSpacing"/>
        <w:spacing w:line="240" w:lineRule="auto"/>
        <w:rPr>
          <w:sz w:val="20"/>
          <w:lang w:val="fr-CA"/>
        </w:rPr>
      </w:pPr>
      <w:r w:rsidRPr="0066447F">
        <w:rPr>
          <w:sz w:val="20"/>
          <w:lang w:val="fr-CA"/>
        </w:rPr>
        <w:tab/>
      </w:r>
      <w:r w:rsidRPr="0066447F">
        <w:rPr>
          <w:i/>
          <w:sz w:val="20"/>
          <w:lang w:val="fr-CA"/>
        </w:rPr>
        <w:t>Droit international privé — Compétence des tribunaux de l’Ontario — Clauses d’élection de for — Motion présentée après le dépôt d’une défense en vue d’obtenir le rejet de l’action, au motif que les tribunaux ontariens n’avaient pas compétence du fait des clauses d’élection de for — Le rejet de l’action pouvait</w:t>
      </w:r>
      <w:r w:rsidRPr="0066447F">
        <w:rPr>
          <w:i/>
          <w:sz w:val="20"/>
          <w:lang w:val="fr-CA"/>
        </w:rPr>
        <w:noBreakHyphen/>
        <w:t xml:space="preserve">il être demandé malgré la remise d’une défense? — </w:t>
      </w:r>
      <w:r w:rsidRPr="00AE6B6C">
        <w:rPr>
          <w:i/>
          <w:sz w:val="20"/>
          <w:lang w:val="fr-FR"/>
        </w:rPr>
        <w:t>Règles de procédure civile, R.R.O. 1990, Règl. 194, règle </w:t>
      </w:r>
      <w:r w:rsidRPr="0066447F">
        <w:rPr>
          <w:i/>
          <w:sz w:val="20"/>
          <w:lang w:val="fr-CA"/>
        </w:rPr>
        <w:t>21.01(3)a).</w:t>
      </w:r>
      <w:r w:rsidRPr="0066447F">
        <w:rPr>
          <w:sz w:val="20"/>
          <w:lang w:val="fr-CA"/>
        </w:rPr>
        <w:t xml:space="preserve"> </w:t>
      </w:r>
    </w:p>
    <w:p w:rsidR="0066447F" w:rsidRPr="0066447F" w:rsidRDefault="0066447F" w:rsidP="0066447F">
      <w:pPr>
        <w:pStyle w:val="SCCNormalDoubleSpacing"/>
        <w:spacing w:line="240" w:lineRule="auto"/>
        <w:rPr>
          <w:sz w:val="20"/>
          <w:lang w:val="fr-CA"/>
        </w:rPr>
      </w:pPr>
    </w:p>
    <w:p w:rsidR="0066447F" w:rsidRPr="0066447F" w:rsidRDefault="0066447F" w:rsidP="0066447F">
      <w:pPr>
        <w:pStyle w:val="SCCNormalDoubleSpacing"/>
        <w:spacing w:line="240" w:lineRule="auto"/>
        <w:rPr>
          <w:sz w:val="20"/>
          <w:lang w:val="fr-CA"/>
        </w:rPr>
      </w:pPr>
      <w:r w:rsidRPr="0066447F">
        <w:rPr>
          <w:sz w:val="20"/>
          <w:lang w:val="fr-CA"/>
        </w:rPr>
        <w:tab/>
      </w:r>
      <w:r w:rsidRPr="0066447F">
        <w:rPr>
          <w:i/>
          <w:sz w:val="20"/>
          <w:lang w:val="fr-CA"/>
        </w:rPr>
        <w:t>Arrêt</w:t>
      </w:r>
      <w:r w:rsidRPr="0066447F">
        <w:rPr>
          <w:sz w:val="20"/>
          <w:lang w:val="fr-CA"/>
        </w:rPr>
        <w:t> : Le pourvoi est rejeté.</w:t>
      </w:r>
    </w:p>
    <w:p w:rsidR="0066447F" w:rsidRPr="0066447F" w:rsidRDefault="0066447F" w:rsidP="0066447F">
      <w:pPr>
        <w:pStyle w:val="SCCNormalDoubleSpacing"/>
        <w:spacing w:line="240" w:lineRule="auto"/>
        <w:rPr>
          <w:sz w:val="20"/>
          <w:lang w:val="fr-CA"/>
        </w:rPr>
      </w:pPr>
    </w:p>
    <w:p w:rsidR="0066447F" w:rsidRDefault="0066447F" w:rsidP="0066447F">
      <w:pPr>
        <w:pStyle w:val="SCCNormalDoubleSpacing"/>
        <w:spacing w:line="240" w:lineRule="auto"/>
        <w:rPr>
          <w:sz w:val="20"/>
          <w:lang w:val="fr-FR"/>
        </w:rPr>
      </w:pPr>
      <w:r w:rsidRPr="0066447F">
        <w:rPr>
          <w:sz w:val="20"/>
          <w:lang w:val="fr-CA"/>
        </w:rPr>
        <w:tab/>
      </w:r>
      <w:r w:rsidRPr="00AE6B6C">
        <w:rPr>
          <w:sz w:val="20"/>
          <w:lang w:val="fr-FR"/>
        </w:rPr>
        <w:t xml:space="preserve">À moins qu’un « motif sérieux » ne justifie d’écarter le for dont ont convenu les parties comme lieu de règlement de leurs différends, la meilleure façon de faire régner l’ordre et l’équité consiste à obliger les parties à respecter leurs engagements.  En l’espèce, la juge saisie de la motion n’a pas commis d’erreur en exerçant son pouvoir discrétionnaire pour rejeter l’action en vertu de l’al. 21.01(3)a) des </w:t>
      </w:r>
      <w:r w:rsidRPr="00AE6B6C">
        <w:rPr>
          <w:i/>
          <w:sz w:val="20"/>
          <w:lang w:val="fr-FR"/>
        </w:rPr>
        <w:t xml:space="preserve">Règles de procédure civile </w:t>
      </w:r>
      <w:r w:rsidRPr="00AE6B6C">
        <w:rPr>
          <w:sz w:val="20"/>
          <w:lang w:val="fr-FR"/>
        </w:rPr>
        <w:t xml:space="preserve">de l’Ontario, compte tenu de la clause d’élection de for étranger.  Bien que la motion doive être présentée avec diligence, la règle 21.01(3)a) n’exige aucunement qu’elle le soit avant la remise d’une défense. </w:t>
      </w:r>
    </w:p>
    <w:p w:rsidR="0066447F" w:rsidRPr="0066447F" w:rsidRDefault="0066447F" w:rsidP="0066447F">
      <w:pPr>
        <w:pStyle w:val="SCCNormalDoubleSpacing"/>
        <w:spacing w:line="240" w:lineRule="auto"/>
        <w:ind w:left="547" w:hanging="547"/>
        <w:rPr>
          <w:sz w:val="20"/>
          <w:lang w:val="fr-CA"/>
        </w:rPr>
      </w:pPr>
    </w:p>
    <w:p w:rsidR="0066447F" w:rsidRPr="0066447F" w:rsidRDefault="0066447F" w:rsidP="0066447F">
      <w:pPr>
        <w:pStyle w:val="SCCNormalDoubleSpacing"/>
        <w:spacing w:line="240" w:lineRule="auto"/>
        <w:rPr>
          <w:sz w:val="20"/>
          <w:lang w:val="fr-CA"/>
        </w:rPr>
      </w:pPr>
      <w:r w:rsidRPr="0066447F">
        <w:rPr>
          <w:sz w:val="20"/>
          <w:lang w:val="fr-CA"/>
        </w:rPr>
        <w:tab/>
        <w:t>POURVOI contre un arrêt de la Cour d’appel de l’Ontario (les juges Laskin, Gillese et Juriansz), 2010 ONCA 722, 103 O.R. (3d) 467, 325 D.L.R. (4th) 685, 270 O.A.C. 36, [2010] O.J. No. 4595 (QL), 2010 CarswellOnt 8322, qui a confirmé une décision de la juge Ratushny, 2009 CanLII 65823, [2009] O.J. No. 5016 (QL), 2009 CarswellOnt 7353, avec motifs additionnels, 2010 ONSC 97 (CanLII), [2010] O.J. No. 9 (QL), 2010 CarswellOnt 4.  Pourvoi rejeté.</w:t>
      </w:r>
    </w:p>
    <w:p w:rsidR="0066447F" w:rsidRPr="0066447F" w:rsidRDefault="0066447F" w:rsidP="0066447F">
      <w:pPr>
        <w:pStyle w:val="SCCNormalDoubleSpacing"/>
        <w:spacing w:line="240" w:lineRule="auto"/>
        <w:rPr>
          <w:sz w:val="20"/>
          <w:lang w:val="fr-CA"/>
        </w:rPr>
      </w:pPr>
    </w:p>
    <w:p w:rsidR="0066447F" w:rsidRPr="0066447F" w:rsidRDefault="0066447F" w:rsidP="0066447F">
      <w:pPr>
        <w:pStyle w:val="SCCNormalDoubleSpacing"/>
        <w:spacing w:line="240" w:lineRule="auto"/>
        <w:rPr>
          <w:sz w:val="20"/>
          <w:lang w:val="fr-CA"/>
        </w:rPr>
      </w:pPr>
      <w:r w:rsidRPr="0066447F">
        <w:rPr>
          <w:i/>
          <w:sz w:val="20"/>
          <w:lang w:val="fr-CA"/>
        </w:rPr>
        <w:tab/>
        <w:t>Susan M. Brown, K. Scott McLean</w:t>
      </w:r>
      <w:r w:rsidRPr="0066447F">
        <w:rPr>
          <w:sz w:val="20"/>
          <w:lang w:val="fr-CA"/>
        </w:rPr>
        <w:t xml:space="preserve"> et </w:t>
      </w:r>
      <w:r w:rsidRPr="0066447F">
        <w:rPr>
          <w:i/>
          <w:sz w:val="20"/>
          <w:lang w:val="fr-CA"/>
        </w:rPr>
        <w:t>James M. Wishart</w:t>
      </w:r>
      <w:r w:rsidRPr="0066447F">
        <w:rPr>
          <w:sz w:val="20"/>
          <w:lang w:val="fr-CA"/>
        </w:rPr>
        <w:t>, pour les appelantes.</w:t>
      </w:r>
    </w:p>
    <w:p w:rsidR="0066447F" w:rsidRPr="0066447F" w:rsidRDefault="0066447F" w:rsidP="0066447F">
      <w:pPr>
        <w:pStyle w:val="SCCNormalDoubleSpacing"/>
        <w:spacing w:line="240" w:lineRule="auto"/>
        <w:rPr>
          <w:i/>
          <w:sz w:val="20"/>
          <w:lang w:val="fr-CA"/>
        </w:rPr>
      </w:pPr>
    </w:p>
    <w:p w:rsidR="0066447F" w:rsidRPr="0066447F" w:rsidRDefault="0066447F" w:rsidP="0066447F">
      <w:pPr>
        <w:pStyle w:val="SCCNormalDoubleSpacing"/>
        <w:spacing w:line="240" w:lineRule="auto"/>
        <w:rPr>
          <w:sz w:val="20"/>
          <w:lang w:val="fr-CA"/>
        </w:rPr>
      </w:pPr>
      <w:r w:rsidRPr="0066447F">
        <w:rPr>
          <w:i/>
          <w:sz w:val="20"/>
          <w:lang w:val="fr-CA"/>
        </w:rPr>
        <w:tab/>
        <w:t>Pasquale Santini</w:t>
      </w:r>
      <w:r w:rsidRPr="0066447F">
        <w:rPr>
          <w:sz w:val="20"/>
          <w:lang w:val="fr-CA"/>
        </w:rPr>
        <w:t xml:space="preserve"> et </w:t>
      </w:r>
      <w:r w:rsidRPr="0066447F">
        <w:rPr>
          <w:i/>
          <w:sz w:val="20"/>
          <w:lang w:val="fr-CA"/>
        </w:rPr>
        <w:t>Samantha A. Iturregui</w:t>
      </w:r>
      <w:r w:rsidRPr="0066447F">
        <w:rPr>
          <w:sz w:val="20"/>
          <w:lang w:val="fr-CA"/>
        </w:rPr>
        <w:t>, pour les intimés Canadian American Association of Professional Baseball Ltd. et autres.</w:t>
      </w:r>
    </w:p>
    <w:p w:rsidR="0066447F" w:rsidRPr="0066447F" w:rsidRDefault="0066447F" w:rsidP="0066447F">
      <w:pPr>
        <w:pStyle w:val="SCCNormalDoubleSpacing"/>
        <w:spacing w:line="240" w:lineRule="auto"/>
        <w:rPr>
          <w:i/>
          <w:sz w:val="20"/>
          <w:lang w:val="fr-CA"/>
        </w:rPr>
      </w:pPr>
    </w:p>
    <w:p w:rsidR="0066447F" w:rsidRPr="0066447F" w:rsidRDefault="0066447F" w:rsidP="0066447F">
      <w:pPr>
        <w:pStyle w:val="SCCNormalDoubleSpacing"/>
        <w:spacing w:line="240" w:lineRule="auto"/>
        <w:rPr>
          <w:sz w:val="20"/>
          <w:lang w:val="fr-CA"/>
        </w:rPr>
      </w:pPr>
      <w:r w:rsidRPr="0066447F">
        <w:rPr>
          <w:i/>
          <w:sz w:val="20"/>
          <w:lang w:val="fr-CA"/>
        </w:rPr>
        <w:tab/>
        <w:t>Benoit Duchesne</w:t>
      </w:r>
      <w:r w:rsidRPr="0066447F">
        <w:rPr>
          <w:sz w:val="20"/>
          <w:lang w:val="fr-CA"/>
        </w:rPr>
        <w:t xml:space="preserve"> et </w:t>
      </w:r>
      <w:r w:rsidRPr="0066447F">
        <w:rPr>
          <w:i/>
          <w:sz w:val="20"/>
          <w:lang w:val="fr-CA"/>
        </w:rPr>
        <w:t>Lauren J. Wihak</w:t>
      </w:r>
      <w:r w:rsidRPr="0066447F">
        <w:rPr>
          <w:sz w:val="20"/>
          <w:lang w:val="fr-CA"/>
        </w:rPr>
        <w:t>, pour l’intimée la Ville d’Ottawa.</w:t>
      </w:r>
    </w:p>
    <w:p w:rsidR="0066447F" w:rsidRPr="0066447F" w:rsidRDefault="0066447F" w:rsidP="0066447F">
      <w:pPr>
        <w:pStyle w:val="SCCNormalDoubleSpacing"/>
        <w:spacing w:line="240" w:lineRule="auto"/>
        <w:rPr>
          <w:i/>
          <w:sz w:val="20"/>
          <w:lang w:val="fr-CA"/>
        </w:rPr>
      </w:pPr>
    </w:p>
    <w:p w:rsidR="0066447F" w:rsidRPr="0066447F" w:rsidRDefault="0066447F" w:rsidP="0066447F">
      <w:pPr>
        <w:pStyle w:val="SCCNormalDoubleSpacing"/>
        <w:spacing w:line="240" w:lineRule="auto"/>
        <w:rPr>
          <w:sz w:val="20"/>
          <w:lang w:val="fr-CA"/>
        </w:rPr>
      </w:pPr>
      <w:r w:rsidRPr="0066447F">
        <w:rPr>
          <w:i/>
          <w:sz w:val="20"/>
          <w:lang w:val="fr-CA"/>
        </w:rPr>
        <w:tab/>
        <w:t>Eric M. Appotive</w:t>
      </w:r>
      <w:r w:rsidRPr="0066447F">
        <w:rPr>
          <w:sz w:val="20"/>
          <w:lang w:val="fr-CA"/>
        </w:rPr>
        <w:t xml:space="preserve"> et </w:t>
      </w:r>
      <w:r w:rsidRPr="0066447F">
        <w:rPr>
          <w:i/>
          <w:sz w:val="20"/>
          <w:lang w:val="fr-CA"/>
        </w:rPr>
        <w:t>Allison A. Russell</w:t>
      </w:r>
      <w:r w:rsidRPr="0066447F">
        <w:rPr>
          <w:sz w:val="20"/>
          <w:lang w:val="fr-CA"/>
        </w:rPr>
        <w:t>, pour l’intimé Miles Wolff.</w:t>
      </w:r>
    </w:p>
    <w:p w:rsidR="0066447F" w:rsidRPr="0066447F" w:rsidRDefault="0066447F" w:rsidP="0066447F">
      <w:pPr>
        <w:pStyle w:val="SCCLawFirm"/>
        <w:spacing w:line="240" w:lineRule="auto"/>
        <w:rPr>
          <w:sz w:val="20"/>
          <w:lang w:val="fr-CA"/>
        </w:rPr>
      </w:pPr>
    </w:p>
    <w:p w:rsidR="0066447F" w:rsidRPr="0066447F" w:rsidRDefault="0066447F" w:rsidP="0066447F">
      <w:pPr>
        <w:pStyle w:val="SCCLawFirm"/>
        <w:spacing w:line="240" w:lineRule="auto"/>
        <w:rPr>
          <w:sz w:val="20"/>
          <w:lang w:val="fr-CA"/>
        </w:rPr>
      </w:pPr>
      <w:r w:rsidRPr="0066447F">
        <w:rPr>
          <w:sz w:val="20"/>
          <w:lang w:val="fr-CA"/>
        </w:rPr>
        <w:tab/>
        <w:t>Procureurs des appelantes : Fraser Milner Casgrain, Ottawa.</w:t>
      </w:r>
    </w:p>
    <w:p w:rsidR="0066447F" w:rsidRPr="0066447F" w:rsidRDefault="0066447F" w:rsidP="0066447F">
      <w:pPr>
        <w:pStyle w:val="SCCLawFirm"/>
        <w:spacing w:line="240" w:lineRule="auto"/>
        <w:rPr>
          <w:sz w:val="20"/>
          <w:lang w:val="fr-CA"/>
        </w:rPr>
      </w:pPr>
    </w:p>
    <w:p w:rsidR="0066447F" w:rsidRPr="0066447F" w:rsidRDefault="0066447F" w:rsidP="0066447F">
      <w:pPr>
        <w:pStyle w:val="SCCLawFirm"/>
        <w:spacing w:line="240" w:lineRule="auto"/>
        <w:rPr>
          <w:sz w:val="20"/>
          <w:lang w:val="fr-CA"/>
        </w:rPr>
      </w:pPr>
      <w:r w:rsidRPr="0066447F">
        <w:rPr>
          <w:sz w:val="20"/>
          <w:lang w:val="fr-CA"/>
        </w:rPr>
        <w:tab/>
        <w:t>Procureurs des intimés Canadian American Association of Professional Baseball Ltd. et autres : Kelly Santini, Ottawa.</w:t>
      </w:r>
    </w:p>
    <w:p w:rsidR="0066447F" w:rsidRPr="0066447F" w:rsidRDefault="0066447F" w:rsidP="0066447F">
      <w:pPr>
        <w:pStyle w:val="SCCLawFirm"/>
        <w:spacing w:line="240" w:lineRule="auto"/>
        <w:rPr>
          <w:sz w:val="20"/>
          <w:lang w:val="fr-CA"/>
        </w:rPr>
      </w:pPr>
    </w:p>
    <w:p w:rsidR="0066447F" w:rsidRPr="0066447F" w:rsidRDefault="0066447F" w:rsidP="0066447F">
      <w:pPr>
        <w:pStyle w:val="SCCLawFirm"/>
        <w:spacing w:line="240" w:lineRule="auto"/>
        <w:rPr>
          <w:sz w:val="20"/>
          <w:lang w:val="fr-CA"/>
        </w:rPr>
      </w:pPr>
      <w:r w:rsidRPr="0066447F">
        <w:rPr>
          <w:sz w:val="20"/>
          <w:lang w:val="fr-CA"/>
        </w:rPr>
        <w:tab/>
        <w:t>Procureurs de l’intimée la Ville d’Ottawa : Heenan Blaikie, Ottawa.</w:t>
      </w:r>
    </w:p>
    <w:p w:rsidR="0066447F" w:rsidRPr="0066447F" w:rsidRDefault="0066447F" w:rsidP="0066447F">
      <w:pPr>
        <w:pStyle w:val="SCCLawFirm"/>
        <w:spacing w:line="240" w:lineRule="auto"/>
        <w:rPr>
          <w:sz w:val="20"/>
          <w:lang w:val="fr-CA"/>
        </w:rPr>
      </w:pPr>
    </w:p>
    <w:p w:rsidR="0066447F" w:rsidRDefault="0066447F" w:rsidP="0066447F">
      <w:pPr>
        <w:pStyle w:val="SCCLawFirm"/>
        <w:spacing w:line="240" w:lineRule="auto"/>
        <w:rPr>
          <w:sz w:val="20"/>
        </w:rPr>
      </w:pPr>
      <w:r w:rsidRPr="0066447F">
        <w:rPr>
          <w:sz w:val="20"/>
          <w:lang w:val="fr-CA"/>
        </w:rPr>
        <w:tab/>
      </w:r>
      <w:r w:rsidRPr="00AE6B6C">
        <w:rPr>
          <w:sz w:val="20"/>
        </w:rPr>
        <w:t>Procureurs de l’intimé Miles Wolff : Hamilton, Appotive, Ottawa.</w:t>
      </w:r>
    </w:p>
    <w:p w:rsidR="003B3977" w:rsidRDefault="003B3977" w:rsidP="005C6840">
      <w:pPr>
        <w:rPr>
          <w:rFonts w:cs="Times New Roman"/>
          <w:sz w:val="20"/>
          <w:szCs w:val="20"/>
          <w:lang w:val="fr-CA"/>
        </w:rPr>
      </w:pPr>
    </w:p>
    <w:p w:rsidR="005C6840" w:rsidRDefault="009019DC" w:rsidP="005C6840">
      <w:pPr>
        <w:rPr>
          <w:lang w:val="fr-CA"/>
        </w:rPr>
      </w:pPr>
      <w:r w:rsidRPr="009019DC">
        <w:rPr>
          <w:rFonts w:cs="Times New Roman"/>
          <w:sz w:val="20"/>
          <w:szCs w:val="20"/>
          <w:lang w:val="fr-CA"/>
        </w:rPr>
        <w:pict>
          <v:rect id="_x0000_i1069" style="width:144.3pt;height:1pt" o:hrpct="300" o:hralign="center" o:hrstd="t" o:hrnoshade="t" o:hr="t" fillcolor="black [3213]" stroked="f"/>
        </w:pict>
      </w:r>
      <w:r w:rsidR="005C6840">
        <w:rPr>
          <w:lang w:val="fr-CA"/>
        </w:rPr>
        <w:br w:type="page"/>
      </w:r>
    </w:p>
    <w:p w:rsidR="00892F8C" w:rsidRPr="009A686D" w:rsidRDefault="00892F8C" w:rsidP="00892F8C">
      <w:pPr>
        <w:rPr>
          <w:sz w:val="20"/>
          <w:szCs w:val="20"/>
        </w:rPr>
      </w:pPr>
      <w:r w:rsidRPr="009A686D">
        <w:rPr>
          <w:i/>
          <w:sz w:val="20"/>
          <w:szCs w:val="20"/>
        </w:rPr>
        <w:lastRenderedPageBreak/>
        <w:t xml:space="preserve">Halifax Regional Municipality, a body corporate duly incorporated pursuant to the laws of Nova Scotiay v. Nova Scotia Human Rights Commission et al. </w:t>
      </w:r>
      <w:r w:rsidRPr="009A686D">
        <w:rPr>
          <w:sz w:val="20"/>
          <w:szCs w:val="20"/>
        </w:rPr>
        <w:t>(N.S.) (33651)</w:t>
      </w:r>
    </w:p>
    <w:p w:rsidR="00EF177C" w:rsidRPr="001B7373" w:rsidRDefault="00EF177C" w:rsidP="00EF177C">
      <w:pPr>
        <w:jc w:val="both"/>
        <w:rPr>
          <w:rStyle w:val="SCCRespondentForIndexChar"/>
          <w:rFonts w:eastAsiaTheme="minorHAnsi"/>
          <w:sz w:val="20"/>
        </w:rPr>
      </w:pPr>
      <w:r w:rsidRPr="001B7373">
        <w:rPr>
          <w:b/>
          <w:sz w:val="20"/>
          <w:szCs w:val="20"/>
        </w:rPr>
        <w:t xml:space="preserve">Indexed as:  </w:t>
      </w:r>
      <w:r w:rsidRPr="00EF177C">
        <w:rPr>
          <w:rStyle w:val="SCCAppellantForIndexChar"/>
          <w:rFonts w:eastAsia="Calibri"/>
          <w:sz w:val="20"/>
          <w:lang w:val="en-CA"/>
        </w:rPr>
        <w:t>Halifax (Regional Municipality)</w:t>
      </w:r>
      <w:r w:rsidRPr="001B7373">
        <w:rPr>
          <w:b/>
          <w:sz w:val="20"/>
          <w:szCs w:val="20"/>
        </w:rPr>
        <w:t xml:space="preserve"> </w:t>
      </w:r>
      <w:r w:rsidRPr="001B7373">
        <w:rPr>
          <w:b/>
          <w:i/>
          <w:sz w:val="20"/>
          <w:szCs w:val="20"/>
        </w:rPr>
        <w:t>v.</w:t>
      </w:r>
      <w:r w:rsidRPr="001B7373">
        <w:rPr>
          <w:b/>
          <w:sz w:val="20"/>
          <w:szCs w:val="20"/>
        </w:rPr>
        <w:t xml:space="preserve"> </w:t>
      </w:r>
      <w:r w:rsidRPr="001B7373">
        <w:rPr>
          <w:rStyle w:val="SCCRespondentForIndexChar"/>
          <w:rFonts w:eastAsiaTheme="minorHAnsi"/>
          <w:sz w:val="20"/>
        </w:rPr>
        <w:t>Nova Scotia (Human Rights Commission)</w:t>
      </w:r>
      <w:r>
        <w:rPr>
          <w:rStyle w:val="SCCRespondentForIndexChar"/>
          <w:rFonts w:eastAsiaTheme="minorHAnsi"/>
          <w:sz w:val="20"/>
        </w:rPr>
        <w:t xml:space="preserve"> /</w:t>
      </w:r>
    </w:p>
    <w:p w:rsidR="00EF177C" w:rsidRPr="00EF177C" w:rsidRDefault="00EF177C" w:rsidP="00EF177C">
      <w:pPr>
        <w:jc w:val="both"/>
        <w:rPr>
          <w:b/>
          <w:sz w:val="20"/>
          <w:szCs w:val="20"/>
          <w:lang w:val="fr-CA"/>
        </w:rPr>
      </w:pPr>
      <w:r w:rsidRPr="00EF177C">
        <w:rPr>
          <w:b/>
          <w:sz w:val="20"/>
          <w:szCs w:val="20"/>
          <w:lang w:val="fr-CA"/>
        </w:rPr>
        <w:t>Répertorié : </w:t>
      </w:r>
      <w:r w:rsidRPr="004C33AC">
        <w:rPr>
          <w:rStyle w:val="SCCAppellantForIndexChar"/>
          <w:rFonts w:eastAsia="Calibri"/>
          <w:sz w:val="20"/>
        </w:rPr>
        <w:t>Halifax (Regional Municipality)</w:t>
      </w:r>
      <w:r w:rsidRPr="00EF177C">
        <w:rPr>
          <w:b/>
          <w:sz w:val="20"/>
          <w:szCs w:val="20"/>
          <w:lang w:val="fr-CA"/>
        </w:rPr>
        <w:t xml:space="preserve"> </w:t>
      </w:r>
      <w:r w:rsidRPr="00EF177C">
        <w:rPr>
          <w:b/>
          <w:i/>
          <w:sz w:val="20"/>
          <w:szCs w:val="20"/>
          <w:lang w:val="fr-CA"/>
        </w:rPr>
        <w:t>c.</w:t>
      </w:r>
      <w:r w:rsidRPr="00EF177C">
        <w:rPr>
          <w:b/>
          <w:sz w:val="20"/>
          <w:szCs w:val="20"/>
          <w:lang w:val="fr-CA"/>
        </w:rPr>
        <w:t xml:space="preserve"> </w:t>
      </w:r>
      <w:r w:rsidRPr="00EF177C">
        <w:rPr>
          <w:rStyle w:val="SCCRespondentForIndexChar"/>
          <w:rFonts w:eastAsiaTheme="minorHAnsi"/>
          <w:sz w:val="20"/>
          <w:lang w:val="fr-CA"/>
        </w:rPr>
        <w:t>Nouvelle</w:t>
      </w:r>
      <w:r w:rsidRPr="00EF177C">
        <w:rPr>
          <w:rStyle w:val="SCCRespondentForIndexChar"/>
          <w:rFonts w:eastAsiaTheme="minorHAnsi"/>
          <w:sz w:val="20"/>
          <w:lang w:val="fr-CA"/>
        </w:rPr>
        <w:noBreakHyphen/>
        <w:t>Écosse (Human Rights Commission)</w:t>
      </w:r>
    </w:p>
    <w:p w:rsidR="005C6840" w:rsidRPr="00EF177C" w:rsidRDefault="005C6840" w:rsidP="005C6840">
      <w:pPr>
        <w:pStyle w:val="SCCSystemYear"/>
        <w:jc w:val="both"/>
        <w:rPr>
          <w:sz w:val="20"/>
        </w:rPr>
      </w:pPr>
      <w:r w:rsidRPr="00EF177C">
        <w:rPr>
          <w:sz w:val="20"/>
        </w:rPr>
        <w:t>Neutral citation:  201</w:t>
      </w:r>
      <w:r w:rsidR="00892F8C" w:rsidRPr="00EF177C">
        <w:rPr>
          <w:sz w:val="20"/>
        </w:rPr>
        <w:t>2</w:t>
      </w:r>
      <w:r w:rsidRPr="00EF177C">
        <w:rPr>
          <w:sz w:val="20"/>
        </w:rPr>
        <w:t xml:space="preserve"> SCC </w:t>
      </w:r>
      <w:r w:rsidR="00892F8C" w:rsidRPr="00EF177C">
        <w:rPr>
          <w:sz w:val="20"/>
        </w:rPr>
        <w:t>10</w:t>
      </w:r>
      <w:r w:rsidRPr="00EF177C">
        <w:rPr>
          <w:sz w:val="20"/>
        </w:rPr>
        <w:t xml:space="preserve"> / Référence neutre : 201</w:t>
      </w:r>
      <w:r w:rsidR="00892F8C" w:rsidRPr="00EF177C">
        <w:rPr>
          <w:sz w:val="20"/>
        </w:rPr>
        <w:t>2</w:t>
      </w:r>
      <w:r w:rsidRPr="00EF177C">
        <w:rPr>
          <w:sz w:val="20"/>
        </w:rPr>
        <w:t xml:space="preserve"> CSC </w:t>
      </w:r>
      <w:r w:rsidR="00892F8C" w:rsidRPr="00EF177C">
        <w:rPr>
          <w:sz w:val="20"/>
        </w:rPr>
        <w:t>10</w:t>
      </w:r>
    </w:p>
    <w:p w:rsidR="005C6840" w:rsidRPr="00EF177C" w:rsidRDefault="005C6840" w:rsidP="005C6840">
      <w:pPr>
        <w:rPr>
          <w:sz w:val="20"/>
          <w:szCs w:val="20"/>
          <w:lang w:val="fr-CA"/>
        </w:rPr>
      </w:pPr>
      <w:r w:rsidRPr="00EF177C">
        <w:rPr>
          <w:sz w:val="20"/>
          <w:szCs w:val="20"/>
          <w:lang w:val="fr-CA"/>
        </w:rPr>
        <w:t xml:space="preserve">Hearing:  </w:t>
      </w:r>
      <w:r w:rsidR="00EF177C" w:rsidRPr="00EF177C">
        <w:rPr>
          <w:sz w:val="20"/>
          <w:szCs w:val="20"/>
          <w:lang w:val="fr-CA"/>
        </w:rPr>
        <w:t xml:space="preserve">October </w:t>
      </w:r>
      <w:r w:rsidRPr="00EF177C">
        <w:rPr>
          <w:sz w:val="20"/>
          <w:szCs w:val="20"/>
          <w:lang w:val="fr-CA"/>
        </w:rPr>
        <w:t>1</w:t>
      </w:r>
      <w:r w:rsidR="00EF177C" w:rsidRPr="00EF177C">
        <w:rPr>
          <w:sz w:val="20"/>
          <w:szCs w:val="20"/>
          <w:lang w:val="fr-CA"/>
        </w:rPr>
        <w:t>9</w:t>
      </w:r>
      <w:r w:rsidRPr="00EF177C">
        <w:rPr>
          <w:sz w:val="20"/>
          <w:szCs w:val="20"/>
          <w:lang w:val="fr-CA"/>
        </w:rPr>
        <w:t>, 201</w:t>
      </w:r>
      <w:r w:rsidR="00EF177C" w:rsidRPr="00EF177C">
        <w:rPr>
          <w:sz w:val="20"/>
          <w:szCs w:val="20"/>
          <w:lang w:val="fr-CA"/>
        </w:rPr>
        <w:t>1</w:t>
      </w:r>
      <w:r w:rsidRPr="00EF177C">
        <w:rPr>
          <w:sz w:val="20"/>
          <w:szCs w:val="20"/>
          <w:lang w:val="fr-CA"/>
        </w:rPr>
        <w:t xml:space="preserve"> / Judgment:  </w:t>
      </w:r>
      <w:r w:rsidR="00892F8C" w:rsidRPr="00EF177C">
        <w:rPr>
          <w:sz w:val="20"/>
          <w:szCs w:val="20"/>
          <w:lang w:val="fr-CA"/>
        </w:rPr>
        <w:t>March 16</w:t>
      </w:r>
      <w:r w:rsidRPr="00EF177C">
        <w:rPr>
          <w:sz w:val="20"/>
          <w:szCs w:val="20"/>
          <w:lang w:val="fr-CA"/>
        </w:rPr>
        <w:t>, 201</w:t>
      </w:r>
      <w:r w:rsidR="00892F8C" w:rsidRPr="00EF177C">
        <w:rPr>
          <w:sz w:val="20"/>
          <w:szCs w:val="20"/>
          <w:lang w:val="fr-CA"/>
        </w:rPr>
        <w:t>2</w:t>
      </w:r>
    </w:p>
    <w:p w:rsidR="005C6840" w:rsidRPr="003B3977" w:rsidRDefault="005C6840" w:rsidP="005C6840">
      <w:pPr>
        <w:rPr>
          <w:sz w:val="20"/>
          <w:szCs w:val="20"/>
          <w:lang w:val="fr-CA"/>
        </w:rPr>
      </w:pPr>
      <w:r w:rsidRPr="003B3977">
        <w:rPr>
          <w:sz w:val="20"/>
          <w:szCs w:val="20"/>
          <w:lang w:val="fr-CA"/>
        </w:rPr>
        <w:t>Audition : Le 1</w:t>
      </w:r>
      <w:r w:rsidR="00EF177C">
        <w:rPr>
          <w:sz w:val="20"/>
          <w:szCs w:val="20"/>
          <w:lang w:val="fr-CA"/>
        </w:rPr>
        <w:t>9 octobre</w:t>
      </w:r>
      <w:r w:rsidRPr="003B3977">
        <w:rPr>
          <w:sz w:val="20"/>
          <w:szCs w:val="20"/>
          <w:lang w:val="fr-CA"/>
        </w:rPr>
        <w:t xml:space="preserve"> 201</w:t>
      </w:r>
      <w:r w:rsidR="00EF177C">
        <w:rPr>
          <w:sz w:val="20"/>
          <w:szCs w:val="20"/>
          <w:lang w:val="fr-CA"/>
        </w:rPr>
        <w:t>1</w:t>
      </w:r>
      <w:r w:rsidRPr="003B3977">
        <w:rPr>
          <w:sz w:val="20"/>
          <w:szCs w:val="20"/>
          <w:lang w:val="fr-CA"/>
        </w:rPr>
        <w:t xml:space="preserve"> / Jugement : Le </w:t>
      </w:r>
      <w:r w:rsidR="00892F8C">
        <w:rPr>
          <w:sz w:val="20"/>
          <w:szCs w:val="20"/>
          <w:lang w:val="fr-CA"/>
        </w:rPr>
        <w:t>16 ma</w:t>
      </w:r>
      <w:r w:rsidRPr="003B3977">
        <w:rPr>
          <w:sz w:val="20"/>
          <w:szCs w:val="20"/>
          <w:lang w:val="fr-CA"/>
        </w:rPr>
        <w:t>r</w:t>
      </w:r>
      <w:r w:rsidR="00892F8C">
        <w:rPr>
          <w:sz w:val="20"/>
          <w:szCs w:val="20"/>
          <w:lang w:val="fr-CA"/>
        </w:rPr>
        <w:t>s</w:t>
      </w:r>
      <w:r w:rsidRPr="003B3977">
        <w:rPr>
          <w:sz w:val="20"/>
          <w:szCs w:val="20"/>
          <w:lang w:val="fr-CA"/>
        </w:rPr>
        <w:t xml:space="preserve"> 201</w:t>
      </w:r>
      <w:r w:rsidR="00892F8C">
        <w:rPr>
          <w:sz w:val="20"/>
          <w:szCs w:val="20"/>
          <w:lang w:val="fr-CA"/>
        </w:rPr>
        <w:t>2</w:t>
      </w:r>
    </w:p>
    <w:p w:rsidR="005C6840" w:rsidRPr="003B3977" w:rsidRDefault="009019DC" w:rsidP="005C6840">
      <w:pPr>
        <w:rPr>
          <w:sz w:val="20"/>
          <w:szCs w:val="20"/>
          <w:lang w:val="fr-CA"/>
        </w:rPr>
      </w:pPr>
      <w:r w:rsidRPr="009019DC">
        <w:rPr>
          <w:i/>
          <w:sz w:val="20"/>
          <w:szCs w:val="20"/>
        </w:rPr>
        <w:pict>
          <v:rect id="_x0000_i1070" style="width:480.95pt;height:1pt" o:hralign="center" o:hrstd="t" o:hrnoshade="t" o:hr="t" fillcolor="black [3213]" stroked="f"/>
        </w:pict>
      </w:r>
    </w:p>
    <w:p w:rsidR="005C6840" w:rsidRDefault="005C6840" w:rsidP="005C6840">
      <w:pPr>
        <w:spacing w:line="0" w:lineRule="atLeast"/>
        <w:rPr>
          <w:sz w:val="20"/>
          <w:szCs w:val="20"/>
          <w:lang w:val="fr-CA"/>
        </w:rPr>
      </w:pPr>
    </w:p>
    <w:p w:rsidR="00EF177C" w:rsidRPr="001B7373" w:rsidRDefault="00EF177C" w:rsidP="00EF177C">
      <w:pPr>
        <w:jc w:val="both"/>
        <w:rPr>
          <w:sz w:val="20"/>
          <w:szCs w:val="20"/>
        </w:rPr>
      </w:pPr>
      <w:r w:rsidRPr="001B7373">
        <w:rPr>
          <w:sz w:val="20"/>
          <w:szCs w:val="20"/>
        </w:rPr>
        <w:t>Present:  McLachlin C.J. and LeBel, Deschamps, Fish, Abella, Rothstein and Cromwell JJ.</w:t>
      </w:r>
    </w:p>
    <w:p w:rsidR="00EF177C" w:rsidRDefault="00EF177C" w:rsidP="00EF177C">
      <w:pPr>
        <w:pStyle w:val="SCCLowerCourtNameLowercase"/>
        <w:spacing w:line="240" w:lineRule="auto"/>
        <w:rPr>
          <w:sz w:val="20"/>
        </w:rPr>
      </w:pPr>
    </w:p>
    <w:p w:rsidR="00EF177C" w:rsidRPr="001B7373" w:rsidRDefault="00EF177C" w:rsidP="00EF177C">
      <w:pPr>
        <w:pStyle w:val="SCCNormalDoubleSpacing"/>
        <w:spacing w:line="240" w:lineRule="auto"/>
        <w:rPr>
          <w:i/>
          <w:sz w:val="20"/>
        </w:rPr>
      </w:pPr>
      <w:r w:rsidRPr="001B7373">
        <w:rPr>
          <w:i/>
          <w:sz w:val="20"/>
        </w:rPr>
        <w:tab/>
        <w:t>Administrative law — Judicial review — Standard of review —Complaint filed with Nova Scotia Human Rights Commission — Commission requesting appointment of board of inquiry — Decision set aside on judicial review — Board prohibited from proceeding — Appeal allowed — Whether chambers judge applied correct standard of review — Whether Commission erred in requesting appointment of board of inquiry.</w:t>
      </w:r>
    </w:p>
    <w:p w:rsidR="00EF177C" w:rsidRDefault="00EF177C" w:rsidP="00EF177C">
      <w:pPr>
        <w:pStyle w:val="SCCNormalDoubleSpacing"/>
        <w:spacing w:line="240" w:lineRule="auto"/>
        <w:rPr>
          <w:sz w:val="20"/>
        </w:rPr>
      </w:pPr>
    </w:p>
    <w:p w:rsidR="00EF177C" w:rsidRPr="001B7373" w:rsidRDefault="00EF177C" w:rsidP="00EF177C">
      <w:pPr>
        <w:pStyle w:val="SCCNormalDoubleSpacing"/>
        <w:spacing w:line="240" w:lineRule="auto"/>
        <w:rPr>
          <w:sz w:val="20"/>
        </w:rPr>
      </w:pPr>
      <w:r w:rsidRPr="001B7373">
        <w:rPr>
          <w:sz w:val="20"/>
        </w:rPr>
        <w:tab/>
        <w:t>The complainant, a francophone Acadian parent who had children enrolled in one of the French</w:t>
      </w:r>
      <w:r w:rsidRPr="001B7373">
        <w:rPr>
          <w:sz w:val="20"/>
        </w:rPr>
        <w:noBreakHyphen/>
        <w:t>first</w:t>
      </w:r>
      <w:r w:rsidRPr="001B7373">
        <w:rPr>
          <w:sz w:val="20"/>
        </w:rPr>
        <w:noBreakHyphen/>
        <w:t>language schools in Halifax, filed complaints alleging that the funding arrangements for the schools discriminated against him and his children on the basis of their Acadian ethnic origin.  Following municipal amalgamation and the consequent amalgamation of the affected school boards, Halifax imposed a tax to allow it to satisfy the statutory requirement that it maintain supplementary funding to schools that had received such funding prior to amalgamation.  However, Halifax schools that formed part of the newly created Conseil scolaire acadien provincial, a province</w:t>
      </w:r>
      <w:r w:rsidRPr="001B7373">
        <w:rPr>
          <w:sz w:val="20"/>
        </w:rPr>
        <w:noBreakHyphen/>
        <w:t>wide public school board that administers French</w:t>
      </w:r>
      <w:r w:rsidRPr="001B7373">
        <w:rPr>
          <w:sz w:val="20"/>
        </w:rPr>
        <w:noBreakHyphen/>
        <w:t>first</w:t>
      </w:r>
      <w:r w:rsidRPr="001B7373">
        <w:rPr>
          <w:sz w:val="20"/>
        </w:rPr>
        <w:noBreakHyphen/>
        <w:t>language schools, did not receive supplementary funding.  Legislation did not require Halifax to provide it to these schools.</w:t>
      </w:r>
    </w:p>
    <w:p w:rsidR="00EF177C" w:rsidRDefault="00EF177C" w:rsidP="00EF177C">
      <w:pPr>
        <w:pStyle w:val="SCCNormalDoubleSpacing"/>
        <w:spacing w:line="240" w:lineRule="auto"/>
        <w:rPr>
          <w:sz w:val="20"/>
        </w:rPr>
      </w:pPr>
    </w:p>
    <w:p w:rsidR="00EF177C" w:rsidRPr="001B7373" w:rsidRDefault="00EF177C" w:rsidP="00EF177C">
      <w:pPr>
        <w:pStyle w:val="SCCNormalDoubleSpacing"/>
        <w:spacing w:line="240" w:lineRule="auto"/>
        <w:rPr>
          <w:sz w:val="20"/>
        </w:rPr>
      </w:pPr>
      <w:r w:rsidRPr="001B7373">
        <w:rPr>
          <w:sz w:val="20"/>
        </w:rPr>
        <w:tab/>
        <w:t xml:space="preserve">After investigating the complaints, the Commission requested that a board of inquiry be appointed.  Shortly thereafter, a </w:t>
      </w:r>
      <w:r w:rsidRPr="001B7373">
        <w:rPr>
          <w:i/>
          <w:sz w:val="20"/>
        </w:rPr>
        <w:t>Charter</w:t>
      </w:r>
      <w:r w:rsidRPr="001B7373">
        <w:rPr>
          <w:sz w:val="20"/>
        </w:rPr>
        <w:t xml:space="preserve"> challenge brought by other parents led to a statutory amendment providing for supplementary funding for Conseil schools in Halifax.  The </w:t>
      </w:r>
      <w:r w:rsidRPr="001B7373">
        <w:rPr>
          <w:i/>
          <w:sz w:val="20"/>
        </w:rPr>
        <w:t>Charter</w:t>
      </w:r>
      <w:r w:rsidRPr="001B7373">
        <w:rPr>
          <w:sz w:val="20"/>
        </w:rPr>
        <w:t xml:space="preserve"> challenge was dismissed on consent.  Halifax applied for judicial review of the Commission’s decision to refer the complaint against it to a board of inquiry.  A judge of the Nova Scotia Supreme Court set the referral decision aside and prohibited the board from proceeding.  The Nova Scotia Court of Appeal reversed and cleared the way for the board of inquiry to go ahead.</w:t>
      </w:r>
    </w:p>
    <w:p w:rsidR="00EF177C" w:rsidRDefault="00EF177C" w:rsidP="00EF177C">
      <w:pPr>
        <w:pStyle w:val="SCCNormalDoubleSpacing"/>
        <w:spacing w:line="240" w:lineRule="auto"/>
        <w:rPr>
          <w:sz w:val="20"/>
        </w:rPr>
      </w:pPr>
    </w:p>
    <w:p w:rsidR="00EF177C" w:rsidRPr="001B7373" w:rsidRDefault="00EF177C" w:rsidP="00EF177C">
      <w:pPr>
        <w:pStyle w:val="SCCNormalDoubleSpacing"/>
        <w:spacing w:line="240" w:lineRule="auto"/>
        <w:rPr>
          <w:sz w:val="20"/>
        </w:rPr>
      </w:pPr>
      <w:r w:rsidRPr="001B7373">
        <w:rPr>
          <w:sz w:val="20"/>
        </w:rPr>
        <w:tab/>
      </w:r>
      <w:r w:rsidRPr="001B7373">
        <w:rPr>
          <w:rStyle w:val="QuoteChar"/>
          <w:sz w:val="20"/>
        </w:rPr>
        <w:t>Held:</w:t>
      </w:r>
      <w:r w:rsidRPr="001B7373">
        <w:rPr>
          <w:sz w:val="20"/>
        </w:rPr>
        <w:t xml:space="preserve">  The appeal should be dismissed.</w:t>
      </w:r>
    </w:p>
    <w:p w:rsidR="00EF177C" w:rsidRDefault="00EF177C" w:rsidP="00EF177C">
      <w:pPr>
        <w:pStyle w:val="SCCNormalDoubleSpacing"/>
        <w:spacing w:line="240" w:lineRule="auto"/>
        <w:rPr>
          <w:sz w:val="20"/>
        </w:rPr>
      </w:pPr>
    </w:p>
    <w:p w:rsidR="00EF177C" w:rsidRPr="001B7373" w:rsidRDefault="00EF177C" w:rsidP="00EF177C">
      <w:pPr>
        <w:pStyle w:val="SCCNormalDoubleSpacing"/>
        <w:spacing w:line="240" w:lineRule="auto"/>
        <w:rPr>
          <w:sz w:val="20"/>
        </w:rPr>
      </w:pPr>
      <w:r w:rsidRPr="001B7373">
        <w:rPr>
          <w:sz w:val="20"/>
        </w:rPr>
        <w:tab/>
        <w:t xml:space="preserve">Judicial intervention is not justified at this preliminary stage of the Commission’s work.  The Commission did not decide that the complaint fell within the purview of the </w:t>
      </w:r>
      <w:r w:rsidRPr="001B7373">
        <w:rPr>
          <w:i/>
          <w:sz w:val="20"/>
        </w:rPr>
        <w:t>Act</w:t>
      </w:r>
      <w:r w:rsidRPr="001B7373">
        <w:rPr>
          <w:sz w:val="20"/>
        </w:rPr>
        <w:t xml:space="preserve">.  Instead, the Commission made a discretionary decision that an inquiry was warranted in all of the circumstances.  That decision should be reviewed for reasonableness.  The decision was reasonable in the circumstances of this case.  Whether judicial intervention is justified at this preliminary stage of the Commission’s work turns mainly on the ongoing authority of this Court’s decision in </w:t>
      </w:r>
      <w:r w:rsidRPr="001B7373">
        <w:rPr>
          <w:i/>
          <w:sz w:val="20"/>
        </w:rPr>
        <w:t>Bell v. Ontario (Human Rights Commission)</w:t>
      </w:r>
      <w:r w:rsidRPr="001B7373">
        <w:rPr>
          <w:sz w:val="20"/>
        </w:rPr>
        <w:t>, [1971] S.C.R. 756 (“</w:t>
      </w:r>
      <w:r w:rsidRPr="001B7373">
        <w:rPr>
          <w:i/>
          <w:sz w:val="20"/>
        </w:rPr>
        <w:t>Bell</w:t>
      </w:r>
      <w:r w:rsidRPr="001B7373">
        <w:rPr>
          <w:sz w:val="20"/>
        </w:rPr>
        <w:t xml:space="preserve"> (1971)”).  It remains good authority for the proposition that referral decisions are subject to judicial review, but, beyond that, it</w:t>
      </w:r>
      <w:r w:rsidRPr="001B7373">
        <w:rPr>
          <w:i/>
          <w:sz w:val="20"/>
        </w:rPr>
        <w:t xml:space="preserve"> </w:t>
      </w:r>
      <w:r w:rsidRPr="001B7373">
        <w:rPr>
          <w:sz w:val="20"/>
        </w:rPr>
        <w:t xml:space="preserve">should no longer be followed and courts should exercise great restraint in intervening at this early stage of the process.  Under the contemporary Canadian law of judicial review, questions that would have been considered jurisdictional under </w:t>
      </w:r>
      <w:r w:rsidRPr="001B7373">
        <w:rPr>
          <w:i/>
          <w:sz w:val="20"/>
        </w:rPr>
        <w:t>Bell</w:t>
      </w:r>
      <w:r w:rsidRPr="001B7373">
        <w:rPr>
          <w:sz w:val="20"/>
        </w:rPr>
        <w:t xml:space="preserve"> (1971) would not be so quickly labelled as such.  Moreover, the notion of “preliminary questions”, which permeates the reasoning in </w:t>
      </w:r>
      <w:r w:rsidRPr="001B7373">
        <w:rPr>
          <w:i/>
          <w:sz w:val="20"/>
        </w:rPr>
        <w:t>Bell</w:t>
      </w:r>
      <w:r w:rsidRPr="001B7373">
        <w:rPr>
          <w:sz w:val="20"/>
        </w:rPr>
        <w:t xml:space="preserve"> (1971), has long since been abandoned.</w:t>
      </w:r>
      <w:r w:rsidRPr="001B7373">
        <w:rPr>
          <w:b/>
          <w:sz w:val="20"/>
        </w:rPr>
        <w:t xml:space="preserve">  </w:t>
      </w:r>
      <w:r w:rsidRPr="001B7373">
        <w:rPr>
          <w:sz w:val="20"/>
        </w:rPr>
        <w:t xml:space="preserve">Even more fundamentally, contemporary courts would not so quickly accept that questions such as the one dealt with in </w:t>
      </w:r>
      <w:r w:rsidRPr="001B7373">
        <w:rPr>
          <w:i/>
          <w:sz w:val="20"/>
        </w:rPr>
        <w:t>Bell</w:t>
      </w:r>
      <w:r w:rsidRPr="001B7373">
        <w:rPr>
          <w:sz w:val="20"/>
        </w:rPr>
        <w:t xml:space="preserve"> (1971) can be answered by an abstract interpretive exercise conducted without regard to the statutory context.  Early judicial intervention also risks depriving the reviewing court of a full record bearing on the issue; allows for judicial imposition of a “correctness” standard with respect to legal questions that, had they been decided by the tribunal, might be entitled to deference; encourages an inefficient multiplicity of proceedings in tribunals and courts; and may compromise carefully crafted, comprehensive legislative regimes.  Moreover, contemporary administrative law accords more value to the considered opinion of the tribunal on legal questions, whether the tribunal’s ruling is ultimately reviewable in the courts for correctness or reasonableness.</w:t>
      </w:r>
    </w:p>
    <w:p w:rsidR="00EF177C" w:rsidRDefault="00EF177C" w:rsidP="00EF177C">
      <w:pPr>
        <w:pStyle w:val="SCCNormalDoubleSpacing"/>
        <w:spacing w:line="240" w:lineRule="auto"/>
        <w:rPr>
          <w:sz w:val="20"/>
        </w:rPr>
      </w:pPr>
    </w:p>
    <w:p w:rsidR="00EF177C" w:rsidRDefault="00EF177C" w:rsidP="00EF177C">
      <w:pPr>
        <w:pStyle w:val="SCCNormalDoubleSpacing"/>
        <w:spacing w:line="240" w:lineRule="auto"/>
        <w:rPr>
          <w:sz w:val="20"/>
        </w:rPr>
      </w:pPr>
      <w:r w:rsidRPr="001B7373">
        <w:rPr>
          <w:sz w:val="20"/>
        </w:rPr>
        <w:tab/>
        <w:t xml:space="preserve">Given the breadth of the Commission’s discretion and the preliminary nature of its referral decision, a reviewing court should intervene in such a decision only if there is no reasonable basis in law or on the evidence to </w:t>
      </w:r>
      <w:r w:rsidRPr="001B7373">
        <w:rPr>
          <w:sz w:val="20"/>
        </w:rPr>
        <w:lastRenderedPageBreak/>
        <w:t>support it.  This standard of review ensures that the reviewing court gives due deference to both the administrative decision and the administrative process.</w:t>
      </w:r>
      <w:r w:rsidRPr="001B7373">
        <w:rPr>
          <w:sz w:val="20"/>
        </w:rPr>
        <w:tab/>
        <w:t>Whatever the ultimate merit of the complaints in this case might be, the information before the Commission provided it with a reasonable basis for referring the novel and complex complaints to a board of inquiry.  The report of the Commission’s investigator, along with the surrounding circumstances, provided a reasonable basis in law and on the evidence for the Commission’s decision and it made no reviewable error.</w:t>
      </w:r>
    </w:p>
    <w:p w:rsidR="00EF177C" w:rsidRPr="001B7373" w:rsidRDefault="00EF177C" w:rsidP="00EF177C">
      <w:pPr>
        <w:pStyle w:val="SCCNormalDoubleSpacing"/>
        <w:spacing w:line="240" w:lineRule="auto"/>
        <w:rPr>
          <w:sz w:val="20"/>
        </w:rPr>
      </w:pPr>
    </w:p>
    <w:p w:rsidR="00EF177C" w:rsidRPr="001B7373" w:rsidRDefault="00EF177C" w:rsidP="00EF177C">
      <w:pPr>
        <w:pStyle w:val="SCCNormalDoubleSpacing"/>
        <w:spacing w:line="240" w:lineRule="auto"/>
        <w:rPr>
          <w:sz w:val="20"/>
        </w:rPr>
      </w:pPr>
      <w:r w:rsidRPr="001B7373">
        <w:rPr>
          <w:sz w:val="20"/>
        </w:rPr>
        <w:tab/>
        <w:t>APPEAL from a judgment of the Nova Scotia Court of Appeal (</w:t>
      </w:r>
      <w:r w:rsidR="009019DC" w:rsidRPr="001B7373">
        <w:rPr>
          <w:sz w:val="20"/>
        </w:rPr>
        <w:fldChar w:fldCharType="begin"/>
      </w:r>
      <w:r w:rsidRPr="001B7373">
        <w:rPr>
          <w:sz w:val="20"/>
        </w:rPr>
        <w:instrText xml:space="preserve"> SEQ CHAPTER \h \r 1</w:instrText>
      </w:r>
      <w:r w:rsidR="009019DC" w:rsidRPr="001B7373">
        <w:rPr>
          <w:sz w:val="20"/>
        </w:rPr>
        <w:fldChar w:fldCharType="end"/>
      </w:r>
      <w:r w:rsidRPr="001B7373">
        <w:rPr>
          <w:sz w:val="20"/>
        </w:rPr>
        <w:t xml:space="preserve">MacDonald C.J.N.S. and Oland and Hamilton JJ.A.), </w:t>
      </w:r>
      <w:r w:rsidR="009019DC" w:rsidRPr="001B7373">
        <w:rPr>
          <w:sz w:val="20"/>
        </w:rPr>
        <w:fldChar w:fldCharType="begin"/>
      </w:r>
      <w:r w:rsidRPr="001B7373">
        <w:rPr>
          <w:sz w:val="20"/>
        </w:rPr>
        <w:instrText xml:space="preserve"> SEQ CHAPTER \h \r 1</w:instrText>
      </w:r>
      <w:r w:rsidR="009019DC" w:rsidRPr="001B7373">
        <w:rPr>
          <w:sz w:val="20"/>
        </w:rPr>
        <w:fldChar w:fldCharType="end"/>
      </w:r>
      <w:r w:rsidRPr="001B7373">
        <w:rPr>
          <w:sz w:val="20"/>
        </w:rPr>
        <w:t xml:space="preserve">2010 NSCA 8, 287 N.S.R. (2d) 329, 912 A.P.R. 329, 66 M.P.L.R. (4th) 19, 8 Admin. L.R. (5th) 274, [2010] N.S.J. No. 54 (QL), 2010 CarswellNS 75, reversing a decision of Boudreau J., </w:t>
      </w:r>
      <w:r w:rsidR="009019DC" w:rsidRPr="001B7373">
        <w:rPr>
          <w:sz w:val="20"/>
        </w:rPr>
        <w:fldChar w:fldCharType="begin"/>
      </w:r>
      <w:r w:rsidRPr="001B7373">
        <w:rPr>
          <w:sz w:val="20"/>
        </w:rPr>
        <w:instrText xml:space="preserve"> SEQ CHAPTER \h \r 1</w:instrText>
      </w:r>
      <w:r w:rsidR="009019DC" w:rsidRPr="001B7373">
        <w:rPr>
          <w:sz w:val="20"/>
        </w:rPr>
        <w:fldChar w:fldCharType="end"/>
      </w:r>
      <w:r w:rsidRPr="001B7373">
        <w:rPr>
          <w:sz w:val="20"/>
        </w:rPr>
        <w:t>2009 NSSC 12, 273 N.S.R. (2d) 258, 872 A.P.R. 258, 184 C.R.R. (2d) 295, 55 M.P.L.R. (4th) 69, 66 C.H.R.R. D/1, [2009] N.S.J. No. 13 (QL), 2009 CarswellNS 13.  Appeal dismissed.</w:t>
      </w:r>
    </w:p>
    <w:p w:rsidR="00EF177C" w:rsidRDefault="00EF177C" w:rsidP="00EF177C">
      <w:pPr>
        <w:pStyle w:val="SCCNormalDoubleSpacing"/>
        <w:spacing w:line="240" w:lineRule="auto"/>
        <w:rPr>
          <w:rStyle w:val="SCCCounselNameChar"/>
          <w:sz w:val="20"/>
        </w:rPr>
      </w:pPr>
    </w:p>
    <w:p w:rsidR="00EF177C" w:rsidRPr="001B7373" w:rsidRDefault="00EF177C" w:rsidP="00EF177C">
      <w:pPr>
        <w:pStyle w:val="SCCNormalDoubleSpacing"/>
        <w:spacing w:line="240" w:lineRule="auto"/>
        <w:rPr>
          <w:rStyle w:val="SCCCounselPartyRoleChar"/>
          <w:sz w:val="20"/>
        </w:rPr>
      </w:pPr>
      <w:r w:rsidRPr="001B7373">
        <w:rPr>
          <w:rStyle w:val="SCCCounselNameChar"/>
          <w:sz w:val="20"/>
        </w:rPr>
        <w:tab/>
        <w:t>Randolph Kinghorne</w:t>
      </w:r>
      <w:r w:rsidRPr="00EF177C">
        <w:rPr>
          <w:rStyle w:val="SCCCounselSeparatorChar"/>
          <w:sz w:val="20"/>
          <w:lang w:val="en-CA"/>
        </w:rPr>
        <w:t xml:space="preserve"> and </w:t>
      </w:r>
      <w:r w:rsidRPr="001B7373">
        <w:rPr>
          <w:rStyle w:val="SCCCounselNameChar"/>
          <w:sz w:val="20"/>
        </w:rPr>
        <w:t>Karen L. Brown</w:t>
      </w:r>
      <w:r w:rsidRPr="001B7373">
        <w:rPr>
          <w:rStyle w:val="SCCCounselPartyRoleChar"/>
          <w:sz w:val="20"/>
        </w:rPr>
        <w:t>, for the appellant.</w:t>
      </w:r>
    </w:p>
    <w:p w:rsidR="00EF177C" w:rsidRDefault="00EF177C" w:rsidP="00EF177C">
      <w:pPr>
        <w:pStyle w:val="SCCNormalDoubleSpacing"/>
        <w:spacing w:line="240" w:lineRule="auto"/>
        <w:rPr>
          <w:rStyle w:val="SCCCounselNameChar"/>
          <w:sz w:val="20"/>
        </w:rPr>
      </w:pPr>
    </w:p>
    <w:p w:rsidR="00EF177C" w:rsidRPr="001B7373" w:rsidRDefault="00EF177C" w:rsidP="00EF177C">
      <w:pPr>
        <w:pStyle w:val="SCCNormalDoubleSpacing"/>
        <w:spacing w:line="240" w:lineRule="auto"/>
        <w:rPr>
          <w:sz w:val="20"/>
        </w:rPr>
      </w:pPr>
      <w:r w:rsidRPr="001B7373">
        <w:rPr>
          <w:rStyle w:val="SCCCounselNameChar"/>
          <w:sz w:val="20"/>
        </w:rPr>
        <w:tab/>
        <w:t>John P. Merrick, Q.C.,</w:t>
      </w:r>
      <w:r w:rsidRPr="00EF177C">
        <w:rPr>
          <w:rStyle w:val="SCCCounselSeparatorChar"/>
          <w:sz w:val="20"/>
          <w:lang w:val="en-CA"/>
        </w:rPr>
        <w:t xml:space="preserve"> and </w:t>
      </w:r>
      <w:r w:rsidRPr="001B7373">
        <w:rPr>
          <w:rStyle w:val="SCCCounselNameChar"/>
          <w:sz w:val="20"/>
        </w:rPr>
        <w:t>Kelly L. Buffett</w:t>
      </w:r>
      <w:r w:rsidRPr="001B7373">
        <w:rPr>
          <w:rStyle w:val="SCCCounselPartyRoleChar"/>
          <w:sz w:val="20"/>
        </w:rPr>
        <w:t>, for the respondent the Nova Scotia Human Rights Commission.</w:t>
      </w:r>
    </w:p>
    <w:p w:rsidR="00EF177C" w:rsidRDefault="00EF177C" w:rsidP="00EF177C">
      <w:pPr>
        <w:pStyle w:val="SCCNormalDoubleSpacing"/>
        <w:spacing w:line="240" w:lineRule="auto"/>
        <w:rPr>
          <w:rStyle w:val="SCCCounselNameChar"/>
          <w:sz w:val="20"/>
        </w:rPr>
      </w:pPr>
    </w:p>
    <w:p w:rsidR="00EF177C" w:rsidRPr="001B7373" w:rsidRDefault="00EF177C" w:rsidP="00EF177C">
      <w:pPr>
        <w:pStyle w:val="SCCNormalDoubleSpacing"/>
        <w:spacing w:line="240" w:lineRule="auto"/>
        <w:rPr>
          <w:sz w:val="20"/>
        </w:rPr>
      </w:pPr>
      <w:r w:rsidRPr="001B7373">
        <w:rPr>
          <w:rStyle w:val="SCCCounselNameChar"/>
          <w:sz w:val="20"/>
        </w:rPr>
        <w:tab/>
        <w:t>Michel Doucet, Mark C. Power</w:t>
      </w:r>
      <w:r w:rsidRPr="00EF177C">
        <w:rPr>
          <w:rStyle w:val="SCCCounselSeparatorChar"/>
          <w:sz w:val="20"/>
          <w:lang w:val="en-CA"/>
        </w:rPr>
        <w:t xml:space="preserve"> and </w:t>
      </w:r>
      <w:r w:rsidRPr="001B7373">
        <w:rPr>
          <w:rStyle w:val="SCCCounselNameChar"/>
          <w:sz w:val="20"/>
        </w:rPr>
        <w:t>Jean</w:t>
      </w:r>
      <w:r w:rsidRPr="001B7373">
        <w:rPr>
          <w:rStyle w:val="SCCCounselNameChar"/>
          <w:sz w:val="20"/>
        </w:rPr>
        <w:noBreakHyphen/>
        <w:t>Pierre Hachey</w:t>
      </w:r>
      <w:r w:rsidRPr="001B7373">
        <w:rPr>
          <w:rStyle w:val="SCCCounselPartyRoleChar"/>
          <w:sz w:val="20"/>
        </w:rPr>
        <w:t>, for the respondent Lucien Comeau.</w:t>
      </w:r>
    </w:p>
    <w:p w:rsidR="00EF177C" w:rsidRDefault="00EF177C" w:rsidP="00EF177C">
      <w:pPr>
        <w:pStyle w:val="SCCNormalDoubleSpacing"/>
        <w:spacing w:line="240" w:lineRule="auto"/>
        <w:rPr>
          <w:rStyle w:val="SCCCounselNameChar"/>
          <w:sz w:val="20"/>
        </w:rPr>
      </w:pPr>
    </w:p>
    <w:p w:rsidR="00EF177C" w:rsidRPr="001B7373" w:rsidRDefault="00EF177C" w:rsidP="00EF177C">
      <w:pPr>
        <w:pStyle w:val="SCCNormalDoubleSpacing"/>
        <w:spacing w:line="240" w:lineRule="auto"/>
        <w:rPr>
          <w:sz w:val="20"/>
        </w:rPr>
      </w:pPr>
      <w:r w:rsidRPr="001B7373">
        <w:rPr>
          <w:rStyle w:val="SCCCounselNameChar"/>
          <w:sz w:val="20"/>
        </w:rPr>
        <w:tab/>
        <w:t>Edward A. Gores, Q.C.</w:t>
      </w:r>
      <w:r w:rsidRPr="001B7373">
        <w:rPr>
          <w:rStyle w:val="SCCCounselPartyRoleChar"/>
          <w:sz w:val="20"/>
        </w:rPr>
        <w:t>, for the respondent Her Majesty the Queen in Right of the Province of Nova Scotia.</w:t>
      </w:r>
    </w:p>
    <w:p w:rsidR="00EF177C" w:rsidRDefault="00EF177C" w:rsidP="00EF177C">
      <w:pPr>
        <w:pStyle w:val="SCCNormalDoubleSpacing"/>
        <w:spacing w:line="240" w:lineRule="auto"/>
        <w:rPr>
          <w:sz w:val="20"/>
        </w:rPr>
      </w:pPr>
    </w:p>
    <w:p w:rsidR="00EF177C" w:rsidRPr="001B7373" w:rsidRDefault="00EF177C" w:rsidP="00EF177C">
      <w:pPr>
        <w:pStyle w:val="SCCNormalDoubleSpacing"/>
        <w:spacing w:line="240" w:lineRule="auto"/>
        <w:rPr>
          <w:sz w:val="20"/>
        </w:rPr>
      </w:pPr>
      <w:r w:rsidRPr="001B7373">
        <w:rPr>
          <w:sz w:val="20"/>
        </w:rPr>
        <w:tab/>
        <w:t>No one appeared for the respondent Lynn Connors.</w:t>
      </w:r>
    </w:p>
    <w:p w:rsidR="00EF177C" w:rsidRDefault="00EF177C" w:rsidP="00EF177C">
      <w:pPr>
        <w:pStyle w:val="SCCNormalDoubleSpacing"/>
        <w:spacing w:line="240" w:lineRule="auto"/>
        <w:rPr>
          <w:rStyle w:val="SCCCounselNameChar"/>
          <w:sz w:val="20"/>
        </w:rPr>
      </w:pPr>
    </w:p>
    <w:p w:rsidR="00EF177C" w:rsidRPr="001B7373" w:rsidRDefault="00EF177C" w:rsidP="00EF177C">
      <w:pPr>
        <w:pStyle w:val="SCCNormalDoubleSpacing"/>
        <w:spacing w:line="240" w:lineRule="auto"/>
        <w:rPr>
          <w:sz w:val="20"/>
        </w:rPr>
      </w:pPr>
      <w:r w:rsidRPr="001B7373">
        <w:rPr>
          <w:rStyle w:val="SCCCounselNameChar"/>
          <w:sz w:val="20"/>
        </w:rPr>
        <w:tab/>
        <w:t>Philippe Dufresne</w:t>
      </w:r>
      <w:r w:rsidRPr="001B7373">
        <w:rPr>
          <w:rStyle w:val="SCCCounselPartyRoleChar"/>
          <w:sz w:val="20"/>
        </w:rPr>
        <w:t>, for the intervener the Canadian Human Rights Commission.</w:t>
      </w:r>
    </w:p>
    <w:p w:rsidR="00EF177C" w:rsidRDefault="00EF177C" w:rsidP="00EF177C">
      <w:pPr>
        <w:pStyle w:val="SCCLawFirm"/>
        <w:spacing w:line="240" w:lineRule="auto"/>
        <w:rPr>
          <w:sz w:val="20"/>
        </w:rPr>
      </w:pPr>
    </w:p>
    <w:p w:rsidR="00EF177C" w:rsidRPr="001B7373" w:rsidRDefault="00EF177C" w:rsidP="00EF177C">
      <w:pPr>
        <w:pStyle w:val="SCCLawFirm"/>
        <w:spacing w:line="240" w:lineRule="auto"/>
        <w:rPr>
          <w:sz w:val="20"/>
        </w:rPr>
      </w:pPr>
      <w:r w:rsidRPr="001B7373">
        <w:rPr>
          <w:sz w:val="20"/>
        </w:rPr>
        <w:tab/>
        <w:t>Solicitor for the appellant:  Halifax Regional Municipality, Halifax.</w:t>
      </w:r>
    </w:p>
    <w:p w:rsidR="00EF177C" w:rsidRDefault="00EF177C" w:rsidP="00EF177C">
      <w:pPr>
        <w:pStyle w:val="SCCLawFirm"/>
        <w:spacing w:line="240" w:lineRule="auto"/>
        <w:rPr>
          <w:sz w:val="20"/>
        </w:rPr>
      </w:pPr>
    </w:p>
    <w:p w:rsidR="00EF177C" w:rsidRPr="001B7373" w:rsidRDefault="00EF177C" w:rsidP="00EF177C">
      <w:pPr>
        <w:pStyle w:val="SCCLawFirm"/>
        <w:spacing w:line="240" w:lineRule="auto"/>
        <w:rPr>
          <w:sz w:val="20"/>
        </w:rPr>
      </w:pPr>
      <w:r w:rsidRPr="001B7373">
        <w:rPr>
          <w:sz w:val="20"/>
        </w:rPr>
        <w:tab/>
        <w:t>Solicitors for the respondent the Nova Scotia Human Rights Commission:  Merrick Jamieson Sterns Washington &amp; Mahody, Halifax.</w:t>
      </w:r>
    </w:p>
    <w:p w:rsidR="00EF177C" w:rsidRDefault="00EF177C" w:rsidP="00EF177C">
      <w:pPr>
        <w:pStyle w:val="SCCLawFirm"/>
        <w:spacing w:line="240" w:lineRule="auto"/>
        <w:rPr>
          <w:sz w:val="20"/>
        </w:rPr>
      </w:pPr>
    </w:p>
    <w:p w:rsidR="00EF177C" w:rsidRPr="001B7373" w:rsidRDefault="00EF177C" w:rsidP="00EF177C">
      <w:pPr>
        <w:pStyle w:val="SCCLawFirm"/>
        <w:spacing w:line="240" w:lineRule="auto"/>
        <w:rPr>
          <w:sz w:val="20"/>
          <w:lang w:val="fr-CA"/>
        </w:rPr>
      </w:pPr>
      <w:r w:rsidRPr="001B7373">
        <w:rPr>
          <w:sz w:val="20"/>
        </w:rPr>
        <w:tab/>
      </w:r>
      <w:r w:rsidRPr="001B7373">
        <w:rPr>
          <w:sz w:val="20"/>
          <w:lang w:val="fr-CA"/>
        </w:rPr>
        <w:t>Solicitor for the respondent Lucien Comeau:  Université de Moncton, Moncton.</w:t>
      </w:r>
    </w:p>
    <w:p w:rsidR="00EF177C" w:rsidRDefault="00EF177C" w:rsidP="00EF177C">
      <w:pPr>
        <w:pStyle w:val="SCCLawFirm"/>
        <w:spacing w:line="240" w:lineRule="auto"/>
        <w:rPr>
          <w:sz w:val="20"/>
          <w:lang w:val="fr-CA"/>
        </w:rPr>
      </w:pPr>
    </w:p>
    <w:p w:rsidR="00EF177C" w:rsidRPr="001B7373" w:rsidRDefault="00EF177C" w:rsidP="00EF177C">
      <w:pPr>
        <w:pStyle w:val="SCCLawFirm"/>
        <w:spacing w:line="240" w:lineRule="auto"/>
        <w:rPr>
          <w:i w:val="0"/>
          <w:sz w:val="20"/>
        </w:rPr>
      </w:pPr>
      <w:r w:rsidRPr="001B7373">
        <w:rPr>
          <w:sz w:val="20"/>
          <w:lang w:val="fr-CA"/>
        </w:rPr>
        <w:tab/>
      </w:r>
      <w:r w:rsidRPr="001B7373">
        <w:rPr>
          <w:sz w:val="20"/>
          <w:lang w:val="en-US"/>
        </w:rPr>
        <w:t>Solicitor</w:t>
      </w:r>
      <w:r w:rsidRPr="001B7373">
        <w:rPr>
          <w:sz w:val="20"/>
        </w:rPr>
        <w:t xml:space="preserve"> for the respondent</w:t>
      </w:r>
      <w:r w:rsidRPr="001B7373">
        <w:rPr>
          <w:rStyle w:val="SCCCounselPartyRoleChar"/>
          <w:sz w:val="20"/>
        </w:rPr>
        <w:t xml:space="preserve"> Her Majesty the Queen in Right of the Province of Nova Scotia</w:t>
      </w:r>
      <w:r w:rsidRPr="001B7373">
        <w:rPr>
          <w:sz w:val="20"/>
        </w:rPr>
        <w:t>:  Attorney General of Nova Scotia, Halifax.</w:t>
      </w:r>
    </w:p>
    <w:p w:rsidR="00EF177C" w:rsidRDefault="00EF177C" w:rsidP="00EF177C">
      <w:pPr>
        <w:pStyle w:val="SCCLawFirm"/>
        <w:spacing w:line="240" w:lineRule="auto"/>
        <w:rPr>
          <w:sz w:val="20"/>
        </w:rPr>
      </w:pPr>
    </w:p>
    <w:p w:rsidR="00EF177C" w:rsidRDefault="00EF177C" w:rsidP="00EF177C">
      <w:pPr>
        <w:pStyle w:val="SCCLawFirm"/>
        <w:spacing w:line="240" w:lineRule="auto"/>
        <w:rPr>
          <w:sz w:val="20"/>
        </w:rPr>
      </w:pPr>
      <w:r w:rsidRPr="001B7373">
        <w:rPr>
          <w:sz w:val="20"/>
        </w:rPr>
        <w:tab/>
        <w:t>Solicitor for the intervener the Canadian Human Rights Commission:  Canadian Human Rights Commission, Ottawa.</w:t>
      </w:r>
    </w:p>
    <w:p w:rsidR="00EF177C" w:rsidRPr="00EF177C" w:rsidRDefault="00EF177C" w:rsidP="00EF177C">
      <w:pPr>
        <w:rPr>
          <w:sz w:val="20"/>
          <w:szCs w:val="20"/>
          <w:lang w:val="fr-CA"/>
        </w:rPr>
      </w:pPr>
      <w:r w:rsidRPr="00EF177C">
        <w:rPr>
          <w:sz w:val="20"/>
          <w:szCs w:val="20"/>
          <w:lang w:val="fr-CA"/>
        </w:rPr>
        <w:t>________________________</w:t>
      </w:r>
    </w:p>
    <w:p w:rsidR="00EF177C" w:rsidRPr="00EF177C" w:rsidRDefault="00EF177C" w:rsidP="00EF177C">
      <w:pPr>
        <w:rPr>
          <w:sz w:val="20"/>
          <w:szCs w:val="20"/>
          <w:lang w:val="fr-CA"/>
        </w:rPr>
      </w:pPr>
    </w:p>
    <w:p w:rsidR="00F816C1" w:rsidRPr="00F816C1" w:rsidRDefault="00F816C1" w:rsidP="00F816C1">
      <w:pPr>
        <w:jc w:val="both"/>
        <w:rPr>
          <w:sz w:val="20"/>
          <w:szCs w:val="20"/>
          <w:lang w:val="fr-CA"/>
        </w:rPr>
      </w:pPr>
      <w:r w:rsidRPr="00F816C1">
        <w:rPr>
          <w:sz w:val="20"/>
          <w:szCs w:val="20"/>
          <w:lang w:val="fr-CA"/>
        </w:rPr>
        <w:t>Présents : La juge en chef McLachlin et les juges LeBel, Deschamps, Fish, Abella, Rothstein et Cromwell.</w:t>
      </w:r>
    </w:p>
    <w:p w:rsidR="00F816C1" w:rsidRPr="00F816C1" w:rsidRDefault="00F816C1" w:rsidP="00F816C1">
      <w:pPr>
        <w:pStyle w:val="SCCLowerCourtNameLowercase"/>
        <w:spacing w:line="240" w:lineRule="auto"/>
        <w:rPr>
          <w:sz w:val="20"/>
          <w:lang w:val="fr-CA"/>
        </w:rPr>
      </w:pPr>
    </w:p>
    <w:p w:rsidR="00F816C1" w:rsidRPr="00F816C1" w:rsidRDefault="00F816C1" w:rsidP="00F816C1">
      <w:pPr>
        <w:pStyle w:val="SCCNormalDoubleSpacing"/>
        <w:spacing w:line="240" w:lineRule="auto"/>
        <w:rPr>
          <w:sz w:val="20"/>
          <w:lang w:val="fr-CA"/>
        </w:rPr>
      </w:pPr>
      <w:r w:rsidRPr="00F816C1">
        <w:rPr>
          <w:sz w:val="20"/>
          <w:lang w:val="fr-CA"/>
        </w:rPr>
        <w:tab/>
      </w:r>
      <w:r w:rsidRPr="00F816C1">
        <w:rPr>
          <w:i/>
          <w:sz w:val="20"/>
          <w:lang w:val="fr-CA"/>
        </w:rPr>
        <w:t xml:space="preserve">Droit administratif </w:t>
      </w:r>
      <w:r w:rsidRPr="00F816C1">
        <w:rPr>
          <w:sz w:val="20"/>
          <w:lang w:val="fr-CA"/>
        </w:rPr>
        <w:t xml:space="preserve">— </w:t>
      </w:r>
      <w:r w:rsidRPr="00F816C1">
        <w:rPr>
          <w:i/>
          <w:sz w:val="20"/>
          <w:lang w:val="fr-CA"/>
        </w:rPr>
        <w:t xml:space="preserve">Contrôle judiciaire </w:t>
      </w:r>
      <w:r w:rsidRPr="00F816C1">
        <w:rPr>
          <w:sz w:val="20"/>
          <w:lang w:val="fr-CA"/>
        </w:rPr>
        <w:t xml:space="preserve">— </w:t>
      </w:r>
      <w:r w:rsidRPr="00F816C1">
        <w:rPr>
          <w:i/>
          <w:sz w:val="20"/>
          <w:lang w:val="fr-CA"/>
        </w:rPr>
        <w:t xml:space="preserve">Norme de contrôle </w:t>
      </w:r>
      <w:r w:rsidRPr="00F816C1">
        <w:rPr>
          <w:sz w:val="20"/>
          <w:lang w:val="fr-CA"/>
        </w:rPr>
        <w:t xml:space="preserve">— </w:t>
      </w:r>
      <w:r w:rsidRPr="00F816C1">
        <w:rPr>
          <w:i/>
          <w:sz w:val="20"/>
          <w:lang w:val="fr-CA"/>
        </w:rPr>
        <w:t>Dépôt d’une plainte à la Commission des droits de la personne de la Nouvelle</w:t>
      </w:r>
      <w:r w:rsidRPr="00F816C1">
        <w:rPr>
          <w:i/>
          <w:sz w:val="20"/>
          <w:lang w:val="fr-CA"/>
        </w:rPr>
        <w:noBreakHyphen/>
        <w:t xml:space="preserve">Écosse </w:t>
      </w:r>
      <w:r w:rsidRPr="00F816C1">
        <w:rPr>
          <w:sz w:val="20"/>
          <w:lang w:val="fr-CA"/>
        </w:rPr>
        <w:t xml:space="preserve">— </w:t>
      </w:r>
      <w:r w:rsidRPr="00F816C1">
        <w:rPr>
          <w:i/>
          <w:sz w:val="20"/>
          <w:lang w:val="fr-CA"/>
        </w:rPr>
        <w:t xml:space="preserve">Commission ayant demandé la nomination d’une commission d’enquête </w:t>
      </w:r>
      <w:r w:rsidRPr="00F816C1">
        <w:rPr>
          <w:sz w:val="20"/>
          <w:lang w:val="fr-CA"/>
        </w:rPr>
        <w:t xml:space="preserve">— </w:t>
      </w:r>
      <w:r w:rsidRPr="00F816C1">
        <w:rPr>
          <w:i/>
          <w:sz w:val="20"/>
          <w:lang w:val="fr-CA"/>
        </w:rPr>
        <w:t xml:space="preserve">Décision annulée lors d’un contrôle judiciaire </w:t>
      </w:r>
      <w:r w:rsidRPr="00F816C1">
        <w:rPr>
          <w:sz w:val="20"/>
          <w:lang w:val="fr-CA"/>
        </w:rPr>
        <w:t>—</w:t>
      </w:r>
      <w:r w:rsidRPr="00F816C1">
        <w:rPr>
          <w:i/>
          <w:sz w:val="20"/>
          <w:lang w:val="fr-CA"/>
        </w:rPr>
        <w:t xml:space="preserve"> Interdiction faite à la commission d’enquête d’aller de l’avant </w:t>
      </w:r>
      <w:r w:rsidRPr="00F816C1">
        <w:rPr>
          <w:sz w:val="20"/>
          <w:lang w:val="fr-CA"/>
        </w:rPr>
        <w:t xml:space="preserve">— </w:t>
      </w:r>
      <w:r w:rsidRPr="00F816C1">
        <w:rPr>
          <w:i/>
          <w:sz w:val="20"/>
          <w:lang w:val="fr-CA"/>
        </w:rPr>
        <w:t>Appel accueilli</w:t>
      </w:r>
      <w:r w:rsidRPr="00F816C1">
        <w:rPr>
          <w:sz w:val="20"/>
          <w:lang w:val="fr-CA"/>
        </w:rPr>
        <w:t xml:space="preserve"> — </w:t>
      </w:r>
      <w:r w:rsidRPr="00F816C1">
        <w:rPr>
          <w:i/>
          <w:sz w:val="20"/>
          <w:lang w:val="fr-CA"/>
        </w:rPr>
        <w:t>Le juge en cabinet a</w:t>
      </w:r>
      <w:r w:rsidRPr="00F816C1">
        <w:rPr>
          <w:i/>
          <w:sz w:val="20"/>
          <w:lang w:val="fr-CA"/>
        </w:rPr>
        <w:noBreakHyphen/>
        <w:t>t</w:t>
      </w:r>
      <w:r w:rsidRPr="00F816C1">
        <w:rPr>
          <w:i/>
          <w:sz w:val="20"/>
          <w:lang w:val="fr-CA"/>
        </w:rPr>
        <w:noBreakHyphen/>
        <w:t>il appliqué la bonne norme de contrôle?</w:t>
      </w:r>
      <w:r w:rsidRPr="00F816C1">
        <w:rPr>
          <w:sz w:val="20"/>
          <w:lang w:val="fr-CA"/>
        </w:rPr>
        <w:t xml:space="preserve"> — </w:t>
      </w:r>
      <w:r w:rsidRPr="00F816C1">
        <w:rPr>
          <w:i/>
          <w:sz w:val="20"/>
          <w:lang w:val="fr-CA"/>
        </w:rPr>
        <w:t>La Commission a</w:t>
      </w:r>
      <w:r w:rsidRPr="00F816C1">
        <w:rPr>
          <w:i/>
          <w:sz w:val="20"/>
          <w:lang w:val="fr-CA"/>
        </w:rPr>
        <w:noBreakHyphen/>
        <w:t>t</w:t>
      </w:r>
      <w:r w:rsidRPr="00F816C1">
        <w:rPr>
          <w:i/>
          <w:sz w:val="20"/>
          <w:lang w:val="fr-CA"/>
        </w:rPr>
        <w:noBreakHyphen/>
        <w:t>elle eu tort de demander la nomination d’une commission d’enquête?</w:t>
      </w:r>
    </w:p>
    <w:p w:rsidR="00F816C1" w:rsidRPr="00F816C1" w:rsidRDefault="00F816C1" w:rsidP="00F816C1">
      <w:pPr>
        <w:pStyle w:val="SCCNormalDoubleSpacing"/>
        <w:spacing w:line="240" w:lineRule="auto"/>
        <w:rPr>
          <w:sz w:val="20"/>
          <w:lang w:val="fr-CA"/>
        </w:rPr>
      </w:pPr>
    </w:p>
    <w:p w:rsidR="00F816C1" w:rsidRPr="00F816C1" w:rsidRDefault="00F816C1" w:rsidP="00F816C1">
      <w:pPr>
        <w:pStyle w:val="SCCNormalDoubleSpacing"/>
        <w:spacing w:line="240" w:lineRule="auto"/>
        <w:rPr>
          <w:sz w:val="20"/>
          <w:lang w:val="fr-CA"/>
        </w:rPr>
      </w:pPr>
      <w:r w:rsidRPr="00F816C1">
        <w:rPr>
          <w:sz w:val="20"/>
          <w:lang w:val="fr-CA"/>
        </w:rPr>
        <w:tab/>
        <w:t>Acadien francophone et père d’enfants inscrits à un établissement d’enseignement en français langue première de Halifax, le plaignant a allégué que les modalités de financement des écoles établissaient une distinction discriminatoire sur le fondement de l’origine ethnique acadienne de ses enfants et de la sienne.  Par suite de la fusion municipale et du regroupement consécutif des conseils scolaires touchés, Halifax a prélevé une taxe pour satisfaire à son obligation légale de continuer d’offrir un financement supplémentaire aux établissements qui bénéficiaient d’une telle aide avant la fusion.  Or, les écoles de Halifax qui faisaient partie du Conseil scolaire acadien provincial récemment créé, un conseil scolaire public chargé de l’administration des établissements d’enseignement en français langue première à la grandeur de la province, ne touchaient pas de fonds supplémentaires.  La législation n’obligeait pas  Halifax à leur en verser.</w:t>
      </w:r>
    </w:p>
    <w:p w:rsidR="00F816C1" w:rsidRPr="00F816C1" w:rsidRDefault="00F816C1" w:rsidP="00F816C1">
      <w:pPr>
        <w:pStyle w:val="SCCNormalDoubleSpacing"/>
        <w:spacing w:line="240" w:lineRule="auto"/>
        <w:rPr>
          <w:sz w:val="20"/>
          <w:lang w:val="fr-CA"/>
        </w:rPr>
      </w:pPr>
    </w:p>
    <w:p w:rsidR="00F816C1" w:rsidRPr="00F816C1" w:rsidRDefault="00F816C1" w:rsidP="00F816C1">
      <w:pPr>
        <w:pStyle w:val="SCCNormalDoubleSpacing"/>
        <w:spacing w:line="240" w:lineRule="auto"/>
        <w:rPr>
          <w:sz w:val="20"/>
          <w:lang w:val="fr-CA"/>
        </w:rPr>
      </w:pPr>
      <w:r w:rsidRPr="00F816C1">
        <w:rPr>
          <w:sz w:val="20"/>
          <w:lang w:val="fr-CA"/>
        </w:rPr>
        <w:tab/>
        <w:t xml:space="preserve">Après examen des plaintes, la Commission a demandé la nomination d’une commission d’enquête.  Peu après, une action intentée par d’autres parents en application de la </w:t>
      </w:r>
      <w:r w:rsidRPr="00F816C1">
        <w:rPr>
          <w:i/>
          <w:sz w:val="20"/>
          <w:lang w:val="fr-CA"/>
        </w:rPr>
        <w:t>Charte</w:t>
      </w:r>
      <w:r w:rsidRPr="00F816C1">
        <w:rPr>
          <w:sz w:val="20"/>
          <w:lang w:val="fr-CA"/>
        </w:rPr>
        <w:t xml:space="preserve"> a entraîné une modification législative prévoyant le financement supplémentaire des écoles du Conseil à Halifax, et l’action a été rejetée sur consentement.  Halifax a demandé le contrôle judiciaire de la décision de la Commission de renvoyer la plainte à une commission d’enquête.  Un juge de la Cour suprême de la Nouvelle</w:t>
      </w:r>
      <w:r w:rsidRPr="00F816C1">
        <w:rPr>
          <w:sz w:val="20"/>
          <w:lang w:val="fr-CA"/>
        </w:rPr>
        <w:noBreakHyphen/>
        <w:t>Écosse a annulé le renvoi et interdit à la commission d’enquête d’aller de l’avant.  La Cour d’appel de la Nouvelle</w:t>
      </w:r>
      <w:r w:rsidRPr="00F816C1">
        <w:rPr>
          <w:sz w:val="20"/>
          <w:lang w:val="fr-CA"/>
        </w:rPr>
        <w:noBreakHyphen/>
        <w:t>Écosse a infirmé le jugement et donné le feu vert à la commission d’enquête.</w:t>
      </w:r>
    </w:p>
    <w:p w:rsidR="00F816C1" w:rsidRPr="00F816C1" w:rsidRDefault="00F816C1" w:rsidP="00F816C1">
      <w:pPr>
        <w:pStyle w:val="SCCNormalDoubleSpacing"/>
        <w:spacing w:line="240" w:lineRule="auto"/>
        <w:rPr>
          <w:sz w:val="20"/>
          <w:lang w:val="fr-CA"/>
        </w:rPr>
      </w:pPr>
    </w:p>
    <w:p w:rsidR="00F816C1" w:rsidRPr="00F816C1" w:rsidRDefault="00F816C1" w:rsidP="00F816C1">
      <w:pPr>
        <w:pStyle w:val="SCCNormalDoubleSpacing"/>
        <w:spacing w:line="240" w:lineRule="auto"/>
        <w:rPr>
          <w:sz w:val="20"/>
          <w:lang w:val="fr-CA"/>
        </w:rPr>
      </w:pPr>
      <w:r w:rsidRPr="00F816C1">
        <w:rPr>
          <w:sz w:val="20"/>
          <w:lang w:val="fr-CA"/>
        </w:rPr>
        <w:tab/>
      </w:r>
      <w:r w:rsidRPr="00F816C1">
        <w:rPr>
          <w:i/>
          <w:sz w:val="20"/>
          <w:lang w:val="fr-CA"/>
        </w:rPr>
        <w:t>Arrêt :</w:t>
      </w:r>
      <w:r w:rsidRPr="00F816C1">
        <w:rPr>
          <w:sz w:val="20"/>
          <w:lang w:val="fr-CA"/>
        </w:rPr>
        <w:t xml:space="preserve"> Le pourvoi est rejeté.</w:t>
      </w:r>
    </w:p>
    <w:p w:rsidR="00F816C1" w:rsidRPr="00F816C1" w:rsidRDefault="00F816C1" w:rsidP="00F816C1">
      <w:pPr>
        <w:pStyle w:val="SCCNormalDoubleSpacing"/>
        <w:spacing w:line="240" w:lineRule="auto"/>
        <w:rPr>
          <w:sz w:val="20"/>
          <w:lang w:val="fr-CA"/>
        </w:rPr>
      </w:pPr>
    </w:p>
    <w:p w:rsidR="00F816C1" w:rsidRPr="00F816C1" w:rsidRDefault="00F816C1" w:rsidP="00F816C1">
      <w:pPr>
        <w:pStyle w:val="SCCNormalDoubleSpacing"/>
        <w:spacing w:line="240" w:lineRule="auto"/>
        <w:rPr>
          <w:sz w:val="20"/>
          <w:lang w:val="fr-CA"/>
        </w:rPr>
      </w:pPr>
      <w:r w:rsidRPr="00F816C1">
        <w:rPr>
          <w:sz w:val="20"/>
          <w:lang w:val="fr-CA"/>
        </w:rPr>
        <w:tab/>
        <w:t xml:space="preserve">L’intervention judiciaire n’est pas justifiée à cette étape préliminaire de la procédure administrative.  La Commission n’a pas décidé que la plainte tombait sous le coup de la Loi.  Elle a plutôt décidé, dans l’exercice de son pouvoir discrétionnaire, qu’une enquête était justifiée compte tenu de l’ensemble des circonstances.  Cette décision était assujettie à la norme de contrôle de la décision raisonnable et, eu égard aux circonstances de l’espèce, elle était raisonnable.  La réponse à la question de savoir si le contrôle judiciaire était justifié à cette étape préliminaire de la procédure de la Commission dépend essentiellement de ce que l’arrêt </w:t>
      </w:r>
      <w:r w:rsidRPr="00F816C1">
        <w:rPr>
          <w:i/>
          <w:sz w:val="20"/>
          <w:lang w:val="fr-CA"/>
        </w:rPr>
        <w:t>Bell c. Ontario (Human Rights Commission)</w:t>
      </w:r>
      <w:r w:rsidRPr="00F816C1">
        <w:rPr>
          <w:sz w:val="20"/>
          <w:lang w:val="fr-CA"/>
        </w:rPr>
        <w:t>, [1971] R.C.S. 756 (« </w:t>
      </w:r>
      <w:r w:rsidRPr="00F816C1">
        <w:rPr>
          <w:i/>
          <w:sz w:val="20"/>
          <w:lang w:val="fr-CA"/>
        </w:rPr>
        <w:t>Bell</w:t>
      </w:r>
      <w:r w:rsidRPr="00F816C1">
        <w:rPr>
          <w:sz w:val="20"/>
          <w:lang w:val="fr-CA"/>
        </w:rPr>
        <w:t xml:space="preserve"> (1971) ») a toujours valeur de précédent ou non.  Cet arrêt continue d’avoir valeur de précédent pour ce qui est du contrôle judiciaire auquel peut donner lieu le renvoi, mais il ne devrait plus être suivi par ailleurs, et les cours de justice devraient faire preuve de grande retenue lorsqu’elles sont appelées à intervenir à cette étape initiale du processus.  Suivant les règles actuelles du droit canadien en matière de contrôle judiciaire, les questions qui auraient été considérées comme des questions de compétence dans </w:t>
      </w:r>
      <w:r w:rsidRPr="00F816C1">
        <w:rPr>
          <w:i/>
          <w:sz w:val="20"/>
          <w:lang w:val="fr-CA"/>
        </w:rPr>
        <w:t>Bell</w:t>
      </w:r>
      <w:r w:rsidRPr="00F816C1">
        <w:rPr>
          <w:sz w:val="20"/>
          <w:lang w:val="fr-CA"/>
        </w:rPr>
        <w:t xml:space="preserve"> (1971) ne seraient pas aussi spontanément qualifiées ainsi.  Par ailleurs, la notion de « question préliminaire », qui imprègne le raisonnement de la Cour dans l’arrêt </w:t>
      </w:r>
      <w:r w:rsidRPr="00F816C1">
        <w:rPr>
          <w:i/>
          <w:sz w:val="20"/>
          <w:lang w:val="fr-CA"/>
        </w:rPr>
        <w:t>Bell</w:t>
      </w:r>
      <w:r w:rsidRPr="00F816C1">
        <w:rPr>
          <w:sz w:val="20"/>
          <w:lang w:val="fr-CA"/>
        </w:rPr>
        <w:t xml:space="preserve"> (1971), a depuis longtemps été abandonnée.  Mais plus fondamentalement encore, de nos jours, une cour de justice ne serait pas aussi encline à convenir que l’on peut statuer sur une question comme celle en litige dans </w:t>
      </w:r>
      <w:r w:rsidRPr="00F816C1">
        <w:rPr>
          <w:i/>
          <w:sz w:val="20"/>
          <w:lang w:val="fr-CA"/>
        </w:rPr>
        <w:t>Bell</w:t>
      </w:r>
      <w:r w:rsidRPr="00F816C1">
        <w:rPr>
          <w:sz w:val="20"/>
          <w:lang w:val="fr-CA"/>
        </w:rPr>
        <w:t xml:space="preserve"> (1971) en recourant à une interprétation abstraite, sans égard au contexte législatif.  Une intervention judiciaire hâtive risque aussi de priver le tribunal de révision d’un dossier complet sur la question, elle ouvre la porte à l’assujettissement à la norme de la « décision correcte » de questions de droit qui, si elles étaient tranchées par le tribunal administratif, pourraient commander la déférence judiciaire, elle nuit à l’efficacité des recours par la multiplication des procédures administratives et judiciaires et elle peut compromettre un régime législatif complet soigneusement conçu par le législateur.  Qui plus est, le droit administratif contemporain reconnaît une valeur accrue à l’opinion réfléchie d’un tribunal administratif sur une question de droit, et ce, que la décision de ce dernier soit ultimement susceptible de contrôle judiciaire selon la norme de la décision correcte ou celle de la décision raisonnable.</w:t>
      </w:r>
    </w:p>
    <w:p w:rsidR="00F816C1" w:rsidRPr="00F816C1" w:rsidRDefault="00F816C1" w:rsidP="00F816C1">
      <w:pPr>
        <w:pStyle w:val="SCCNormalDoubleSpacing"/>
        <w:spacing w:line="240" w:lineRule="auto"/>
        <w:rPr>
          <w:sz w:val="20"/>
          <w:lang w:val="fr-CA"/>
        </w:rPr>
      </w:pPr>
    </w:p>
    <w:p w:rsidR="00F816C1" w:rsidRPr="00F816C1" w:rsidRDefault="00F816C1" w:rsidP="00F816C1">
      <w:pPr>
        <w:pStyle w:val="SCCNormalDoubleSpacing"/>
        <w:spacing w:line="240" w:lineRule="auto"/>
        <w:rPr>
          <w:sz w:val="20"/>
          <w:lang w:val="fr-CA"/>
        </w:rPr>
      </w:pPr>
      <w:r w:rsidRPr="00F816C1">
        <w:rPr>
          <w:sz w:val="20"/>
          <w:lang w:val="fr-CA"/>
        </w:rPr>
        <w:tab/>
        <w:t>Étant donné l’étendue du pouvoir discrétionnaire dont jouit la Commission et le caractère préliminaire de sa décision de renvoi, le tribunal de révision ne doit intervenir que lorsque ni la loi ni la preuve n’offrent de fondement raisonnable à la décision.  La norme de contrôle garantit que le tribunal de révision fait preuve de la déférence voulue envers la décision et la procédure administratives.  Quel que soit le sort réservé ultimement aux plaintes, les données dont disposait la Commission offraient un fondement raisonnable à sa décision de renvoyer les allégations à la fois complexes et nouvelles à une commission d’enquête.  Étant donné le rapport de l’enquêteur de la Commission et les circonstances de l’affaire, la loi et la preuve offraient un fondement raisonnable à la décision de la Commission, et cette dernière n’a pas commis d’erreur susceptible de contrôle judiciaire.</w:t>
      </w:r>
    </w:p>
    <w:p w:rsidR="00F816C1" w:rsidRPr="00F816C1" w:rsidRDefault="00F816C1" w:rsidP="00F816C1">
      <w:pPr>
        <w:pStyle w:val="SCCNormalDoubleSpacing"/>
        <w:spacing w:line="240" w:lineRule="auto"/>
        <w:ind w:left="540" w:hanging="540"/>
        <w:rPr>
          <w:sz w:val="20"/>
          <w:lang w:val="fr-CA"/>
        </w:rPr>
      </w:pPr>
    </w:p>
    <w:p w:rsidR="00F816C1" w:rsidRPr="00F816C1" w:rsidRDefault="00F816C1" w:rsidP="00F816C1">
      <w:pPr>
        <w:pStyle w:val="SCCNormalDoubleSpacing"/>
        <w:spacing w:line="240" w:lineRule="auto"/>
        <w:rPr>
          <w:sz w:val="20"/>
          <w:lang w:val="fr-CA"/>
        </w:rPr>
      </w:pPr>
      <w:r w:rsidRPr="00F816C1">
        <w:rPr>
          <w:sz w:val="20"/>
          <w:lang w:val="fr-CA"/>
        </w:rPr>
        <w:tab/>
        <w:t>POURVOI contre un arrêt de la Cour d’appel de la Nouvelle</w:t>
      </w:r>
      <w:r w:rsidRPr="00F816C1">
        <w:rPr>
          <w:sz w:val="20"/>
          <w:lang w:val="fr-CA"/>
        </w:rPr>
        <w:noBreakHyphen/>
        <w:t xml:space="preserve">Écosse (le juge en chef </w:t>
      </w:r>
      <w:r w:rsidR="009019DC" w:rsidRPr="004C33AC">
        <w:rPr>
          <w:sz w:val="20"/>
        </w:rPr>
        <w:fldChar w:fldCharType="begin"/>
      </w:r>
      <w:r w:rsidRPr="00F816C1">
        <w:rPr>
          <w:sz w:val="20"/>
          <w:lang w:val="fr-CA"/>
        </w:rPr>
        <w:instrText xml:space="preserve"> SEQ CHAPTER \h \r 1</w:instrText>
      </w:r>
      <w:r w:rsidR="009019DC" w:rsidRPr="004C33AC">
        <w:rPr>
          <w:sz w:val="20"/>
        </w:rPr>
        <w:fldChar w:fldCharType="end"/>
      </w:r>
      <w:r w:rsidRPr="00F816C1">
        <w:rPr>
          <w:sz w:val="20"/>
          <w:lang w:val="fr-CA"/>
        </w:rPr>
        <w:t xml:space="preserve">MacDonald et les juges Oland et Hamilton), </w:t>
      </w:r>
      <w:r w:rsidR="009019DC" w:rsidRPr="004C33AC">
        <w:rPr>
          <w:sz w:val="20"/>
        </w:rPr>
        <w:fldChar w:fldCharType="begin"/>
      </w:r>
      <w:r w:rsidRPr="00F816C1">
        <w:rPr>
          <w:sz w:val="20"/>
          <w:lang w:val="fr-CA"/>
        </w:rPr>
        <w:instrText xml:space="preserve"> SEQ CHAPTER \h \r 1</w:instrText>
      </w:r>
      <w:r w:rsidR="009019DC" w:rsidRPr="004C33AC">
        <w:rPr>
          <w:sz w:val="20"/>
        </w:rPr>
        <w:fldChar w:fldCharType="end"/>
      </w:r>
      <w:r w:rsidRPr="00F816C1">
        <w:rPr>
          <w:sz w:val="20"/>
          <w:lang w:val="fr-CA"/>
        </w:rPr>
        <w:t xml:space="preserve">2010 NSCA 8, 287 N.S.R. (2d) 329, 912 A.P.R. 329, 66 M.P.L.R. (4th) 19, 8 Admin. L.R. (5th) 274, [2010] N.S.J. No. 54 (QL), 2010 CarswellNS 75, qui a infirmé une décision du juge Boudreau, </w:t>
      </w:r>
      <w:r w:rsidR="009019DC" w:rsidRPr="004C33AC">
        <w:rPr>
          <w:sz w:val="20"/>
        </w:rPr>
        <w:fldChar w:fldCharType="begin"/>
      </w:r>
      <w:r w:rsidRPr="00F816C1">
        <w:rPr>
          <w:sz w:val="20"/>
          <w:lang w:val="fr-CA"/>
        </w:rPr>
        <w:instrText xml:space="preserve"> SEQ CHAPTER \h \r 1</w:instrText>
      </w:r>
      <w:r w:rsidR="009019DC" w:rsidRPr="004C33AC">
        <w:rPr>
          <w:sz w:val="20"/>
        </w:rPr>
        <w:fldChar w:fldCharType="end"/>
      </w:r>
      <w:r w:rsidRPr="00F816C1">
        <w:rPr>
          <w:sz w:val="20"/>
          <w:lang w:val="fr-CA"/>
        </w:rPr>
        <w:t>2009 NSSC 12, 273 N.S.R. (2d) 258, 872 A.P.R. 258, 184 C.R.R. (2d) 295, 55 M.P.L.R. (4th) 69, 66 C.H.R.R. D/1, [2009] N.S.J. No. 13 (QL), 2009 CarswellNS 13.  Pourvoi rejeté.</w:t>
      </w:r>
    </w:p>
    <w:p w:rsidR="00F816C1" w:rsidRPr="00F816C1" w:rsidRDefault="00F816C1" w:rsidP="00F816C1">
      <w:pPr>
        <w:pStyle w:val="SCCNormalDoubleSpacing"/>
        <w:spacing w:line="240" w:lineRule="auto"/>
        <w:rPr>
          <w:sz w:val="20"/>
          <w:lang w:val="fr-CA"/>
        </w:rPr>
      </w:pPr>
    </w:p>
    <w:p w:rsidR="00F816C1" w:rsidRPr="00F816C1" w:rsidRDefault="00F816C1" w:rsidP="00F816C1">
      <w:pPr>
        <w:pStyle w:val="SCCNormalDoubleSpacing"/>
        <w:spacing w:line="240" w:lineRule="auto"/>
        <w:rPr>
          <w:sz w:val="20"/>
          <w:lang w:val="fr-CA"/>
        </w:rPr>
      </w:pPr>
      <w:r w:rsidRPr="00F816C1">
        <w:rPr>
          <w:rStyle w:val="SCCCounselNameChar"/>
          <w:sz w:val="20"/>
          <w:lang w:val="fr-CA"/>
        </w:rPr>
        <w:tab/>
        <w:t>Randolph Kinghorne</w:t>
      </w:r>
      <w:r w:rsidRPr="004C33AC">
        <w:rPr>
          <w:rStyle w:val="SCCCounselSeparatorChar"/>
          <w:sz w:val="20"/>
        </w:rPr>
        <w:t xml:space="preserve"> et </w:t>
      </w:r>
      <w:r w:rsidRPr="00F816C1">
        <w:rPr>
          <w:rStyle w:val="SCCCounselNameChar"/>
          <w:sz w:val="20"/>
          <w:lang w:val="fr-CA"/>
        </w:rPr>
        <w:t>Karen L. Brown</w:t>
      </w:r>
      <w:r w:rsidRPr="00F816C1">
        <w:rPr>
          <w:rStyle w:val="SCCCounselPartyRoleChar"/>
          <w:sz w:val="20"/>
          <w:lang w:val="fr-CA"/>
        </w:rPr>
        <w:t>, pour l’appelante.</w:t>
      </w:r>
    </w:p>
    <w:p w:rsidR="00F816C1" w:rsidRPr="00F816C1" w:rsidRDefault="00F816C1" w:rsidP="00F816C1">
      <w:pPr>
        <w:pStyle w:val="SCCNormalDoubleSpacing"/>
        <w:spacing w:line="240" w:lineRule="auto"/>
        <w:rPr>
          <w:rStyle w:val="SCCCounselNameChar"/>
          <w:sz w:val="20"/>
          <w:lang w:val="fr-CA"/>
        </w:rPr>
      </w:pPr>
    </w:p>
    <w:p w:rsidR="00F816C1" w:rsidRPr="004C33AC" w:rsidRDefault="00F816C1" w:rsidP="00F816C1">
      <w:pPr>
        <w:pStyle w:val="SCCNormalDoubleSpacing"/>
        <w:spacing w:line="240" w:lineRule="auto"/>
        <w:rPr>
          <w:sz w:val="20"/>
          <w:lang w:val="en-US"/>
        </w:rPr>
      </w:pPr>
      <w:r w:rsidRPr="00F816C1">
        <w:rPr>
          <w:rStyle w:val="SCCCounselNameChar"/>
          <w:sz w:val="20"/>
          <w:lang w:val="fr-CA"/>
        </w:rPr>
        <w:tab/>
      </w:r>
      <w:r w:rsidRPr="004C33AC">
        <w:rPr>
          <w:rStyle w:val="SCCCounselNameChar"/>
          <w:sz w:val="20"/>
          <w:lang w:val="en-US"/>
        </w:rPr>
        <w:t>John P. Merrick, c.r.,</w:t>
      </w:r>
      <w:r w:rsidRPr="004C33AC">
        <w:rPr>
          <w:rStyle w:val="SCCCounselSeparatorChar"/>
          <w:sz w:val="20"/>
          <w:lang w:val="en-US"/>
        </w:rPr>
        <w:t xml:space="preserve"> et </w:t>
      </w:r>
      <w:r w:rsidRPr="004C33AC">
        <w:rPr>
          <w:rStyle w:val="SCCCounselNameChar"/>
          <w:sz w:val="20"/>
          <w:lang w:val="en-US"/>
        </w:rPr>
        <w:t>Kelly L. Buffett</w:t>
      </w:r>
      <w:r w:rsidRPr="004C33AC">
        <w:rPr>
          <w:rStyle w:val="SCCCounselPartyRoleChar"/>
          <w:sz w:val="20"/>
          <w:lang w:val="en-US"/>
        </w:rPr>
        <w:t>, pour l’intimée Nova Scotia Human Rights Commission.</w:t>
      </w:r>
    </w:p>
    <w:p w:rsidR="00F816C1" w:rsidRDefault="00F816C1" w:rsidP="00F816C1">
      <w:pPr>
        <w:pStyle w:val="SCCNormalDoubleSpacing"/>
        <w:spacing w:line="240" w:lineRule="auto"/>
        <w:rPr>
          <w:rStyle w:val="SCCCounselNameChar"/>
          <w:sz w:val="20"/>
          <w:lang w:val="en-US"/>
        </w:rPr>
      </w:pPr>
    </w:p>
    <w:p w:rsidR="00F816C1" w:rsidRPr="00F816C1" w:rsidRDefault="00F816C1" w:rsidP="00F816C1">
      <w:pPr>
        <w:pStyle w:val="SCCNormalDoubleSpacing"/>
        <w:spacing w:line="240" w:lineRule="auto"/>
        <w:rPr>
          <w:sz w:val="20"/>
          <w:lang w:val="fr-CA"/>
        </w:rPr>
      </w:pPr>
      <w:r w:rsidRPr="004C33AC">
        <w:rPr>
          <w:rStyle w:val="SCCCounselNameChar"/>
          <w:sz w:val="20"/>
          <w:lang w:val="en-US"/>
        </w:rPr>
        <w:tab/>
      </w:r>
      <w:r w:rsidRPr="00F816C1">
        <w:rPr>
          <w:rStyle w:val="SCCCounselNameChar"/>
          <w:sz w:val="20"/>
          <w:lang w:val="fr-CA"/>
        </w:rPr>
        <w:t>Michel Doucet, Mark C. Power</w:t>
      </w:r>
      <w:r w:rsidRPr="004C33AC">
        <w:rPr>
          <w:rStyle w:val="SCCCounselSeparatorChar"/>
          <w:sz w:val="20"/>
        </w:rPr>
        <w:t xml:space="preserve"> et </w:t>
      </w:r>
      <w:r w:rsidRPr="00F816C1">
        <w:rPr>
          <w:rStyle w:val="SCCCounselNameChar"/>
          <w:sz w:val="20"/>
          <w:lang w:val="fr-CA"/>
        </w:rPr>
        <w:t>Jean</w:t>
      </w:r>
      <w:r w:rsidRPr="00F816C1">
        <w:rPr>
          <w:rStyle w:val="SCCCounselNameChar"/>
          <w:sz w:val="20"/>
          <w:lang w:val="fr-CA"/>
        </w:rPr>
        <w:noBreakHyphen/>
        <w:t>Pierre Hachey</w:t>
      </w:r>
      <w:r w:rsidRPr="00F816C1">
        <w:rPr>
          <w:rStyle w:val="SCCCounselPartyRoleChar"/>
          <w:sz w:val="20"/>
          <w:lang w:val="fr-CA"/>
        </w:rPr>
        <w:t>, pour l’intimé Lucien Comeau.</w:t>
      </w:r>
    </w:p>
    <w:p w:rsidR="00F816C1" w:rsidRPr="00F816C1" w:rsidRDefault="00F816C1" w:rsidP="00F816C1">
      <w:pPr>
        <w:pStyle w:val="SCCNormalDoubleSpacing"/>
        <w:spacing w:line="240" w:lineRule="auto"/>
        <w:rPr>
          <w:rStyle w:val="SCCCounselNameChar"/>
          <w:sz w:val="20"/>
          <w:lang w:val="fr-CA"/>
        </w:rPr>
      </w:pPr>
    </w:p>
    <w:p w:rsidR="00F816C1" w:rsidRPr="00F816C1" w:rsidRDefault="00F816C1" w:rsidP="00F816C1">
      <w:pPr>
        <w:pStyle w:val="SCCNormalDoubleSpacing"/>
        <w:spacing w:line="240" w:lineRule="auto"/>
        <w:rPr>
          <w:sz w:val="20"/>
          <w:lang w:val="fr-CA"/>
        </w:rPr>
      </w:pPr>
      <w:r w:rsidRPr="00F816C1">
        <w:rPr>
          <w:rStyle w:val="SCCCounselNameChar"/>
          <w:sz w:val="20"/>
          <w:lang w:val="fr-CA"/>
        </w:rPr>
        <w:tab/>
        <w:t>Edward A. Gores, c.r.,</w:t>
      </w:r>
      <w:r w:rsidRPr="004C33AC">
        <w:rPr>
          <w:rStyle w:val="SCCCounselSeparatorChar"/>
          <w:sz w:val="20"/>
        </w:rPr>
        <w:t xml:space="preserve"> </w:t>
      </w:r>
      <w:r w:rsidRPr="00F816C1">
        <w:rPr>
          <w:rStyle w:val="SCCCounselPartyRoleChar"/>
          <w:sz w:val="20"/>
          <w:lang w:val="fr-CA"/>
        </w:rPr>
        <w:t xml:space="preserve">pour l’intimée Sa Majesté la </w:t>
      </w:r>
      <w:r w:rsidRPr="00F816C1">
        <w:rPr>
          <w:sz w:val="20"/>
          <w:lang w:val="fr-CA"/>
        </w:rPr>
        <w:t>Reine du chef de la province de la Nouvelle</w:t>
      </w:r>
      <w:r w:rsidRPr="00F816C1">
        <w:rPr>
          <w:sz w:val="20"/>
          <w:lang w:val="fr-CA"/>
        </w:rPr>
        <w:noBreakHyphen/>
        <w:t>Écosse</w:t>
      </w:r>
      <w:r w:rsidRPr="00F816C1">
        <w:rPr>
          <w:rStyle w:val="SCCCounselPartyRoleChar"/>
          <w:sz w:val="20"/>
          <w:lang w:val="fr-CA"/>
        </w:rPr>
        <w:t>.</w:t>
      </w:r>
    </w:p>
    <w:p w:rsidR="00F816C1" w:rsidRPr="00F816C1" w:rsidRDefault="00F816C1" w:rsidP="00F816C1">
      <w:pPr>
        <w:pStyle w:val="SCCNormalDoubleSpacing"/>
        <w:spacing w:line="240" w:lineRule="auto"/>
        <w:rPr>
          <w:rStyle w:val="SCCCounselNameChar"/>
          <w:sz w:val="20"/>
          <w:lang w:val="fr-CA"/>
        </w:rPr>
      </w:pPr>
    </w:p>
    <w:p w:rsidR="00F816C1" w:rsidRPr="00F816C1" w:rsidRDefault="00F816C1" w:rsidP="00F816C1">
      <w:pPr>
        <w:pStyle w:val="SCCNormalDoubleSpacing"/>
        <w:spacing w:line="240" w:lineRule="auto"/>
        <w:rPr>
          <w:sz w:val="20"/>
          <w:lang w:val="fr-CA"/>
        </w:rPr>
      </w:pPr>
      <w:r w:rsidRPr="00F816C1">
        <w:rPr>
          <w:rStyle w:val="SCCCounselNameChar"/>
          <w:sz w:val="20"/>
          <w:lang w:val="fr-CA"/>
        </w:rPr>
        <w:tab/>
      </w:r>
      <w:r w:rsidRPr="00F816C1">
        <w:rPr>
          <w:sz w:val="20"/>
          <w:lang w:val="fr-CA"/>
        </w:rPr>
        <w:t>Personne n’a comparu pour l’intimée Lynn Connors.</w:t>
      </w:r>
    </w:p>
    <w:p w:rsidR="00F816C1" w:rsidRPr="00F816C1" w:rsidRDefault="00F816C1" w:rsidP="00F816C1">
      <w:pPr>
        <w:pStyle w:val="SCCNormalDoubleSpacing"/>
        <w:spacing w:line="240" w:lineRule="auto"/>
        <w:rPr>
          <w:rStyle w:val="SCCCounselNameChar"/>
          <w:sz w:val="20"/>
          <w:lang w:val="fr-CA"/>
        </w:rPr>
      </w:pPr>
    </w:p>
    <w:p w:rsidR="00F816C1" w:rsidRPr="00F816C1" w:rsidRDefault="00F816C1" w:rsidP="00F816C1">
      <w:pPr>
        <w:pStyle w:val="SCCNormalDoubleSpacing"/>
        <w:spacing w:line="240" w:lineRule="auto"/>
        <w:rPr>
          <w:sz w:val="20"/>
          <w:lang w:val="fr-CA"/>
        </w:rPr>
      </w:pPr>
      <w:r w:rsidRPr="00F816C1">
        <w:rPr>
          <w:rStyle w:val="SCCCounselNameChar"/>
          <w:sz w:val="20"/>
          <w:lang w:val="fr-CA"/>
        </w:rPr>
        <w:tab/>
        <w:t>Philippe Dufresne</w:t>
      </w:r>
      <w:r w:rsidRPr="00F816C1">
        <w:rPr>
          <w:rStyle w:val="SCCCounselPartyRoleChar"/>
          <w:sz w:val="20"/>
          <w:lang w:val="fr-CA"/>
        </w:rPr>
        <w:t>, pour l’intervenante la Commission canadienne des droits de la personne.</w:t>
      </w:r>
    </w:p>
    <w:p w:rsidR="00F816C1" w:rsidRPr="00F816C1" w:rsidRDefault="00F816C1" w:rsidP="00F816C1">
      <w:pPr>
        <w:pStyle w:val="SCCLawFirm"/>
        <w:spacing w:line="240" w:lineRule="auto"/>
        <w:rPr>
          <w:sz w:val="20"/>
          <w:lang w:val="fr-CA"/>
        </w:rPr>
      </w:pPr>
    </w:p>
    <w:p w:rsidR="00F816C1" w:rsidRPr="00F816C1" w:rsidRDefault="00F816C1" w:rsidP="00F816C1">
      <w:pPr>
        <w:pStyle w:val="SCCLawFirm"/>
        <w:spacing w:line="240" w:lineRule="auto"/>
        <w:rPr>
          <w:sz w:val="20"/>
          <w:lang w:val="fr-CA"/>
        </w:rPr>
      </w:pPr>
      <w:r w:rsidRPr="00F816C1">
        <w:rPr>
          <w:sz w:val="20"/>
          <w:lang w:val="fr-CA"/>
        </w:rPr>
        <w:tab/>
        <w:t>Procureur de l’appelante : Halifax Regional Municipality, Halifax.</w:t>
      </w:r>
    </w:p>
    <w:p w:rsidR="00F816C1" w:rsidRPr="00F816C1" w:rsidRDefault="00F816C1" w:rsidP="00F816C1">
      <w:pPr>
        <w:pStyle w:val="SCCLawFirm"/>
        <w:spacing w:line="240" w:lineRule="auto"/>
        <w:rPr>
          <w:sz w:val="20"/>
          <w:lang w:val="fr-CA"/>
        </w:rPr>
      </w:pPr>
    </w:p>
    <w:p w:rsidR="00F816C1" w:rsidRPr="004C33AC" w:rsidRDefault="00F816C1" w:rsidP="00F816C1">
      <w:pPr>
        <w:pStyle w:val="SCCLawFirm"/>
        <w:spacing w:line="240" w:lineRule="auto"/>
        <w:rPr>
          <w:sz w:val="20"/>
          <w:lang w:val="en-US"/>
        </w:rPr>
      </w:pPr>
      <w:r w:rsidRPr="00F816C1">
        <w:rPr>
          <w:sz w:val="20"/>
          <w:lang w:val="fr-CA"/>
        </w:rPr>
        <w:tab/>
      </w:r>
      <w:r w:rsidRPr="004C33AC">
        <w:rPr>
          <w:sz w:val="20"/>
          <w:lang w:val="en-US"/>
        </w:rPr>
        <w:t>Procureurs de l’intimée Nova Scotia Human Rights Commission : Merrick Jamieson Sterns Washington &amp; Mahody, Halifax.</w:t>
      </w:r>
    </w:p>
    <w:p w:rsidR="00F816C1" w:rsidRDefault="00F816C1" w:rsidP="00F816C1">
      <w:pPr>
        <w:pStyle w:val="SCCLawFirm"/>
        <w:spacing w:line="240" w:lineRule="auto"/>
        <w:rPr>
          <w:sz w:val="20"/>
          <w:lang w:val="en-US"/>
        </w:rPr>
      </w:pPr>
    </w:p>
    <w:p w:rsidR="00F816C1" w:rsidRDefault="00F816C1" w:rsidP="00F816C1">
      <w:pPr>
        <w:pStyle w:val="SCCLawFirm"/>
        <w:spacing w:line="240" w:lineRule="auto"/>
        <w:rPr>
          <w:sz w:val="20"/>
          <w:lang w:val="en-US"/>
        </w:rPr>
      </w:pPr>
    </w:p>
    <w:p w:rsidR="00F816C1" w:rsidRPr="00F816C1" w:rsidRDefault="00F816C1" w:rsidP="00F816C1">
      <w:pPr>
        <w:pStyle w:val="SCCLawFirm"/>
        <w:spacing w:line="240" w:lineRule="auto"/>
        <w:rPr>
          <w:sz w:val="20"/>
          <w:lang w:val="fr-CA"/>
        </w:rPr>
      </w:pPr>
      <w:r w:rsidRPr="004C33AC">
        <w:rPr>
          <w:sz w:val="20"/>
          <w:lang w:val="en-US"/>
        </w:rPr>
        <w:tab/>
      </w:r>
      <w:r w:rsidRPr="00F816C1">
        <w:rPr>
          <w:sz w:val="20"/>
          <w:lang w:val="fr-CA"/>
        </w:rPr>
        <w:t>Procureur de l’intimé Lucien Comeau : Université de Moncton, Moncton.</w:t>
      </w:r>
    </w:p>
    <w:p w:rsidR="00F816C1" w:rsidRPr="00F816C1" w:rsidRDefault="00F816C1" w:rsidP="00F816C1">
      <w:pPr>
        <w:pStyle w:val="SCCLawFirm"/>
        <w:spacing w:line="240" w:lineRule="auto"/>
        <w:rPr>
          <w:sz w:val="20"/>
          <w:lang w:val="fr-CA"/>
        </w:rPr>
      </w:pPr>
    </w:p>
    <w:p w:rsidR="00F816C1" w:rsidRPr="00F816C1" w:rsidRDefault="00F816C1" w:rsidP="00F816C1">
      <w:pPr>
        <w:pStyle w:val="SCCLawFirm"/>
        <w:spacing w:line="240" w:lineRule="auto"/>
        <w:rPr>
          <w:sz w:val="20"/>
          <w:lang w:val="fr-CA"/>
        </w:rPr>
      </w:pPr>
      <w:r w:rsidRPr="00F816C1">
        <w:rPr>
          <w:sz w:val="20"/>
          <w:lang w:val="fr-CA"/>
        </w:rPr>
        <w:tab/>
        <w:t>Procureur de l'intimé</w:t>
      </w:r>
      <w:r w:rsidRPr="00F816C1">
        <w:rPr>
          <w:rStyle w:val="SCCCounselPartyRoleChar"/>
          <w:sz w:val="20"/>
          <w:lang w:val="fr-CA"/>
        </w:rPr>
        <w:t xml:space="preserve">e Sa Majesté la </w:t>
      </w:r>
      <w:r w:rsidRPr="00F816C1">
        <w:rPr>
          <w:sz w:val="20"/>
          <w:lang w:val="fr-CA"/>
        </w:rPr>
        <w:t>Reine du chef de la province de la Nouvelle</w:t>
      </w:r>
      <w:r w:rsidRPr="00F816C1">
        <w:rPr>
          <w:sz w:val="20"/>
          <w:lang w:val="fr-CA"/>
        </w:rPr>
        <w:noBreakHyphen/>
        <w:t>Écosse : Procureur général de la Nouvelle</w:t>
      </w:r>
      <w:r w:rsidRPr="00F816C1">
        <w:rPr>
          <w:sz w:val="20"/>
          <w:lang w:val="fr-CA"/>
        </w:rPr>
        <w:noBreakHyphen/>
        <w:t>Écosse, Halifax.</w:t>
      </w:r>
    </w:p>
    <w:p w:rsidR="00F816C1" w:rsidRPr="00F816C1" w:rsidRDefault="00F816C1" w:rsidP="00F816C1">
      <w:pPr>
        <w:pStyle w:val="SCCLawFirm"/>
        <w:spacing w:line="240" w:lineRule="auto"/>
        <w:rPr>
          <w:sz w:val="20"/>
          <w:lang w:val="fr-CA"/>
        </w:rPr>
      </w:pPr>
    </w:p>
    <w:p w:rsidR="003B3977" w:rsidRPr="00EF177C" w:rsidRDefault="00F816C1" w:rsidP="00EF177C">
      <w:pPr>
        <w:pStyle w:val="SCCLawFirm"/>
        <w:spacing w:line="240" w:lineRule="auto"/>
        <w:rPr>
          <w:sz w:val="20"/>
          <w:lang w:val="fr-CA"/>
        </w:rPr>
      </w:pPr>
      <w:r w:rsidRPr="00F816C1">
        <w:rPr>
          <w:sz w:val="20"/>
          <w:lang w:val="fr-CA"/>
        </w:rPr>
        <w:tab/>
        <w:t>Procureur de l’intervenante la Commission canadienne des droits de la personne : Commission canadienne des droits de la personne, Ottawa.</w:t>
      </w:r>
      <w:r w:rsidR="00EF177C" w:rsidRPr="00EF177C">
        <w:rPr>
          <w:sz w:val="20"/>
          <w:lang w:val="fr-CA"/>
        </w:rPr>
        <w:t xml:space="preserve"> </w:t>
      </w:r>
    </w:p>
    <w:p w:rsidR="00F816C1" w:rsidRPr="00EF177C" w:rsidRDefault="00F816C1" w:rsidP="003B3977">
      <w:pPr>
        <w:rPr>
          <w:sz w:val="20"/>
          <w:szCs w:val="20"/>
          <w:lang w:val="fr-CA"/>
        </w:rPr>
      </w:pPr>
    </w:p>
    <w:p w:rsidR="00F816C1" w:rsidRPr="00EF177C" w:rsidRDefault="009019DC" w:rsidP="003B3977">
      <w:pPr>
        <w:rPr>
          <w:sz w:val="20"/>
          <w:szCs w:val="20"/>
          <w:lang w:val="fr-CA"/>
        </w:rPr>
      </w:pPr>
      <w:r w:rsidRPr="009019DC">
        <w:rPr>
          <w:rFonts w:cs="Times New Roman"/>
          <w:b/>
          <w:sz w:val="20"/>
          <w:szCs w:val="20"/>
        </w:rPr>
        <w:pict>
          <v:rect id="_x0000_i1071" style="width:144.3pt;height:1pt" o:hrpct="300" o:hralign="center" o:hrstd="t" o:hrnoshade="t" o:hr="t" fillcolor="black [3213]" stroked="f"/>
        </w:pict>
      </w:r>
    </w:p>
    <w:p w:rsidR="00F816C1" w:rsidRPr="00EF177C" w:rsidRDefault="00F816C1" w:rsidP="003B3977">
      <w:pPr>
        <w:rPr>
          <w:sz w:val="20"/>
          <w:szCs w:val="20"/>
          <w:lang w:val="fr-CA"/>
        </w:rPr>
      </w:pPr>
    </w:p>
    <w:p w:rsidR="005C6840" w:rsidRPr="00EF177C" w:rsidRDefault="005C6840" w:rsidP="005C6840">
      <w:pPr>
        <w:jc w:val="both"/>
        <w:rPr>
          <w:sz w:val="20"/>
          <w:szCs w:val="20"/>
          <w:lang w:val="fr-CA"/>
        </w:rPr>
      </w:pPr>
    </w:p>
    <w:p w:rsidR="00102926" w:rsidRPr="00EF177C" w:rsidRDefault="00102926" w:rsidP="00782AE4">
      <w:pPr>
        <w:jc w:val="both"/>
        <w:rPr>
          <w:sz w:val="20"/>
          <w:szCs w:val="20"/>
          <w:lang w:val="fr-CA"/>
        </w:rPr>
        <w:sectPr w:rsidR="00102926" w:rsidRPr="00EF177C" w:rsidSect="00782AE4">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576" w:footer="960" w:gutter="0"/>
          <w:cols w:space="720"/>
          <w:titlePg/>
          <w:docGrid w:linePitch="272"/>
        </w:sectPr>
      </w:pPr>
    </w:p>
    <w:p w:rsidR="00E903A1" w:rsidRPr="002E0C7E" w:rsidRDefault="009019DC"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0"/>
      <w:footerReference w:type="default" r:id="rId61"/>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35D" w:rsidRDefault="00F8135D" w:rsidP="00A87207">
      <w:r>
        <w:separator/>
      </w:r>
    </w:p>
  </w:endnote>
  <w:endnote w:type="continuationSeparator" w:id="0">
    <w:p w:rsidR="00F8135D" w:rsidRDefault="00F8135D"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9019DC">
    <w:pPr>
      <w:pStyle w:val="Footer"/>
      <w:rPr>
        <w:lang w:val="fr-CA"/>
      </w:rPr>
    </w:pPr>
    <w:r w:rsidRPr="009019DC">
      <w:rPr>
        <w:lang w:val="fr-CA"/>
      </w:rPr>
      <w:pict>
        <v:rect id="_x0000_i1047" style="width:480.95pt;height:1pt" o:hralign="center" o:hrstd="t" o:hrnoshade="t" o:hr="t" fillcolor="black [3213]" stroked="f"/>
      </w:pict>
    </w:r>
  </w:p>
  <w:p w:rsidR="00F8135D" w:rsidRDefault="00F8135D" w:rsidP="00245129">
    <w:pPr>
      <w:tabs>
        <w:tab w:val="center" w:pos="4680"/>
      </w:tabs>
    </w:pPr>
    <w:r>
      <w:tab/>
    </w:r>
    <w:r w:rsidRPr="0009648D">
      <w:t xml:space="preserve">- </w:t>
    </w:r>
    <w:fldSimple w:instr=" PAGE   \* MERGEFORMAT ">
      <w:r w:rsidR="00E40273">
        <w:rPr>
          <w:noProof/>
        </w:rPr>
        <w:t>352</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8135D"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8135D" w:rsidRDefault="00F8135D">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9019DC" w:rsidP="00755F22">
    <w:pPr>
      <w:tabs>
        <w:tab w:val="left" w:pos="-1440"/>
        <w:tab w:val="left" w:pos="-720"/>
      </w:tabs>
    </w:pPr>
    <w:r>
      <w:pict>
        <v:rect id="_x0000_i1055" style="width:480.95pt;height:1pt" o:hralign="center" o:hrstd="t" o:hrnoshade="t" o:hr="t" fillcolor="black [3213]" stroked="f"/>
      </w:pict>
    </w:r>
  </w:p>
  <w:p w:rsidR="00F8135D" w:rsidRDefault="00F8135D" w:rsidP="00EB2B90">
    <w:pPr>
      <w:tabs>
        <w:tab w:val="center" w:pos="4680"/>
      </w:tabs>
    </w:pPr>
    <w:r>
      <w:tab/>
      <w:t xml:space="preserve">- </w:t>
    </w:r>
    <w:fldSimple w:instr=" PAGE   \* MERGEFORMAT ">
      <w:r w:rsidR="00E40273">
        <w:rPr>
          <w:noProof/>
        </w:rPr>
        <w:t>368</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9019DC" w:rsidP="00EB2B90">
    <w:pPr>
      <w:tabs>
        <w:tab w:val="center" w:pos="4680"/>
      </w:tabs>
    </w:pPr>
    <w:r>
      <w:pict>
        <v:rect id="_x0000_i1056" style="width:480.95pt;height:1pt" o:hralign="center" o:hrstd="t" o:hrnoshade="t" o:hr="t" fillcolor="black [3213]" stroked="f"/>
      </w:pict>
    </w:r>
  </w:p>
  <w:p w:rsidR="00F8135D" w:rsidRPr="0031432F" w:rsidRDefault="00F8135D" w:rsidP="00EB2B90">
    <w:pPr>
      <w:tabs>
        <w:tab w:val="center" w:pos="4680"/>
      </w:tabs>
    </w:pPr>
    <w:r>
      <w:tab/>
      <w:t xml:space="preserve">- </w:t>
    </w:r>
    <w:fldSimple w:instr=" PAGE   \* MERGEFORMAT ">
      <w:r w:rsidR="00E40273">
        <w:rPr>
          <w:noProof/>
        </w:rPr>
        <w:t>361</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8135D"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8135D" w:rsidRDefault="00F8135D">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9019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019DC">
      <w:rPr>
        <w:lang w:val="fr-CA"/>
      </w:rPr>
      <w:pict>
        <v:rect id="_x0000_i1058" style="width:480.95pt;height:1pt" o:hralign="center" o:hrstd="t" o:hrnoshade="t" o:hr="t" fillcolor="black [3213]" stroked="f"/>
      </w:pict>
    </w:r>
  </w:p>
  <w:p w:rsidR="00F8135D" w:rsidRDefault="00F8135D"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9019DC">
    <w:pPr>
      <w:pStyle w:val="Footer"/>
      <w:rPr>
        <w:lang w:val="fr-CA"/>
      </w:rPr>
    </w:pPr>
    <w:r w:rsidRPr="009019DC">
      <w:rPr>
        <w:lang w:val="fr-CA"/>
      </w:rPr>
      <w:pict>
        <v:rect id="_x0000_i1059" style="width:480.95pt;height:1pt" o:hralign="center" o:hrstd="t" o:hrnoshade="t" o:hr="t" fillcolor="black [3213]" stroked="f"/>
      </w:pict>
    </w:r>
  </w:p>
  <w:p w:rsidR="00F8135D" w:rsidRDefault="00F8135D" w:rsidP="00EB2B90">
    <w:pPr>
      <w:tabs>
        <w:tab w:val="center" w:pos="4680"/>
      </w:tabs>
    </w:pPr>
    <w:r>
      <w:tab/>
      <w:t xml:space="preserve">- </w:t>
    </w:r>
    <w:fldSimple w:instr=" PAGE   \* MERGEFORMAT ">
      <w:r w:rsidR="00E40273">
        <w:rPr>
          <w:noProof/>
        </w:rPr>
        <w:t>369</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8135D"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8135D" w:rsidRDefault="00F8135D">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9019DC" w:rsidP="00732DB7">
    <w:r>
      <w:pict>
        <v:rect id="_x0000_i1062" style="width:480.95pt;height:1pt" o:hralign="center" o:hrstd="t" o:hrnoshade="t" o:hr="t" fillcolor="black" stroked="f"/>
      </w:pict>
    </w:r>
  </w:p>
  <w:p w:rsidR="00F8135D" w:rsidRDefault="00F8135D">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9019DC">
    <w:pPr>
      <w:pStyle w:val="Footer"/>
    </w:pPr>
    <w:r>
      <w:pict>
        <v:rect id="_x0000_i1063" style="width:480.95pt;height:1pt" o:hralign="center" o:hrstd="t" o:hrnoshade="t" o:hr="t" fillcolor="black" stroked="f"/>
      </w:pict>
    </w:r>
  </w:p>
  <w:p w:rsidR="00F8135D" w:rsidRPr="00283C52" w:rsidRDefault="00F8135D">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8135D"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8135D" w:rsidRDefault="00F8135D">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9019DC" w:rsidP="00732DB7">
    <w:r>
      <w:pict>
        <v:rect id="_x0000_i1066" style="width:480.95pt;height:1pt" o:hralign="center" o:hrstd="t" o:hrnoshade="t" o:hr="t" fillcolor="black" stroked="f"/>
      </w:pict>
    </w:r>
  </w:p>
  <w:p w:rsidR="00F8135D" w:rsidRDefault="00F8135D">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9019DC">
    <w:pPr>
      <w:pStyle w:val="Footer"/>
    </w:pPr>
    <w:r>
      <w:pict>
        <v:rect id="_x0000_i1067" style="width:480.95pt;height:1pt" o:hralign="center" o:hrstd="t" o:hrnoshade="t" o:hr="t" fillcolor="black [3213]" stroked="f"/>
      </w:pict>
    </w:r>
  </w:p>
  <w:p w:rsidR="00F8135D" w:rsidRPr="003C2C0F" w:rsidRDefault="00F8135D" w:rsidP="00697C62">
    <w:pPr>
      <w:tabs>
        <w:tab w:val="center" w:pos="4680"/>
      </w:tabs>
    </w:pPr>
    <w:r>
      <w:tab/>
      <w:t xml:space="preserve">- </w:t>
    </w:r>
    <w:fldSimple w:instr=" PAGE   \* MERGEFORMAT ">
      <w:r w:rsidR="00E40273">
        <w:rPr>
          <w:noProof/>
        </w:rPr>
        <w:t>374</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8135D"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8135D" w:rsidRDefault="00F8135D">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8135D" w:rsidRDefault="009019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2" style="width:480.95pt;height:1pt" o:hralign="center" o:hrstd="t" o:hrnoshade="t" o:hr="t" fillcolor="black [3213]" stroked="f"/>
      </w:pict>
    </w:r>
  </w:p>
  <w:p w:rsidR="00F8135D" w:rsidRDefault="00F8135D" w:rsidP="00782AE4">
    <w:pPr>
      <w:tabs>
        <w:tab w:val="center" w:pos="4680"/>
      </w:tabs>
    </w:pPr>
    <w:r>
      <w:tab/>
      <w:t xml:space="preserve">- </w:t>
    </w:r>
    <w:r w:rsidR="009019DC" w:rsidRPr="001775C1">
      <w:rPr>
        <w:szCs w:val="24"/>
      </w:rPr>
      <w:fldChar w:fldCharType="begin"/>
    </w:r>
    <w:r w:rsidRPr="001775C1">
      <w:rPr>
        <w:szCs w:val="24"/>
      </w:rPr>
      <w:instrText xml:space="preserve"> PAGE   \* MERGEFORMAT </w:instrText>
    </w:r>
    <w:r w:rsidR="009019DC" w:rsidRPr="001775C1">
      <w:rPr>
        <w:szCs w:val="24"/>
      </w:rPr>
      <w:fldChar w:fldCharType="separate"/>
    </w:r>
    <w:r w:rsidR="00E40273">
      <w:rPr>
        <w:noProof/>
        <w:szCs w:val="24"/>
      </w:rPr>
      <w:t>380</w:t>
    </w:r>
    <w:r w:rsidR="009019DC"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9019DC" w:rsidP="00782AE4">
    <w:pPr>
      <w:tabs>
        <w:tab w:val="center" w:pos="4680"/>
      </w:tabs>
    </w:pPr>
    <w:r>
      <w:pict>
        <v:rect id="_x0000_i1073" style="width:480.95pt;height:1pt" o:hralign="center" o:hrstd="t" o:hrnoshade="t" o:hr="t" fillcolor="black [3213]" stroked="f"/>
      </w:pict>
    </w:r>
  </w:p>
  <w:p w:rsidR="00F8135D" w:rsidRDefault="00F8135D" w:rsidP="00782AE4">
    <w:pPr>
      <w:tabs>
        <w:tab w:val="center" w:pos="4680"/>
      </w:tabs>
    </w:pPr>
    <w:r>
      <w:tab/>
      <w:t xml:space="preserve">- </w:t>
    </w:r>
    <w:r w:rsidR="009019DC" w:rsidRPr="001775C1">
      <w:rPr>
        <w:szCs w:val="24"/>
      </w:rPr>
      <w:fldChar w:fldCharType="begin"/>
    </w:r>
    <w:r w:rsidRPr="001775C1">
      <w:rPr>
        <w:szCs w:val="24"/>
      </w:rPr>
      <w:instrText xml:space="preserve"> PAGE   \* MERGEFORMAT </w:instrText>
    </w:r>
    <w:r w:rsidR="009019DC" w:rsidRPr="001775C1">
      <w:rPr>
        <w:szCs w:val="24"/>
      </w:rPr>
      <w:fldChar w:fldCharType="separate"/>
    </w:r>
    <w:r w:rsidR="00E40273">
      <w:rPr>
        <w:noProof/>
        <w:szCs w:val="24"/>
      </w:rPr>
      <w:t>375</w:t>
    </w:r>
    <w:r w:rsidR="009019DC"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Pr="00924065" w:rsidRDefault="00F8135D"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9019DC" w:rsidP="00A87207">
    <w:pPr>
      <w:pStyle w:val="Footer"/>
    </w:pPr>
    <w:r>
      <w:pict>
        <v:rect id="_x0000_i1033" style="width:480.95pt;height:1pt" o:hralign="center" o:hrstd="t" o:hrnoshade="t" o:hr="t" fillcolor="black [3213]" stroked="f"/>
      </w:pict>
    </w:r>
  </w:p>
  <w:p w:rsidR="00F8135D" w:rsidRPr="00B7374B" w:rsidRDefault="00F8135D" w:rsidP="00B7374B">
    <w:pPr>
      <w:tabs>
        <w:tab w:val="center" w:pos="4680"/>
      </w:tabs>
      <w:rPr>
        <w:szCs w:val="24"/>
      </w:rPr>
    </w:pPr>
    <w:r w:rsidRPr="00954D22">
      <w:rPr>
        <w:szCs w:val="24"/>
      </w:rPr>
      <w:tab/>
      <w:t xml:space="preserve">- </w:t>
    </w:r>
    <w:r w:rsidR="009019DC" w:rsidRPr="00954D22">
      <w:rPr>
        <w:szCs w:val="24"/>
      </w:rPr>
      <w:fldChar w:fldCharType="begin"/>
    </w:r>
    <w:r w:rsidRPr="00954D22">
      <w:rPr>
        <w:szCs w:val="24"/>
      </w:rPr>
      <w:instrText xml:space="preserve"> PAGE   \* MERGEFORMAT </w:instrText>
    </w:r>
    <w:r w:rsidR="009019DC" w:rsidRPr="00954D22">
      <w:rPr>
        <w:szCs w:val="24"/>
      </w:rPr>
      <w:fldChar w:fldCharType="separate"/>
    </w:r>
    <w:r>
      <w:rPr>
        <w:noProof/>
        <w:szCs w:val="24"/>
      </w:rPr>
      <w:t>350</w:t>
    </w:r>
    <w:r w:rsidR="009019DC"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9019DC" w:rsidP="00755F22">
    <w:pPr>
      <w:tabs>
        <w:tab w:val="left" w:pos="-1440"/>
        <w:tab w:val="left" w:pos="-720"/>
      </w:tabs>
    </w:pPr>
    <w:r>
      <w:pict>
        <v:rect id="_x0000_i1034" style="width:480.95pt;height:1pt" o:hralign="center" o:hrstd="t" o:hrnoshade="t" o:hr="t" fillcolor="black [3213]" stroked="f"/>
      </w:pict>
    </w:r>
  </w:p>
  <w:p w:rsidR="00F8135D" w:rsidRPr="00954D22" w:rsidRDefault="00F8135D" w:rsidP="00B7374B">
    <w:pPr>
      <w:tabs>
        <w:tab w:val="center" w:pos="4680"/>
      </w:tabs>
      <w:rPr>
        <w:szCs w:val="24"/>
      </w:rPr>
    </w:pPr>
    <w:r w:rsidRPr="00954D22">
      <w:rPr>
        <w:szCs w:val="24"/>
      </w:rPr>
      <w:tab/>
      <w:t xml:space="preserve">- </w:t>
    </w:r>
    <w:r w:rsidR="009019DC">
      <w:rPr>
        <w:szCs w:val="24"/>
      </w:rPr>
      <w:fldChar w:fldCharType="begin"/>
    </w:r>
    <w:r>
      <w:rPr>
        <w:szCs w:val="24"/>
      </w:rPr>
      <w:instrText xml:space="preserve"> PAGE   \* MERGEFORMAT </w:instrText>
    </w:r>
    <w:r w:rsidR="009019DC">
      <w:rPr>
        <w:szCs w:val="24"/>
      </w:rPr>
      <w:fldChar w:fldCharType="separate"/>
    </w:r>
    <w:r w:rsidR="00E40273">
      <w:rPr>
        <w:noProof/>
        <w:szCs w:val="24"/>
      </w:rPr>
      <w:t>350</w:t>
    </w:r>
    <w:r w:rsidR="009019DC">
      <w:rPr>
        <w:szCs w:val="24"/>
      </w:rPr>
      <w:fldChar w:fldCharType="end"/>
    </w:r>
    <w:r w:rsidRPr="00954D22">
      <w:rPr>
        <w:szCs w:val="24"/>
      </w:rPr>
      <w:t xml:space="preserve"> -</w:t>
    </w:r>
  </w:p>
  <w:p w:rsidR="00F8135D" w:rsidRDefault="00F8135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9019DC" w:rsidP="00A87207">
    <w:pPr>
      <w:pStyle w:val="Footer"/>
    </w:pPr>
    <w:r>
      <w:pict>
        <v:rect id="_x0000_i1036" style="width:480.95pt;height:1pt" o:hralign="center" o:hrstd="t" o:hrnoshade="t" o:hr="t" fillcolor="black [3213]" stroked="f"/>
      </w:pict>
    </w:r>
  </w:p>
  <w:p w:rsidR="00F8135D" w:rsidRPr="00B7374B" w:rsidRDefault="00F8135D" w:rsidP="00B7374B">
    <w:pPr>
      <w:tabs>
        <w:tab w:val="center" w:pos="4680"/>
      </w:tabs>
      <w:rPr>
        <w:szCs w:val="24"/>
      </w:rPr>
    </w:pPr>
    <w:r w:rsidRPr="00954D22">
      <w:rPr>
        <w:szCs w:val="24"/>
      </w:rPr>
      <w:tab/>
      <w:t xml:space="preserve">- </w:t>
    </w:r>
    <w:r w:rsidR="009019DC" w:rsidRPr="00954D22">
      <w:rPr>
        <w:szCs w:val="24"/>
      </w:rPr>
      <w:fldChar w:fldCharType="begin"/>
    </w:r>
    <w:r w:rsidRPr="00954D22">
      <w:rPr>
        <w:szCs w:val="24"/>
      </w:rPr>
      <w:instrText xml:space="preserve"> PAGE   \* MERGEFORMAT </w:instrText>
    </w:r>
    <w:r w:rsidR="009019DC" w:rsidRPr="00954D22">
      <w:rPr>
        <w:szCs w:val="24"/>
      </w:rPr>
      <w:fldChar w:fldCharType="separate"/>
    </w:r>
    <w:r>
      <w:rPr>
        <w:noProof/>
        <w:szCs w:val="24"/>
      </w:rPr>
      <w:t>353</w:t>
    </w:r>
    <w:r w:rsidR="009019DC"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9019D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F8135D" w:rsidRPr="00954D22" w:rsidRDefault="00F8135D" w:rsidP="00B7374B">
    <w:pPr>
      <w:tabs>
        <w:tab w:val="center" w:pos="4680"/>
      </w:tabs>
      <w:rPr>
        <w:szCs w:val="24"/>
      </w:rPr>
    </w:pPr>
    <w:r w:rsidRPr="00954D22">
      <w:rPr>
        <w:szCs w:val="24"/>
      </w:rPr>
      <w:tab/>
      <w:t xml:space="preserve">- </w:t>
    </w:r>
    <w:r w:rsidR="009019DC" w:rsidRPr="00954D22">
      <w:rPr>
        <w:szCs w:val="24"/>
      </w:rPr>
      <w:fldChar w:fldCharType="begin"/>
    </w:r>
    <w:r w:rsidRPr="00954D22">
      <w:rPr>
        <w:szCs w:val="24"/>
      </w:rPr>
      <w:instrText xml:space="preserve"> PAGE   \* MERGEFORMAT </w:instrText>
    </w:r>
    <w:r w:rsidR="009019DC" w:rsidRPr="00954D22">
      <w:rPr>
        <w:szCs w:val="24"/>
      </w:rPr>
      <w:fldChar w:fldCharType="separate"/>
    </w:r>
    <w:r w:rsidR="00E40273">
      <w:rPr>
        <w:noProof/>
        <w:szCs w:val="24"/>
      </w:rPr>
      <w:t>351</w:t>
    </w:r>
    <w:r w:rsidR="009019DC"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8135D"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8135D" w:rsidRDefault="00F8135D">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9019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019DC">
      <w:rPr>
        <w:lang w:val="fr-CA"/>
      </w:rPr>
      <w:pict>
        <v:rect id="_x0000_i1046" style="width:480.95pt;height:1pt" o:hralign="center" o:hrstd="t" o:hrnoshade="t" o:hr="t" fillcolor="black [3213]" stroked="f"/>
      </w:pict>
    </w:r>
  </w:p>
  <w:p w:rsidR="00F8135D" w:rsidRPr="0009648D" w:rsidRDefault="00F8135D" w:rsidP="00ED7E83">
    <w:pPr>
      <w:tabs>
        <w:tab w:val="center" w:pos="4680"/>
      </w:tabs>
    </w:pPr>
    <w:r>
      <w:tab/>
    </w:r>
    <w:r w:rsidRPr="0009648D">
      <w:t xml:space="preserve">- </w:t>
    </w:r>
    <w:fldSimple w:instr=" PAGE   \* MERGEFORMAT ">
      <w:r w:rsidR="00E40273">
        <w:rPr>
          <w:noProof/>
        </w:rPr>
        <w:t>360</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35D" w:rsidRDefault="00F8135D" w:rsidP="00A87207">
      <w:r>
        <w:separator/>
      </w:r>
    </w:p>
  </w:footnote>
  <w:footnote w:type="continuationSeparator" w:id="0">
    <w:p w:rsidR="00F8135D" w:rsidRDefault="00F8135D"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F8135D">
      <w:tc>
        <w:tcPr>
          <w:tcW w:w="4230" w:type="dxa"/>
          <w:tcMar>
            <w:left w:w="0" w:type="dxa"/>
            <w:right w:w="0" w:type="dxa"/>
          </w:tcMar>
        </w:tcPr>
        <w:p w:rsidR="00F8135D" w:rsidRDefault="00F813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8135D" w:rsidRDefault="00F813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8135D" w:rsidRDefault="00F813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8135D">
      <w:trPr>
        <w:gridAfter w:val="2"/>
        <w:wAfter w:w="5250" w:type="dxa"/>
      </w:trPr>
      <w:tc>
        <w:tcPr>
          <w:tcW w:w="4230" w:type="dxa"/>
          <w:tcMar>
            <w:left w:w="0" w:type="dxa"/>
            <w:right w:w="0" w:type="dxa"/>
          </w:tcMar>
        </w:tcPr>
        <w:p w:rsidR="00F8135D"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8135D"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F8135D" w:rsidRPr="00755F22" w:rsidTr="00245129">
      <w:tc>
        <w:tcPr>
          <w:tcW w:w="4230" w:type="dxa"/>
          <w:tcMar>
            <w:left w:w="0" w:type="dxa"/>
            <w:right w:w="0" w:type="dxa"/>
          </w:tcMar>
        </w:tcPr>
        <w:p w:rsidR="00F8135D" w:rsidRPr="00755F22" w:rsidRDefault="00F8135D" w:rsidP="00831CA9">
          <w:pPr>
            <w:keepNext/>
            <w:keepLines/>
            <w:rPr>
              <w:sz w:val="20"/>
              <w:szCs w:val="20"/>
            </w:rPr>
          </w:pPr>
          <w:r w:rsidRPr="00755F22">
            <w:rPr>
              <w:sz w:val="20"/>
              <w:szCs w:val="20"/>
            </w:rPr>
            <w:t>MOTIONS</w:t>
          </w:r>
        </w:p>
      </w:tc>
      <w:tc>
        <w:tcPr>
          <w:tcW w:w="1170" w:type="dxa"/>
          <w:tcMar>
            <w:left w:w="0" w:type="dxa"/>
            <w:right w:w="0" w:type="dxa"/>
          </w:tcMar>
        </w:tcPr>
        <w:p w:rsidR="00F8135D" w:rsidRPr="00755F22" w:rsidRDefault="00F8135D" w:rsidP="00831CA9">
          <w:pPr>
            <w:keepLines/>
            <w:jc w:val="center"/>
            <w:rPr>
              <w:sz w:val="20"/>
              <w:szCs w:val="20"/>
            </w:rPr>
          </w:pPr>
        </w:p>
        <w:p w:rsidR="00F8135D" w:rsidRPr="00755F22" w:rsidRDefault="00F8135D" w:rsidP="00831CA9">
          <w:pPr>
            <w:keepLines/>
            <w:tabs>
              <w:tab w:val="left" w:pos="-1440"/>
              <w:tab w:val="left" w:pos="-720"/>
            </w:tabs>
            <w:jc w:val="center"/>
            <w:rPr>
              <w:sz w:val="20"/>
              <w:szCs w:val="20"/>
            </w:rPr>
          </w:pPr>
        </w:p>
      </w:tc>
      <w:tc>
        <w:tcPr>
          <w:tcW w:w="4080" w:type="dxa"/>
          <w:tcMar>
            <w:left w:w="0" w:type="dxa"/>
            <w:right w:w="0" w:type="dxa"/>
          </w:tcMar>
        </w:tcPr>
        <w:p w:rsidR="00F8135D" w:rsidRPr="00BA6468" w:rsidRDefault="00F8135D" w:rsidP="00BA6468">
          <w:pPr>
            <w:keepLines/>
            <w:rPr>
              <w:sz w:val="20"/>
              <w:szCs w:val="20"/>
              <w:lang w:val="fr-CA"/>
            </w:rPr>
          </w:pPr>
          <w:r w:rsidRPr="00BA6468">
            <w:rPr>
              <w:sz w:val="20"/>
              <w:szCs w:val="20"/>
              <w:lang w:val="fr-CA"/>
            </w:rPr>
            <w:t>REQUÊTES</w:t>
          </w:r>
        </w:p>
      </w:tc>
    </w:tr>
  </w:tbl>
  <w:p w:rsidR="00F8135D" w:rsidRDefault="00F8135D"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F8135D" w:rsidRPr="00F8135D">
      <w:tc>
        <w:tcPr>
          <w:tcW w:w="4200" w:type="dxa"/>
          <w:tcMar>
            <w:left w:w="0" w:type="dxa"/>
            <w:right w:w="0" w:type="dxa"/>
          </w:tcMar>
        </w:tcPr>
        <w:p w:rsidR="00F8135D" w:rsidRDefault="00F813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F8135D" w:rsidRDefault="00F813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8135D" w:rsidRPr="00B01A03" w:rsidRDefault="00F813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F8135D" w:rsidRPr="00B01A03"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8135D" w:rsidRPr="00B01A03"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F8135D" w:rsidRPr="00F8135D" w:rsidTr="00245129">
      <w:tc>
        <w:tcPr>
          <w:tcW w:w="4200" w:type="dxa"/>
          <w:tcMar>
            <w:left w:w="0" w:type="dxa"/>
            <w:right w:w="0" w:type="dxa"/>
          </w:tcMar>
        </w:tcPr>
        <w:p w:rsidR="00F8135D" w:rsidRPr="00F40249" w:rsidRDefault="00F8135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F8135D" w:rsidRDefault="00F8135D" w:rsidP="00102926">
          <w:pPr>
            <w:keepNext/>
            <w:keepLines/>
            <w:tabs>
              <w:tab w:val="left" w:pos="-1440"/>
              <w:tab w:val="left" w:pos="-720"/>
            </w:tabs>
            <w:jc w:val="center"/>
            <w:rPr>
              <w:sz w:val="20"/>
              <w:szCs w:val="20"/>
            </w:rPr>
          </w:pPr>
        </w:p>
        <w:p w:rsidR="00F8135D" w:rsidRDefault="00F8135D" w:rsidP="00102926">
          <w:pPr>
            <w:keepNext/>
            <w:keepLines/>
            <w:tabs>
              <w:tab w:val="left" w:pos="-1440"/>
              <w:tab w:val="left" w:pos="-720"/>
            </w:tabs>
            <w:jc w:val="center"/>
            <w:rPr>
              <w:sz w:val="20"/>
              <w:szCs w:val="20"/>
            </w:rPr>
          </w:pPr>
        </w:p>
        <w:p w:rsidR="00F8135D" w:rsidRPr="00F40249" w:rsidRDefault="00F8135D" w:rsidP="00102926">
          <w:pPr>
            <w:keepNext/>
            <w:keepLines/>
            <w:tabs>
              <w:tab w:val="left" w:pos="-1440"/>
              <w:tab w:val="left" w:pos="-720"/>
            </w:tabs>
            <w:jc w:val="center"/>
            <w:rPr>
              <w:sz w:val="20"/>
              <w:szCs w:val="20"/>
            </w:rPr>
          </w:pPr>
        </w:p>
      </w:tc>
      <w:tc>
        <w:tcPr>
          <w:tcW w:w="4230" w:type="dxa"/>
          <w:tcMar>
            <w:left w:w="0" w:type="dxa"/>
            <w:right w:w="0" w:type="dxa"/>
          </w:tcMar>
        </w:tcPr>
        <w:p w:rsidR="00F8135D" w:rsidRPr="00F40249" w:rsidRDefault="00F8135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F8135D" w:rsidRPr="00B01A03" w:rsidRDefault="00F8135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F8135D" w:rsidRPr="00F8135D">
      <w:tc>
        <w:tcPr>
          <w:tcW w:w="4200" w:type="dxa"/>
          <w:tcMar>
            <w:left w:w="0" w:type="dxa"/>
            <w:right w:w="0" w:type="dxa"/>
          </w:tcMar>
        </w:tcPr>
        <w:p w:rsidR="00F8135D" w:rsidRDefault="00F813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8135D" w:rsidRDefault="00F813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8135D" w:rsidRPr="00283C52" w:rsidRDefault="00F813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8135D" w:rsidRPr="00283C52"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8135D" w:rsidRPr="00283C52"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8135D" w:rsidRPr="00F8135D" w:rsidTr="00245129">
      <w:tc>
        <w:tcPr>
          <w:tcW w:w="4200" w:type="dxa"/>
          <w:tcMar>
            <w:left w:w="0" w:type="dxa"/>
            <w:right w:w="0" w:type="dxa"/>
          </w:tcMar>
        </w:tcPr>
        <w:p w:rsidR="00F8135D" w:rsidRPr="00732DB7" w:rsidRDefault="00F8135D"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F8135D" w:rsidRPr="00732DB7" w:rsidRDefault="00F8135D" w:rsidP="00732DB7">
          <w:pPr>
            <w:keepNext/>
            <w:keepLines/>
            <w:tabs>
              <w:tab w:val="left" w:pos="-1440"/>
              <w:tab w:val="left" w:pos="-720"/>
            </w:tabs>
            <w:jc w:val="center"/>
            <w:rPr>
              <w:sz w:val="20"/>
              <w:szCs w:val="20"/>
            </w:rPr>
          </w:pPr>
        </w:p>
        <w:p w:rsidR="00F8135D" w:rsidRPr="00732DB7" w:rsidRDefault="00F8135D" w:rsidP="00732DB7">
          <w:pPr>
            <w:keepNext/>
            <w:keepLines/>
            <w:tabs>
              <w:tab w:val="left" w:pos="-1440"/>
              <w:tab w:val="left" w:pos="-720"/>
            </w:tabs>
            <w:jc w:val="center"/>
            <w:rPr>
              <w:sz w:val="20"/>
              <w:szCs w:val="20"/>
            </w:rPr>
          </w:pPr>
        </w:p>
        <w:p w:rsidR="00F8135D" w:rsidRPr="00732DB7" w:rsidRDefault="00F8135D" w:rsidP="00732DB7">
          <w:pPr>
            <w:keepNext/>
            <w:keepLines/>
            <w:tabs>
              <w:tab w:val="left" w:pos="-1440"/>
              <w:tab w:val="left" w:pos="-720"/>
            </w:tabs>
            <w:jc w:val="center"/>
            <w:rPr>
              <w:sz w:val="20"/>
              <w:szCs w:val="20"/>
            </w:rPr>
          </w:pPr>
        </w:p>
      </w:tc>
      <w:tc>
        <w:tcPr>
          <w:tcW w:w="4080" w:type="dxa"/>
          <w:tcMar>
            <w:left w:w="0" w:type="dxa"/>
            <w:right w:w="0" w:type="dxa"/>
          </w:tcMar>
        </w:tcPr>
        <w:p w:rsidR="00F8135D" w:rsidRPr="00732DB7" w:rsidRDefault="00F8135D"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8135D" w:rsidRPr="00283C52" w:rsidRDefault="00F8135D"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F8135D" w:rsidRPr="00F8135D">
      <w:tc>
        <w:tcPr>
          <w:tcW w:w="4200" w:type="dxa"/>
          <w:tcMar>
            <w:left w:w="0" w:type="dxa"/>
            <w:right w:w="0" w:type="dxa"/>
          </w:tcMar>
        </w:tcPr>
        <w:p w:rsidR="00F8135D" w:rsidRDefault="00F813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F8135D" w:rsidRDefault="00F813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F8135D" w:rsidRDefault="00F813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F8135D" w:rsidRPr="003C2C0F" w:rsidRDefault="00F813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F8135D" w:rsidRPr="003C2C0F"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F8135D" w:rsidRPr="003C2C0F"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8135D" w:rsidRPr="00F8135D" w:rsidTr="00245129">
      <w:tc>
        <w:tcPr>
          <w:tcW w:w="4200" w:type="dxa"/>
          <w:tcMar>
            <w:left w:w="0" w:type="dxa"/>
            <w:right w:w="0" w:type="dxa"/>
          </w:tcMar>
        </w:tcPr>
        <w:p w:rsidR="00F8135D" w:rsidRPr="00FF6EEC" w:rsidRDefault="00F8135D" w:rsidP="00FF6EEC">
          <w:pPr>
            <w:rPr>
              <w:sz w:val="20"/>
              <w:szCs w:val="20"/>
            </w:rPr>
          </w:pPr>
          <w:r w:rsidRPr="00FF6EEC">
            <w:rPr>
              <w:sz w:val="20"/>
              <w:szCs w:val="20"/>
            </w:rPr>
            <w:t>PRONOUNCEMENTS OF APPEALS RESERVED</w:t>
          </w:r>
        </w:p>
      </w:tc>
      <w:tc>
        <w:tcPr>
          <w:tcW w:w="1200" w:type="dxa"/>
          <w:tcMar>
            <w:left w:w="0" w:type="dxa"/>
            <w:right w:w="0" w:type="dxa"/>
          </w:tcMar>
        </w:tcPr>
        <w:p w:rsidR="00F8135D" w:rsidRPr="00FF6EEC" w:rsidRDefault="00F8135D" w:rsidP="00FF6EEC">
          <w:pPr>
            <w:jc w:val="center"/>
            <w:rPr>
              <w:sz w:val="20"/>
              <w:szCs w:val="20"/>
            </w:rPr>
          </w:pPr>
        </w:p>
        <w:p w:rsidR="00F8135D" w:rsidRPr="00FF6EEC" w:rsidRDefault="00F8135D" w:rsidP="00FF6EEC">
          <w:pPr>
            <w:jc w:val="center"/>
            <w:rPr>
              <w:sz w:val="20"/>
              <w:szCs w:val="20"/>
            </w:rPr>
          </w:pPr>
        </w:p>
        <w:p w:rsidR="00F8135D" w:rsidRPr="00FF6EEC" w:rsidRDefault="00F8135D" w:rsidP="00FF6EEC">
          <w:pPr>
            <w:jc w:val="center"/>
            <w:rPr>
              <w:sz w:val="20"/>
              <w:szCs w:val="20"/>
            </w:rPr>
          </w:pPr>
        </w:p>
      </w:tc>
      <w:tc>
        <w:tcPr>
          <w:tcW w:w="4080" w:type="dxa"/>
          <w:tcMar>
            <w:left w:w="0" w:type="dxa"/>
            <w:right w:w="0" w:type="dxa"/>
          </w:tcMar>
        </w:tcPr>
        <w:p w:rsidR="00F8135D" w:rsidRPr="00FF6EEC" w:rsidRDefault="00F8135D" w:rsidP="00FF6EEC">
          <w:pPr>
            <w:rPr>
              <w:sz w:val="20"/>
              <w:szCs w:val="20"/>
              <w:lang w:val="fr-CA"/>
            </w:rPr>
          </w:pPr>
          <w:r w:rsidRPr="00FF6EEC">
            <w:rPr>
              <w:sz w:val="20"/>
              <w:szCs w:val="20"/>
              <w:lang w:val="fr-CA"/>
            </w:rPr>
            <w:t>JUGEMENTS RENDUS SUR LES APPELS EN DÉLIBÉRÉ</w:t>
          </w:r>
        </w:p>
      </w:tc>
    </w:tr>
  </w:tbl>
  <w:p w:rsidR="00F8135D" w:rsidRPr="003C2C0F" w:rsidRDefault="00F8135D"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F8135D">
      <w:tc>
        <w:tcPr>
          <w:tcW w:w="4230" w:type="dxa"/>
          <w:tcMar>
            <w:left w:w="0" w:type="dxa"/>
            <w:right w:w="0" w:type="dxa"/>
          </w:tcMar>
        </w:tcPr>
        <w:p w:rsidR="00F8135D" w:rsidRDefault="00F813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8135D" w:rsidRDefault="00F813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8135D" w:rsidRDefault="00F813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8135D" w:rsidRDefault="00F813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8135D" w:rsidRDefault="00F813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8135D" w:rsidRDefault="00F813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8135D"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8135D"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F8135D" w:rsidRPr="00782AE4" w:rsidTr="00245129">
      <w:tc>
        <w:tcPr>
          <w:tcW w:w="4230" w:type="dxa"/>
          <w:tcMar>
            <w:left w:w="0" w:type="dxa"/>
            <w:right w:w="0" w:type="dxa"/>
          </w:tcMar>
        </w:tcPr>
        <w:p w:rsidR="00F8135D" w:rsidRPr="00782AE4" w:rsidRDefault="00F8135D" w:rsidP="00102926">
          <w:pPr>
            <w:keepNext/>
            <w:keepLines/>
            <w:tabs>
              <w:tab w:val="left" w:pos="-1440"/>
              <w:tab w:val="left" w:pos="-720"/>
            </w:tabs>
            <w:rPr>
              <w:sz w:val="20"/>
              <w:szCs w:val="20"/>
            </w:rPr>
          </w:pPr>
          <w:r w:rsidRPr="00782AE4">
            <w:rPr>
              <w:sz w:val="20"/>
              <w:szCs w:val="20"/>
            </w:rPr>
            <w:t xml:space="preserve">HEADNOTES OF RECENT </w:t>
          </w:r>
        </w:p>
        <w:p w:rsidR="00F8135D" w:rsidRPr="00782AE4" w:rsidRDefault="00F813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8135D" w:rsidRDefault="00F8135D" w:rsidP="00102926">
          <w:pPr>
            <w:keepNext/>
            <w:keepLines/>
            <w:tabs>
              <w:tab w:val="left" w:pos="-1440"/>
              <w:tab w:val="left" w:pos="-720"/>
            </w:tabs>
            <w:jc w:val="center"/>
            <w:rPr>
              <w:sz w:val="20"/>
              <w:szCs w:val="20"/>
            </w:rPr>
          </w:pPr>
        </w:p>
        <w:p w:rsidR="00F8135D" w:rsidRDefault="00F8135D" w:rsidP="00102926">
          <w:pPr>
            <w:keepNext/>
            <w:keepLines/>
            <w:tabs>
              <w:tab w:val="left" w:pos="-1440"/>
              <w:tab w:val="left" w:pos="-720"/>
            </w:tabs>
            <w:jc w:val="center"/>
            <w:rPr>
              <w:sz w:val="20"/>
              <w:szCs w:val="20"/>
            </w:rPr>
          </w:pPr>
        </w:p>
        <w:p w:rsidR="00F8135D" w:rsidRPr="00782AE4" w:rsidRDefault="00F8135D" w:rsidP="00102926">
          <w:pPr>
            <w:keepNext/>
            <w:keepLines/>
            <w:tabs>
              <w:tab w:val="left" w:pos="-1440"/>
              <w:tab w:val="left" w:pos="-720"/>
            </w:tabs>
            <w:jc w:val="center"/>
            <w:rPr>
              <w:sz w:val="20"/>
              <w:szCs w:val="20"/>
            </w:rPr>
          </w:pPr>
        </w:p>
      </w:tc>
      <w:tc>
        <w:tcPr>
          <w:tcW w:w="4080" w:type="dxa"/>
          <w:tcMar>
            <w:left w:w="0" w:type="dxa"/>
            <w:right w:w="0" w:type="dxa"/>
          </w:tcMar>
        </w:tcPr>
        <w:p w:rsidR="00F8135D" w:rsidRPr="00102926" w:rsidRDefault="00F813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8135D" w:rsidRPr="00782AE4" w:rsidRDefault="00F8135D" w:rsidP="00102926">
          <w:pPr>
            <w:keepLines/>
            <w:tabs>
              <w:tab w:val="left" w:pos="-1440"/>
              <w:tab w:val="left" w:pos="-720"/>
            </w:tabs>
            <w:rPr>
              <w:sz w:val="20"/>
              <w:szCs w:val="20"/>
            </w:rPr>
          </w:pPr>
          <w:r w:rsidRPr="00102926">
            <w:rPr>
              <w:sz w:val="20"/>
              <w:szCs w:val="20"/>
              <w:lang w:val="fr-CA"/>
            </w:rPr>
            <w:t>RÉCENTS</w:t>
          </w:r>
        </w:p>
      </w:tc>
    </w:tr>
  </w:tbl>
  <w:p w:rsidR="00F8135D" w:rsidRDefault="00F8135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F8135D" w:rsidRPr="0044776A" w:rsidTr="00245129">
      <w:tc>
        <w:tcPr>
          <w:tcW w:w="4290" w:type="dxa"/>
          <w:tcMar>
            <w:left w:w="0" w:type="dxa"/>
            <w:right w:w="0" w:type="dxa"/>
          </w:tcMar>
        </w:tcPr>
        <w:p w:rsidR="00F8135D" w:rsidRPr="0044776A" w:rsidRDefault="00F8135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8135D" w:rsidRPr="0044776A" w:rsidRDefault="00F8135D" w:rsidP="002E2327">
          <w:pPr>
            <w:keepNext/>
            <w:keepLines/>
            <w:tabs>
              <w:tab w:val="left" w:pos="-1440"/>
              <w:tab w:val="left" w:pos="-720"/>
            </w:tabs>
            <w:jc w:val="center"/>
            <w:rPr>
              <w:sz w:val="20"/>
              <w:szCs w:val="20"/>
            </w:rPr>
          </w:pPr>
        </w:p>
        <w:p w:rsidR="00F8135D" w:rsidRPr="0044776A" w:rsidRDefault="00F8135D" w:rsidP="002E2327">
          <w:pPr>
            <w:keepNext/>
            <w:keepLines/>
            <w:tabs>
              <w:tab w:val="left" w:pos="-1440"/>
              <w:tab w:val="left" w:pos="-720"/>
            </w:tabs>
            <w:jc w:val="center"/>
            <w:rPr>
              <w:sz w:val="20"/>
              <w:szCs w:val="20"/>
            </w:rPr>
          </w:pPr>
        </w:p>
        <w:p w:rsidR="00F8135D" w:rsidRPr="0044776A" w:rsidRDefault="00F8135D" w:rsidP="002E2327">
          <w:pPr>
            <w:keepNext/>
            <w:keepLines/>
            <w:tabs>
              <w:tab w:val="left" w:pos="-1440"/>
              <w:tab w:val="left" w:pos="-720"/>
            </w:tabs>
            <w:jc w:val="center"/>
            <w:rPr>
              <w:sz w:val="20"/>
              <w:szCs w:val="20"/>
            </w:rPr>
          </w:pPr>
        </w:p>
      </w:tc>
      <w:tc>
        <w:tcPr>
          <w:tcW w:w="4320" w:type="dxa"/>
          <w:tcMar>
            <w:left w:w="0" w:type="dxa"/>
            <w:right w:w="0" w:type="dxa"/>
          </w:tcMar>
        </w:tcPr>
        <w:p w:rsidR="00F8135D" w:rsidRPr="0044776A" w:rsidRDefault="00F8135D" w:rsidP="002E2327">
          <w:pPr>
            <w:keepLines/>
            <w:rPr>
              <w:sz w:val="20"/>
              <w:szCs w:val="20"/>
              <w:lang w:val="fr-CA"/>
            </w:rPr>
          </w:pPr>
          <w:r w:rsidRPr="0044776A">
            <w:rPr>
              <w:sz w:val="20"/>
              <w:szCs w:val="20"/>
              <w:lang w:val="fr-CA"/>
            </w:rPr>
            <w:t>DEMANDES D'AUTORISATION D'APPEL DÉPOSÉES</w:t>
          </w:r>
        </w:p>
      </w:tc>
    </w:tr>
  </w:tbl>
  <w:p w:rsidR="00F8135D" w:rsidRDefault="00F8135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8135D" w:rsidRPr="00F8135D" w:rsidTr="00245129">
      <w:tc>
        <w:tcPr>
          <w:tcW w:w="4200" w:type="dxa"/>
          <w:tcMar>
            <w:left w:w="0" w:type="dxa"/>
            <w:right w:w="0" w:type="dxa"/>
          </w:tcMar>
        </w:tcPr>
        <w:p w:rsidR="00F8135D" w:rsidRPr="0044776A" w:rsidRDefault="00F8135D" w:rsidP="0044776A">
          <w:pPr>
            <w:keepNext/>
            <w:keepLines/>
            <w:widowControl w:val="0"/>
            <w:rPr>
              <w:sz w:val="20"/>
              <w:szCs w:val="20"/>
            </w:rPr>
          </w:pPr>
          <w:r>
            <w:rPr>
              <w:sz w:val="20"/>
              <w:szCs w:val="20"/>
            </w:rPr>
            <w:t>APPLICATIONS FOR LEAVE</w:t>
          </w:r>
        </w:p>
        <w:p w:rsidR="00F8135D" w:rsidRPr="0044776A" w:rsidRDefault="00F8135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8135D" w:rsidRPr="0044776A" w:rsidRDefault="00F8135D" w:rsidP="0044776A">
          <w:pPr>
            <w:keepNext/>
            <w:keepLines/>
            <w:widowControl w:val="0"/>
            <w:jc w:val="center"/>
            <w:rPr>
              <w:sz w:val="20"/>
              <w:szCs w:val="20"/>
            </w:rPr>
          </w:pPr>
        </w:p>
        <w:p w:rsidR="00F8135D" w:rsidRPr="0044776A" w:rsidRDefault="00F8135D" w:rsidP="0044776A">
          <w:pPr>
            <w:keepNext/>
            <w:keepLines/>
            <w:widowControl w:val="0"/>
            <w:jc w:val="center"/>
            <w:rPr>
              <w:sz w:val="20"/>
              <w:szCs w:val="20"/>
            </w:rPr>
          </w:pPr>
        </w:p>
        <w:p w:rsidR="00F8135D" w:rsidRPr="0044776A" w:rsidRDefault="00F8135D" w:rsidP="0044776A">
          <w:pPr>
            <w:keepNext/>
            <w:keepLines/>
            <w:widowControl w:val="0"/>
            <w:jc w:val="center"/>
            <w:rPr>
              <w:sz w:val="20"/>
              <w:szCs w:val="20"/>
            </w:rPr>
          </w:pPr>
        </w:p>
      </w:tc>
      <w:tc>
        <w:tcPr>
          <w:tcW w:w="4080" w:type="dxa"/>
          <w:tcMar>
            <w:left w:w="0" w:type="dxa"/>
            <w:right w:w="0" w:type="dxa"/>
          </w:tcMar>
        </w:tcPr>
        <w:p w:rsidR="00F8135D" w:rsidRPr="0044776A" w:rsidRDefault="00F8135D" w:rsidP="0044776A">
          <w:pPr>
            <w:keepLines/>
            <w:widowControl w:val="0"/>
            <w:rPr>
              <w:sz w:val="20"/>
              <w:szCs w:val="20"/>
              <w:lang w:val="fr-CA"/>
            </w:rPr>
          </w:pPr>
          <w:r w:rsidRPr="0044776A">
            <w:rPr>
              <w:sz w:val="20"/>
              <w:szCs w:val="20"/>
              <w:lang w:val="fr-CA"/>
            </w:rPr>
            <w:t>DEMANDES SOUMISES À LA COUR DEPUIS LA DERNIÈRE PARUTION</w:t>
          </w:r>
        </w:p>
        <w:p w:rsidR="00F8135D" w:rsidRPr="0044776A" w:rsidRDefault="00F8135D" w:rsidP="0044776A">
          <w:pPr>
            <w:widowControl w:val="0"/>
            <w:rPr>
              <w:sz w:val="20"/>
              <w:szCs w:val="20"/>
              <w:lang w:val="fr-CA"/>
            </w:rPr>
          </w:pPr>
        </w:p>
      </w:tc>
    </w:tr>
  </w:tbl>
  <w:p w:rsidR="00F8135D" w:rsidRPr="002E2327" w:rsidRDefault="00F8135D">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5D" w:rsidRDefault="00F8135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F8135D" w:rsidRPr="00F8135D">
      <w:tc>
        <w:tcPr>
          <w:tcW w:w="4200" w:type="dxa"/>
          <w:tcMar>
            <w:left w:w="0" w:type="dxa"/>
            <w:right w:w="0" w:type="dxa"/>
          </w:tcMar>
        </w:tcPr>
        <w:p w:rsidR="00F8135D" w:rsidRDefault="00F813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8135D" w:rsidRDefault="00F813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8135D" w:rsidRDefault="00F813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8135D" w:rsidRPr="00FF6BA5" w:rsidRDefault="00F813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8135D" w:rsidRPr="00FF6BA5"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8135D" w:rsidRPr="00FF6BA5"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8135D" w:rsidRPr="00FF6BA5" w:rsidRDefault="00F81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8135D" w:rsidRPr="00F8135D" w:rsidTr="00245129">
      <w:tc>
        <w:tcPr>
          <w:tcW w:w="4200" w:type="dxa"/>
          <w:tcMar>
            <w:left w:w="0" w:type="dxa"/>
            <w:right w:w="0" w:type="dxa"/>
          </w:tcMar>
        </w:tcPr>
        <w:p w:rsidR="00F8135D" w:rsidRPr="00755F22" w:rsidRDefault="00F813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8135D" w:rsidRPr="00755F22" w:rsidRDefault="00F813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8135D" w:rsidRPr="00755F22" w:rsidRDefault="00F8135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8135D" w:rsidRPr="00755F22" w:rsidRDefault="00F8135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8135D" w:rsidRPr="00755F22" w:rsidRDefault="00F8135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8135D" w:rsidRPr="00755F22" w:rsidRDefault="00F813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8135D" w:rsidRPr="00FF6BA5" w:rsidRDefault="00F8135D"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5FD"/>
    <w:multiLevelType w:val="hybridMultilevel"/>
    <w:tmpl w:val="DB0AA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F2EF7"/>
    <w:multiLevelType w:val="hybridMultilevel"/>
    <w:tmpl w:val="B9743952"/>
    <w:lvl w:ilvl="0" w:tplc="D9784DC6">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D7A3F75"/>
    <w:multiLevelType w:val="hybridMultilevel"/>
    <w:tmpl w:val="D02005FC"/>
    <w:lvl w:ilvl="0" w:tplc="040C0011">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717B4351"/>
    <w:multiLevelType w:val="hybridMultilevel"/>
    <w:tmpl w:val="0C903AFE"/>
    <w:lvl w:ilvl="0" w:tplc="D9784D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38929"/>
  </w:hdrShapeDefaults>
  <w:footnotePr>
    <w:footnote w:id="-1"/>
    <w:footnote w:id="0"/>
  </w:footnotePr>
  <w:endnotePr>
    <w:endnote w:id="-1"/>
    <w:endnote w:id="0"/>
  </w:endnotePr>
  <w:compat/>
  <w:rsids>
    <w:rsidRoot w:val="00560C73"/>
    <w:rsid w:val="00000526"/>
    <w:rsid w:val="0003223B"/>
    <w:rsid w:val="000327B2"/>
    <w:rsid w:val="00096BD9"/>
    <w:rsid w:val="000B3C9A"/>
    <w:rsid w:val="000B40A2"/>
    <w:rsid w:val="000B4624"/>
    <w:rsid w:val="000C0ACD"/>
    <w:rsid w:val="00102926"/>
    <w:rsid w:val="0010587F"/>
    <w:rsid w:val="00111C6B"/>
    <w:rsid w:val="0012102B"/>
    <w:rsid w:val="0012188D"/>
    <w:rsid w:val="0013369E"/>
    <w:rsid w:val="0014186F"/>
    <w:rsid w:val="00155D47"/>
    <w:rsid w:val="00164E6D"/>
    <w:rsid w:val="001958BD"/>
    <w:rsid w:val="001B157C"/>
    <w:rsid w:val="001B5C23"/>
    <w:rsid w:val="001D0D5F"/>
    <w:rsid w:val="001D3778"/>
    <w:rsid w:val="001D6B8C"/>
    <w:rsid w:val="001F1F83"/>
    <w:rsid w:val="002021A9"/>
    <w:rsid w:val="002139A7"/>
    <w:rsid w:val="00215F7C"/>
    <w:rsid w:val="00220321"/>
    <w:rsid w:val="002214E8"/>
    <w:rsid w:val="0022323B"/>
    <w:rsid w:val="00224DA2"/>
    <w:rsid w:val="002410B8"/>
    <w:rsid w:val="00242AEE"/>
    <w:rsid w:val="00245129"/>
    <w:rsid w:val="00245879"/>
    <w:rsid w:val="00267FD5"/>
    <w:rsid w:val="002868D0"/>
    <w:rsid w:val="002A27D1"/>
    <w:rsid w:val="002A4AFA"/>
    <w:rsid w:val="002B4AEE"/>
    <w:rsid w:val="002B516C"/>
    <w:rsid w:val="002D72EB"/>
    <w:rsid w:val="002E1DBA"/>
    <w:rsid w:val="002E2327"/>
    <w:rsid w:val="002E3583"/>
    <w:rsid w:val="002E5576"/>
    <w:rsid w:val="00303479"/>
    <w:rsid w:val="003214BC"/>
    <w:rsid w:val="00331B52"/>
    <w:rsid w:val="003359D3"/>
    <w:rsid w:val="0033682B"/>
    <w:rsid w:val="00343818"/>
    <w:rsid w:val="00355967"/>
    <w:rsid w:val="00382C47"/>
    <w:rsid w:val="00384384"/>
    <w:rsid w:val="003866AE"/>
    <w:rsid w:val="003B3977"/>
    <w:rsid w:val="003B76D9"/>
    <w:rsid w:val="003D2CDA"/>
    <w:rsid w:val="003D76A4"/>
    <w:rsid w:val="003F4F9C"/>
    <w:rsid w:val="00432989"/>
    <w:rsid w:val="00440E24"/>
    <w:rsid w:val="0044776A"/>
    <w:rsid w:val="00460AFC"/>
    <w:rsid w:val="00466618"/>
    <w:rsid w:val="0047471F"/>
    <w:rsid w:val="004B195E"/>
    <w:rsid w:val="004B66B4"/>
    <w:rsid w:val="004B7F60"/>
    <w:rsid w:val="004C1AAC"/>
    <w:rsid w:val="004C5C3C"/>
    <w:rsid w:val="004F090E"/>
    <w:rsid w:val="005177CC"/>
    <w:rsid w:val="00522C33"/>
    <w:rsid w:val="00525E44"/>
    <w:rsid w:val="00527CC7"/>
    <w:rsid w:val="00560C73"/>
    <w:rsid w:val="00570455"/>
    <w:rsid w:val="00571CA4"/>
    <w:rsid w:val="00582136"/>
    <w:rsid w:val="005A6E36"/>
    <w:rsid w:val="005C6840"/>
    <w:rsid w:val="005F263E"/>
    <w:rsid w:val="00600252"/>
    <w:rsid w:val="00612A40"/>
    <w:rsid w:val="0066447F"/>
    <w:rsid w:val="00671CD6"/>
    <w:rsid w:val="00675479"/>
    <w:rsid w:val="00696BF9"/>
    <w:rsid w:val="00697C62"/>
    <w:rsid w:val="006A329B"/>
    <w:rsid w:val="006A7EB8"/>
    <w:rsid w:val="006B6926"/>
    <w:rsid w:val="006C3F47"/>
    <w:rsid w:val="006C5F7A"/>
    <w:rsid w:val="006E06AF"/>
    <w:rsid w:val="006F350F"/>
    <w:rsid w:val="007312C1"/>
    <w:rsid w:val="00732DB7"/>
    <w:rsid w:val="0074238B"/>
    <w:rsid w:val="00745EF7"/>
    <w:rsid w:val="00755F22"/>
    <w:rsid w:val="00766E4A"/>
    <w:rsid w:val="007820CE"/>
    <w:rsid w:val="00782AE4"/>
    <w:rsid w:val="0079724F"/>
    <w:rsid w:val="007A292B"/>
    <w:rsid w:val="007A3EAE"/>
    <w:rsid w:val="007B4BA6"/>
    <w:rsid w:val="007C04FC"/>
    <w:rsid w:val="007D3E0F"/>
    <w:rsid w:val="007F387B"/>
    <w:rsid w:val="00802863"/>
    <w:rsid w:val="0081476E"/>
    <w:rsid w:val="00815B3C"/>
    <w:rsid w:val="0082508B"/>
    <w:rsid w:val="0082783A"/>
    <w:rsid w:val="00831CA9"/>
    <w:rsid w:val="00850E1F"/>
    <w:rsid w:val="0085476B"/>
    <w:rsid w:val="00890FD6"/>
    <w:rsid w:val="00890FEB"/>
    <w:rsid w:val="00892F8C"/>
    <w:rsid w:val="008A5449"/>
    <w:rsid w:val="008C4DFF"/>
    <w:rsid w:val="008D292F"/>
    <w:rsid w:val="008E03DC"/>
    <w:rsid w:val="008F226F"/>
    <w:rsid w:val="008F7C31"/>
    <w:rsid w:val="009019DC"/>
    <w:rsid w:val="00924065"/>
    <w:rsid w:val="00930D68"/>
    <w:rsid w:val="00932DB4"/>
    <w:rsid w:val="00941A4B"/>
    <w:rsid w:val="00946242"/>
    <w:rsid w:val="0095096B"/>
    <w:rsid w:val="00970CD3"/>
    <w:rsid w:val="009723FA"/>
    <w:rsid w:val="00984546"/>
    <w:rsid w:val="00996510"/>
    <w:rsid w:val="009A30B4"/>
    <w:rsid w:val="009D1F15"/>
    <w:rsid w:val="009D555E"/>
    <w:rsid w:val="009F3024"/>
    <w:rsid w:val="009F5561"/>
    <w:rsid w:val="00A0355E"/>
    <w:rsid w:val="00A375D1"/>
    <w:rsid w:val="00A51D10"/>
    <w:rsid w:val="00A52A83"/>
    <w:rsid w:val="00A617E4"/>
    <w:rsid w:val="00A62471"/>
    <w:rsid w:val="00A630D6"/>
    <w:rsid w:val="00A632A7"/>
    <w:rsid w:val="00A6552C"/>
    <w:rsid w:val="00A744D2"/>
    <w:rsid w:val="00A87207"/>
    <w:rsid w:val="00A935AA"/>
    <w:rsid w:val="00AB2201"/>
    <w:rsid w:val="00AD3259"/>
    <w:rsid w:val="00AF1715"/>
    <w:rsid w:val="00AF3904"/>
    <w:rsid w:val="00B010C0"/>
    <w:rsid w:val="00B24AE6"/>
    <w:rsid w:val="00B41692"/>
    <w:rsid w:val="00B4740D"/>
    <w:rsid w:val="00B61629"/>
    <w:rsid w:val="00B701ED"/>
    <w:rsid w:val="00B730A8"/>
    <w:rsid w:val="00B7374B"/>
    <w:rsid w:val="00B8547D"/>
    <w:rsid w:val="00B90DC0"/>
    <w:rsid w:val="00B9549D"/>
    <w:rsid w:val="00BA116A"/>
    <w:rsid w:val="00BA4DCE"/>
    <w:rsid w:val="00BA5582"/>
    <w:rsid w:val="00BA6468"/>
    <w:rsid w:val="00BD06DA"/>
    <w:rsid w:val="00BD4217"/>
    <w:rsid w:val="00BF25F3"/>
    <w:rsid w:val="00C015F5"/>
    <w:rsid w:val="00C1697B"/>
    <w:rsid w:val="00C21CB5"/>
    <w:rsid w:val="00C50A5C"/>
    <w:rsid w:val="00C50FDF"/>
    <w:rsid w:val="00C63381"/>
    <w:rsid w:val="00C71792"/>
    <w:rsid w:val="00C73D06"/>
    <w:rsid w:val="00C73E1B"/>
    <w:rsid w:val="00C759B4"/>
    <w:rsid w:val="00C77713"/>
    <w:rsid w:val="00CB0DA3"/>
    <w:rsid w:val="00CB43D5"/>
    <w:rsid w:val="00CC4D84"/>
    <w:rsid w:val="00CC64A8"/>
    <w:rsid w:val="00CD5823"/>
    <w:rsid w:val="00CE198A"/>
    <w:rsid w:val="00D64901"/>
    <w:rsid w:val="00D75CA2"/>
    <w:rsid w:val="00D76BDF"/>
    <w:rsid w:val="00D80637"/>
    <w:rsid w:val="00D862C1"/>
    <w:rsid w:val="00D93B50"/>
    <w:rsid w:val="00D94670"/>
    <w:rsid w:val="00DA46F6"/>
    <w:rsid w:val="00DC6F21"/>
    <w:rsid w:val="00DD0B49"/>
    <w:rsid w:val="00DD1CDB"/>
    <w:rsid w:val="00E06DFA"/>
    <w:rsid w:val="00E20A0A"/>
    <w:rsid w:val="00E356C7"/>
    <w:rsid w:val="00E40273"/>
    <w:rsid w:val="00E45FE4"/>
    <w:rsid w:val="00E63D6A"/>
    <w:rsid w:val="00E64FA7"/>
    <w:rsid w:val="00E770CB"/>
    <w:rsid w:val="00E80EAF"/>
    <w:rsid w:val="00E82950"/>
    <w:rsid w:val="00E903A1"/>
    <w:rsid w:val="00E940EB"/>
    <w:rsid w:val="00E977DC"/>
    <w:rsid w:val="00EB2B90"/>
    <w:rsid w:val="00ED3851"/>
    <w:rsid w:val="00ED7E83"/>
    <w:rsid w:val="00EF177C"/>
    <w:rsid w:val="00EF4B63"/>
    <w:rsid w:val="00F0068D"/>
    <w:rsid w:val="00F0576D"/>
    <w:rsid w:val="00F14E6D"/>
    <w:rsid w:val="00F15EA8"/>
    <w:rsid w:val="00F16C8D"/>
    <w:rsid w:val="00F23CC0"/>
    <w:rsid w:val="00F26C61"/>
    <w:rsid w:val="00F3363A"/>
    <w:rsid w:val="00F33CCE"/>
    <w:rsid w:val="00F40249"/>
    <w:rsid w:val="00F416DC"/>
    <w:rsid w:val="00F526C8"/>
    <w:rsid w:val="00F8135D"/>
    <w:rsid w:val="00F816C1"/>
    <w:rsid w:val="00F9272D"/>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styleId="BodyText">
    <w:name w:val="Body Text"/>
    <w:basedOn w:val="Normal"/>
    <w:link w:val="BodyTextChar"/>
    <w:rsid w:val="00DC6F21"/>
    <w:pPr>
      <w:spacing w:after="240"/>
    </w:pPr>
    <w:rPr>
      <w:rFonts w:eastAsia="Times New Roman" w:cs="Times New Roman"/>
      <w:szCs w:val="24"/>
    </w:rPr>
  </w:style>
  <w:style w:type="character" w:customStyle="1" w:styleId="BodyTextChar">
    <w:name w:val="Body Text Char"/>
    <w:basedOn w:val="DefaultParagraphFont"/>
    <w:link w:val="BodyText"/>
    <w:rsid w:val="00DC6F21"/>
    <w:rPr>
      <w:rFonts w:eastAsia="Times New Roman" w:cs="Times New Roman"/>
      <w:szCs w:val="24"/>
      <w:lang w:val="en-CA"/>
    </w:rPr>
  </w:style>
  <w:style w:type="paragraph" w:customStyle="1" w:styleId="SCCSsoc">
    <w:name w:val="SCC.Ssoc"/>
    <w:basedOn w:val="Normal"/>
    <w:next w:val="Normal"/>
    <w:link w:val="SCCSsocChar"/>
    <w:rsid w:val="00890FD6"/>
    <w:rPr>
      <w:rFonts w:eastAsia="Calibri" w:cs="Times New Roman"/>
      <w:i/>
      <w:sz w:val="20"/>
      <w:szCs w:val="20"/>
    </w:rPr>
  </w:style>
  <w:style w:type="character" w:customStyle="1" w:styleId="SCCSsocChar">
    <w:name w:val="SCC.Ssoc Char"/>
    <w:basedOn w:val="DefaultParagraphFont"/>
    <w:link w:val="SCCSsoc"/>
    <w:rsid w:val="00890FD6"/>
    <w:rPr>
      <w:rFonts w:eastAsia="Calibri" w:cs="Times New Roman"/>
      <w:i/>
      <w:sz w:val="20"/>
      <w:szCs w:val="20"/>
      <w:lang w:val="en-CA"/>
    </w:rPr>
  </w:style>
  <w:style w:type="paragraph" w:customStyle="1" w:styleId="SCCLowerCourtNameLowercase">
    <w:name w:val="SCC.LowerCourtNameLowercase"/>
    <w:basedOn w:val="SCCNormalDoubleSpacing"/>
    <w:next w:val="SCCNormalDoubleSpacing"/>
    <w:rsid w:val="00E63D6A"/>
    <w:pPr>
      <w:tabs>
        <w:tab w:val="left" w:pos="1168"/>
      </w:tabs>
    </w:pPr>
    <w:rPr>
      <w:smallCaps/>
    </w:rPr>
  </w:style>
  <w:style w:type="paragraph" w:styleId="Quote">
    <w:name w:val="Quote"/>
    <w:basedOn w:val="Normal"/>
    <w:next w:val="Normal"/>
    <w:link w:val="QuoteChar"/>
    <w:uiPriority w:val="29"/>
    <w:qFormat/>
    <w:rsid w:val="00EF177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EF177C"/>
    <w:rPr>
      <w:rFonts w:eastAsia="Times New Roman" w:cs="Times New Roman"/>
      <w:i/>
      <w:iCs/>
      <w:color w:val="000000" w:themeColor="text1"/>
      <w:szCs w:val="20"/>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3.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12107</Words>
  <Characters>69012</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2012-03-19T12:14:00Z</dcterms:created>
  <dcterms:modified xsi:type="dcterms:W3CDTF">2012-03-19T12:14:00Z</dcterms:modified>
</cp:coreProperties>
</file>