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D3F5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D3F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D3F5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D3F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D3F55" w:rsidTr="002E5576">
        <w:tc>
          <w:tcPr>
            <w:tcW w:w="4518" w:type="dxa"/>
          </w:tcPr>
          <w:p w:rsidR="00BF25F3" w:rsidRPr="002E2327" w:rsidRDefault="007505E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505E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D3F55" w:rsidTr="002E5576">
        <w:tc>
          <w:tcPr>
            <w:tcW w:w="4518" w:type="dxa"/>
          </w:tcPr>
          <w:p w:rsidR="009F3024" w:rsidRPr="00B50CF2" w:rsidRDefault="009F3024" w:rsidP="009F3024">
            <w:pPr>
              <w:tabs>
                <w:tab w:val="left" w:pos="6075"/>
              </w:tabs>
              <w:rPr>
                <w:rFonts w:cs="Times New Roman"/>
                <w:szCs w:val="24"/>
                <w:lang w:val="fr-CA"/>
              </w:rPr>
            </w:pPr>
          </w:p>
          <w:p w:rsidR="009F3024" w:rsidRPr="00B50CF2" w:rsidRDefault="009F3024" w:rsidP="009F3024">
            <w:pPr>
              <w:tabs>
                <w:tab w:val="left" w:pos="6075"/>
              </w:tabs>
              <w:rPr>
                <w:rFonts w:cs="Times New Roman"/>
                <w:szCs w:val="24"/>
                <w:lang w:val="fr-CA"/>
              </w:rPr>
            </w:pPr>
          </w:p>
        </w:tc>
        <w:tc>
          <w:tcPr>
            <w:tcW w:w="630" w:type="dxa"/>
          </w:tcPr>
          <w:p w:rsidR="009F3024" w:rsidRPr="00B50CF2"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D3F5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50CF2" w:rsidP="00F0068D">
      <w:pPr>
        <w:pBdr>
          <w:bottom w:val="single" w:sz="6" w:space="1" w:color="auto"/>
        </w:pBdr>
        <w:tabs>
          <w:tab w:val="center" w:pos="4680"/>
          <w:tab w:val="right" w:pos="9360"/>
        </w:tabs>
        <w:rPr>
          <w:lang w:val="fr-CA"/>
        </w:rPr>
      </w:pPr>
      <w:r>
        <w:rPr>
          <w:lang w:val="fr-CA"/>
        </w:rPr>
        <w:t>M</w:t>
      </w:r>
      <w:r w:rsidR="00C73D06">
        <w:rPr>
          <w:lang w:val="fr-CA"/>
        </w:rPr>
        <w:t>a</w:t>
      </w:r>
      <w:r>
        <w:rPr>
          <w:lang w:val="fr-CA"/>
        </w:rPr>
        <w:t>rch</w:t>
      </w:r>
      <w:r w:rsidR="00440E24" w:rsidRPr="00675479">
        <w:rPr>
          <w:lang w:val="fr-CA"/>
        </w:rPr>
        <w:t xml:space="preserve"> </w:t>
      </w:r>
      <w:r>
        <w:rPr>
          <w:lang w:val="fr-CA"/>
        </w:rPr>
        <w:t>30</w:t>
      </w:r>
      <w:r w:rsidR="00440E24" w:rsidRPr="00675479">
        <w:rPr>
          <w:lang w:val="fr-CA"/>
        </w:rPr>
        <w:t>, 201</w:t>
      </w:r>
      <w:r w:rsidR="00C73D06">
        <w:rPr>
          <w:lang w:val="fr-CA"/>
        </w:rPr>
        <w:t>2</w:t>
      </w:r>
      <w:r w:rsidR="00F0068D" w:rsidRPr="00675479">
        <w:rPr>
          <w:lang w:val="fr-CA"/>
        </w:rPr>
        <w:tab/>
      </w:r>
      <w:r>
        <w:rPr>
          <w:lang w:val="fr-CA"/>
        </w:rPr>
        <w:t>426</w:t>
      </w:r>
      <w:r w:rsidR="00F0068D" w:rsidRPr="00675479">
        <w:rPr>
          <w:lang w:val="fr-CA"/>
        </w:rPr>
        <w:t xml:space="preserve"> - </w:t>
      </w:r>
      <w:r w:rsidR="00B74056">
        <w:rPr>
          <w:lang w:val="fr-CA"/>
        </w:rPr>
        <w:t>487</w:t>
      </w:r>
      <w:r w:rsidR="00440E24" w:rsidRPr="00675479">
        <w:rPr>
          <w:lang w:val="fr-CA"/>
        </w:rPr>
        <w:tab/>
      </w:r>
      <w:r w:rsidR="00440E24" w:rsidRPr="002E2327">
        <w:rPr>
          <w:lang w:val="fr-CA"/>
        </w:rPr>
        <w:t>Le</w:t>
      </w:r>
      <w:r w:rsidR="00C73D06">
        <w:rPr>
          <w:lang w:val="fr-CA"/>
        </w:rPr>
        <w:t xml:space="preserve"> 3</w:t>
      </w:r>
      <w:r>
        <w:rPr>
          <w:lang w:val="fr-CA"/>
        </w:rPr>
        <w:t>0</w:t>
      </w:r>
      <w:r w:rsidR="00C73D06">
        <w:rPr>
          <w:lang w:val="fr-CA"/>
        </w:rPr>
        <w:t xml:space="preserve">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D3F5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95096B">
            <w:pPr>
              <w:tabs>
                <w:tab w:val="right" w:pos="9360"/>
              </w:tabs>
              <w:rPr>
                <w:rFonts w:cs="Times New Roman"/>
                <w:sz w:val="20"/>
                <w:szCs w:val="20"/>
              </w:rPr>
            </w:pPr>
          </w:p>
        </w:tc>
        <w:tc>
          <w:tcPr>
            <w:tcW w:w="1980" w:type="dxa"/>
          </w:tcPr>
          <w:p w:rsidR="0095096B" w:rsidRPr="002E2327" w:rsidRDefault="00B50CF2" w:rsidP="0095096B">
            <w:pPr>
              <w:jc w:val="center"/>
              <w:rPr>
                <w:rFonts w:cs="Times New Roman"/>
                <w:sz w:val="20"/>
                <w:szCs w:val="20"/>
              </w:rPr>
            </w:pPr>
            <w:r>
              <w:rPr>
                <w:rFonts w:cs="Times New Roman"/>
                <w:sz w:val="20"/>
                <w:szCs w:val="20"/>
              </w:rPr>
              <w:t xml:space="preserve">426 </w:t>
            </w:r>
            <w:r w:rsidR="007505E6" w:rsidRPr="002E2327">
              <w:rPr>
                <w:rFonts w:cs="Times New Roman"/>
                <w:sz w:val="20"/>
                <w:szCs w:val="20"/>
              </w:rPr>
              <w:fldChar w:fldCharType="begin"/>
            </w:r>
            <w:r w:rsidR="0095096B" w:rsidRPr="002E2327">
              <w:rPr>
                <w:rFonts w:cs="Times New Roman"/>
                <w:sz w:val="20"/>
                <w:szCs w:val="20"/>
              </w:rPr>
              <w:instrText xml:space="preserve"> SEQ CHAPTER \h \r 1</w:instrText>
            </w:r>
            <w:r w:rsidR="007505E6" w:rsidRPr="002E2327">
              <w:rPr>
                <w:rFonts w:cs="Times New Roman"/>
                <w:sz w:val="20"/>
                <w:szCs w:val="20"/>
              </w:rPr>
              <w:fldChar w:fldCharType="end"/>
            </w:r>
            <w:r w:rsidR="0095096B" w:rsidRPr="002E2327">
              <w:rPr>
                <w:rFonts w:cs="Times New Roman"/>
                <w:sz w:val="20"/>
                <w:szCs w:val="20"/>
              </w:rPr>
              <w:t>-</w:t>
            </w:r>
            <w:r w:rsidR="00CA5345">
              <w:rPr>
                <w:rFonts w:cs="Times New Roman"/>
                <w:sz w:val="20"/>
                <w:szCs w:val="20"/>
              </w:rPr>
              <w:t xml:space="preserve"> 427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76529" w:rsidP="0095096B">
            <w:pPr>
              <w:jc w:val="center"/>
              <w:rPr>
                <w:rFonts w:cs="Times New Roman"/>
                <w:sz w:val="20"/>
                <w:szCs w:val="20"/>
              </w:rPr>
            </w:pPr>
            <w:r>
              <w:rPr>
                <w:rFonts w:cs="Times New Roman"/>
                <w:sz w:val="20"/>
                <w:szCs w:val="20"/>
              </w:rPr>
              <w:t xml:space="preserve">428 </w:t>
            </w:r>
            <w:r w:rsidR="0095096B" w:rsidRPr="002E2327">
              <w:rPr>
                <w:rFonts w:cs="Times New Roman"/>
                <w:sz w:val="20"/>
                <w:szCs w:val="20"/>
              </w:rPr>
              <w:t>-</w:t>
            </w:r>
            <w:r>
              <w:rPr>
                <w:rFonts w:cs="Times New Roman"/>
                <w:sz w:val="20"/>
                <w:szCs w:val="20"/>
              </w:rPr>
              <w:t xml:space="preserve"> 429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76529" w:rsidP="0095096B">
            <w:pPr>
              <w:jc w:val="center"/>
              <w:rPr>
                <w:rFonts w:cs="Times New Roman"/>
                <w:sz w:val="20"/>
                <w:szCs w:val="20"/>
              </w:rPr>
            </w:pPr>
            <w:r>
              <w:rPr>
                <w:rFonts w:cs="Times New Roman"/>
                <w:sz w:val="20"/>
                <w:szCs w:val="20"/>
              </w:rPr>
              <w:t xml:space="preserve">430 </w:t>
            </w:r>
            <w:r w:rsidR="0095096B" w:rsidRPr="002E2327">
              <w:rPr>
                <w:rFonts w:cs="Times New Roman"/>
                <w:sz w:val="20"/>
                <w:szCs w:val="20"/>
              </w:rPr>
              <w:t>-</w:t>
            </w:r>
            <w:r>
              <w:rPr>
                <w:rFonts w:cs="Times New Roman"/>
                <w:sz w:val="20"/>
                <w:szCs w:val="20"/>
              </w:rPr>
              <w:t xml:space="preserve"> 431</w:t>
            </w:r>
          </w:p>
          <w:p w:rsidR="0095096B" w:rsidRPr="002E2327" w:rsidRDefault="0095096B" w:rsidP="0095096B">
            <w:pPr>
              <w:jc w:val="center"/>
              <w:rPr>
                <w:rFonts w:cs="Times New Roman"/>
                <w:sz w:val="20"/>
                <w:szCs w:val="20"/>
              </w:rPr>
            </w:pPr>
          </w:p>
          <w:p w:rsidR="0095096B" w:rsidRPr="002E2327" w:rsidRDefault="00A7096F" w:rsidP="0095096B">
            <w:pPr>
              <w:jc w:val="center"/>
              <w:rPr>
                <w:rFonts w:cs="Times New Roman"/>
                <w:sz w:val="20"/>
                <w:szCs w:val="20"/>
              </w:rPr>
            </w:pPr>
            <w:r>
              <w:rPr>
                <w:rFonts w:cs="Times New Roman"/>
                <w:sz w:val="20"/>
                <w:szCs w:val="20"/>
              </w:rPr>
              <w:t xml:space="preserve">432 </w:t>
            </w:r>
            <w:r w:rsidR="0095096B" w:rsidRPr="002E2327">
              <w:rPr>
                <w:rFonts w:cs="Times New Roman"/>
                <w:sz w:val="20"/>
                <w:szCs w:val="20"/>
              </w:rPr>
              <w:t>-</w:t>
            </w:r>
            <w:r>
              <w:rPr>
                <w:rFonts w:cs="Times New Roman"/>
                <w:sz w:val="20"/>
                <w:szCs w:val="20"/>
              </w:rPr>
              <w:t xml:space="preserve"> 469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7096F" w:rsidP="0095096B">
            <w:pPr>
              <w:jc w:val="center"/>
              <w:rPr>
                <w:rFonts w:cs="Times New Roman"/>
                <w:sz w:val="20"/>
                <w:szCs w:val="20"/>
              </w:rPr>
            </w:pPr>
            <w:r>
              <w:rPr>
                <w:rFonts w:cs="Times New Roman"/>
                <w:sz w:val="20"/>
                <w:szCs w:val="20"/>
              </w:rPr>
              <w:t xml:space="preserve">470 </w:t>
            </w:r>
            <w:r w:rsidR="0095096B" w:rsidRPr="002E2327">
              <w:rPr>
                <w:rFonts w:cs="Times New Roman"/>
                <w:sz w:val="20"/>
                <w:szCs w:val="20"/>
              </w:rPr>
              <w:t>-</w:t>
            </w:r>
            <w:r>
              <w:rPr>
                <w:rFonts w:cs="Times New Roman"/>
                <w:sz w:val="20"/>
                <w:szCs w:val="20"/>
              </w:rPr>
              <w:t xml:space="preserve"> 471</w:t>
            </w:r>
          </w:p>
          <w:p w:rsidR="0095096B" w:rsidRPr="002E2327" w:rsidRDefault="0095096B" w:rsidP="0095096B">
            <w:pPr>
              <w:jc w:val="center"/>
              <w:rPr>
                <w:rFonts w:cs="Times New Roman"/>
                <w:sz w:val="20"/>
                <w:szCs w:val="20"/>
              </w:rPr>
            </w:pPr>
          </w:p>
          <w:p w:rsidR="0095096B" w:rsidRPr="002E2327" w:rsidRDefault="00A7096F" w:rsidP="0095096B">
            <w:pPr>
              <w:jc w:val="center"/>
              <w:rPr>
                <w:rFonts w:cs="Times New Roman"/>
                <w:sz w:val="20"/>
                <w:szCs w:val="20"/>
              </w:rPr>
            </w:pPr>
            <w:r>
              <w:rPr>
                <w:rFonts w:cs="Times New Roman"/>
                <w:sz w:val="20"/>
                <w:szCs w:val="20"/>
              </w:rPr>
              <w:t>472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7096F" w:rsidP="0095096B">
            <w:pPr>
              <w:jc w:val="center"/>
              <w:rPr>
                <w:rFonts w:cs="Times New Roman"/>
                <w:sz w:val="20"/>
                <w:szCs w:val="20"/>
              </w:rPr>
            </w:pPr>
            <w:r>
              <w:rPr>
                <w:rFonts w:cs="Times New Roman"/>
                <w:sz w:val="20"/>
                <w:szCs w:val="20"/>
              </w:rPr>
              <w:t>473</w:t>
            </w:r>
          </w:p>
          <w:p w:rsidR="0095096B" w:rsidRPr="002E2327" w:rsidRDefault="0095096B" w:rsidP="0095096B">
            <w:pPr>
              <w:jc w:val="center"/>
              <w:rPr>
                <w:rFonts w:cs="Times New Roman"/>
                <w:sz w:val="20"/>
                <w:szCs w:val="20"/>
              </w:rPr>
            </w:pPr>
          </w:p>
          <w:p w:rsidR="0095096B" w:rsidRPr="002E2327" w:rsidRDefault="00A7096F" w:rsidP="0095096B">
            <w:pPr>
              <w:jc w:val="center"/>
              <w:rPr>
                <w:rFonts w:cs="Times New Roman"/>
                <w:sz w:val="20"/>
                <w:szCs w:val="20"/>
              </w:rPr>
            </w:pPr>
            <w:r>
              <w:rPr>
                <w:rFonts w:cs="Times New Roman"/>
                <w:sz w:val="20"/>
                <w:szCs w:val="20"/>
              </w:rPr>
              <w:t xml:space="preserve">474 </w:t>
            </w:r>
            <w:r w:rsidR="0095096B" w:rsidRPr="002E2327">
              <w:rPr>
                <w:rFonts w:cs="Times New Roman"/>
                <w:sz w:val="20"/>
                <w:szCs w:val="20"/>
              </w:rPr>
              <w:t>-</w:t>
            </w:r>
            <w:r>
              <w:rPr>
                <w:rFonts w:cs="Times New Roman"/>
                <w:sz w:val="20"/>
                <w:szCs w:val="20"/>
              </w:rPr>
              <w:t xml:space="preserve"> 487</w:t>
            </w:r>
          </w:p>
          <w:p w:rsidR="00A87207" w:rsidRPr="002E2327" w:rsidRDefault="00A87207" w:rsidP="00DA20EC">
            <w:pPr>
              <w:jc w:val="center"/>
              <w:rPr>
                <w:rFonts w:cs="Times New Roman"/>
                <w:sz w:val="20"/>
                <w:szCs w:val="20"/>
              </w:rPr>
            </w:pPr>
          </w:p>
        </w:tc>
        <w:tc>
          <w:tcPr>
            <w:tcW w:w="3888" w:type="dxa"/>
          </w:tcPr>
          <w:p w:rsidR="0095096B" w:rsidRPr="002E2327" w:rsidRDefault="007505E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DA20EC">
            <w:pPr>
              <w:tabs>
                <w:tab w:val="right" w:pos="9360"/>
              </w:tabs>
              <w:rPr>
                <w:rFonts w:cs="Times New Roman"/>
                <w:sz w:val="20"/>
                <w:szCs w:val="20"/>
                <w:lang w:val="fr-CA"/>
              </w:rPr>
            </w:pPr>
          </w:p>
        </w:tc>
      </w:tr>
    </w:tbl>
    <w:p w:rsidR="0095096B" w:rsidRPr="00B960A3" w:rsidRDefault="0095096B" w:rsidP="0095096B">
      <w:pPr>
        <w:tabs>
          <w:tab w:val="right" w:pos="9360"/>
        </w:tabs>
        <w:rPr>
          <w:lang w:val="fr-CA"/>
        </w:rPr>
      </w:pPr>
    </w:p>
    <w:p w:rsidR="00DA20EC" w:rsidRPr="00B960A3" w:rsidRDefault="00DA20EC" w:rsidP="0095096B">
      <w:pPr>
        <w:tabs>
          <w:tab w:val="right" w:pos="9360"/>
        </w:tabs>
        <w:rPr>
          <w:lang w:val="fr-CA"/>
        </w:rPr>
      </w:pPr>
    </w:p>
    <w:p w:rsidR="00DA20EC" w:rsidRPr="00B960A3" w:rsidRDefault="00DA20EC" w:rsidP="0095096B">
      <w:pPr>
        <w:tabs>
          <w:tab w:val="right" w:pos="9360"/>
        </w:tabs>
        <w:rPr>
          <w:lang w:val="fr-CA"/>
        </w:rPr>
      </w:pPr>
    </w:p>
    <w:p w:rsidR="00DA20EC" w:rsidRPr="00B960A3" w:rsidRDefault="00DA20EC" w:rsidP="0095096B">
      <w:pPr>
        <w:tabs>
          <w:tab w:val="right" w:pos="9360"/>
        </w:tabs>
        <w:rPr>
          <w:lang w:val="fr-CA"/>
        </w:rPr>
      </w:pPr>
    </w:p>
    <w:p w:rsidR="00DA20EC" w:rsidRPr="00B960A3" w:rsidRDefault="00DA20EC" w:rsidP="0095096B">
      <w:pPr>
        <w:tabs>
          <w:tab w:val="right" w:pos="9360"/>
        </w:tabs>
        <w:rPr>
          <w:lang w:val="fr-CA"/>
        </w:rPr>
      </w:pPr>
    </w:p>
    <w:p w:rsidR="00DA20EC" w:rsidRPr="00B960A3" w:rsidRDefault="00DA20EC" w:rsidP="0095096B">
      <w:pPr>
        <w:tabs>
          <w:tab w:val="right" w:pos="9360"/>
        </w:tabs>
        <w:rPr>
          <w:lang w:val="fr-CA"/>
        </w:rPr>
      </w:pPr>
    </w:p>
    <w:tbl>
      <w:tblPr>
        <w:tblStyle w:val="TableGrid"/>
        <w:tblW w:w="0" w:type="auto"/>
        <w:tblLook w:val="04A0"/>
      </w:tblPr>
      <w:tblGrid>
        <w:gridCol w:w="9576"/>
      </w:tblGrid>
      <w:tr w:rsidR="0079724F" w:rsidRPr="002D3F5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1301A4" w:rsidTr="003B3977">
        <w:tc>
          <w:tcPr>
            <w:tcW w:w="4320" w:type="dxa"/>
            <w:shd w:val="clear" w:color="auto" w:fill="auto"/>
          </w:tcPr>
          <w:p w:rsidR="00242AEE" w:rsidRPr="00A935AA" w:rsidRDefault="001301A4" w:rsidP="003B3977">
            <w:pPr>
              <w:rPr>
                <w:b/>
                <w:sz w:val="20"/>
                <w:szCs w:val="20"/>
              </w:rPr>
            </w:pPr>
            <w:r>
              <w:rPr>
                <w:b/>
                <w:sz w:val="20"/>
                <w:szCs w:val="20"/>
              </w:rPr>
              <w:t xml:space="preserve">Merck &amp; Co., Inc. et al. </w:t>
            </w:r>
          </w:p>
          <w:p w:rsidR="00242AEE" w:rsidRPr="00A935AA" w:rsidRDefault="00242AEE" w:rsidP="003B3977">
            <w:pPr>
              <w:tabs>
                <w:tab w:val="left" w:pos="-1440"/>
                <w:tab w:val="left" w:pos="-720"/>
              </w:tabs>
              <w:rPr>
                <w:sz w:val="20"/>
                <w:szCs w:val="20"/>
              </w:rPr>
            </w:pPr>
            <w:r w:rsidRPr="00A935AA">
              <w:rPr>
                <w:sz w:val="20"/>
                <w:szCs w:val="20"/>
              </w:rPr>
              <w:tab/>
            </w:r>
            <w:r w:rsidR="001301A4">
              <w:rPr>
                <w:sz w:val="20"/>
                <w:szCs w:val="20"/>
              </w:rPr>
              <w:t xml:space="preserve">Andrew J. </w:t>
            </w:r>
            <w:proofErr w:type="spellStart"/>
            <w:r w:rsidR="001301A4">
              <w:rPr>
                <w:sz w:val="20"/>
                <w:szCs w:val="20"/>
              </w:rPr>
              <w:t>Reddon</w:t>
            </w:r>
            <w:proofErr w:type="spellEnd"/>
          </w:p>
          <w:p w:rsidR="00242AEE" w:rsidRPr="00A935AA" w:rsidRDefault="00242AEE" w:rsidP="003B3977">
            <w:pPr>
              <w:tabs>
                <w:tab w:val="left" w:pos="-1440"/>
                <w:tab w:val="left" w:pos="-720"/>
              </w:tabs>
              <w:rPr>
                <w:sz w:val="20"/>
                <w:szCs w:val="20"/>
              </w:rPr>
            </w:pPr>
            <w:r w:rsidRPr="00A935AA">
              <w:rPr>
                <w:sz w:val="20"/>
                <w:szCs w:val="20"/>
              </w:rPr>
              <w:tab/>
            </w:r>
            <w:r w:rsidR="001301A4">
              <w:rPr>
                <w:sz w:val="20"/>
                <w:szCs w:val="20"/>
              </w:rPr>
              <w:t xml:space="preserve">McCarthy </w:t>
            </w:r>
            <w:proofErr w:type="spellStart"/>
            <w:r w:rsidR="001301A4">
              <w:rPr>
                <w:sz w:val="20"/>
                <w:szCs w:val="20"/>
              </w:rPr>
              <w:t>Tétrault</w:t>
            </w:r>
            <w:proofErr w:type="spellEnd"/>
            <w:r w:rsidR="001301A4">
              <w:rPr>
                <w:sz w:val="20"/>
                <w:szCs w:val="20"/>
              </w:rPr>
              <w:t xml:space="preserve">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B50CF2">
              <w:rPr>
                <w:sz w:val="20"/>
                <w:szCs w:val="20"/>
              </w:rPr>
              <w:t>46</w:t>
            </w:r>
            <w:r w:rsidR="001301A4">
              <w:rPr>
                <w:sz w:val="20"/>
                <w:szCs w:val="20"/>
              </w:rPr>
              <w:t>81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1301A4" w:rsidP="003B3977">
            <w:pPr>
              <w:tabs>
                <w:tab w:val="left" w:pos="-1440"/>
                <w:tab w:val="left" w:pos="-720"/>
              </w:tabs>
              <w:rPr>
                <w:b/>
                <w:sz w:val="20"/>
                <w:szCs w:val="20"/>
              </w:rPr>
            </w:pPr>
            <w:proofErr w:type="spellStart"/>
            <w:r>
              <w:rPr>
                <w:b/>
                <w:sz w:val="20"/>
                <w:szCs w:val="20"/>
              </w:rPr>
              <w:t>Apotex</w:t>
            </w:r>
            <w:proofErr w:type="spellEnd"/>
            <w:r>
              <w:rPr>
                <w:b/>
                <w:sz w:val="20"/>
                <w:szCs w:val="20"/>
              </w:rPr>
              <w:t xml:space="preserve"> Inc. </w:t>
            </w:r>
            <w:r w:rsidR="00242AEE" w:rsidRPr="00A935AA">
              <w:rPr>
                <w:b/>
                <w:sz w:val="20"/>
                <w:szCs w:val="20"/>
              </w:rPr>
              <w:t>(</w:t>
            </w:r>
            <w:r>
              <w:rPr>
                <w:b/>
                <w:sz w:val="20"/>
                <w:szCs w:val="20"/>
              </w:rPr>
              <w:t>F</w:t>
            </w:r>
            <w:r w:rsidR="00242AEE" w:rsidRPr="00A935AA">
              <w:rPr>
                <w:b/>
                <w:sz w:val="20"/>
                <w:szCs w:val="20"/>
              </w:rPr>
              <w:t>.C.)</w:t>
            </w:r>
          </w:p>
          <w:p w:rsidR="00242AEE" w:rsidRPr="00A935AA" w:rsidRDefault="00242AEE" w:rsidP="003B3977">
            <w:pPr>
              <w:tabs>
                <w:tab w:val="left" w:pos="-1440"/>
                <w:tab w:val="left" w:pos="-720"/>
              </w:tabs>
              <w:rPr>
                <w:sz w:val="20"/>
                <w:szCs w:val="20"/>
              </w:rPr>
            </w:pPr>
            <w:r w:rsidRPr="00A935AA">
              <w:rPr>
                <w:sz w:val="20"/>
                <w:szCs w:val="20"/>
              </w:rPr>
              <w:tab/>
            </w:r>
            <w:r w:rsidR="001301A4">
              <w:rPr>
                <w:sz w:val="20"/>
                <w:szCs w:val="20"/>
              </w:rPr>
              <w:t xml:space="preserve">Harry B. </w:t>
            </w:r>
            <w:proofErr w:type="spellStart"/>
            <w:r w:rsidR="001301A4">
              <w:rPr>
                <w:sz w:val="20"/>
                <w:szCs w:val="20"/>
              </w:rPr>
              <w:t>Radomski</w:t>
            </w:r>
            <w:proofErr w:type="spellEnd"/>
          </w:p>
          <w:p w:rsidR="00242AEE" w:rsidRPr="00A935AA" w:rsidRDefault="00242AEE" w:rsidP="003B3977">
            <w:pPr>
              <w:tabs>
                <w:tab w:val="left" w:pos="-1440"/>
                <w:tab w:val="left" w:pos="-720"/>
              </w:tabs>
              <w:rPr>
                <w:sz w:val="20"/>
                <w:szCs w:val="20"/>
              </w:rPr>
            </w:pPr>
            <w:r w:rsidRPr="00A935AA">
              <w:rPr>
                <w:sz w:val="20"/>
                <w:szCs w:val="20"/>
              </w:rPr>
              <w:tab/>
            </w:r>
            <w:proofErr w:type="spellStart"/>
            <w:r w:rsidR="001301A4">
              <w:rPr>
                <w:sz w:val="20"/>
                <w:szCs w:val="20"/>
              </w:rPr>
              <w:t>Goodmans</w:t>
            </w:r>
            <w:proofErr w:type="spellEnd"/>
            <w:r w:rsidR="001301A4">
              <w:rPr>
                <w:sz w:val="20"/>
                <w:szCs w:val="20"/>
              </w:rPr>
              <w:t xml:space="preserve"> LLP</w:t>
            </w:r>
          </w:p>
          <w:p w:rsidR="00242AEE" w:rsidRPr="00A935AA" w:rsidRDefault="00242AEE" w:rsidP="003B3977">
            <w:pPr>
              <w:tabs>
                <w:tab w:val="left" w:pos="-1440"/>
                <w:tab w:val="left" w:pos="-720"/>
              </w:tabs>
              <w:rPr>
                <w:sz w:val="20"/>
                <w:szCs w:val="20"/>
              </w:rPr>
            </w:pPr>
          </w:p>
          <w:p w:rsidR="00242AEE" w:rsidRDefault="00AF26C7" w:rsidP="003B3977">
            <w:pPr>
              <w:rPr>
                <w:sz w:val="20"/>
                <w:szCs w:val="20"/>
              </w:rPr>
            </w:pPr>
            <w:r>
              <w:rPr>
                <w:sz w:val="20"/>
                <w:szCs w:val="20"/>
              </w:rPr>
              <w:t>and between</w:t>
            </w:r>
          </w:p>
          <w:p w:rsidR="000B1D69" w:rsidRPr="000B1D69" w:rsidRDefault="000B1D69" w:rsidP="003B3977">
            <w:pPr>
              <w:rPr>
                <w:b/>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1301A4" w:rsidP="003B3977">
            <w:pPr>
              <w:keepNext/>
              <w:keepLines/>
              <w:tabs>
                <w:tab w:val="left" w:pos="-1440"/>
                <w:tab w:val="left" w:pos="-720"/>
              </w:tabs>
              <w:rPr>
                <w:b/>
                <w:sz w:val="20"/>
                <w:szCs w:val="20"/>
              </w:rPr>
            </w:pPr>
            <w:r>
              <w:rPr>
                <w:b/>
                <w:sz w:val="20"/>
                <w:szCs w:val="20"/>
              </w:rPr>
              <w:t xml:space="preserve">Public Service Alliance of Canada et al. </w:t>
            </w:r>
          </w:p>
          <w:p w:rsidR="00242AEE" w:rsidRPr="00A935AA" w:rsidRDefault="00242AEE" w:rsidP="003B3977">
            <w:pPr>
              <w:keepNext/>
              <w:keepLines/>
              <w:tabs>
                <w:tab w:val="left" w:pos="-1440"/>
                <w:tab w:val="left" w:pos="-720"/>
              </w:tabs>
              <w:rPr>
                <w:sz w:val="20"/>
                <w:szCs w:val="20"/>
              </w:rPr>
            </w:pPr>
            <w:r w:rsidRPr="00A935AA">
              <w:rPr>
                <w:sz w:val="20"/>
                <w:szCs w:val="20"/>
              </w:rPr>
              <w:tab/>
            </w:r>
            <w:r w:rsidR="001301A4">
              <w:rPr>
                <w:sz w:val="20"/>
                <w:szCs w:val="20"/>
              </w:rPr>
              <w:t xml:space="preserve">David </w:t>
            </w:r>
            <w:proofErr w:type="spellStart"/>
            <w:r w:rsidR="001301A4">
              <w:rPr>
                <w:sz w:val="20"/>
                <w:szCs w:val="20"/>
              </w:rPr>
              <w:t>Yazbeck</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1301A4">
              <w:rPr>
                <w:sz w:val="20"/>
                <w:szCs w:val="20"/>
              </w:rPr>
              <w:t xml:space="preserve">Raven, Cameron, </w:t>
            </w:r>
            <w:proofErr w:type="spellStart"/>
            <w:r w:rsidR="001301A4">
              <w:rPr>
                <w:sz w:val="20"/>
                <w:szCs w:val="20"/>
              </w:rPr>
              <w:t>Ballantyne</w:t>
            </w:r>
            <w:proofErr w:type="spellEnd"/>
            <w:r w:rsidR="001301A4">
              <w:rPr>
                <w:sz w:val="20"/>
                <w:szCs w:val="20"/>
              </w:rPr>
              <w:t xml:space="preserve"> &amp; </w:t>
            </w:r>
            <w:proofErr w:type="spellStart"/>
            <w:r w:rsidR="001301A4">
              <w:rPr>
                <w:sz w:val="20"/>
                <w:szCs w:val="20"/>
              </w:rPr>
              <w:t>Yazbeck</w:t>
            </w:r>
            <w:proofErr w:type="spellEnd"/>
            <w:r w:rsidR="001301A4">
              <w:rPr>
                <w:sz w:val="20"/>
                <w:szCs w:val="20"/>
              </w:rPr>
              <w:t xml:space="preserve"> </w:t>
            </w:r>
            <w:r w:rsidR="001301A4">
              <w:rPr>
                <w:sz w:val="20"/>
                <w:szCs w:val="20"/>
              </w:rPr>
              <w:tab/>
              <w:t>LLP</w:t>
            </w:r>
          </w:p>
          <w:p w:rsidR="00242AEE" w:rsidRPr="00A935AA" w:rsidRDefault="00242AEE" w:rsidP="003B3977">
            <w:pPr>
              <w:keepNext/>
              <w:keepLines/>
              <w:tabs>
                <w:tab w:val="left" w:pos="-1440"/>
                <w:tab w:val="left" w:pos="-720"/>
              </w:tabs>
              <w:rPr>
                <w:sz w:val="20"/>
                <w:szCs w:val="20"/>
              </w:rPr>
            </w:pPr>
          </w:p>
          <w:p w:rsidR="00242AEE" w:rsidRPr="00CA5345" w:rsidRDefault="00242AEE" w:rsidP="003B3977">
            <w:pPr>
              <w:keepNext/>
              <w:keepLines/>
              <w:tabs>
                <w:tab w:val="left" w:pos="-1440"/>
                <w:tab w:val="left" w:pos="-720"/>
              </w:tabs>
              <w:rPr>
                <w:sz w:val="20"/>
                <w:szCs w:val="20"/>
              </w:rPr>
            </w:pPr>
            <w:r w:rsidRPr="00A935AA">
              <w:rPr>
                <w:sz w:val="20"/>
                <w:szCs w:val="20"/>
              </w:rPr>
              <w:tab/>
            </w:r>
            <w:r w:rsidRPr="00CA5345">
              <w:rPr>
                <w:sz w:val="20"/>
                <w:szCs w:val="20"/>
              </w:rPr>
              <w:t>v. (3</w:t>
            </w:r>
            <w:r w:rsidR="00B50CF2" w:rsidRPr="00CA5345">
              <w:rPr>
                <w:sz w:val="20"/>
                <w:szCs w:val="20"/>
              </w:rPr>
              <w:t>4</w:t>
            </w:r>
            <w:r w:rsidR="001301A4" w:rsidRPr="00CA5345">
              <w:rPr>
                <w:sz w:val="20"/>
                <w:szCs w:val="20"/>
              </w:rPr>
              <w:t>70</w:t>
            </w:r>
            <w:r w:rsidR="00B50CF2" w:rsidRPr="00CA5345">
              <w:rPr>
                <w:sz w:val="20"/>
                <w:szCs w:val="20"/>
              </w:rPr>
              <w:t>6</w:t>
            </w:r>
            <w:r w:rsidRPr="00CA5345">
              <w:rPr>
                <w:sz w:val="20"/>
                <w:szCs w:val="20"/>
              </w:rPr>
              <w:t>)</w:t>
            </w:r>
          </w:p>
          <w:p w:rsidR="00242AEE" w:rsidRPr="00CA5345" w:rsidRDefault="00242AEE" w:rsidP="003B3977">
            <w:pPr>
              <w:keepNext/>
              <w:keepLines/>
              <w:tabs>
                <w:tab w:val="left" w:pos="-1440"/>
                <w:tab w:val="left" w:pos="-720"/>
              </w:tabs>
              <w:rPr>
                <w:sz w:val="20"/>
                <w:szCs w:val="20"/>
              </w:rPr>
            </w:pPr>
          </w:p>
          <w:p w:rsidR="00242AEE" w:rsidRPr="00CA5345" w:rsidRDefault="001301A4" w:rsidP="003B3977">
            <w:pPr>
              <w:keepNext/>
              <w:keepLines/>
              <w:tabs>
                <w:tab w:val="left" w:pos="-1440"/>
                <w:tab w:val="left" w:pos="-720"/>
              </w:tabs>
              <w:rPr>
                <w:b/>
                <w:sz w:val="20"/>
                <w:szCs w:val="20"/>
              </w:rPr>
            </w:pPr>
            <w:r w:rsidRPr="00CA5345">
              <w:rPr>
                <w:b/>
                <w:sz w:val="20"/>
                <w:szCs w:val="20"/>
              </w:rPr>
              <w:t xml:space="preserve">Canada Revenue Agency et al. </w:t>
            </w:r>
            <w:r w:rsidR="00242AEE" w:rsidRPr="00CA5345">
              <w:rPr>
                <w:b/>
                <w:sz w:val="20"/>
                <w:szCs w:val="20"/>
              </w:rPr>
              <w:t>(</w:t>
            </w:r>
            <w:r w:rsidRPr="00CA5345">
              <w:rPr>
                <w:b/>
                <w:sz w:val="20"/>
                <w:szCs w:val="20"/>
              </w:rPr>
              <w:t>F.C</w:t>
            </w:r>
            <w:r w:rsidR="00242AEE" w:rsidRPr="00CA5345">
              <w:rPr>
                <w:b/>
                <w:sz w:val="20"/>
                <w:szCs w:val="20"/>
              </w:rPr>
              <w:t>.)</w:t>
            </w:r>
          </w:p>
          <w:p w:rsidR="00242AEE" w:rsidRPr="001301A4" w:rsidRDefault="00242AEE" w:rsidP="003B3977">
            <w:pPr>
              <w:keepNext/>
              <w:keepLines/>
              <w:tabs>
                <w:tab w:val="left" w:pos="-1440"/>
                <w:tab w:val="left" w:pos="-720"/>
              </w:tabs>
              <w:rPr>
                <w:sz w:val="20"/>
                <w:szCs w:val="20"/>
              </w:rPr>
            </w:pPr>
            <w:r w:rsidRPr="00CA5345">
              <w:rPr>
                <w:sz w:val="20"/>
                <w:szCs w:val="20"/>
              </w:rPr>
              <w:tab/>
            </w:r>
            <w:r w:rsidR="001301A4" w:rsidRPr="001301A4">
              <w:rPr>
                <w:sz w:val="20"/>
                <w:szCs w:val="20"/>
              </w:rPr>
              <w:t>Catherine A. Lawrence</w:t>
            </w:r>
          </w:p>
          <w:p w:rsidR="00242AEE" w:rsidRPr="001301A4" w:rsidRDefault="00242AEE" w:rsidP="003B3977">
            <w:pPr>
              <w:keepNext/>
              <w:keepLines/>
              <w:tabs>
                <w:tab w:val="left" w:pos="-1440"/>
                <w:tab w:val="left" w:pos="-720"/>
              </w:tabs>
              <w:rPr>
                <w:sz w:val="20"/>
                <w:szCs w:val="20"/>
              </w:rPr>
            </w:pPr>
            <w:r w:rsidRPr="001301A4">
              <w:rPr>
                <w:sz w:val="20"/>
                <w:szCs w:val="20"/>
              </w:rPr>
              <w:tab/>
            </w:r>
            <w:r w:rsidR="001301A4" w:rsidRPr="001301A4">
              <w:rPr>
                <w:sz w:val="20"/>
                <w:szCs w:val="20"/>
              </w:rPr>
              <w:t>A.G. of Canada</w:t>
            </w:r>
          </w:p>
          <w:p w:rsidR="00242AEE" w:rsidRPr="001301A4" w:rsidRDefault="00242AEE" w:rsidP="003B3977">
            <w:pPr>
              <w:keepNext/>
              <w:keepLines/>
              <w:tabs>
                <w:tab w:val="left" w:pos="-1440"/>
                <w:tab w:val="left" w:pos="-720"/>
              </w:tabs>
              <w:rPr>
                <w:sz w:val="20"/>
                <w:szCs w:val="20"/>
              </w:rPr>
            </w:pPr>
          </w:p>
          <w:p w:rsidR="00242AEE" w:rsidRPr="00CA5345" w:rsidRDefault="001301A4" w:rsidP="00B50CF2">
            <w:pPr>
              <w:rPr>
                <w:sz w:val="20"/>
                <w:szCs w:val="20"/>
              </w:rPr>
            </w:pPr>
            <w:r w:rsidRPr="00CA5345">
              <w:rPr>
                <w:sz w:val="20"/>
                <w:szCs w:val="20"/>
              </w:rPr>
              <w:t>and between</w:t>
            </w:r>
          </w:p>
        </w:tc>
      </w:tr>
      <w:tr w:rsidR="00B50CF2" w:rsidRPr="00A935AA" w:rsidTr="003B3977">
        <w:tc>
          <w:tcPr>
            <w:tcW w:w="4320" w:type="dxa"/>
            <w:shd w:val="clear" w:color="auto" w:fill="auto"/>
          </w:tcPr>
          <w:p w:rsidR="000B1D69" w:rsidRDefault="000B1D69" w:rsidP="000B1D69">
            <w:pPr>
              <w:tabs>
                <w:tab w:val="left" w:pos="-1440"/>
                <w:tab w:val="left" w:pos="-720"/>
              </w:tabs>
              <w:rPr>
                <w:sz w:val="20"/>
                <w:szCs w:val="20"/>
              </w:rPr>
            </w:pPr>
            <w:r>
              <w:rPr>
                <w:b/>
                <w:sz w:val="20"/>
                <w:szCs w:val="20"/>
              </w:rPr>
              <w:t>Merck &amp; Co. Inc. et al.</w:t>
            </w:r>
          </w:p>
          <w:p w:rsidR="000B1D69" w:rsidRPr="00A935AA" w:rsidRDefault="000B1D69" w:rsidP="000B1D69">
            <w:pPr>
              <w:tabs>
                <w:tab w:val="left" w:pos="-1440"/>
                <w:tab w:val="left" w:pos="-720"/>
              </w:tabs>
              <w:rPr>
                <w:sz w:val="20"/>
                <w:szCs w:val="20"/>
              </w:rPr>
            </w:pPr>
            <w:r>
              <w:rPr>
                <w:sz w:val="20"/>
                <w:szCs w:val="20"/>
              </w:rPr>
              <w:tab/>
              <w:t xml:space="preserve">Andrew J. </w:t>
            </w:r>
            <w:proofErr w:type="spellStart"/>
            <w:r>
              <w:rPr>
                <w:sz w:val="20"/>
                <w:szCs w:val="20"/>
              </w:rPr>
              <w:t>Reddon</w:t>
            </w:r>
            <w:proofErr w:type="spellEnd"/>
          </w:p>
          <w:p w:rsidR="000B1D69" w:rsidRPr="00DC1946" w:rsidRDefault="000B1D69" w:rsidP="000B1D69">
            <w:pPr>
              <w:tabs>
                <w:tab w:val="left" w:pos="-1440"/>
                <w:tab w:val="left" w:pos="-720"/>
              </w:tabs>
              <w:rPr>
                <w:sz w:val="20"/>
                <w:szCs w:val="20"/>
                <w:lang w:val="fr-CA"/>
              </w:rPr>
            </w:pPr>
            <w:r w:rsidRPr="00A935AA">
              <w:rPr>
                <w:sz w:val="20"/>
                <w:szCs w:val="20"/>
              </w:rPr>
              <w:tab/>
            </w:r>
            <w:r w:rsidRPr="00DC1946">
              <w:rPr>
                <w:sz w:val="20"/>
                <w:szCs w:val="20"/>
                <w:lang w:val="fr-CA"/>
              </w:rPr>
              <w:t xml:space="preserve">McCarthy </w:t>
            </w:r>
            <w:proofErr w:type="spellStart"/>
            <w:r w:rsidRPr="00DC1946">
              <w:rPr>
                <w:sz w:val="20"/>
                <w:szCs w:val="20"/>
                <w:lang w:val="fr-CA"/>
              </w:rPr>
              <w:t>Tétrault</w:t>
            </w:r>
            <w:proofErr w:type="spellEnd"/>
            <w:r w:rsidRPr="00DC1946">
              <w:rPr>
                <w:sz w:val="20"/>
                <w:szCs w:val="20"/>
                <w:lang w:val="fr-CA"/>
              </w:rPr>
              <w:t xml:space="preserve"> LLP</w:t>
            </w:r>
          </w:p>
          <w:p w:rsidR="000B1D69" w:rsidRPr="00DC1946" w:rsidRDefault="000B1D69" w:rsidP="000B1D69">
            <w:pPr>
              <w:tabs>
                <w:tab w:val="left" w:pos="-1440"/>
                <w:tab w:val="left" w:pos="-720"/>
              </w:tabs>
              <w:rPr>
                <w:sz w:val="20"/>
                <w:szCs w:val="20"/>
                <w:lang w:val="fr-CA"/>
              </w:rPr>
            </w:pPr>
          </w:p>
          <w:p w:rsidR="000B1D69" w:rsidRPr="000B1D69" w:rsidRDefault="000B1D69" w:rsidP="000B1D69">
            <w:pPr>
              <w:tabs>
                <w:tab w:val="left" w:pos="-1440"/>
                <w:tab w:val="left" w:pos="-720"/>
              </w:tabs>
              <w:rPr>
                <w:sz w:val="20"/>
                <w:szCs w:val="20"/>
                <w:lang w:val="fr-CA"/>
              </w:rPr>
            </w:pPr>
            <w:r w:rsidRPr="00DC1946">
              <w:rPr>
                <w:sz w:val="20"/>
                <w:szCs w:val="20"/>
                <w:lang w:val="fr-CA"/>
              </w:rPr>
              <w:tab/>
            </w:r>
            <w:r w:rsidRPr="000B1D69">
              <w:rPr>
                <w:sz w:val="20"/>
                <w:szCs w:val="20"/>
                <w:lang w:val="fr-CA"/>
              </w:rPr>
              <w:t>v. (34681)</w:t>
            </w:r>
          </w:p>
          <w:p w:rsidR="000B1D69" w:rsidRPr="000B1D69" w:rsidRDefault="000B1D69" w:rsidP="000B1D69">
            <w:pPr>
              <w:tabs>
                <w:tab w:val="left" w:pos="-1440"/>
                <w:tab w:val="left" w:pos="-720"/>
              </w:tabs>
              <w:rPr>
                <w:sz w:val="20"/>
                <w:szCs w:val="20"/>
                <w:lang w:val="fr-CA"/>
              </w:rPr>
            </w:pPr>
          </w:p>
          <w:p w:rsidR="000B1D69" w:rsidRPr="00DC1946" w:rsidRDefault="000B1D69" w:rsidP="000B1D69">
            <w:pPr>
              <w:tabs>
                <w:tab w:val="left" w:pos="-1440"/>
                <w:tab w:val="left" w:pos="-720"/>
              </w:tabs>
              <w:rPr>
                <w:b/>
                <w:sz w:val="20"/>
                <w:szCs w:val="20"/>
              </w:rPr>
            </w:pPr>
            <w:proofErr w:type="spellStart"/>
            <w:r w:rsidRPr="000B1D69">
              <w:rPr>
                <w:b/>
                <w:sz w:val="20"/>
                <w:szCs w:val="20"/>
                <w:lang w:val="fr-CA"/>
              </w:rPr>
              <w:t>Apotex</w:t>
            </w:r>
            <w:proofErr w:type="spellEnd"/>
            <w:r w:rsidRPr="000B1D69">
              <w:rPr>
                <w:b/>
                <w:sz w:val="20"/>
                <w:szCs w:val="20"/>
                <w:lang w:val="fr-CA"/>
              </w:rPr>
              <w:t xml:space="preserve"> Inc. </w:t>
            </w:r>
            <w:r>
              <w:rPr>
                <w:b/>
                <w:sz w:val="20"/>
                <w:szCs w:val="20"/>
                <w:lang w:val="fr-CA"/>
              </w:rPr>
              <w:t xml:space="preserve">et al. </w:t>
            </w:r>
            <w:r w:rsidRPr="00DC1946">
              <w:rPr>
                <w:b/>
                <w:sz w:val="20"/>
                <w:szCs w:val="20"/>
              </w:rPr>
              <w:t>(F.C.)</w:t>
            </w:r>
          </w:p>
          <w:p w:rsidR="000B1D69" w:rsidRPr="00A935AA" w:rsidRDefault="000B1D69" w:rsidP="000B1D69">
            <w:pPr>
              <w:tabs>
                <w:tab w:val="left" w:pos="-1440"/>
                <w:tab w:val="left" w:pos="-720"/>
              </w:tabs>
              <w:rPr>
                <w:sz w:val="20"/>
                <w:szCs w:val="20"/>
              </w:rPr>
            </w:pPr>
            <w:r w:rsidRPr="00DC1946">
              <w:rPr>
                <w:sz w:val="20"/>
                <w:szCs w:val="20"/>
              </w:rPr>
              <w:tab/>
            </w:r>
            <w:r>
              <w:rPr>
                <w:sz w:val="20"/>
                <w:szCs w:val="20"/>
              </w:rPr>
              <w:t xml:space="preserve">Harry B. </w:t>
            </w:r>
            <w:proofErr w:type="spellStart"/>
            <w:r>
              <w:rPr>
                <w:sz w:val="20"/>
                <w:szCs w:val="20"/>
              </w:rPr>
              <w:t>Radomski</w:t>
            </w:r>
            <w:proofErr w:type="spellEnd"/>
          </w:p>
          <w:p w:rsidR="000B1D69" w:rsidRPr="00A935AA" w:rsidRDefault="000B1D69" w:rsidP="000B1D69">
            <w:pPr>
              <w:tabs>
                <w:tab w:val="left" w:pos="-1440"/>
                <w:tab w:val="left" w:pos="-720"/>
              </w:tabs>
              <w:rPr>
                <w:sz w:val="20"/>
                <w:szCs w:val="20"/>
              </w:rPr>
            </w:pPr>
            <w:r w:rsidRPr="00A935AA">
              <w:rPr>
                <w:sz w:val="20"/>
                <w:szCs w:val="20"/>
              </w:rPr>
              <w:tab/>
            </w:r>
            <w:proofErr w:type="spellStart"/>
            <w:r>
              <w:rPr>
                <w:sz w:val="20"/>
                <w:szCs w:val="20"/>
              </w:rPr>
              <w:t>Goodmans</w:t>
            </w:r>
            <w:proofErr w:type="spellEnd"/>
            <w:r>
              <w:rPr>
                <w:sz w:val="20"/>
                <w:szCs w:val="20"/>
              </w:rPr>
              <w:t xml:space="preserve"> LLP</w:t>
            </w:r>
          </w:p>
          <w:p w:rsidR="00B50CF2" w:rsidRDefault="00B50CF2" w:rsidP="00B50CF2">
            <w:pPr>
              <w:rPr>
                <w:sz w:val="20"/>
                <w:szCs w:val="20"/>
              </w:rPr>
            </w:pPr>
          </w:p>
          <w:p w:rsidR="00AF26C7" w:rsidRPr="00A935AA" w:rsidRDefault="00AF26C7" w:rsidP="00AF26C7">
            <w:pPr>
              <w:rPr>
                <w:sz w:val="20"/>
                <w:szCs w:val="20"/>
              </w:rPr>
            </w:pPr>
            <w:r w:rsidRPr="00A935AA">
              <w:rPr>
                <w:sz w:val="20"/>
                <w:szCs w:val="20"/>
              </w:rPr>
              <w:t xml:space="preserve">FILING DATE: </w:t>
            </w:r>
            <w:r>
              <w:rPr>
                <w:sz w:val="20"/>
                <w:szCs w:val="20"/>
              </w:rPr>
              <w:t>1</w:t>
            </w:r>
            <w:r w:rsidRPr="00A935AA">
              <w:rPr>
                <w:sz w:val="20"/>
                <w:szCs w:val="20"/>
              </w:rPr>
              <w:t>7.0</w:t>
            </w:r>
            <w:r>
              <w:rPr>
                <w:sz w:val="20"/>
                <w:szCs w:val="20"/>
              </w:rPr>
              <w:t>2</w:t>
            </w:r>
            <w:r w:rsidRPr="00A935AA">
              <w:rPr>
                <w:sz w:val="20"/>
                <w:szCs w:val="20"/>
              </w:rPr>
              <w:t>.201</w:t>
            </w:r>
            <w:r>
              <w:rPr>
                <w:sz w:val="20"/>
                <w:szCs w:val="20"/>
              </w:rPr>
              <w:t>2</w:t>
            </w:r>
          </w:p>
          <w:p w:rsidR="00AF26C7" w:rsidRPr="00A935AA" w:rsidRDefault="007505E6" w:rsidP="00AF26C7">
            <w:pPr>
              <w:rPr>
                <w:sz w:val="20"/>
                <w:szCs w:val="20"/>
              </w:rPr>
            </w:pPr>
            <w:r w:rsidRPr="007505E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tc>
        <w:tc>
          <w:tcPr>
            <w:tcW w:w="4320" w:type="dxa"/>
            <w:shd w:val="clear" w:color="auto" w:fill="auto"/>
          </w:tcPr>
          <w:p w:rsidR="000B1D69" w:rsidRDefault="000B1D69" w:rsidP="00EA75FE">
            <w:pPr>
              <w:keepNext/>
              <w:keepLines/>
              <w:tabs>
                <w:tab w:val="left" w:pos="-1440"/>
                <w:tab w:val="left" w:pos="-720"/>
              </w:tabs>
              <w:rPr>
                <w:b/>
                <w:sz w:val="20"/>
                <w:szCs w:val="20"/>
              </w:rPr>
            </w:pPr>
          </w:p>
          <w:p w:rsidR="00B50CF2" w:rsidRPr="00A935AA" w:rsidRDefault="001301A4" w:rsidP="00EA75FE">
            <w:pPr>
              <w:keepNext/>
              <w:keepLines/>
              <w:tabs>
                <w:tab w:val="left" w:pos="-1440"/>
                <w:tab w:val="left" w:pos="-720"/>
              </w:tabs>
              <w:rPr>
                <w:b/>
                <w:sz w:val="20"/>
                <w:szCs w:val="20"/>
              </w:rPr>
            </w:pPr>
            <w:r>
              <w:rPr>
                <w:b/>
                <w:sz w:val="20"/>
                <w:szCs w:val="20"/>
              </w:rPr>
              <w:t>Canadian Human Rights Commission</w:t>
            </w:r>
          </w:p>
          <w:p w:rsidR="00B50CF2" w:rsidRPr="00A935AA" w:rsidRDefault="00B50CF2" w:rsidP="00EA75FE">
            <w:pPr>
              <w:keepNext/>
              <w:keepLines/>
              <w:tabs>
                <w:tab w:val="left" w:pos="-1440"/>
                <w:tab w:val="left" w:pos="-720"/>
              </w:tabs>
              <w:rPr>
                <w:sz w:val="20"/>
                <w:szCs w:val="20"/>
              </w:rPr>
            </w:pPr>
            <w:r w:rsidRPr="00A935AA">
              <w:rPr>
                <w:sz w:val="20"/>
                <w:szCs w:val="20"/>
              </w:rPr>
              <w:tab/>
            </w:r>
            <w:r w:rsidR="001301A4">
              <w:rPr>
                <w:sz w:val="20"/>
                <w:szCs w:val="20"/>
              </w:rPr>
              <w:t xml:space="preserve">Philippe </w:t>
            </w:r>
            <w:proofErr w:type="spellStart"/>
            <w:r w:rsidR="001301A4">
              <w:rPr>
                <w:sz w:val="20"/>
                <w:szCs w:val="20"/>
              </w:rPr>
              <w:t>Dufresne</w:t>
            </w:r>
            <w:proofErr w:type="spellEnd"/>
          </w:p>
          <w:p w:rsidR="00B50CF2" w:rsidRPr="00A935AA" w:rsidRDefault="00B50CF2" w:rsidP="00EA75FE">
            <w:pPr>
              <w:keepNext/>
              <w:keepLines/>
              <w:tabs>
                <w:tab w:val="left" w:pos="-1440"/>
                <w:tab w:val="left" w:pos="-720"/>
              </w:tabs>
              <w:rPr>
                <w:sz w:val="20"/>
                <w:szCs w:val="20"/>
              </w:rPr>
            </w:pPr>
            <w:r w:rsidRPr="00A935AA">
              <w:rPr>
                <w:sz w:val="20"/>
                <w:szCs w:val="20"/>
              </w:rPr>
              <w:tab/>
            </w:r>
            <w:r w:rsidR="001301A4">
              <w:rPr>
                <w:sz w:val="20"/>
                <w:szCs w:val="20"/>
              </w:rPr>
              <w:t>Canadian Human Rights Commission</w:t>
            </w:r>
          </w:p>
          <w:p w:rsidR="00B50CF2" w:rsidRPr="00A935AA" w:rsidRDefault="00B50CF2" w:rsidP="00EA75FE">
            <w:pPr>
              <w:keepNext/>
              <w:keepLines/>
              <w:tabs>
                <w:tab w:val="left" w:pos="-1440"/>
                <w:tab w:val="left" w:pos="-720"/>
              </w:tabs>
              <w:rPr>
                <w:sz w:val="20"/>
                <w:szCs w:val="20"/>
              </w:rPr>
            </w:pPr>
          </w:p>
          <w:p w:rsidR="00B50CF2" w:rsidRPr="001301A4" w:rsidRDefault="00B50CF2" w:rsidP="00EA75FE">
            <w:pPr>
              <w:keepNext/>
              <w:keepLines/>
              <w:tabs>
                <w:tab w:val="left" w:pos="-1440"/>
                <w:tab w:val="left" w:pos="-720"/>
              </w:tabs>
              <w:rPr>
                <w:sz w:val="20"/>
                <w:szCs w:val="20"/>
              </w:rPr>
            </w:pPr>
            <w:r w:rsidRPr="00A935AA">
              <w:rPr>
                <w:sz w:val="20"/>
                <w:szCs w:val="20"/>
              </w:rPr>
              <w:tab/>
            </w:r>
            <w:r w:rsidRPr="001301A4">
              <w:rPr>
                <w:sz w:val="20"/>
                <w:szCs w:val="20"/>
              </w:rPr>
              <w:t>v. (34</w:t>
            </w:r>
            <w:r w:rsidR="001301A4" w:rsidRPr="001301A4">
              <w:rPr>
                <w:sz w:val="20"/>
                <w:szCs w:val="20"/>
              </w:rPr>
              <w:t>70</w:t>
            </w:r>
            <w:r w:rsidRPr="001301A4">
              <w:rPr>
                <w:sz w:val="20"/>
                <w:szCs w:val="20"/>
              </w:rPr>
              <w:t>6)</w:t>
            </w:r>
          </w:p>
          <w:p w:rsidR="00B50CF2" w:rsidRPr="001301A4" w:rsidRDefault="00B50CF2" w:rsidP="00EA75FE">
            <w:pPr>
              <w:keepNext/>
              <w:keepLines/>
              <w:tabs>
                <w:tab w:val="left" w:pos="-1440"/>
                <w:tab w:val="left" w:pos="-720"/>
              </w:tabs>
              <w:rPr>
                <w:sz w:val="20"/>
                <w:szCs w:val="20"/>
              </w:rPr>
            </w:pPr>
          </w:p>
          <w:p w:rsidR="00B50CF2" w:rsidRPr="00EA75FE" w:rsidRDefault="00EA75FE" w:rsidP="00EA75FE">
            <w:pPr>
              <w:keepNext/>
              <w:keepLines/>
              <w:tabs>
                <w:tab w:val="left" w:pos="-1440"/>
                <w:tab w:val="left" w:pos="-720"/>
              </w:tabs>
              <w:rPr>
                <w:b/>
                <w:sz w:val="20"/>
                <w:szCs w:val="20"/>
              </w:rPr>
            </w:pPr>
            <w:r w:rsidRPr="00EA75FE">
              <w:rPr>
                <w:b/>
                <w:sz w:val="20"/>
                <w:szCs w:val="20"/>
              </w:rPr>
              <w:t xml:space="preserve">Canada Revenue Agency et al. </w:t>
            </w:r>
            <w:r w:rsidR="00B50CF2" w:rsidRPr="00EA75FE">
              <w:rPr>
                <w:b/>
                <w:sz w:val="20"/>
                <w:szCs w:val="20"/>
              </w:rPr>
              <w:t>(</w:t>
            </w:r>
            <w:r w:rsidRPr="00EA75FE">
              <w:rPr>
                <w:b/>
                <w:sz w:val="20"/>
                <w:szCs w:val="20"/>
              </w:rPr>
              <w:t>F</w:t>
            </w:r>
            <w:r w:rsidR="00B50CF2" w:rsidRPr="00EA75FE">
              <w:rPr>
                <w:b/>
                <w:sz w:val="20"/>
                <w:szCs w:val="20"/>
              </w:rPr>
              <w:t>.</w:t>
            </w:r>
            <w:r w:rsidRPr="00EA75FE">
              <w:rPr>
                <w:b/>
                <w:sz w:val="20"/>
                <w:szCs w:val="20"/>
              </w:rPr>
              <w:t>C.</w:t>
            </w:r>
            <w:r w:rsidR="00B50CF2" w:rsidRPr="00EA75FE">
              <w:rPr>
                <w:b/>
                <w:sz w:val="20"/>
                <w:szCs w:val="20"/>
              </w:rPr>
              <w:t>)</w:t>
            </w:r>
          </w:p>
          <w:p w:rsidR="00EA75FE" w:rsidRPr="001301A4" w:rsidRDefault="00B50CF2" w:rsidP="00EA75FE">
            <w:pPr>
              <w:keepNext/>
              <w:keepLines/>
              <w:tabs>
                <w:tab w:val="left" w:pos="-1440"/>
                <w:tab w:val="left" w:pos="-720"/>
              </w:tabs>
              <w:rPr>
                <w:sz w:val="20"/>
                <w:szCs w:val="20"/>
              </w:rPr>
            </w:pPr>
            <w:r w:rsidRPr="00EA75FE">
              <w:rPr>
                <w:sz w:val="20"/>
                <w:szCs w:val="20"/>
              </w:rPr>
              <w:tab/>
            </w:r>
            <w:r w:rsidR="00EA75FE" w:rsidRPr="001301A4">
              <w:rPr>
                <w:sz w:val="20"/>
                <w:szCs w:val="20"/>
              </w:rPr>
              <w:t>Catherine A. Lawrence</w:t>
            </w:r>
          </w:p>
          <w:p w:rsidR="00B50CF2" w:rsidRPr="00CA5345" w:rsidRDefault="00EA75FE" w:rsidP="00EA75FE">
            <w:pPr>
              <w:keepNext/>
              <w:keepLines/>
              <w:tabs>
                <w:tab w:val="left" w:pos="-1440"/>
                <w:tab w:val="left" w:pos="-720"/>
              </w:tabs>
              <w:rPr>
                <w:sz w:val="20"/>
                <w:szCs w:val="20"/>
              </w:rPr>
            </w:pPr>
            <w:r w:rsidRPr="001301A4">
              <w:rPr>
                <w:sz w:val="20"/>
                <w:szCs w:val="20"/>
              </w:rPr>
              <w:tab/>
              <w:t>A.G. of Canada</w:t>
            </w:r>
          </w:p>
          <w:p w:rsidR="00B50CF2" w:rsidRPr="00CA5345" w:rsidRDefault="00B50CF2" w:rsidP="00EA75FE">
            <w:pPr>
              <w:keepNext/>
              <w:keepLines/>
              <w:tabs>
                <w:tab w:val="left" w:pos="-1440"/>
                <w:tab w:val="left" w:pos="-720"/>
              </w:tabs>
              <w:rPr>
                <w:sz w:val="20"/>
                <w:szCs w:val="20"/>
              </w:rPr>
            </w:pPr>
          </w:p>
          <w:p w:rsidR="00B50CF2" w:rsidRPr="00A935AA" w:rsidRDefault="00B50CF2" w:rsidP="00EA75FE">
            <w:pPr>
              <w:rPr>
                <w:sz w:val="20"/>
                <w:szCs w:val="20"/>
              </w:rPr>
            </w:pPr>
            <w:r w:rsidRPr="00A935AA">
              <w:rPr>
                <w:sz w:val="20"/>
                <w:szCs w:val="20"/>
              </w:rPr>
              <w:t xml:space="preserve">FILING DATE: </w:t>
            </w:r>
            <w:r w:rsidR="00EA75FE">
              <w:rPr>
                <w:sz w:val="20"/>
                <w:szCs w:val="20"/>
              </w:rPr>
              <w:t>09</w:t>
            </w:r>
            <w:r w:rsidRPr="00A935AA">
              <w:rPr>
                <w:sz w:val="20"/>
                <w:szCs w:val="20"/>
              </w:rPr>
              <w:t>.0</w:t>
            </w:r>
            <w:r>
              <w:rPr>
                <w:sz w:val="20"/>
                <w:szCs w:val="20"/>
              </w:rPr>
              <w:t>3</w:t>
            </w:r>
            <w:r w:rsidRPr="00A935AA">
              <w:rPr>
                <w:sz w:val="20"/>
                <w:szCs w:val="20"/>
              </w:rPr>
              <w:t>.201</w:t>
            </w:r>
            <w:r>
              <w:rPr>
                <w:sz w:val="20"/>
                <w:szCs w:val="20"/>
              </w:rPr>
              <w:t>2</w:t>
            </w:r>
            <w:r w:rsidR="007505E6" w:rsidRPr="007505E6">
              <w:rPr>
                <w:sz w:val="20"/>
                <w:szCs w:val="20"/>
                <w:lang w:val="fr-CA"/>
              </w:rPr>
              <w:pict>
                <v:rect id="_x0000_i1026" style="width:108pt;height:1pt" o:hrpct="0" o:hralign="center" o:hrstd="t" o:hrnoshade="t" o:hr="t" fillcolor="black [3213]" stroked="f"/>
              </w:pict>
            </w:r>
          </w:p>
        </w:tc>
      </w:tr>
      <w:tr w:rsidR="000B1D69" w:rsidRPr="00A935AA" w:rsidTr="003B3977">
        <w:tc>
          <w:tcPr>
            <w:tcW w:w="4320" w:type="dxa"/>
            <w:shd w:val="clear" w:color="auto" w:fill="auto"/>
          </w:tcPr>
          <w:p w:rsidR="000B1D69" w:rsidRPr="00A935AA" w:rsidRDefault="000B1D69" w:rsidP="00737D5F">
            <w:pPr>
              <w:rPr>
                <w:b/>
                <w:sz w:val="20"/>
                <w:szCs w:val="20"/>
              </w:rPr>
            </w:pPr>
            <w:r>
              <w:rPr>
                <w:b/>
                <w:sz w:val="20"/>
                <w:szCs w:val="20"/>
              </w:rPr>
              <w:t xml:space="preserve">Don Reid Stewart, Executor of the Estate of Rene </w:t>
            </w:r>
            <w:proofErr w:type="spellStart"/>
            <w:r>
              <w:rPr>
                <w:b/>
                <w:sz w:val="20"/>
                <w:szCs w:val="20"/>
              </w:rPr>
              <w:t>Vallette</w:t>
            </w:r>
            <w:proofErr w:type="spellEnd"/>
            <w:r>
              <w:rPr>
                <w:b/>
                <w:sz w:val="20"/>
                <w:szCs w:val="20"/>
              </w:rPr>
              <w:t>, Deceased</w:t>
            </w:r>
          </w:p>
          <w:p w:rsidR="000B1D69" w:rsidRPr="00A935AA" w:rsidRDefault="000B1D69" w:rsidP="00737D5F">
            <w:pPr>
              <w:tabs>
                <w:tab w:val="left" w:pos="-1440"/>
                <w:tab w:val="left" w:pos="-720"/>
              </w:tabs>
              <w:rPr>
                <w:sz w:val="20"/>
                <w:szCs w:val="20"/>
              </w:rPr>
            </w:pPr>
            <w:r w:rsidRPr="00A935AA">
              <w:rPr>
                <w:sz w:val="20"/>
                <w:szCs w:val="20"/>
              </w:rPr>
              <w:tab/>
            </w:r>
            <w:r>
              <w:rPr>
                <w:sz w:val="20"/>
                <w:szCs w:val="20"/>
              </w:rPr>
              <w:t xml:space="preserve">Kenneth </w:t>
            </w:r>
            <w:proofErr w:type="spellStart"/>
            <w:r>
              <w:rPr>
                <w:sz w:val="20"/>
                <w:szCs w:val="20"/>
              </w:rPr>
              <w:t>Penonzek</w:t>
            </w:r>
            <w:proofErr w:type="spellEnd"/>
          </w:p>
          <w:p w:rsidR="000B1D69" w:rsidRPr="00A935AA" w:rsidRDefault="000B1D69" w:rsidP="00737D5F">
            <w:pPr>
              <w:tabs>
                <w:tab w:val="left" w:pos="-1440"/>
                <w:tab w:val="left" w:pos="-720"/>
              </w:tabs>
              <w:rPr>
                <w:sz w:val="20"/>
                <w:szCs w:val="20"/>
              </w:rPr>
            </w:pPr>
            <w:r w:rsidRPr="00A935AA">
              <w:rPr>
                <w:sz w:val="20"/>
                <w:szCs w:val="20"/>
              </w:rPr>
              <w:tab/>
            </w:r>
            <w:r>
              <w:rPr>
                <w:sz w:val="20"/>
                <w:szCs w:val="20"/>
              </w:rPr>
              <w:t xml:space="preserve">Kenneth W. </w:t>
            </w:r>
            <w:proofErr w:type="spellStart"/>
            <w:r>
              <w:rPr>
                <w:sz w:val="20"/>
                <w:szCs w:val="20"/>
              </w:rPr>
              <w:t>Penonzek</w:t>
            </w:r>
            <w:proofErr w:type="spellEnd"/>
            <w:r>
              <w:rPr>
                <w:sz w:val="20"/>
                <w:szCs w:val="20"/>
              </w:rPr>
              <w:t xml:space="preserve"> Professional </w:t>
            </w:r>
            <w:r>
              <w:rPr>
                <w:sz w:val="20"/>
                <w:szCs w:val="20"/>
              </w:rPr>
              <w:tab/>
              <w:t>Corporation</w:t>
            </w:r>
          </w:p>
          <w:p w:rsidR="000B1D69" w:rsidRPr="00A935AA" w:rsidRDefault="000B1D69" w:rsidP="00737D5F">
            <w:pPr>
              <w:tabs>
                <w:tab w:val="left" w:pos="-1440"/>
                <w:tab w:val="left" w:pos="-720"/>
              </w:tabs>
              <w:rPr>
                <w:sz w:val="20"/>
                <w:szCs w:val="20"/>
              </w:rPr>
            </w:pPr>
          </w:p>
          <w:p w:rsidR="000B1D69" w:rsidRPr="00A935AA" w:rsidRDefault="000B1D69" w:rsidP="00737D5F">
            <w:pPr>
              <w:tabs>
                <w:tab w:val="left" w:pos="-1440"/>
                <w:tab w:val="left" w:pos="-720"/>
              </w:tabs>
              <w:rPr>
                <w:sz w:val="20"/>
                <w:szCs w:val="20"/>
              </w:rPr>
            </w:pPr>
            <w:r w:rsidRPr="00A935AA">
              <w:rPr>
                <w:sz w:val="20"/>
                <w:szCs w:val="20"/>
              </w:rPr>
              <w:tab/>
              <w:t>v. (3</w:t>
            </w:r>
            <w:r>
              <w:rPr>
                <w:sz w:val="20"/>
                <w:szCs w:val="20"/>
              </w:rPr>
              <w:t>4709</w:t>
            </w:r>
            <w:r w:rsidRPr="00A935AA">
              <w:rPr>
                <w:sz w:val="20"/>
                <w:szCs w:val="20"/>
              </w:rPr>
              <w:t>)</w:t>
            </w:r>
          </w:p>
          <w:p w:rsidR="000B1D69" w:rsidRPr="00A935AA" w:rsidRDefault="000B1D69" w:rsidP="00737D5F">
            <w:pPr>
              <w:tabs>
                <w:tab w:val="left" w:pos="-1440"/>
                <w:tab w:val="left" w:pos="-720"/>
              </w:tabs>
              <w:rPr>
                <w:sz w:val="20"/>
                <w:szCs w:val="20"/>
              </w:rPr>
            </w:pPr>
          </w:p>
          <w:p w:rsidR="000B1D69" w:rsidRPr="00A935AA" w:rsidRDefault="000B1D69" w:rsidP="00737D5F">
            <w:pPr>
              <w:tabs>
                <w:tab w:val="left" w:pos="-1440"/>
                <w:tab w:val="left" w:pos="-720"/>
              </w:tabs>
              <w:rPr>
                <w:b/>
                <w:sz w:val="20"/>
                <w:szCs w:val="20"/>
              </w:rPr>
            </w:pPr>
            <w:r>
              <w:rPr>
                <w:b/>
                <w:sz w:val="20"/>
                <w:szCs w:val="20"/>
              </w:rPr>
              <w:t xml:space="preserve">Appeals Commission for the Alberta Workers’ Compensation et al. </w:t>
            </w:r>
            <w:r w:rsidRPr="00A935AA">
              <w:rPr>
                <w:b/>
                <w:sz w:val="20"/>
                <w:szCs w:val="20"/>
              </w:rPr>
              <w:t>(</w:t>
            </w:r>
            <w:r>
              <w:rPr>
                <w:b/>
                <w:sz w:val="20"/>
                <w:szCs w:val="20"/>
              </w:rPr>
              <w:t>Alta</w:t>
            </w:r>
            <w:r w:rsidRPr="00A935AA">
              <w:rPr>
                <w:b/>
                <w:sz w:val="20"/>
                <w:szCs w:val="20"/>
              </w:rPr>
              <w:t>.)</w:t>
            </w:r>
          </w:p>
          <w:p w:rsidR="000B1D69" w:rsidRPr="00A935AA" w:rsidRDefault="000B1D69" w:rsidP="00737D5F">
            <w:pPr>
              <w:tabs>
                <w:tab w:val="left" w:pos="-1440"/>
                <w:tab w:val="left" w:pos="-720"/>
              </w:tabs>
              <w:rPr>
                <w:sz w:val="20"/>
                <w:szCs w:val="20"/>
              </w:rPr>
            </w:pPr>
            <w:r w:rsidRPr="00A935AA">
              <w:rPr>
                <w:sz w:val="20"/>
                <w:szCs w:val="20"/>
              </w:rPr>
              <w:tab/>
            </w:r>
            <w:r>
              <w:rPr>
                <w:sz w:val="20"/>
                <w:szCs w:val="20"/>
              </w:rPr>
              <w:t>Sandra Hermiston</w:t>
            </w:r>
          </w:p>
          <w:p w:rsidR="000B1D69" w:rsidRPr="00A935AA" w:rsidRDefault="000B1D69" w:rsidP="00737D5F">
            <w:pPr>
              <w:tabs>
                <w:tab w:val="left" w:pos="-1440"/>
                <w:tab w:val="left" w:pos="-720"/>
              </w:tabs>
              <w:rPr>
                <w:sz w:val="20"/>
                <w:szCs w:val="20"/>
              </w:rPr>
            </w:pPr>
            <w:r w:rsidRPr="00A935AA">
              <w:rPr>
                <w:sz w:val="20"/>
                <w:szCs w:val="20"/>
              </w:rPr>
              <w:tab/>
            </w:r>
            <w:r>
              <w:rPr>
                <w:sz w:val="20"/>
                <w:szCs w:val="20"/>
              </w:rPr>
              <w:t xml:space="preserve">Appeals Commission </w:t>
            </w:r>
          </w:p>
          <w:p w:rsidR="000B1D69" w:rsidRPr="00A935AA" w:rsidRDefault="000B1D69" w:rsidP="00737D5F">
            <w:pPr>
              <w:tabs>
                <w:tab w:val="left" w:pos="-1440"/>
                <w:tab w:val="left" w:pos="-720"/>
              </w:tabs>
              <w:rPr>
                <w:sz w:val="20"/>
                <w:szCs w:val="20"/>
              </w:rPr>
            </w:pPr>
          </w:p>
          <w:p w:rsidR="000B1D69" w:rsidRPr="00A935AA" w:rsidRDefault="000B1D69" w:rsidP="00737D5F">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3</w:t>
            </w:r>
            <w:r w:rsidRPr="00A935AA">
              <w:rPr>
                <w:sz w:val="20"/>
                <w:szCs w:val="20"/>
              </w:rPr>
              <w:t>.201</w:t>
            </w:r>
            <w:r>
              <w:rPr>
                <w:sz w:val="20"/>
                <w:szCs w:val="20"/>
              </w:rPr>
              <w:t>2</w:t>
            </w:r>
          </w:p>
          <w:p w:rsidR="000B1D69" w:rsidRPr="00A935AA" w:rsidRDefault="007505E6" w:rsidP="00737D5F">
            <w:pPr>
              <w:rPr>
                <w:sz w:val="20"/>
                <w:szCs w:val="20"/>
              </w:rPr>
            </w:pPr>
            <w:r w:rsidRPr="007505E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Default="000B1D69" w:rsidP="00242AEE">
            <w:pPr>
              <w:jc w:val="center"/>
              <w:rPr>
                <w:sz w:val="20"/>
                <w:szCs w:val="20"/>
              </w:rPr>
            </w:pPr>
          </w:p>
          <w:p w:rsidR="000B1D69" w:rsidRPr="00A935AA" w:rsidRDefault="000B1D69" w:rsidP="00242AEE">
            <w:pPr>
              <w:jc w:val="center"/>
              <w:rPr>
                <w:sz w:val="20"/>
                <w:szCs w:val="20"/>
              </w:rPr>
            </w:pPr>
          </w:p>
        </w:tc>
        <w:tc>
          <w:tcPr>
            <w:tcW w:w="4320" w:type="dxa"/>
            <w:shd w:val="clear" w:color="auto" w:fill="auto"/>
          </w:tcPr>
          <w:p w:rsidR="000B1D69" w:rsidRDefault="000B1D69" w:rsidP="00737D5F">
            <w:pPr>
              <w:rPr>
                <w:b/>
                <w:sz w:val="20"/>
                <w:szCs w:val="20"/>
                <w:lang w:val="fr-CA"/>
              </w:rPr>
            </w:pPr>
          </w:p>
          <w:p w:rsidR="000B1D69" w:rsidRPr="001301A4" w:rsidRDefault="000B1D69" w:rsidP="00737D5F">
            <w:pPr>
              <w:rPr>
                <w:b/>
                <w:sz w:val="20"/>
                <w:szCs w:val="20"/>
                <w:lang w:val="fr-CA"/>
              </w:rPr>
            </w:pPr>
            <w:r w:rsidRPr="001301A4">
              <w:rPr>
                <w:b/>
                <w:sz w:val="20"/>
                <w:szCs w:val="20"/>
                <w:lang w:val="fr-CA"/>
              </w:rPr>
              <w:t>Robert Lavigne</w:t>
            </w:r>
          </w:p>
          <w:p w:rsidR="000B1D69" w:rsidRPr="001301A4" w:rsidRDefault="000B1D69" w:rsidP="00737D5F">
            <w:pPr>
              <w:tabs>
                <w:tab w:val="left" w:pos="-1440"/>
                <w:tab w:val="left" w:pos="-720"/>
              </w:tabs>
              <w:rPr>
                <w:sz w:val="20"/>
                <w:szCs w:val="20"/>
                <w:lang w:val="fr-CA"/>
              </w:rPr>
            </w:pPr>
            <w:r w:rsidRPr="001301A4">
              <w:rPr>
                <w:sz w:val="20"/>
                <w:szCs w:val="20"/>
                <w:lang w:val="fr-CA"/>
              </w:rPr>
              <w:tab/>
              <w:t>Robert Lavigne</w:t>
            </w:r>
          </w:p>
          <w:p w:rsidR="000B1D69" w:rsidRPr="001301A4" w:rsidRDefault="000B1D69" w:rsidP="00737D5F">
            <w:pPr>
              <w:tabs>
                <w:tab w:val="left" w:pos="-1440"/>
                <w:tab w:val="left" w:pos="-720"/>
              </w:tabs>
              <w:rPr>
                <w:sz w:val="20"/>
                <w:szCs w:val="20"/>
                <w:lang w:val="fr-CA"/>
              </w:rPr>
            </w:pPr>
          </w:p>
          <w:p w:rsidR="000B1D69" w:rsidRPr="001301A4" w:rsidRDefault="000B1D69" w:rsidP="00737D5F">
            <w:pPr>
              <w:tabs>
                <w:tab w:val="left" w:pos="-1440"/>
                <w:tab w:val="left" w:pos="-720"/>
              </w:tabs>
              <w:rPr>
                <w:sz w:val="20"/>
                <w:szCs w:val="20"/>
                <w:lang w:val="fr-CA"/>
              </w:rPr>
            </w:pPr>
            <w:r w:rsidRPr="001301A4">
              <w:rPr>
                <w:sz w:val="20"/>
                <w:szCs w:val="20"/>
                <w:lang w:val="fr-CA"/>
              </w:rPr>
              <w:tab/>
              <w:t>v. (34702)</w:t>
            </w:r>
          </w:p>
          <w:p w:rsidR="000B1D69" w:rsidRPr="001301A4" w:rsidRDefault="000B1D69" w:rsidP="00737D5F">
            <w:pPr>
              <w:tabs>
                <w:tab w:val="left" w:pos="-1440"/>
                <w:tab w:val="left" w:pos="-720"/>
              </w:tabs>
              <w:rPr>
                <w:sz w:val="20"/>
                <w:szCs w:val="20"/>
                <w:lang w:val="fr-CA"/>
              </w:rPr>
            </w:pPr>
          </w:p>
          <w:p w:rsidR="000B1D69" w:rsidRPr="00CA5345" w:rsidRDefault="000B1D69" w:rsidP="00737D5F">
            <w:pPr>
              <w:tabs>
                <w:tab w:val="left" w:pos="-1440"/>
                <w:tab w:val="left" w:pos="-720"/>
              </w:tabs>
              <w:rPr>
                <w:b/>
                <w:sz w:val="20"/>
                <w:szCs w:val="20"/>
              </w:rPr>
            </w:pPr>
            <w:r w:rsidRPr="00CA5345">
              <w:rPr>
                <w:b/>
                <w:sz w:val="20"/>
                <w:szCs w:val="20"/>
              </w:rPr>
              <w:t>Canada Post Corporation (F.C.)</w:t>
            </w:r>
          </w:p>
          <w:p w:rsidR="000B1D69" w:rsidRPr="001301A4" w:rsidRDefault="000B1D69" w:rsidP="00737D5F">
            <w:pPr>
              <w:tabs>
                <w:tab w:val="left" w:pos="-1440"/>
                <w:tab w:val="left" w:pos="-720"/>
              </w:tabs>
              <w:rPr>
                <w:sz w:val="20"/>
                <w:szCs w:val="20"/>
                <w:lang w:val="fr-CA"/>
              </w:rPr>
            </w:pPr>
            <w:r w:rsidRPr="00CA5345">
              <w:rPr>
                <w:sz w:val="20"/>
                <w:szCs w:val="20"/>
              </w:rPr>
              <w:tab/>
            </w:r>
            <w:r w:rsidRPr="001301A4">
              <w:rPr>
                <w:sz w:val="20"/>
                <w:szCs w:val="20"/>
                <w:lang w:val="fr-CA"/>
              </w:rPr>
              <w:t>Alexandre Bourbonnais</w:t>
            </w:r>
          </w:p>
          <w:p w:rsidR="000B1D69" w:rsidRPr="00CA5345" w:rsidRDefault="000B1D69" w:rsidP="00737D5F">
            <w:pPr>
              <w:tabs>
                <w:tab w:val="left" w:pos="-1440"/>
                <w:tab w:val="left" w:pos="-720"/>
              </w:tabs>
              <w:rPr>
                <w:sz w:val="20"/>
                <w:szCs w:val="20"/>
                <w:lang w:val="fr-CA"/>
              </w:rPr>
            </w:pPr>
            <w:r w:rsidRPr="001301A4">
              <w:rPr>
                <w:sz w:val="20"/>
                <w:szCs w:val="20"/>
                <w:lang w:val="fr-CA"/>
              </w:rPr>
              <w:tab/>
              <w:t>Norton Rose Ca</w:t>
            </w:r>
            <w:r w:rsidRPr="00CA5345">
              <w:rPr>
                <w:sz w:val="20"/>
                <w:szCs w:val="20"/>
                <w:lang w:val="fr-CA"/>
              </w:rPr>
              <w:t>nada LLP</w:t>
            </w:r>
          </w:p>
          <w:p w:rsidR="000B1D69" w:rsidRPr="00CA5345" w:rsidRDefault="000B1D69" w:rsidP="00737D5F">
            <w:pPr>
              <w:tabs>
                <w:tab w:val="left" w:pos="-1440"/>
                <w:tab w:val="left" w:pos="-720"/>
              </w:tabs>
              <w:rPr>
                <w:sz w:val="20"/>
                <w:szCs w:val="20"/>
                <w:lang w:val="fr-CA"/>
              </w:rPr>
            </w:pPr>
          </w:p>
          <w:p w:rsidR="000B1D69" w:rsidRPr="00A935AA" w:rsidRDefault="000B1D69" w:rsidP="00737D5F">
            <w:pPr>
              <w:rPr>
                <w:sz w:val="20"/>
                <w:szCs w:val="20"/>
              </w:rPr>
            </w:pPr>
            <w:r w:rsidRPr="00A935AA">
              <w:rPr>
                <w:sz w:val="20"/>
                <w:szCs w:val="20"/>
              </w:rPr>
              <w:t xml:space="preserve">FILING DATE: </w:t>
            </w:r>
            <w:r>
              <w:rPr>
                <w:sz w:val="20"/>
                <w:szCs w:val="20"/>
              </w:rPr>
              <w:t>0</w:t>
            </w:r>
            <w:r w:rsidRPr="00A935AA">
              <w:rPr>
                <w:sz w:val="20"/>
                <w:szCs w:val="20"/>
              </w:rPr>
              <w:t>7.0</w:t>
            </w:r>
            <w:r>
              <w:rPr>
                <w:sz w:val="20"/>
                <w:szCs w:val="20"/>
              </w:rPr>
              <w:t>3</w:t>
            </w:r>
            <w:r w:rsidRPr="00A935AA">
              <w:rPr>
                <w:sz w:val="20"/>
                <w:szCs w:val="20"/>
              </w:rPr>
              <w:t>.201</w:t>
            </w:r>
            <w:r>
              <w:rPr>
                <w:sz w:val="20"/>
                <w:szCs w:val="20"/>
              </w:rPr>
              <w:t>2</w:t>
            </w:r>
          </w:p>
          <w:p w:rsidR="000B1D69" w:rsidRPr="001301A4" w:rsidRDefault="007505E6" w:rsidP="00737D5F">
            <w:pPr>
              <w:rPr>
                <w:b/>
                <w:sz w:val="20"/>
                <w:szCs w:val="20"/>
                <w:lang w:val="fr-CA"/>
              </w:rPr>
            </w:pPr>
            <w:r w:rsidRPr="007505E6">
              <w:rPr>
                <w:sz w:val="20"/>
                <w:szCs w:val="20"/>
                <w:lang w:val="fr-CA"/>
              </w:rPr>
              <w:pict>
                <v:rect id="_x0000_i1028" style="width:108pt;height:1pt" o:hrpct="0" o:hralign="center" o:hrstd="t" o:hrnoshade="t" o:hr="t" fillcolor="black [3213]" stroked="f"/>
              </w:pict>
            </w:r>
          </w:p>
        </w:tc>
      </w:tr>
      <w:tr w:rsidR="00B50CF2" w:rsidRPr="00A935AA" w:rsidTr="003B3977">
        <w:tc>
          <w:tcPr>
            <w:tcW w:w="4320" w:type="dxa"/>
            <w:shd w:val="clear" w:color="auto" w:fill="auto"/>
          </w:tcPr>
          <w:p w:rsidR="000B1D69" w:rsidRPr="00A935AA" w:rsidRDefault="000B1D69" w:rsidP="000B1D69">
            <w:pPr>
              <w:keepNext/>
              <w:keepLines/>
              <w:tabs>
                <w:tab w:val="left" w:pos="-1440"/>
                <w:tab w:val="left" w:pos="-720"/>
              </w:tabs>
              <w:rPr>
                <w:b/>
                <w:sz w:val="20"/>
                <w:szCs w:val="20"/>
              </w:rPr>
            </w:pPr>
            <w:r>
              <w:rPr>
                <w:b/>
                <w:sz w:val="20"/>
                <w:szCs w:val="20"/>
              </w:rPr>
              <w:lastRenderedPageBreak/>
              <w:t>Steven James Morrow</w:t>
            </w:r>
          </w:p>
          <w:p w:rsidR="000B1D69" w:rsidRPr="00A935AA" w:rsidRDefault="000B1D69" w:rsidP="000B1D69">
            <w:pPr>
              <w:keepNext/>
              <w:keepLines/>
              <w:tabs>
                <w:tab w:val="left" w:pos="-1440"/>
                <w:tab w:val="left" w:pos="-720"/>
              </w:tabs>
              <w:rPr>
                <w:sz w:val="20"/>
                <w:szCs w:val="20"/>
              </w:rPr>
            </w:pPr>
            <w:r w:rsidRPr="00A935AA">
              <w:rPr>
                <w:sz w:val="20"/>
                <w:szCs w:val="20"/>
              </w:rPr>
              <w:tab/>
            </w:r>
            <w:r>
              <w:rPr>
                <w:sz w:val="20"/>
                <w:szCs w:val="20"/>
              </w:rPr>
              <w:t>Donald R. Good</w:t>
            </w:r>
          </w:p>
          <w:p w:rsidR="000B1D69" w:rsidRPr="00A935AA" w:rsidRDefault="000B1D69" w:rsidP="000B1D69">
            <w:pPr>
              <w:keepNext/>
              <w:keepLines/>
              <w:tabs>
                <w:tab w:val="left" w:pos="-1440"/>
                <w:tab w:val="left" w:pos="-720"/>
              </w:tabs>
              <w:rPr>
                <w:sz w:val="20"/>
                <w:szCs w:val="20"/>
              </w:rPr>
            </w:pPr>
            <w:r w:rsidRPr="00A935AA">
              <w:rPr>
                <w:sz w:val="20"/>
                <w:szCs w:val="20"/>
              </w:rPr>
              <w:tab/>
            </w:r>
            <w:r>
              <w:rPr>
                <w:sz w:val="20"/>
                <w:szCs w:val="20"/>
              </w:rPr>
              <w:t xml:space="preserve">Donald R. Good A Professional </w:t>
            </w:r>
            <w:r>
              <w:rPr>
                <w:sz w:val="20"/>
                <w:szCs w:val="20"/>
              </w:rPr>
              <w:tab/>
              <w:t>Corporation</w:t>
            </w:r>
          </w:p>
          <w:p w:rsidR="000B1D69" w:rsidRPr="00A935AA" w:rsidRDefault="000B1D69" w:rsidP="000B1D69">
            <w:pPr>
              <w:keepNext/>
              <w:keepLines/>
              <w:tabs>
                <w:tab w:val="left" w:pos="-1440"/>
                <w:tab w:val="left" w:pos="-720"/>
              </w:tabs>
              <w:rPr>
                <w:sz w:val="20"/>
                <w:szCs w:val="20"/>
              </w:rPr>
            </w:pPr>
          </w:p>
          <w:p w:rsidR="000B1D69" w:rsidRPr="00EA75FE" w:rsidRDefault="000B1D69" w:rsidP="000B1D69">
            <w:pPr>
              <w:keepNext/>
              <w:keepLines/>
              <w:tabs>
                <w:tab w:val="left" w:pos="-1440"/>
                <w:tab w:val="left" w:pos="-720"/>
              </w:tabs>
              <w:rPr>
                <w:sz w:val="20"/>
                <w:szCs w:val="20"/>
              </w:rPr>
            </w:pPr>
            <w:r w:rsidRPr="00A935AA">
              <w:rPr>
                <w:sz w:val="20"/>
                <w:szCs w:val="20"/>
              </w:rPr>
              <w:tab/>
            </w:r>
            <w:r w:rsidRPr="00EA75FE">
              <w:rPr>
                <w:sz w:val="20"/>
                <w:szCs w:val="20"/>
              </w:rPr>
              <w:t>v. (34</w:t>
            </w:r>
            <w:r>
              <w:rPr>
                <w:sz w:val="20"/>
                <w:szCs w:val="20"/>
              </w:rPr>
              <w:t>708</w:t>
            </w:r>
            <w:r w:rsidRPr="00EA75FE">
              <w:rPr>
                <w:sz w:val="20"/>
                <w:szCs w:val="20"/>
              </w:rPr>
              <w:t>)</w:t>
            </w:r>
          </w:p>
          <w:p w:rsidR="000B1D69" w:rsidRPr="00EA75FE" w:rsidRDefault="000B1D69" w:rsidP="000B1D69">
            <w:pPr>
              <w:keepNext/>
              <w:keepLines/>
              <w:tabs>
                <w:tab w:val="left" w:pos="-1440"/>
                <w:tab w:val="left" w:pos="-720"/>
              </w:tabs>
              <w:rPr>
                <w:sz w:val="20"/>
                <w:szCs w:val="20"/>
              </w:rPr>
            </w:pPr>
          </w:p>
          <w:p w:rsidR="000B1D69" w:rsidRPr="00EA75FE" w:rsidRDefault="000B1D69" w:rsidP="000B1D69">
            <w:pPr>
              <w:keepNext/>
              <w:keepLines/>
              <w:tabs>
                <w:tab w:val="left" w:pos="-1440"/>
                <w:tab w:val="left" w:pos="-720"/>
              </w:tabs>
              <w:rPr>
                <w:b/>
                <w:sz w:val="20"/>
                <w:szCs w:val="20"/>
              </w:rPr>
            </w:pPr>
            <w:r>
              <w:rPr>
                <w:b/>
                <w:sz w:val="20"/>
                <w:szCs w:val="20"/>
              </w:rPr>
              <w:t xml:space="preserve">County of Lanark </w:t>
            </w:r>
            <w:r w:rsidRPr="00EA75FE">
              <w:rPr>
                <w:b/>
                <w:sz w:val="20"/>
                <w:szCs w:val="20"/>
              </w:rPr>
              <w:t>(Ont.)</w:t>
            </w:r>
          </w:p>
          <w:p w:rsidR="000B1D69" w:rsidRPr="00EA75FE" w:rsidRDefault="000B1D69" w:rsidP="000B1D69">
            <w:pPr>
              <w:keepNext/>
              <w:keepLines/>
              <w:tabs>
                <w:tab w:val="left" w:pos="-1440"/>
                <w:tab w:val="left" w:pos="-720"/>
              </w:tabs>
              <w:rPr>
                <w:sz w:val="20"/>
                <w:szCs w:val="20"/>
              </w:rPr>
            </w:pPr>
            <w:r w:rsidRPr="00EA75FE">
              <w:rPr>
                <w:sz w:val="20"/>
                <w:szCs w:val="20"/>
              </w:rPr>
              <w:tab/>
            </w:r>
            <w:r>
              <w:rPr>
                <w:sz w:val="20"/>
                <w:szCs w:val="20"/>
              </w:rPr>
              <w:t>William R. Hunter</w:t>
            </w:r>
          </w:p>
          <w:p w:rsidR="000B1D69" w:rsidRPr="00EA75FE" w:rsidRDefault="000B1D69" w:rsidP="000B1D69">
            <w:pPr>
              <w:keepNext/>
              <w:keepLines/>
              <w:tabs>
                <w:tab w:val="left" w:pos="-1440"/>
                <w:tab w:val="left" w:pos="-720"/>
              </w:tabs>
              <w:rPr>
                <w:sz w:val="20"/>
                <w:szCs w:val="20"/>
              </w:rPr>
            </w:pPr>
            <w:r w:rsidRPr="00EA75FE">
              <w:rPr>
                <w:sz w:val="20"/>
                <w:szCs w:val="20"/>
              </w:rPr>
              <w:tab/>
            </w:r>
            <w:r>
              <w:rPr>
                <w:sz w:val="20"/>
                <w:szCs w:val="20"/>
              </w:rPr>
              <w:t xml:space="preserve">Vice Hunter </w:t>
            </w:r>
            <w:proofErr w:type="spellStart"/>
            <w:r>
              <w:rPr>
                <w:sz w:val="20"/>
                <w:szCs w:val="20"/>
              </w:rPr>
              <w:t>Labrosse</w:t>
            </w:r>
            <w:proofErr w:type="spellEnd"/>
            <w:r>
              <w:rPr>
                <w:sz w:val="20"/>
                <w:szCs w:val="20"/>
              </w:rPr>
              <w:t xml:space="preserve"> LLP</w:t>
            </w:r>
          </w:p>
          <w:p w:rsidR="000B1D69" w:rsidRPr="00EA75FE" w:rsidRDefault="000B1D69" w:rsidP="000B1D69">
            <w:pPr>
              <w:keepNext/>
              <w:keepLines/>
              <w:tabs>
                <w:tab w:val="left" w:pos="-1440"/>
                <w:tab w:val="left" w:pos="-720"/>
              </w:tabs>
              <w:rPr>
                <w:sz w:val="20"/>
                <w:szCs w:val="20"/>
              </w:rPr>
            </w:pPr>
          </w:p>
          <w:p w:rsidR="00B50CF2" w:rsidRPr="00A935AA" w:rsidRDefault="000B1D69" w:rsidP="000B1D69">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3</w:t>
            </w:r>
            <w:r w:rsidRPr="00A935AA">
              <w:rPr>
                <w:sz w:val="20"/>
                <w:szCs w:val="20"/>
              </w:rPr>
              <w:t>.201</w:t>
            </w:r>
            <w:r>
              <w:rPr>
                <w:sz w:val="20"/>
                <w:szCs w:val="20"/>
              </w:rPr>
              <w:t>2</w:t>
            </w:r>
            <w:r w:rsidR="007505E6" w:rsidRPr="007505E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Pr="00A935AA" w:rsidRDefault="00B50CF2" w:rsidP="00242AEE">
            <w:pPr>
              <w:jc w:val="center"/>
              <w:rPr>
                <w:sz w:val="20"/>
                <w:szCs w:val="20"/>
              </w:rPr>
            </w:pPr>
          </w:p>
          <w:p w:rsidR="00B50CF2" w:rsidRDefault="00B50CF2" w:rsidP="00242AEE">
            <w:pPr>
              <w:jc w:val="center"/>
              <w:rPr>
                <w:sz w:val="20"/>
                <w:szCs w:val="20"/>
              </w:rPr>
            </w:pPr>
          </w:p>
          <w:p w:rsidR="00B50CF2" w:rsidRDefault="00B50CF2" w:rsidP="00242AEE">
            <w:pPr>
              <w:jc w:val="center"/>
              <w:rPr>
                <w:sz w:val="20"/>
                <w:szCs w:val="20"/>
              </w:rPr>
            </w:pPr>
          </w:p>
          <w:p w:rsidR="008C5750" w:rsidRDefault="008C5750" w:rsidP="00242AEE">
            <w:pPr>
              <w:jc w:val="center"/>
              <w:rPr>
                <w:sz w:val="20"/>
                <w:szCs w:val="20"/>
              </w:rPr>
            </w:pPr>
          </w:p>
          <w:p w:rsidR="00B50CF2" w:rsidRPr="00A935AA" w:rsidRDefault="00B50CF2" w:rsidP="00242AEE">
            <w:pPr>
              <w:jc w:val="center"/>
              <w:rPr>
                <w:sz w:val="20"/>
                <w:szCs w:val="20"/>
              </w:rPr>
            </w:pPr>
          </w:p>
        </w:tc>
        <w:tc>
          <w:tcPr>
            <w:tcW w:w="4320" w:type="dxa"/>
            <w:shd w:val="clear" w:color="auto" w:fill="auto"/>
          </w:tcPr>
          <w:p w:rsidR="000B1D69" w:rsidRPr="00A935AA" w:rsidRDefault="000B1D69" w:rsidP="000B1D69">
            <w:pPr>
              <w:rPr>
                <w:b/>
                <w:sz w:val="20"/>
                <w:szCs w:val="20"/>
              </w:rPr>
            </w:pPr>
            <w:r>
              <w:rPr>
                <w:b/>
                <w:sz w:val="20"/>
                <w:szCs w:val="20"/>
              </w:rPr>
              <w:t>Commissionaires Nova Scotia</w:t>
            </w:r>
          </w:p>
          <w:p w:rsidR="000B1D69" w:rsidRPr="00A935AA" w:rsidRDefault="000B1D69" w:rsidP="000B1D69">
            <w:pPr>
              <w:tabs>
                <w:tab w:val="left" w:pos="-1440"/>
                <w:tab w:val="left" w:pos="-720"/>
              </w:tabs>
              <w:rPr>
                <w:sz w:val="20"/>
                <w:szCs w:val="20"/>
              </w:rPr>
            </w:pPr>
            <w:r w:rsidRPr="00A935AA">
              <w:rPr>
                <w:sz w:val="20"/>
                <w:szCs w:val="20"/>
              </w:rPr>
              <w:tab/>
            </w:r>
            <w:proofErr w:type="spellStart"/>
            <w:r>
              <w:rPr>
                <w:sz w:val="20"/>
                <w:szCs w:val="20"/>
              </w:rPr>
              <w:t>Ritch</w:t>
            </w:r>
            <w:proofErr w:type="spellEnd"/>
            <w:r>
              <w:rPr>
                <w:sz w:val="20"/>
                <w:szCs w:val="20"/>
              </w:rPr>
              <w:t xml:space="preserve"> </w:t>
            </w:r>
            <w:proofErr w:type="spellStart"/>
            <w:r>
              <w:rPr>
                <w:sz w:val="20"/>
                <w:szCs w:val="20"/>
              </w:rPr>
              <w:t>Durnford</w:t>
            </w:r>
            <w:proofErr w:type="spellEnd"/>
          </w:p>
          <w:p w:rsidR="000B1D69" w:rsidRPr="00A935AA" w:rsidRDefault="000B1D69" w:rsidP="000B1D69">
            <w:pPr>
              <w:tabs>
                <w:tab w:val="left" w:pos="-1440"/>
                <w:tab w:val="left" w:pos="-720"/>
              </w:tabs>
              <w:rPr>
                <w:sz w:val="20"/>
                <w:szCs w:val="20"/>
              </w:rPr>
            </w:pPr>
            <w:r w:rsidRPr="00A935AA">
              <w:rPr>
                <w:sz w:val="20"/>
                <w:szCs w:val="20"/>
              </w:rPr>
              <w:tab/>
            </w:r>
            <w:r>
              <w:rPr>
                <w:sz w:val="20"/>
                <w:szCs w:val="20"/>
              </w:rPr>
              <w:t xml:space="preserve">Eric </w:t>
            </w:r>
            <w:proofErr w:type="spellStart"/>
            <w:r>
              <w:rPr>
                <w:sz w:val="20"/>
                <w:szCs w:val="20"/>
              </w:rPr>
              <w:t>Durnford</w:t>
            </w:r>
            <w:proofErr w:type="spellEnd"/>
            <w:r>
              <w:rPr>
                <w:sz w:val="20"/>
                <w:szCs w:val="20"/>
              </w:rPr>
              <w:t>, Q.C.</w:t>
            </w:r>
          </w:p>
          <w:p w:rsidR="000B1D69" w:rsidRPr="00A935AA" w:rsidRDefault="000B1D69" w:rsidP="000B1D69">
            <w:pPr>
              <w:tabs>
                <w:tab w:val="left" w:pos="-1440"/>
                <w:tab w:val="left" w:pos="-720"/>
              </w:tabs>
              <w:rPr>
                <w:sz w:val="20"/>
                <w:szCs w:val="20"/>
              </w:rPr>
            </w:pPr>
          </w:p>
          <w:p w:rsidR="000B1D69" w:rsidRPr="00A935AA" w:rsidRDefault="000B1D69" w:rsidP="000B1D69">
            <w:pPr>
              <w:tabs>
                <w:tab w:val="left" w:pos="-1440"/>
                <w:tab w:val="left" w:pos="-720"/>
              </w:tabs>
              <w:rPr>
                <w:sz w:val="20"/>
                <w:szCs w:val="20"/>
              </w:rPr>
            </w:pPr>
            <w:r w:rsidRPr="00A935AA">
              <w:rPr>
                <w:sz w:val="20"/>
                <w:szCs w:val="20"/>
              </w:rPr>
              <w:tab/>
              <w:t>v. (3</w:t>
            </w:r>
            <w:r>
              <w:rPr>
                <w:sz w:val="20"/>
                <w:szCs w:val="20"/>
              </w:rPr>
              <w:t>4711</w:t>
            </w:r>
            <w:r w:rsidRPr="00A935AA">
              <w:rPr>
                <w:sz w:val="20"/>
                <w:szCs w:val="20"/>
              </w:rPr>
              <w:t>)</w:t>
            </w:r>
          </w:p>
          <w:p w:rsidR="000B1D69" w:rsidRPr="00A935AA" w:rsidRDefault="000B1D69" w:rsidP="000B1D69">
            <w:pPr>
              <w:tabs>
                <w:tab w:val="left" w:pos="-1440"/>
                <w:tab w:val="left" w:pos="-720"/>
              </w:tabs>
              <w:rPr>
                <w:sz w:val="20"/>
                <w:szCs w:val="20"/>
              </w:rPr>
            </w:pPr>
          </w:p>
          <w:p w:rsidR="000B1D69" w:rsidRPr="00A935AA" w:rsidRDefault="000B1D69" w:rsidP="000B1D69">
            <w:pPr>
              <w:tabs>
                <w:tab w:val="left" w:pos="-1440"/>
                <w:tab w:val="left" w:pos="-720"/>
              </w:tabs>
              <w:rPr>
                <w:b/>
                <w:sz w:val="20"/>
                <w:szCs w:val="20"/>
              </w:rPr>
            </w:pPr>
            <w:r>
              <w:rPr>
                <w:b/>
                <w:sz w:val="20"/>
                <w:szCs w:val="20"/>
              </w:rPr>
              <w:t xml:space="preserve">David Crouse </w:t>
            </w:r>
            <w:r w:rsidRPr="00A935AA">
              <w:rPr>
                <w:b/>
                <w:sz w:val="20"/>
                <w:szCs w:val="20"/>
              </w:rPr>
              <w:t>(</w:t>
            </w:r>
            <w:r>
              <w:rPr>
                <w:b/>
                <w:sz w:val="20"/>
                <w:szCs w:val="20"/>
              </w:rPr>
              <w:t>F</w:t>
            </w:r>
            <w:r w:rsidRPr="00A935AA">
              <w:rPr>
                <w:b/>
                <w:sz w:val="20"/>
                <w:szCs w:val="20"/>
              </w:rPr>
              <w:t>.C.)</w:t>
            </w:r>
          </w:p>
          <w:p w:rsidR="000B1D69" w:rsidRPr="00A935AA" w:rsidRDefault="000B1D69" w:rsidP="000B1D69">
            <w:pPr>
              <w:tabs>
                <w:tab w:val="left" w:pos="-1440"/>
                <w:tab w:val="left" w:pos="-720"/>
              </w:tabs>
              <w:rPr>
                <w:sz w:val="20"/>
                <w:szCs w:val="20"/>
              </w:rPr>
            </w:pPr>
            <w:r w:rsidRPr="00A935AA">
              <w:rPr>
                <w:sz w:val="20"/>
                <w:szCs w:val="20"/>
              </w:rPr>
              <w:tab/>
            </w:r>
            <w:r>
              <w:rPr>
                <w:sz w:val="20"/>
                <w:szCs w:val="20"/>
              </w:rPr>
              <w:t>Andrew Raven</w:t>
            </w:r>
          </w:p>
          <w:p w:rsidR="000B1D69" w:rsidRPr="00A935AA" w:rsidRDefault="000B1D69" w:rsidP="000B1D69">
            <w:pPr>
              <w:tabs>
                <w:tab w:val="left" w:pos="-1440"/>
                <w:tab w:val="left" w:pos="-720"/>
              </w:tabs>
              <w:rPr>
                <w:sz w:val="20"/>
                <w:szCs w:val="20"/>
              </w:rPr>
            </w:pPr>
            <w:r w:rsidRPr="00A935AA">
              <w:rPr>
                <w:sz w:val="20"/>
                <w:szCs w:val="20"/>
              </w:rPr>
              <w:tab/>
            </w:r>
            <w:r>
              <w:rPr>
                <w:sz w:val="20"/>
                <w:szCs w:val="20"/>
              </w:rPr>
              <w:t xml:space="preserve">Raven, Cameron, </w:t>
            </w:r>
            <w:proofErr w:type="spellStart"/>
            <w:r>
              <w:rPr>
                <w:sz w:val="20"/>
                <w:szCs w:val="20"/>
              </w:rPr>
              <w:t>Ballantyne</w:t>
            </w:r>
            <w:proofErr w:type="spellEnd"/>
            <w:r>
              <w:rPr>
                <w:sz w:val="20"/>
                <w:szCs w:val="20"/>
              </w:rPr>
              <w:t xml:space="preserve"> &amp; </w:t>
            </w:r>
            <w:proofErr w:type="spellStart"/>
            <w:r>
              <w:rPr>
                <w:sz w:val="20"/>
                <w:szCs w:val="20"/>
              </w:rPr>
              <w:t>Yazbeck</w:t>
            </w:r>
            <w:proofErr w:type="spellEnd"/>
            <w:r>
              <w:rPr>
                <w:sz w:val="20"/>
                <w:szCs w:val="20"/>
              </w:rPr>
              <w:t xml:space="preserve"> </w:t>
            </w:r>
            <w:r>
              <w:rPr>
                <w:sz w:val="20"/>
                <w:szCs w:val="20"/>
              </w:rPr>
              <w:tab/>
              <w:t>LLP</w:t>
            </w:r>
          </w:p>
          <w:p w:rsidR="000B1D69" w:rsidRPr="00A935AA" w:rsidRDefault="000B1D69" w:rsidP="000B1D69">
            <w:pPr>
              <w:tabs>
                <w:tab w:val="left" w:pos="-1440"/>
                <w:tab w:val="left" w:pos="-720"/>
              </w:tabs>
              <w:rPr>
                <w:sz w:val="20"/>
                <w:szCs w:val="20"/>
              </w:rPr>
            </w:pPr>
          </w:p>
          <w:p w:rsidR="000B1D69" w:rsidRPr="00A935AA" w:rsidRDefault="000B1D69" w:rsidP="000B1D69">
            <w:pPr>
              <w:rPr>
                <w:sz w:val="20"/>
                <w:szCs w:val="20"/>
              </w:rPr>
            </w:pPr>
            <w:r w:rsidRPr="00A935AA">
              <w:rPr>
                <w:sz w:val="20"/>
                <w:szCs w:val="20"/>
              </w:rPr>
              <w:t xml:space="preserve">FILING DATE: </w:t>
            </w:r>
            <w:r>
              <w:rPr>
                <w:sz w:val="20"/>
                <w:szCs w:val="20"/>
              </w:rPr>
              <w:t>12</w:t>
            </w:r>
            <w:r w:rsidRPr="00A935AA">
              <w:rPr>
                <w:sz w:val="20"/>
                <w:szCs w:val="20"/>
              </w:rPr>
              <w:t>.0</w:t>
            </w:r>
            <w:r>
              <w:rPr>
                <w:sz w:val="20"/>
                <w:szCs w:val="20"/>
              </w:rPr>
              <w:t>3</w:t>
            </w:r>
            <w:r w:rsidRPr="00A935AA">
              <w:rPr>
                <w:sz w:val="20"/>
                <w:szCs w:val="20"/>
              </w:rPr>
              <w:t>.201</w:t>
            </w:r>
            <w:r>
              <w:rPr>
                <w:sz w:val="20"/>
                <w:szCs w:val="20"/>
              </w:rPr>
              <w:t>2</w:t>
            </w:r>
          </w:p>
          <w:p w:rsidR="00B50CF2" w:rsidRDefault="007505E6" w:rsidP="000B1D69">
            <w:pPr>
              <w:keepNext/>
              <w:keepLines/>
              <w:tabs>
                <w:tab w:val="left" w:pos="-1440"/>
                <w:tab w:val="left" w:pos="-720"/>
              </w:tabs>
              <w:rPr>
                <w:b/>
                <w:sz w:val="20"/>
                <w:szCs w:val="20"/>
              </w:rPr>
            </w:pPr>
            <w:r w:rsidRPr="007505E6">
              <w:rPr>
                <w:sz w:val="20"/>
                <w:szCs w:val="20"/>
                <w:lang w:val="fr-CA"/>
              </w:rPr>
              <w:pict>
                <v:rect id="_x0000_i1030" style="width:108pt;height:1pt" o:hrpct="0" o:hralign="center" o:hrstd="t" o:hrnoshade="t" o:hr="t" fillcolor="black [3213]" stroked="f"/>
              </w:pict>
            </w:r>
          </w:p>
          <w:p w:rsidR="00B50CF2" w:rsidRPr="00A935AA" w:rsidRDefault="00B50CF2" w:rsidP="00EA75FE">
            <w:pPr>
              <w:rPr>
                <w:sz w:val="20"/>
                <w:szCs w:val="20"/>
              </w:rPr>
            </w:pPr>
          </w:p>
        </w:tc>
      </w:tr>
      <w:tr w:rsidR="00B50CF2" w:rsidRPr="002D3F55" w:rsidTr="003B3977">
        <w:trPr>
          <w:cantSplit/>
        </w:trPr>
        <w:tc>
          <w:tcPr>
            <w:tcW w:w="4320" w:type="dxa"/>
            <w:shd w:val="clear" w:color="auto" w:fill="auto"/>
          </w:tcPr>
          <w:p w:rsidR="000B1D69" w:rsidRPr="005478AF" w:rsidRDefault="000B1D69" w:rsidP="000B1D69">
            <w:pPr>
              <w:keepNext/>
              <w:keepLines/>
              <w:tabs>
                <w:tab w:val="left" w:pos="-1440"/>
                <w:tab w:val="left" w:pos="-720"/>
              </w:tabs>
              <w:rPr>
                <w:b/>
                <w:sz w:val="20"/>
                <w:szCs w:val="20"/>
                <w:lang w:val="fr-CA"/>
              </w:rPr>
            </w:pPr>
            <w:r w:rsidRPr="005478AF">
              <w:rPr>
                <w:b/>
                <w:sz w:val="20"/>
                <w:szCs w:val="20"/>
                <w:lang w:val="fr-CA"/>
              </w:rPr>
              <w:t xml:space="preserve">Conseil de la Première Nation </w:t>
            </w:r>
            <w:proofErr w:type="spellStart"/>
            <w:r w:rsidRPr="005478AF">
              <w:rPr>
                <w:b/>
                <w:sz w:val="20"/>
                <w:szCs w:val="20"/>
                <w:lang w:val="fr-CA"/>
              </w:rPr>
              <w:t>Malécité</w:t>
            </w:r>
            <w:proofErr w:type="spellEnd"/>
            <w:r w:rsidRPr="005478AF">
              <w:rPr>
                <w:b/>
                <w:sz w:val="20"/>
                <w:szCs w:val="20"/>
                <w:lang w:val="fr-CA"/>
              </w:rPr>
              <w:t xml:space="preserve"> de </w:t>
            </w:r>
            <w:proofErr w:type="spellStart"/>
            <w:r w:rsidRPr="005478AF">
              <w:rPr>
                <w:b/>
                <w:sz w:val="20"/>
                <w:szCs w:val="20"/>
                <w:lang w:val="fr-CA"/>
              </w:rPr>
              <w:t>Viger</w:t>
            </w:r>
            <w:proofErr w:type="spellEnd"/>
          </w:p>
          <w:p w:rsidR="000B1D69" w:rsidRPr="005478AF" w:rsidRDefault="000B1D69" w:rsidP="000B1D69">
            <w:pPr>
              <w:keepNext/>
              <w:keepLines/>
              <w:tabs>
                <w:tab w:val="left" w:pos="-1440"/>
                <w:tab w:val="left" w:pos="-720"/>
              </w:tabs>
              <w:rPr>
                <w:sz w:val="20"/>
                <w:szCs w:val="20"/>
                <w:lang w:val="fr-CA"/>
              </w:rPr>
            </w:pPr>
            <w:r w:rsidRPr="005478AF">
              <w:rPr>
                <w:sz w:val="20"/>
                <w:szCs w:val="20"/>
                <w:lang w:val="fr-CA"/>
              </w:rPr>
              <w:tab/>
            </w:r>
            <w:r>
              <w:rPr>
                <w:sz w:val="20"/>
                <w:szCs w:val="20"/>
                <w:lang w:val="fr-CA"/>
              </w:rPr>
              <w:t>Paul-Yvan Martin</w:t>
            </w:r>
          </w:p>
          <w:p w:rsidR="000B1D69" w:rsidRPr="005478AF" w:rsidRDefault="000B1D69" w:rsidP="000B1D69">
            <w:pPr>
              <w:keepNext/>
              <w:keepLines/>
              <w:tabs>
                <w:tab w:val="left" w:pos="-1440"/>
                <w:tab w:val="left" w:pos="-720"/>
              </w:tabs>
              <w:rPr>
                <w:sz w:val="20"/>
                <w:szCs w:val="20"/>
                <w:lang w:val="fr-CA"/>
              </w:rPr>
            </w:pPr>
            <w:r w:rsidRPr="005478AF">
              <w:rPr>
                <w:sz w:val="20"/>
                <w:szCs w:val="20"/>
                <w:lang w:val="fr-CA"/>
              </w:rPr>
              <w:tab/>
            </w:r>
            <w:r>
              <w:rPr>
                <w:sz w:val="20"/>
                <w:szCs w:val="20"/>
                <w:lang w:val="fr-CA"/>
              </w:rPr>
              <w:t xml:space="preserve">Martin, </w:t>
            </w:r>
            <w:proofErr w:type="spellStart"/>
            <w:r>
              <w:rPr>
                <w:sz w:val="20"/>
                <w:szCs w:val="20"/>
                <w:lang w:val="fr-CA"/>
              </w:rPr>
              <w:t>Camirand</w:t>
            </w:r>
            <w:proofErr w:type="spellEnd"/>
            <w:r>
              <w:rPr>
                <w:sz w:val="20"/>
                <w:szCs w:val="20"/>
                <w:lang w:val="fr-CA"/>
              </w:rPr>
              <w:t>, Pelletier</w:t>
            </w:r>
          </w:p>
          <w:p w:rsidR="000B1D69" w:rsidRPr="005478AF" w:rsidRDefault="000B1D69" w:rsidP="000B1D69">
            <w:pPr>
              <w:keepNext/>
              <w:keepLines/>
              <w:tabs>
                <w:tab w:val="left" w:pos="-1440"/>
                <w:tab w:val="left" w:pos="-720"/>
              </w:tabs>
              <w:rPr>
                <w:sz w:val="20"/>
                <w:szCs w:val="20"/>
                <w:lang w:val="fr-CA"/>
              </w:rPr>
            </w:pPr>
          </w:p>
          <w:p w:rsidR="000B1D69" w:rsidRPr="005478AF" w:rsidRDefault="000B1D69" w:rsidP="000B1D69">
            <w:pPr>
              <w:keepNext/>
              <w:keepLines/>
              <w:tabs>
                <w:tab w:val="left" w:pos="-1440"/>
                <w:tab w:val="left" w:pos="-720"/>
              </w:tabs>
              <w:rPr>
                <w:sz w:val="20"/>
                <w:szCs w:val="20"/>
                <w:lang w:val="fr-CA"/>
              </w:rPr>
            </w:pPr>
            <w:r w:rsidRPr="005478AF">
              <w:rPr>
                <w:sz w:val="20"/>
                <w:szCs w:val="20"/>
                <w:lang w:val="fr-CA"/>
              </w:rPr>
              <w:tab/>
            </w:r>
            <w:r>
              <w:rPr>
                <w:sz w:val="20"/>
                <w:szCs w:val="20"/>
                <w:lang w:val="fr-CA"/>
              </w:rPr>
              <w:t>c</w:t>
            </w:r>
            <w:r w:rsidRPr="005478AF">
              <w:rPr>
                <w:sz w:val="20"/>
                <w:szCs w:val="20"/>
                <w:lang w:val="fr-CA"/>
              </w:rPr>
              <w:t>. (34713)</w:t>
            </w:r>
          </w:p>
          <w:p w:rsidR="000B1D69" w:rsidRPr="005478AF" w:rsidRDefault="000B1D69" w:rsidP="000B1D69">
            <w:pPr>
              <w:keepNext/>
              <w:keepLines/>
              <w:tabs>
                <w:tab w:val="left" w:pos="-1440"/>
                <w:tab w:val="left" w:pos="-720"/>
              </w:tabs>
              <w:rPr>
                <w:sz w:val="20"/>
                <w:szCs w:val="20"/>
                <w:lang w:val="fr-CA"/>
              </w:rPr>
            </w:pPr>
          </w:p>
          <w:p w:rsidR="000B1D69" w:rsidRPr="005478AF" w:rsidRDefault="000B1D69" w:rsidP="000B1D69">
            <w:pPr>
              <w:keepNext/>
              <w:keepLines/>
              <w:tabs>
                <w:tab w:val="left" w:pos="-1440"/>
                <w:tab w:val="left" w:pos="-720"/>
              </w:tabs>
              <w:rPr>
                <w:b/>
                <w:sz w:val="20"/>
                <w:szCs w:val="20"/>
                <w:lang w:val="fr-CA"/>
              </w:rPr>
            </w:pPr>
            <w:r w:rsidRPr="005478AF">
              <w:rPr>
                <w:b/>
                <w:sz w:val="20"/>
                <w:szCs w:val="20"/>
                <w:lang w:val="fr-CA"/>
              </w:rPr>
              <w:t>Crevette du Nord Atlantique Inc.</w:t>
            </w:r>
            <w:r>
              <w:rPr>
                <w:b/>
                <w:sz w:val="20"/>
                <w:szCs w:val="20"/>
                <w:lang w:val="fr-CA"/>
              </w:rPr>
              <w:t xml:space="preserve"> </w:t>
            </w:r>
            <w:r w:rsidRPr="005478AF">
              <w:rPr>
                <w:b/>
                <w:sz w:val="20"/>
                <w:szCs w:val="20"/>
                <w:lang w:val="fr-CA"/>
              </w:rPr>
              <w:t>(</w:t>
            </w:r>
            <w:proofErr w:type="spellStart"/>
            <w:r>
              <w:rPr>
                <w:b/>
                <w:sz w:val="20"/>
                <w:szCs w:val="20"/>
                <w:lang w:val="fr-CA"/>
              </w:rPr>
              <w:t>Qc</w:t>
            </w:r>
            <w:proofErr w:type="spellEnd"/>
            <w:r w:rsidRPr="005478AF">
              <w:rPr>
                <w:b/>
                <w:sz w:val="20"/>
                <w:szCs w:val="20"/>
                <w:lang w:val="fr-CA"/>
              </w:rPr>
              <w:t>)</w:t>
            </w:r>
          </w:p>
          <w:p w:rsidR="000B1D69" w:rsidRPr="005478AF" w:rsidRDefault="000B1D69" w:rsidP="000B1D69">
            <w:pPr>
              <w:keepNext/>
              <w:keepLines/>
              <w:tabs>
                <w:tab w:val="left" w:pos="-1440"/>
                <w:tab w:val="left" w:pos="-720"/>
              </w:tabs>
              <w:rPr>
                <w:sz w:val="20"/>
                <w:szCs w:val="20"/>
                <w:lang w:val="fr-CA"/>
              </w:rPr>
            </w:pPr>
            <w:r w:rsidRPr="005478AF">
              <w:rPr>
                <w:sz w:val="20"/>
                <w:szCs w:val="20"/>
                <w:lang w:val="fr-CA"/>
              </w:rPr>
              <w:tab/>
            </w:r>
            <w:r>
              <w:rPr>
                <w:sz w:val="20"/>
                <w:szCs w:val="20"/>
                <w:lang w:val="fr-CA"/>
              </w:rPr>
              <w:t>Pascal Girard</w:t>
            </w:r>
          </w:p>
          <w:p w:rsidR="000B1D69" w:rsidRPr="005478AF" w:rsidRDefault="000B1D69" w:rsidP="000B1D69">
            <w:pPr>
              <w:keepNext/>
              <w:keepLines/>
              <w:tabs>
                <w:tab w:val="left" w:pos="-1440"/>
                <w:tab w:val="left" w:pos="-720"/>
              </w:tabs>
              <w:rPr>
                <w:sz w:val="20"/>
                <w:szCs w:val="20"/>
                <w:lang w:val="fr-CA"/>
              </w:rPr>
            </w:pPr>
            <w:r w:rsidRPr="005478AF">
              <w:rPr>
                <w:sz w:val="20"/>
                <w:szCs w:val="20"/>
                <w:lang w:val="fr-CA"/>
              </w:rPr>
              <w:tab/>
            </w:r>
            <w:r>
              <w:rPr>
                <w:sz w:val="20"/>
                <w:szCs w:val="20"/>
                <w:lang w:val="fr-CA"/>
              </w:rPr>
              <w:t>Gagnon Girard Julien &amp; Matte</w:t>
            </w:r>
          </w:p>
          <w:p w:rsidR="000B1D69" w:rsidRPr="005478AF" w:rsidRDefault="000B1D69" w:rsidP="000B1D69">
            <w:pPr>
              <w:keepNext/>
              <w:keepLines/>
              <w:tabs>
                <w:tab w:val="left" w:pos="-1440"/>
                <w:tab w:val="left" w:pos="-720"/>
              </w:tabs>
              <w:rPr>
                <w:sz w:val="20"/>
                <w:szCs w:val="20"/>
                <w:lang w:val="fr-CA"/>
              </w:rPr>
            </w:pPr>
          </w:p>
          <w:p w:rsidR="00B50CF2" w:rsidRPr="00DC1946" w:rsidRDefault="000B1D69" w:rsidP="000B1D69">
            <w:pPr>
              <w:rPr>
                <w:sz w:val="20"/>
                <w:szCs w:val="20"/>
                <w:lang w:val="fr-CA"/>
              </w:rPr>
            </w:pPr>
            <w:r w:rsidRPr="005478AF">
              <w:rPr>
                <w:sz w:val="20"/>
                <w:szCs w:val="20"/>
                <w:lang w:val="fr-CA"/>
              </w:rPr>
              <w:t>DATE</w:t>
            </w:r>
            <w:r>
              <w:rPr>
                <w:sz w:val="20"/>
                <w:szCs w:val="20"/>
                <w:lang w:val="fr-CA"/>
              </w:rPr>
              <w:t xml:space="preserve"> DE PRODUCTION </w:t>
            </w:r>
            <w:r w:rsidRPr="005478AF">
              <w:rPr>
                <w:sz w:val="20"/>
                <w:szCs w:val="20"/>
                <w:lang w:val="fr-CA"/>
              </w:rPr>
              <w:t xml:space="preserve">: </w:t>
            </w:r>
            <w:r>
              <w:rPr>
                <w:sz w:val="20"/>
                <w:szCs w:val="20"/>
                <w:lang w:val="fr-CA"/>
              </w:rPr>
              <w:t>1</w:t>
            </w:r>
            <w:r w:rsidRPr="005478AF">
              <w:rPr>
                <w:sz w:val="20"/>
                <w:szCs w:val="20"/>
                <w:lang w:val="fr-CA"/>
              </w:rPr>
              <w:t>2.03.2012</w:t>
            </w:r>
            <w:r w:rsidR="007505E6" w:rsidRPr="007505E6">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p w:rsidR="00B50CF2" w:rsidRPr="00DC1946" w:rsidRDefault="00B50CF2" w:rsidP="00242AEE">
            <w:pPr>
              <w:jc w:val="center"/>
              <w:rPr>
                <w:sz w:val="20"/>
                <w:szCs w:val="20"/>
                <w:lang w:val="fr-CA"/>
              </w:rPr>
            </w:pPr>
          </w:p>
        </w:tc>
        <w:tc>
          <w:tcPr>
            <w:tcW w:w="4320" w:type="dxa"/>
            <w:shd w:val="clear" w:color="auto" w:fill="auto"/>
          </w:tcPr>
          <w:p w:rsidR="00B50CF2" w:rsidRPr="005478AF" w:rsidRDefault="00B50CF2" w:rsidP="008C5750">
            <w:pPr>
              <w:rPr>
                <w:sz w:val="20"/>
                <w:szCs w:val="20"/>
                <w:lang w:val="fr-CA"/>
              </w:rPr>
            </w:pPr>
          </w:p>
        </w:tc>
      </w:tr>
    </w:tbl>
    <w:p w:rsidR="006C3F47" w:rsidRPr="00CA5345" w:rsidRDefault="006C3F47" w:rsidP="0095096B">
      <w:pPr>
        <w:tabs>
          <w:tab w:val="right" w:pos="9360"/>
        </w:tabs>
        <w:rPr>
          <w:sz w:val="20"/>
          <w:szCs w:val="20"/>
          <w:lang w:val="fr-CA"/>
        </w:rPr>
      </w:pPr>
    </w:p>
    <w:p w:rsidR="00242AEE" w:rsidRPr="00CA5345" w:rsidRDefault="00242AEE" w:rsidP="0095096B">
      <w:pPr>
        <w:tabs>
          <w:tab w:val="right" w:pos="9360"/>
        </w:tabs>
        <w:rPr>
          <w:sz w:val="20"/>
          <w:szCs w:val="20"/>
          <w:lang w:val="fr-CA"/>
        </w:rPr>
      </w:pPr>
    </w:p>
    <w:p w:rsidR="00242AEE" w:rsidRPr="00CA5345" w:rsidRDefault="00242AEE" w:rsidP="0095096B">
      <w:pPr>
        <w:tabs>
          <w:tab w:val="right" w:pos="9360"/>
        </w:tabs>
        <w:rPr>
          <w:sz w:val="20"/>
          <w:szCs w:val="20"/>
          <w:lang w:val="fr-CA"/>
        </w:rPr>
        <w:sectPr w:rsidR="00242AEE" w:rsidRPr="00CA5345" w:rsidSect="00B50CF2">
          <w:headerReference w:type="default" r:id="rId17"/>
          <w:footerReference w:type="default" r:id="rId18"/>
          <w:headerReference w:type="first" r:id="rId19"/>
          <w:footerReference w:type="first" r:id="rId20"/>
          <w:pgSz w:w="12240" w:h="15840"/>
          <w:pgMar w:top="720" w:right="965" w:bottom="1080" w:left="1656" w:header="706" w:footer="706" w:gutter="0"/>
          <w:pgNumType w:start="42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2D3F5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M</w:t>
      </w:r>
      <w:r w:rsidR="00212B9F">
        <w:rPr>
          <w:b/>
          <w:sz w:val="20"/>
          <w:szCs w:val="20"/>
        </w:rPr>
        <w:t>A</w:t>
      </w:r>
      <w:r>
        <w:rPr>
          <w:b/>
          <w:sz w:val="20"/>
          <w:szCs w:val="20"/>
        </w:rPr>
        <w:t>R</w:t>
      </w:r>
      <w:r w:rsidR="00212B9F">
        <w:rPr>
          <w:b/>
          <w:sz w:val="20"/>
          <w:szCs w:val="20"/>
        </w:rPr>
        <w:t>CH</w:t>
      </w:r>
      <w:r w:rsidRPr="00C50A5C">
        <w:rPr>
          <w:b/>
          <w:sz w:val="20"/>
          <w:szCs w:val="20"/>
        </w:rPr>
        <w:t xml:space="preserve"> </w:t>
      </w:r>
      <w:r w:rsidR="00212B9F">
        <w:rPr>
          <w:b/>
          <w:sz w:val="20"/>
          <w:szCs w:val="20"/>
        </w:rPr>
        <w:t>26</w:t>
      </w:r>
      <w:r w:rsidRPr="00C50A5C">
        <w:rPr>
          <w:b/>
          <w:sz w:val="20"/>
          <w:szCs w:val="20"/>
        </w:rPr>
        <w:t>, 201</w:t>
      </w:r>
      <w:r w:rsidR="00212B9F">
        <w:rPr>
          <w:b/>
          <w:sz w:val="20"/>
          <w:szCs w:val="20"/>
        </w:rPr>
        <w:t>2</w:t>
      </w:r>
      <w:r w:rsidRPr="00C50A5C">
        <w:rPr>
          <w:b/>
          <w:sz w:val="20"/>
          <w:szCs w:val="20"/>
        </w:rPr>
        <w:t xml:space="preserve"> / LE </w:t>
      </w:r>
      <w:r w:rsidR="00212B9F">
        <w:rPr>
          <w:b/>
          <w:sz w:val="20"/>
          <w:szCs w:val="20"/>
        </w:rPr>
        <w:t>26</w:t>
      </w:r>
      <w:r>
        <w:rPr>
          <w:b/>
          <w:sz w:val="20"/>
          <w:szCs w:val="20"/>
        </w:rPr>
        <w:t xml:space="preserve"> M</w:t>
      </w:r>
      <w:r w:rsidR="00212B9F">
        <w:rPr>
          <w:b/>
          <w:sz w:val="20"/>
          <w:szCs w:val="20"/>
        </w:rPr>
        <w:t>A</w:t>
      </w:r>
      <w:r>
        <w:rPr>
          <w:b/>
          <w:sz w:val="20"/>
          <w:szCs w:val="20"/>
        </w:rPr>
        <w:t>R</w:t>
      </w:r>
      <w:r w:rsidR="00212B9F">
        <w:rPr>
          <w:b/>
          <w:sz w:val="20"/>
          <w:szCs w:val="20"/>
        </w:rPr>
        <w:t>S</w:t>
      </w:r>
      <w:r w:rsidRPr="00C50A5C">
        <w:rPr>
          <w:b/>
          <w:sz w:val="20"/>
          <w:szCs w:val="20"/>
        </w:rPr>
        <w:t xml:space="preserve"> 201</w:t>
      </w:r>
      <w:r w:rsidR="00212B9F">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A14137" w:rsidP="004B7F60">
      <w:pPr>
        <w:pStyle w:val="ListParagraph"/>
        <w:widowControl w:val="0"/>
        <w:numPr>
          <w:ilvl w:val="0"/>
          <w:numId w:val="1"/>
        </w:numPr>
        <w:ind w:hanging="720"/>
        <w:jc w:val="both"/>
        <w:rPr>
          <w:sz w:val="20"/>
          <w:szCs w:val="20"/>
        </w:rPr>
      </w:pPr>
      <w:r w:rsidRPr="00A14137">
        <w:rPr>
          <w:i/>
          <w:sz w:val="20"/>
          <w:szCs w:val="20"/>
        </w:rPr>
        <w:t xml:space="preserve">Helen </w:t>
      </w:r>
      <w:proofErr w:type="spellStart"/>
      <w:r w:rsidRPr="00A14137">
        <w:rPr>
          <w:i/>
          <w:sz w:val="20"/>
          <w:szCs w:val="20"/>
        </w:rPr>
        <w:t>Roussy</w:t>
      </w:r>
      <w:proofErr w:type="spellEnd"/>
      <w:r w:rsidRPr="00A14137">
        <w:rPr>
          <w:i/>
          <w:sz w:val="20"/>
          <w:szCs w:val="20"/>
        </w:rPr>
        <w:t xml:space="preserve"> v. Red Seal Vacations Inc.</w:t>
      </w:r>
      <w:r w:rsidRPr="00A14137">
        <w:rPr>
          <w:sz w:val="20"/>
          <w:szCs w:val="20"/>
        </w:rPr>
        <w:t xml:space="preserve"> (Sask.) (Civil) (By Leave)</w:t>
      </w:r>
      <w:r>
        <w:rPr>
          <w:sz w:val="20"/>
          <w:szCs w:val="20"/>
        </w:rPr>
        <w:t xml:space="preserve"> </w:t>
      </w:r>
      <w:r w:rsidR="004B7F60" w:rsidRPr="00C50A5C">
        <w:rPr>
          <w:sz w:val="20"/>
          <w:szCs w:val="20"/>
        </w:rPr>
        <w:t>(3</w:t>
      </w:r>
      <w:r w:rsidR="004B7F60">
        <w:rPr>
          <w:sz w:val="20"/>
          <w:szCs w:val="20"/>
        </w:rPr>
        <w:t>4</w:t>
      </w:r>
      <w:r>
        <w:rPr>
          <w:sz w:val="20"/>
          <w:szCs w:val="20"/>
        </w:rPr>
        <w:t>578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A14137" w:rsidP="004B7F60">
      <w:pPr>
        <w:pStyle w:val="ListParagraph"/>
        <w:widowControl w:val="0"/>
        <w:numPr>
          <w:ilvl w:val="0"/>
          <w:numId w:val="1"/>
        </w:numPr>
        <w:ind w:hanging="720"/>
        <w:jc w:val="both"/>
        <w:rPr>
          <w:sz w:val="20"/>
          <w:szCs w:val="20"/>
        </w:rPr>
      </w:pPr>
      <w:r w:rsidRPr="00A14137">
        <w:rPr>
          <w:i/>
          <w:sz w:val="20"/>
          <w:szCs w:val="20"/>
          <w:lang w:val="fr-CA"/>
        </w:rPr>
        <w:t xml:space="preserve">Rosa Alves et al. v. First </w:t>
      </w:r>
      <w:proofErr w:type="spellStart"/>
      <w:r w:rsidRPr="00A14137">
        <w:rPr>
          <w:i/>
          <w:sz w:val="20"/>
          <w:szCs w:val="20"/>
          <w:lang w:val="fr-CA"/>
        </w:rPr>
        <w:t>Choice</w:t>
      </w:r>
      <w:proofErr w:type="spellEnd"/>
      <w:r w:rsidRPr="00A14137">
        <w:rPr>
          <w:i/>
          <w:sz w:val="20"/>
          <w:szCs w:val="20"/>
          <w:lang w:val="fr-CA"/>
        </w:rPr>
        <w:t xml:space="preserve"> Canada Inc. et al.</w:t>
      </w:r>
      <w:r w:rsidRPr="00A14137">
        <w:rPr>
          <w:sz w:val="20"/>
          <w:szCs w:val="20"/>
          <w:lang w:val="fr-CA"/>
        </w:rPr>
        <w:t xml:space="preserve"> (</w:t>
      </w:r>
      <w:proofErr w:type="spellStart"/>
      <w:r w:rsidRPr="00A14137">
        <w:rPr>
          <w:sz w:val="20"/>
          <w:szCs w:val="20"/>
          <w:lang w:val="fr-CA"/>
        </w:rPr>
        <w:t>Sask</w:t>
      </w:r>
      <w:proofErr w:type="spellEnd"/>
      <w:r w:rsidRPr="00A14137">
        <w:rPr>
          <w:sz w:val="20"/>
          <w:szCs w:val="20"/>
          <w:lang w:val="fr-CA"/>
        </w:rPr>
        <w:t xml:space="preserve">.) </w:t>
      </w:r>
      <w:r w:rsidRPr="00A14137">
        <w:rPr>
          <w:sz w:val="20"/>
          <w:szCs w:val="20"/>
        </w:rPr>
        <w:t>(Civil) (By Leave)</w:t>
      </w:r>
      <w:r w:rsidRPr="00C612D0">
        <w:rPr>
          <w:sz w:val="20"/>
          <w:szCs w:val="20"/>
        </w:rPr>
        <w:t xml:space="preserve"> </w:t>
      </w:r>
      <w:r w:rsidR="004B7F60" w:rsidRPr="00C612D0">
        <w:rPr>
          <w:sz w:val="20"/>
          <w:szCs w:val="20"/>
        </w:rPr>
        <w:t>(34</w:t>
      </w:r>
      <w:r>
        <w:rPr>
          <w:sz w:val="20"/>
          <w:szCs w:val="20"/>
        </w:rPr>
        <w:t>579</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14137" w:rsidP="004B7F60">
      <w:pPr>
        <w:pStyle w:val="ListParagraph"/>
        <w:widowControl w:val="0"/>
        <w:numPr>
          <w:ilvl w:val="0"/>
          <w:numId w:val="1"/>
        </w:numPr>
        <w:ind w:hanging="720"/>
        <w:jc w:val="both"/>
        <w:rPr>
          <w:sz w:val="20"/>
          <w:szCs w:val="20"/>
        </w:rPr>
      </w:pPr>
      <w:r w:rsidRPr="00A14137">
        <w:rPr>
          <w:i/>
          <w:sz w:val="20"/>
          <w:szCs w:val="20"/>
        </w:rPr>
        <w:t>James Richard Smith v. Law Society of Manitoba</w:t>
      </w:r>
      <w:r w:rsidRPr="00A14137">
        <w:rPr>
          <w:sz w:val="20"/>
          <w:szCs w:val="20"/>
        </w:rPr>
        <w:t xml:space="preserve"> (Man.) (Civil) (By Leave)</w:t>
      </w:r>
      <w:r w:rsidRPr="00940CAD">
        <w:rPr>
          <w:sz w:val="20"/>
          <w:szCs w:val="20"/>
        </w:rPr>
        <w:t xml:space="preserve"> </w:t>
      </w:r>
      <w:r w:rsidR="004B7F60" w:rsidRPr="00940CAD">
        <w:rPr>
          <w:sz w:val="20"/>
          <w:szCs w:val="20"/>
        </w:rPr>
        <w:t>(34</w:t>
      </w:r>
      <w:r>
        <w:rPr>
          <w:sz w:val="20"/>
          <w:szCs w:val="20"/>
        </w:rPr>
        <w:t>569</w:t>
      </w:r>
      <w:r w:rsidR="004B7F60" w:rsidRPr="00940CAD">
        <w:rPr>
          <w:sz w:val="20"/>
          <w:szCs w:val="20"/>
        </w:rPr>
        <w:t>)</w:t>
      </w:r>
    </w:p>
    <w:p w:rsidR="004B7F60" w:rsidRPr="00C50A5C" w:rsidRDefault="004B7F60" w:rsidP="004B7F60">
      <w:pPr>
        <w:widowControl w:val="0"/>
        <w:rPr>
          <w:sz w:val="20"/>
          <w:szCs w:val="20"/>
        </w:rPr>
      </w:pPr>
    </w:p>
    <w:p w:rsidR="004B7F60" w:rsidRPr="00C50A5C" w:rsidRDefault="00A14137" w:rsidP="004B7F60">
      <w:pPr>
        <w:pStyle w:val="ListParagraph"/>
        <w:widowControl w:val="0"/>
        <w:numPr>
          <w:ilvl w:val="0"/>
          <w:numId w:val="1"/>
        </w:numPr>
        <w:ind w:hanging="720"/>
        <w:jc w:val="both"/>
        <w:rPr>
          <w:sz w:val="20"/>
          <w:szCs w:val="20"/>
        </w:rPr>
      </w:pPr>
      <w:r w:rsidRPr="00A14137">
        <w:rPr>
          <w:i/>
          <w:sz w:val="20"/>
          <w:szCs w:val="20"/>
        </w:rPr>
        <w:t xml:space="preserve">Anton </w:t>
      </w:r>
      <w:proofErr w:type="spellStart"/>
      <w:r w:rsidRPr="00A14137">
        <w:rPr>
          <w:i/>
          <w:sz w:val="20"/>
          <w:szCs w:val="20"/>
        </w:rPr>
        <w:t>Oleynik</w:t>
      </w:r>
      <w:proofErr w:type="spellEnd"/>
      <w:r w:rsidRPr="00A14137">
        <w:rPr>
          <w:i/>
          <w:sz w:val="20"/>
          <w:szCs w:val="20"/>
        </w:rPr>
        <w:t xml:space="preserve"> v. University of Calgary et al.</w:t>
      </w:r>
      <w:r w:rsidRPr="00A14137">
        <w:rPr>
          <w:sz w:val="20"/>
          <w:szCs w:val="20"/>
        </w:rPr>
        <w:t xml:space="preserve"> (Alta.) (Civil) (By Leave)</w:t>
      </w:r>
      <w:r w:rsidRPr="00C50A5C">
        <w:rPr>
          <w:sz w:val="20"/>
          <w:szCs w:val="20"/>
        </w:rPr>
        <w:t xml:space="preserve"> </w:t>
      </w:r>
      <w:r w:rsidR="004B7F60" w:rsidRPr="00C50A5C">
        <w:rPr>
          <w:sz w:val="20"/>
          <w:szCs w:val="20"/>
        </w:rPr>
        <w:t>(3</w:t>
      </w:r>
      <w:r w:rsidR="004B7F60">
        <w:rPr>
          <w:sz w:val="20"/>
          <w:szCs w:val="20"/>
        </w:rPr>
        <w:t>4</w:t>
      </w:r>
      <w:r>
        <w:rPr>
          <w:sz w:val="20"/>
          <w:szCs w:val="20"/>
        </w:rPr>
        <w:t>564</w:t>
      </w:r>
      <w:r w:rsidR="004B7F60" w:rsidRPr="00C50A5C">
        <w:rPr>
          <w:sz w:val="20"/>
          <w:szCs w:val="20"/>
        </w:rPr>
        <w:t>)</w:t>
      </w:r>
    </w:p>
    <w:p w:rsidR="004B7F60" w:rsidRDefault="004B7F60" w:rsidP="004B7F60">
      <w:pPr>
        <w:widowControl w:val="0"/>
        <w:jc w:val="both"/>
        <w:rPr>
          <w:sz w:val="20"/>
          <w:szCs w:val="20"/>
        </w:rPr>
      </w:pPr>
    </w:p>
    <w:p w:rsidR="004B7F60" w:rsidRPr="00A14137" w:rsidRDefault="00A14137" w:rsidP="004B7F60">
      <w:pPr>
        <w:pStyle w:val="ListParagraph"/>
        <w:widowControl w:val="0"/>
        <w:numPr>
          <w:ilvl w:val="0"/>
          <w:numId w:val="1"/>
        </w:numPr>
        <w:ind w:hanging="720"/>
        <w:jc w:val="both"/>
        <w:rPr>
          <w:sz w:val="20"/>
          <w:szCs w:val="20"/>
        </w:rPr>
      </w:pPr>
      <w:proofErr w:type="spellStart"/>
      <w:r w:rsidRPr="00A14137">
        <w:rPr>
          <w:i/>
          <w:sz w:val="20"/>
          <w:szCs w:val="20"/>
        </w:rPr>
        <w:t>Tissa</w:t>
      </w:r>
      <w:proofErr w:type="spellEnd"/>
      <w:r w:rsidRPr="00A14137">
        <w:rPr>
          <w:i/>
          <w:sz w:val="20"/>
          <w:szCs w:val="20"/>
        </w:rPr>
        <w:t xml:space="preserve"> </w:t>
      </w:r>
      <w:proofErr w:type="spellStart"/>
      <w:r w:rsidRPr="00A14137">
        <w:rPr>
          <w:i/>
          <w:sz w:val="20"/>
          <w:szCs w:val="20"/>
        </w:rPr>
        <w:t>Amaratunga</w:t>
      </w:r>
      <w:proofErr w:type="spellEnd"/>
      <w:r w:rsidRPr="00A14137">
        <w:rPr>
          <w:i/>
          <w:sz w:val="20"/>
          <w:szCs w:val="20"/>
        </w:rPr>
        <w:t xml:space="preserve"> v. Northwest Atlantic Fisheries Organization, a body corporate</w:t>
      </w:r>
      <w:r w:rsidRPr="00A14137">
        <w:rPr>
          <w:sz w:val="20"/>
          <w:szCs w:val="20"/>
        </w:rPr>
        <w:t xml:space="preserve"> (N.S.) (Civil) (By Leave) </w:t>
      </w:r>
      <w:r w:rsidR="004B7F60" w:rsidRPr="00A14137">
        <w:rPr>
          <w:sz w:val="20"/>
          <w:szCs w:val="20"/>
        </w:rPr>
        <w:t>(34</w:t>
      </w:r>
      <w:r w:rsidRPr="00A14137">
        <w:rPr>
          <w:sz w:val="20"/>
          <w:szCs w:val="20"/>
        </w:rPr>
        <w:t>501</w:t>
      </w:r>
      <w:r w:rsidR="004B7F60" w:rsidRPr="00A14137">
        <w:rPr>
          <w:sz w:val="20"/>
          <w:szCs w:val="20"/>
        </w:rPr>
        <w:t>)</w:t>
      </w:r>
    </w:p>
    <w:p w:rsidR="004B7F60" w:rsidRPr="00A14137" w:rsidRDefault="004B7F60" w:rsidP="004B7F60">
      <w:pPr>
        <w:widowControl w:val="0"/>
        <w:rPr>
          <w:sz w:val="20"/>
          <w:szCs w:val="20"/>
        </w:rPr>
      </w:pPr>
    </w:p>
    <w:p w:rsidR="004B7F60" w:rsidRPr="00115C9E" w:rsidRDefault="00A14137" w:rsidP="004B7F60">
      <w:pPr>
        <w:pStyle w:val="ListParagraph"/>
        <w:widowControl w:val="0"/>
        <w:numPr>
          <w:ilvl w:val="0"/>
          <w:numId w:val="1"/>
        </w:numPr>
        <w:ind w:hanging="720"/>
        <w:jc w:val="both"/>
        <w:rPr>
          <w:sz w:val="20"/>
          <w:szCs w:val="20"/>
          <w:lang w:val="fr-CA"/>
        </w:rPr>
      </w:pPr>
      <w:r w:rsidRPr="00A14137">
        <w:rPr>
          <w:i/>
          <w:sz w:val="20"/>
          <w:szCs w:val="20"/>
        </w:rPr>
        <w:t>Eleanor D. Baines v. Minister of Human Resources and Skills Development</w:t>
      </w:r>
      <w:r w:rsidRPr="00A14137">
        <w:rPr>
          <w:sz w:val="20"/>
          <w:szCs w:val="20"/>
        </w:rPr>
        <w:t xml:space="preserve"> (F</w:t>
      </w:r>
      <w:r>
        <w:rPr>
          <w:sz w:val="20"/>
          <w:szCs w:val="20"/>
        </w:rPr>
        <w:t>.</w:t>
      </w:r>
      <w:r w:rsidRPr="00A14137">
        <w:rPr>
          <w:sz w:val="20"/>
          <w:szCs w:val="20"/>
        </w:rPr>
        <w:t>C</w:t>
      </w:r>
      <w:r>
        <w:rPr>
          <w:sz w:val="20"/>
          <w:szCs w:val="20"/>
        </w:rPr>
        <w:t>.</w:t>
      </w:r>
      <w:r w:rsidRPr="00A14137">
        <w:rPr>
          <w:sz w:val="20"/>
          <w:szCs w:val="20"/>
        </w:rPr>
        <w:t>) (Civil) (By Leave)</w:t>
      </w:r>
      <w:r w:rsidRPr="00115C9E">
        <w:rPr>
          <w:sz w:val="20"/>
          <w:szCs w:val="20"/>
          <w:lang w:val="fr-CA"/>
        </w:rPr>
        <w:t xml:space="preserve"> </w:t>
      </w:r>
      <w:r w:rsidR="004B7F60" w:rsidRPr="00115C9E">
        <w:rPr>
          <w:sz w:val="20"/>
          <w:szCs w:val="20"/>
          <w:lang w:val="fr-CA"/>
        </w:rPr>
        <w:t>(34</w:t>
      </w:r>
      <w:r>
        <w:rPr>
          <w:sz w:val="20"/>
          <w:szCs w:val="20"/>
          <w:lang w:val="fr-CA"/>
        </w:rPr>
        <w:t>496</w:t>
      </w:r>
      <w:r w:rsidR="004B7F60" w:rsidRPr="00115C9E">
        <w:rPr>
          <w:sz w:val="20"/>
          <w:szCs w:val="20"/>
          <w:lang w:val="fr-CA"/>
        </w:rPr>
        <w:t>)</w:t>
      </w:r>
    </w:p>
    <w:p w:rsidR="004B7F60" w:rsidRDefault="004B7F60" w:rsidP="004B7F60">
      <w:pPr>
        <w:widowControl w:val="0"/>
        <w:jc w:val="both"/>
        <w:rPr>
          <w:sz w:val="20"/>
          <w:szCs w:val="20"/>
          <w:lang w:val="fr-CA"/>
        </w:rPr>
      </w:pPr>
    </w:p>
    <w:p w:rsidR="00A14137" w:rsidRDefault="00A14137" w:rsidP="004B7F60">
      <w:pPr>
        <w:widowControl w:val="0"/>
        <w:jc w:val="both"/>
        <w:rPr>
          <w:sz w:val="20"/>
          <w:szCs w:val="20"/>
          <w:lang w:val="fr-CA"/>
        </w:rPr>
      </w:pPr>
    </w:p>
    <w:p w:rsidR="00A14137" w:rsidRPr="00C50A5C" w:rsidRDefault="00A14137" w:rsidP="00A14137">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A14137" w:rsidRPr="00C50A5C" w:rsidRDefault="00A14137" w:rsidP="00A14137">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A14137" w:rsidRPr="00115C9E" w:rsidRDefault="00A14137" w:rsidP="004B7F60">
      <w:pPr>
        <w:widowControl w:val="0"/>
        <w:jc w:val="both"/>
        <w:rPr>
          <w:sz w:val="20"/>
          <w:szCs w:val="20"/>
          <w:lang w:val="fr-CA"/>
        </w:rPr>
      </w:pPr>
    </w:p>
    <w:p w:rsidR="004B7F60" w:rsidRPr="00115C9E" w:rsidRDefault="005006AB" w:rsidP="004B7F60">
      <w:pPr>
        <w:pStyle w:val="ListParagraph"/>
        <w:widowControl w:val="0"/>
        <w:numPr>
          <w:ilvl w:val="0"/>
          <w:numId w:val="1"/>
        </w:numPr>
        <w:ind w:hanging="720"/>
        <w:jc w:val="both"/>
        <w:rPr>
          <w:sz w:val="20"/>
          <w:szCs w:val="20"/>
          <w:lang w:val="fr-CA"/>
        </w:rPr>
      </w:pPr>
      <w:r w:rsidRPr="005006AB">
        <w:rPr>
          <w:i/>
          <w:sz w:val="20"/>
          <w:szCs w:val="20"/>
          <w:lang w:val="fr-CA"/>
        </w:rPr>
        <w:t>Jacques Gagné c. Sa Majesté la Reine</w:t>
      </w:r>
      <w:r w:rsidRPr="00A14137">
        <w:rPr>
          <w:sz w:val="20"/>
          <w:szCs w:val="20"/>
          <w:lang w:val="fr-CA"/>
        </w:rPr>
        <w:t xml:space="preserve"> (</w:t>
      </w:r>
      <w:proofErr w:type="spellStart"/>
      <w:r w:rsidRPr="00A14137">
        <w:rPr>
          <w:sz w:val="20"/>
          <w:szCs w:val="20"/>
          <w:lang w:val="fr-CA"/>
        </w:rPr>
        <w:t>Qc</w:t>
      </w:r>
      <w:proofErr w:type="spellEnd"/>
      <w:r w:rsidRPr="00A14137">
        <w:rPr>
          <w:sz w:val="20"/>
          <w:szCs w:val="20"/>
          <w:lang w:val="fr-CA"/>
        </w:rPr>
        <w:t>) (Criminelle) (Autorisation)</w:t>
      </w:r>
      <w:r w:rsidRPr="00115C9E">
        <w:rPr>
          <w:sz w:val="20"/>
          <w:szCs w:val="20"/>
          <w:lang w:val="fr-CA"/>
        </w:rPr>
        <w:t xml:space="preserve"> </w:t>
      </w:r>
      <w:r w:rsidR="004B7F60" w:rsidRPr="00115C9E">
        <w:rPr>
          <w:sz w:val="20"/>
          <w:szCs w:val="20"/>
          <w:lang w:val="fr-CA"/>
        </w:rPr>
        <w:t>(345</w:t>
      </w:r>
      <w:r w:rsidR="00A14137">
        <w:rPr>
          <w:sz w:val="20"/>
          <w:szCs w:val="20"/>
          <w:lang w:val="fr-CA"/>
        </w:rPr>
        <w:t>51</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5006AB" w:rsidP="004B7F60">
      <w:pPr>
        <w:pStyle w:val="ListParagraph"/>
        <w:widowControl w:val="0"/>
        <w:numPr>
          <w:ilvl w:val="0"/>
          <w:numId w:val="1"/>
        </w:numPr>
        <w:ind w:hanging="720"/>
        <w:jc w:val="both"/>
        <w:rPr>
          <w:sz w:val="20"/>
          <w:szCs w:val="20"/>
          <w:lang w:val="fr-CA"/>
        </w:rPr>
      </w:pPr>
      <w:r w:rsidRPr="005006AB">
        <w:rPr>
          <w:i/>
          <w:sz w:val="20"/>
          <w:szCs w:val="20"/>
          <w:lang w:val="fr-CA"/>
        </w:rPr>
        <w:t xml:space="preserve">S.C.P. Environnement Inc. c. Esperanza </w:t>
      </w:r>
      <w:proofErr w:type="spellStart"/>
      <w:r w:rsidRPr="005006AB">
        <w:rPr>
          <w:i/>
          <w:sz w:val="20"/>
          <w:szCs w:val="20"/>
          <w:lang w:val="fr-CA"/>
        </w:rPr>
        <w:t>Penaranda</w:t>
      </w:r>
      <w:proofErr w:type="spellEnd"/>
      <w:r w:rsidRPr="005006AB">
        <w:rPr>
          <w:i/>
          <w:sz w:val="20"/>
          <w:szCs w:val="20"/>
          <w:lang w:val="fr-CA"/>
        </w:rPr>
        <w:t xml:space="preserve"> et autres</w:t>
      </w:r>
      <w:r w:rsidRPr="00A14137">
        <w:rPr>
          <w:sz w:val="20"/>
          <w:szCs w:val="20"/>
          <w:lang w:val="fr-CA"/>
        </w:rPr>
        <w:t xml:space="preserve"> (</w:t>
      </w:r>
      <w:proofErr w:type="spellStart"/>
      <w:r w:rsidRPr="00A14137">
        <w:rPr>
          <w:sz w:val="20"/>
          <w:szCs w:val="20"/>
          <w:lang w:val="fr-CA"/>
        </w:rPr>
        <w:t>Qc</w:t>
      </w:r>
      <w:proofErr w:type="spellEnd"/>
      <w:r w:rsidRPr="00A14137">
        <w:rPr>
          <w:sz w:val="20"/>
          <w:szCs w:val="20"/>
          <w:lang w:val="fr-CA"/>
        </w:rPr>
        <w:t>)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A14137">
        <w:rPr>
          <w:sz w:val="20"/>
          <w:szCs w:val="20"/>
          <w:lang w:val="fr-CA"/>
        </w:rPr>
        <w:t>591</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5006AB" w:rsidP="004B7F60">
      <w:pPr>
        <w:pStyle w:val="ListParagraph"/>
        <w:widowControl w:val="0"/>
        <w:numPr>
          <w:ilvl w:val="0"/>
          <w:numId w:val="1"/>
        </w:numPr>
        <w:ind w:hanging="720"/>
        <w:jc w:val="both"/>
        <w:rPr>
          <w:sz w:val="20"/>
          <w:szCs w:val="20"/>
          <w:lang w:val="fr-CA"/>
        </w:rPr>
      </w:pPr>
      <w:r w:rsidRPr="005006AB">
        <w:rPr>
          <w:i/>
          <w:sz w:val="20"/>
          <w:szCs w:val="20"/>
          <w:lang w:val="fr-CA"/>
        </w:rPr>
        <w:t xml:space="preserve">Antonella </w:t>
      </w:r>
      <w:proofErr w:type="spellStart"/>
      <w:r w:rsidRPr="005006AB">
        <w:rPr>
          <w:i/>
          <w:sz w:val="20"/>
          <w:szCs w:val="20"/>
          <w:lang w:val="fr-CA"/>
        </w:rPr>
        <w:t>Morsi</w:t>
      </w:r>
      <w:proofErr w:type="spellEnd"/>
      <w:r w:rsidRPr="005006AB">
        <w:rPr>
          <w:i/>
          <w:sz w:val="20"/>
          <w:szCs w:val="20"/>
          <w:lang w:val="fr-CA"/>
        </w:rPr>
        <w:t xml:space="preserve"> et al. v. </w:t>
      </w:r>
      <w:proofErr w:type="spellStart"/>
      <w:r w:rsidRPr="005006AB">
        <w:rPr>
          <w:i/>
          <w:sz w:val="20"/>
          <w:szCs w:val="20"/>
          <w:lang w:val="fr-CA"/>
        </w:rPr>
        <w:t>Fermar</w:t>
      </w:r>
      <w:proofErr w:type="spellEnd"/>
      <w:r w:rsidRPr="005006AB">
        <w:rPr>
          <w:i/>
          <w:sz w:val="20"/>
          <w:szCs w:val="20"/>
          <w:lang w:val="fr-CA"/>
        </w:rPr>
        <w:t xml:space="preserve"> </w:t>
      </w:r>
      <w:proofErr w:type="spellStart"/>
      <w:r w:rsidRPr="005006AB">
        <w:rPr>
          <w:i/>
          <w:sz w:val="20"/>
          <w:szCs w:val="20"/>
          <w:lang w:val="fr-CA"/>
        </w:rPr>
        <w:t>Paving</w:t>
      </w:r>
      <w:proofErr w:type="spellEnd"/>
      <w:r w:rsidRPr="005006AB">
        <w:rPr>
          <w:i/>
          <w:sz w:val="20"/>
          <w:szCs w:val="20"/>
          <w:lang w:val="fr-CA"/>
        </w:rPr>
        <w:t xml:space="preserve"> Limited et al.</w:t>
      </w:r>
      <w:r w:rsidRPr="005006AB">
        <w:rPr>
          <w:sz w:val="20"/>
          <w:szCs w:val="20"/>
          <w:lang w:val="fr-CA"/>
        </w:rPr>
        <w:t xml:space="preserve"> </w:t>
      </w:r>
      <w:r w:rsidRPr="00A14137">
        <w:rPr>
          <w:sz w:val="20"/>
          <w:szCs w:val="20"/>
        </w:rPr>
        <w:t>(Ont.) (Civil) (By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A14137">
        <w:rPr>
          <w:sz w:val="20"/>
          <w:szCs w:val="20"/>
          <w:lang w:val="fr-CA"/>
        </w:rPr>
        <w:t>515</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5006AB" w:rsidP="004B7F60">
      <w:pPr>
        <w:pStyle w:val="ListParagraph"/>
        <w:widowControl w:val="0"/>
        <w:numPr>
          <w:ilvl w:val="0"/>
          <w:numId w:val="1"/>
        </w:numPr>
        <w:ind w:hanging="720"/>
        <w:jc w:val="both"/>
        <w:rPr>
          <w:sz w:val="20"/>
          <w:szCs w:val="20"/>
        </w:rPr>
      </w:pPr>
      <w:proofErr w:type="spellStart"/>
      <w:r w:rsidRPr="005006AB">
        <w:rPr>
          <w:i/>
          <w:sz w:val="20"/>
          <w:szCs w:val="20"/>
        </w:rPr>
        <w:t>Trygve</w:t>
      </w:r>
      <w:proofErr w:type="spellEnd"/>
      <w:r w:rsidRPr="005006AB">
        <w:rPr>
          <w:i/>
          <w:sz w:val="20"/>
          <w:szCs w:val="20"/>
        </w:rPr>
        <w:t xml:space="preserve"> Shawn </w:t>
      </w:r>
      <w:proofErr w:type="spellStart"/>
      <w:r w:rsidRPr="005006AB">
        <w:rPr>
          <w:i/>
          <w:sz w:val="20"/>
          <w:szCs w:val="20"/>
        </w:rPr>
        <w:t>Wenn</w:t>
      </w:r>
      <w:proofErr w:type="spellEnd"/>
      <w:r w:rsidRPr="005006AB">
        <w:rPr>
          <w:i/>
          <w:sz w:val="20"/>
          <w:szCs w:val="20"/>
        </w:rPr>
        <w:t xml:space="preserve"> v. Raymond Chow, Executor of the Estate of </w:t>
      </w:r>
      <w:proofErr w:type="spellStart"/>
      <w:r w:rsidRPr="005006AB">
        <w:rPr>
          <w:i/>
          <w:sz w:val="20"/>
          <w:szCs w:val="20"/>
        </w:rPr>
        <w:t>Erland</w:t>
      </w:r>
      <w:proofErr w:type="spellEnd"/>
      <w:r w:rsidRPr="005006AB">
        <w:rPr>
          <w:i/>
          <w:sz w:val="20"/>
          <w:szCs w:val="20"/>
        </w:rPr>
        <w:t xml:space="preserve"> Walter </w:t>
      </w:r>
      <w:proofErr w:type="spellStart"/>
      <w:r w:rsidRPr="005006AB">
        <w:rPr>
          <w:i/>
          <w:sz w:val="20"/>
          <w:szCs w:val="20"/>
        </w:rPr>
        <w:t>Wenn</w:t>
      </w:r>
      <w:proofErr w:type="spellEnd"/>
      <w:r w:rsidRPr="005006AB">
        <w:rPr>
          <w:i/>
          <w:sz w:val="20"/>
          <w:szCs w:val="20"/>
        </w:rPr>
        <w:t xml:space="preserve"> a.k.a. </w:t>
      </w:r>
      <w:proofErr w:type="spellStart"/>
      <w:r w:rsidRPr="005006AB">
        <w:rPr>
          <w:i/>
          <w:sz w:val="20"/>
          <w:szCs w:val="20"/>
        </w:rPr>
        <w:t>Erland</w:t>
      </w:r>
      <w:proofErr w:type="spellEnd"/>
      <w:r w:rsidRPr="005006AB">
        <w:rPr>
          <w:i/>
          <w:sz w:val="20"/>
          <w:szCs w:val="20"/>
        </w:rPr>
        <w:t xml:space="preserve"> </w:t>
      </w:r>
      <w:proofErr w:type="spellStart"/>
      <w:r w:rsidRPr="005006AB">
        <w:rPr>
          <w:i/>
          <w:sz w:val="20"/>
          <w:szCs w:val="20"/>
        </w:rPr>
        <w:t>Wenn</w:t>
      </w:r>
      <w:proofErr w:type="spellEnd"/>
      <w:r w:rsidRPr="005006AB">
        <w:rPr>
          <w:i/>
          <w:sz w:val="20"/>
          <w:szCs w:val="20"/>
        </w:rPr>
        <w:t xml:space="preserve"> a.k.a. </w:t>
      </w:r>
      <w:proofErr w:type="spellStart"/>
      <w:r w:rsidRPr="005006AB">
        <w:rPr>
          <w:i/>
          <w:sz w:val="20"/>
          <w:szCs w:val="20"/>
        </w:rPr>
        <w:t>Erland</w:t>
      </w:r>
      <w:proofErr w:type="spellEnd"/>
      <w:r w:rsidRPr="005006AB">
        <w:rPr>
          <w:i/>
          <w:sz w:val="20"/>
          <w:szCs w:val="20"/>
        </w:rPr>
        <w:t xml:space="preserve"> W. </w:t>
      </w:r>
      <w:proofErr w:type="spellStart"/>
      <w:r w:rsidRPr="005006AB">
        <w:rPr>
          <w:i/>
          <w:sz w:val="20"/>
          <w:szCs w:val="20"/>
        </w:rPr>
        <w:t>Wenn</w:t>
      </w:r>
      <w:proofErr w:type="spellEnd"/>
      <w:r w:rsidRPr="005006AB">
        <w:rPr>
          <w:i/>
          <w:sz w:val="20"/>
          <w:szCs w:val="20"/>
        </w:rPr>
        <w:t>, Deceased</w:t>
      </w:r>
      <w:r w:rsidRPr="00A14137">
        <w:rPr>
          <w:sz w:val="20"/>
          <w:szCs w:val="20"/>
        </w:rPr>
        <w:t xml:space="preserve"> (B.C.) (Civil) (By Leave)</w:t>
      </w:r>
      <w:r>
        <w:rPr>
          <w:sz w:val="20"/>
          <w:szCs w:val="20"/>
        </w:rPr>
        <w:t xml:space="preserve"> </w:t>
      </w:r>
      <w:r w:rsidR="00212B9F">
        <w:rPr>
          <w:sz w:val="20"/>
          <w:szCs w:val="20"/>
        </w:rPr>
        <w:t>(</w:t>
      </w:r>
      <w:r w:rsidR="004B7F60" w:rsidRPr="00115C9E">
        <w:rPr>
          <w:sz w:val="20"/>
          <w:szCs w:val="20"/>
        </w:rPr>
        <w:t>34</w:t>
      </w:r>
      <w:r w:rsidR="00A14137">
        <w:rPr>
          <w:sz w:val="20"/>
          <w:szCs w:val="20"/>
        </w:rPr>
        <w:t>61</w:t>
      </w:r>
      <w:r w:rsidR="004B7F60" w:rsidRPr="00115C9E">
        <w:rPr>
          <w:sz w:val="20"/>
          <w:szCs w:val="20"/>
        </w:rPr>
        <w:t>3)</w:t>
      </w:r>
    </w:p>
    <w:p w:rsidR="004B7F60" w:rsidRPr="00115C9E" w:rsidRDefault="004B7F60" w:rsidP="004B7F60">
      <w:pPr>
        <w:widowControl w:val="0"/>
        <w:jc w:val="both"/>
        <w:rPr>
          <w:sz w:val="20"/>
          <w:szCs w:val="20"/>
        </w:rPr>
      </w:pPr>
    </w:p>
    <w:p w:rsidR="004B7F60" w:rsidRPr="00115C9E" w:rsidRDefault="005006AB" w:rsidP="004B7F60">
      <w:pPr>
        <w:pStyle w:val="ListParagraph"/>
        <w:widowControl w:val="0"/>
        <w:numPr>
          <w:ilvl w:val="0"/>
          <w:numId w:val="1"/>
        </w:numPr>
        <w:ind w:hanging="720"/>
        <w:jc w:val="both"/>
        <w:rPr>
          <w:sz w:val="20"/>
          <w:szCs w:val="20"/>
        </w:rPr>
      </w:pPr>
      <w:r w:rsidRPr="005006AB">
        <w:rPr>
          <w:i/>
          <w:sz w:val="20"/>
          <w:szCs w:val="20"/>
        </w:rPr>
        <w:t>Conrad Black et al. v. Daniel Colson et al.</w:t>
      </w:r>
      <w:r w:rsidRPr="005006AB">
        <w:rPr>
          <w:sz w:val="20"/>
          <w:szCs w:val="20"/>
        </w:rPr>
        <w:t xml:space="preserve"> (Ont.) (Civil) (By Leave) </w:t>
      </w:r>
      <w:r w:rsidR="004B7F60" w:rsidRPr="00115C9E">
        <w:rPr>
          <w:sz w:val="20"/>
          <w:szCs w:val="20"/>
        </w:rPr>
        <w:t>(34</w:t>
      </w:r>
      <w:r w:rsidR="00A14137">
        <w:rPr>
          <w:sz w:val="20"/>
          <w:szCs w:val="20"/>
        </w:rPr>
        <w:t>506</w:t>
      </w:r>
      <w:r w:rsidR="004B7F60" w:rsidRPr="00115C9E">
        <w:rPr>
          <w:sz w:val="20"/>
          <w:szCs w:val="20"/>
        </w:rPr>
        <w:t>)</w:t>
      </w:r>
    </w:p>
    <w:p w:rsidR="004B7F60" w:rsidRPr="00115C9E" w:rsidRDefault="004B7F60" w:rsidP="004B7F60">
      <w:pPr>
        <w:widowControl w:val="0"/>
        <w:jc w:val="both"/>
        <w:rPr>
          <w:sz w:val="20"/>
          <w:szCs w:val="20"/>
        </w:rPr>
      </w:pPr>
    </w:p>
    <w:p w:rsidR="004B7F60" w:rsidRPr="005006AB" w:rsidRDefault="005006AB" w:rsidP="004B7F60">
      <w:pPr>
        <w:pStyle w:val="ListParagraph"/>
        <w:widowControl w:val="0"/>
        <w:numPr>
          <w:ilvl w:val="0"/>
          <w:numId w:val="1"/>
        </w:numPr>
        <w:ind w:hanging="720"/>
        <w:jc w:val="both"/>
        <w:rPr>
          <w:sz w:val="20"/>
          <w:szCs w:val="20"/>
          <w:lang w:val="fr-CA"/>
        </w:rPr>
      </w:pPr>
      <w:r w:rsidRPr="005006AB">
        <w:rPr>
          <w:i/>
          <w:sz w:val="20"/>
          <w:szCs w:val="20"/>
          <w:lang w:val="fr-CA"/>
        </w:rPr>
        <w:t xml:space="preserve">Les immeubles Jacques </w:t>
      </w:r>
      <w:proofErr w:type="spellStart"/>
      <w:r w:rsidRPr="005006AB">
        <w:rPr>
          <w:i/>
          <w:sz w:val="20"/>
          <w:szCs w:val="20"/>
          <w:lang w:val="fr-CA"/>
        </w:rPr>
        <w:t>Robitaille</w:t>
      </w:r>
      <w:proofErr w:type="spellEnd"/>
      <w:r w:rsidRPr="005006AB">
        <w:rPr>
          <w:i/>
          <w:sz w:val="20"/>
          <w:szCs w:val="20"/>
          <w:lang w:val="fr-CA"/>
        </w:rPr>
        <w:t xml:space="preserve"> </w:t>
      </w:r>
      <w:proofErr w:type="spellStart"/>
      <w:r w:rsidRPr="005006AB">
        <w:rPr>
          <w:i/>
          <w:sz w:val="20"/>
          <w:szCs w:val="20"/>
          <w:lang w:val="fr-CA"/>
        </w:rPr>
        <w:t>inc</w:t>
      </w:r>
      <w:proofErr w:type="spellEnd"/>
      <w:r w:rsidRPr="005006AB">
        <w:rPr>
          <w:i/>
          <w:sz w:val="20"/>
          <w:szCs w:val="20"/>
          <w:lang w:val="fr-CA"/>
        </w:rPr>
        <w:t xml:space="preserve">. c. Financière Banque Nationale, Lévesque Beaubien </w:t>
      </w:r>
      <w:proofErr w:type="spellStart"/>
      <w:r w:rsidRPr="005006AB">
        <w:rPr>
          <w:i/>
          <w:sz w:val="20"/>
          <w:szCs w:val="20"/>
          <w:lang w:val="fr-CA"/>
        </w:rPr>
        <w:t>Geoffrion</w:t>
      </w:r>
      <w:proofErr w:type="spellEnd"/>
      <w:r w:rsidRPr="005006AB">
        <w:rPr>
          <w:i/>
          <w:sz w:val="20"/>
          <w:szCs w:val="20"/>
          <w:lang w:val="fr-CA"/>
        </w:rPr>
        <w:t xml:space="preserve"> </w:t>
      </w:r>
      <w:proofErr w:type="spellStart"/>
      <w:r w:rsidRPr="005006AB">
        <w:rPr>
          <w:i/>
          <w:sz w:val="20"/>
          <w:szCs w:val="20"/>
          <w:lang w:val="fr-CA"/>
        </w:rPr>
        <w:t>inc</w:t>
      </w:r>
      <w:proofErr w:type="spellEnd"/>
      <w:r w:rsidRPr="005006AB">
        <w:rPr>
          <w:i/>
          <w:sz w:val="20"/>
          <w:szCs w:val="20"/>
          <w:lang w:val="fr-CA"/>
        </w:rPr>
        <w:t>. et a</w:t>
      </w:r>
      <w:r>
        <w:rPr>
          <w:i/>
          <w:sz w:val="20"/>
          <w:szCs w:val="20"/>
          <w:lang w:val="fr-CA"/>
        </w:rPr>
        <w:t>utre</w:t>
      </w:r>
      <w:r w:rsidRPr="00A14137">
        <w:rPr>
          <w:sz w:val="20"/>
          <w:szCs w:val="20"/>
          <w:lang w:val="fr-CA"/>
        </w:rPr>
        <w:t xml:space="preserve"> (</w:t>
      </w:r>
      <w:proofErr w:type="spellStart"/>
      <w:r w:rsidRPr="00A14137">
        <w:rPr>
          <w:sz w:val="20"/>
          <w:szCs w:val="20"/>
          <w:lang w:val="fr-CA"/>
        </w:rPr>
        <w:t>Qc</w:t>
      </w:r>
      <w:proofErr w:type="spellEnd"/>
      <w:r w:rsidRPr="00A14137">
        <w:rPr>
          <w:sz w:val="20"/>
          <w:szCs w:val="20"/>
          <w:lang w:val="fr-CA"/>
        </w:rPr>
        <w:t>) (Civile) (Autorisation)</w:t>
      </w:r>
      <w:r>
        <w:rPr>
          <w:sz w:val="20"/>
          <w:szCs w:val="20"/>
          <w:lang w:val="fr-CA"/>
        </w:rPr>
        <w:t xml:space="preserve"> </w:t>
      </w:r>
      <w:r w:rsidR="004B7F60" w:rsidRPr="005006AB">
        <w:rPr>
          <w:sz w:val="20"/>
          <w:szCs w:val="20"/>
          <w:lang w:val="fr-CA"/>
        </w:rPr>
        <w:t>(34</w:t>
      </w:r>
      <w:r w:rsidR="00A14137" w:rsidRPr="005006AB">
        <w:rPr>
          <w:sz w:val="20"/>
          <w:szCs w:val="20"/>
          <w:lang w:val="fr-CA"/>
        </w:rPr>
        <w:t>596</w:t>
      </w:r>
      <w:r w:rsidR="004B7F60" w:rsidRPr="005006AB">
        <w:rPr>
          <w:sz w:val="20"/>
          <w:szCs w:val="20"/>
          <w:lang w:val="fr-CA"/>
        </w:rPr>
        <w:t>)</w:t>
      </w:r>
    </w:p>
    <w:p w:rsidR="004B7F60" w:rsidRPr="005006AB" w:rsidRDefault="004B7F60" w:rsidP="004B7F60">
      <w:pPr>
        <w:widowControl w:val="0"/>
        <w:rPr>
          <w:sz w:val="20"/>
          <w:szCs w:val="20"/>
          <w:lang w:val="fr-CA"/>
        </w:rPr>
      </w:pPr>
    </w:p>
    <w:p w:rsidR="00A14137" w:rsidRPr="005006AB" w:rsidRDefault="00A14137" w:rsidP="004B7F60">
      <w:pPr>
        <w:widowControl w:val="0"/>
        <w:rPr>
          <w:sz w:val="20"/>
          <w:szCs w:val="20"/>
          <w:lang w:val="fr-CA"/>
        </w:rPr>
      </w:pPr>
    </w:p>
    <w:p w:rsidR="00A14137" w:rsidRPr="00C50A5C" w:rsidRDefault="00A14137" w:rsidP="00A14137">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A14137" w:rsidRPr="00C50A5C" w:rsidRDefault="00A14137" w:rsidP="00A14137">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A14137" w:rsidRPr="00A14137" w:rsidRDefault="00A14137" w:rsidP="004B7F60">
      <w:pPr>
        <w:widowControl w:val="0"/>
        <w:rPr>
          <w:sz w:val="20"/>
          <w:szCs w:val="20"/>
          <w:lang w:val="fr-CA"/>
        </w:rPr>
      </w:pPr>
    </w:p>
    <w:p w:rsidR="002E2327" w:rsidRPr="00C50A5C" w:rsidRDefault="005006AB" w:rsidP="00C50A5C">
      <w:pPr>
        <w:pStyle w:val="ListParagraph"/>
        <w:widowControl w:val="0"/>
        <w:numPr>
          <w:ilvl w:val="0"/>
          <w:numId w:val="1"/>
        </w:numPr>
        <w:ind w:hanging="720"/>
        <w:jc w:val="both"/>
        <w:rPr>
          <w:sz w:val="20"/>
          <w:szCs w:val="20"/>
          <w:lang w:val="fr-CA"/>
        </w:rPr>
      </w:pPr>
      <w:r w:rsidRPr="005006AB">
        <w:rPr>
          <w:i/>
          <w:sz w:val="20"/>
          <w:szCs w:val="20"/>
          <w:lang w:val="fr-CA"/>
        </w:rPr>
        <w:t>Jérôme Racine c. Sa Majesté la Reine</w:t>
      </w:r>
      <w:r w:rsidRPr="00A14137">
        <w:rPr>
          <w:sz w:val="20"/>
          <w:szCs w:val="20"/>
          <w:lang w:val="fr-CA"/>
        </w:rPr>
        <w:t xml:space="preserve"> (</w:t>
      </w:r>
      <w:proofErr w:type="spellStart"/>
      <w:r w:rsidRPr="00A14137">
        <w:rPr>
          <w:sz w:val="20"/>
          <w:szCs w:val="20"/>
          <w:lang w:val="fr-CA"/>
        </w:rPr>
        <w:t>Qc</w:t>
      </w:r>
      <w:proofErr w:type="spellEnd"/>
      <w:r w:rsidRPr="00A14137">
        <w:rPr>
          <w:sz w:val="20"/>
          <w:szCs w:val="20"/>
          <w:lang w:val="fr-CA"/>
        </w:rPr>
        <w:t>) (Criminelle) (Autorisation)</w:t>
      </w:r>
      <w:r w:rsidRPr="00C50A5C">
        <w:rPr>
          <w:sz w:val="20"/>
          <w:szCs w:val="20"/>
          <w:lang w:val="fr-CA"/>
        </w:rPr>
        <w:t xml:space="preserve"> </w:t>
      </w:r>
      <w:r w:rsidR="002E2327" w:rsidRPr="00C50A5C">
        <w:rPr>
          <w:sz w:val="20"/>
          <w:szCs w:val="20"/>
          <w:lang w:val="fr-CA"/>
        </w:rPr>
        <w:t>(3</w:t>
      </w:r>
      <w:r w:rsidR="00A14137">
        <w:rPr>
          <w:sz w:val="20"/>
          <w:szCs w:val="20"/>
          <w:lang w:val="fr-CA"/>
        </w:rPr>
        <w:t>4592</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5006AB" w:rsidP="00C50A5C">
      <w:pPr>
        <w:pStyle w:val="ListParagraph"/>
        <w:widowControl w:val="0"/>
        <w:numPr>
          <w:ilvl w:val="0"/>
          <w:numId w:val="1"/>
        </w:numPr>
        <w:ind w:hanging="720"/>
        <w:jc w:val="both"/>
        <w:rPr>
          <w:sz w:val="20"/>
          <w:szCs w:val="20"/>
          <w:lang w:val="fr-CA"/>
        </w:rPr>
      </w:pPr>
      <w:r w:rsidRPr="005006AB">
        <w:rPr>
          <w:i/>
          <w:sz w:val="20"/>
          <w:szCs w:val="20"/>
          <w:lang w:val="fr-CA"/>
        </w:rPr>
        <w:t xml:space="preserve">Sa Majesté la Reine c. Nicole </w:t>
      </w:r>
      <w:proofErr w:type="spellStart"/>
      <w:r w:rsidRPr="005006AB">
        <w:rPr>
          <w:i/>
          <w:sz w:val="20"/>
          <w:szCs w:val="20"/>
          <w:lang w:val="fr-CA"/>
        </w:rPr>
        <w:t>Rochon</w:t>
      </w:r>
      <w:proofErr w:type="spellEnd"/>
      <w:r w:rsidRPr="00A14137">
        <w:rPr>
          <w:sz w:val="20"/>
          <w:szCs w:val="20"/>
          <w:lang w:val="fr-CA"/>
        </w:rPr>
        <w:t xml:space="preserve"> (</w:t>
      </w:r>
      <w:proofErr w:type="spellStart"/>
      <w:r w:rsidRPr="00A14137">
        <w:rPr>
          <w:sz w:val="20"/>
          <w:szCs w:val="20"/>
          <w:lang w:val="fr-CA"/>
        </w:rPr>
        <w:t>Qc</w:t>
      </w:r>
      <w:proofErr w:type="spellEnd"/>
      <w:r w:rsidRPr="00A14137">
        <w:rPr>
          <w:sz w:val="20"/>
          <w:szCs w:val="20"/>
          <w:lang w:val="fr-CA"/>
        </w:rPr>
        <w:t>) (Criminelle) (De plein droit / Autorisation)</w:t>
      </w:r>
      <w:r>
        <w:rPr>
          <w:sz w:val="20"/>
          <w:szCs w:val="20"/>
          <w:lang w:val="fr-CA"/>
        </w:rPr>
        <w:t xml:space="preserve"> </w:t>
      </w:r>
      <w:r w:rsidR="002E2327" w:rsidRPr="00C50A5C">
        <w:rPr>
          <w:sz w:val="20"/>
          <w:szCs w:val="20"/>
          <w:lang w:val="fr-CA"/>
        </w:rPr>
        <w:t>(34</w:t>
      </w:r>
      <w:r w:rsidR="00A14137">
        <w:rPr>
          <w:sz w:val="20"/>
          <w:szCs w:val="20"/>
          <w:lang w:val="fr-CA"/>
        </w:rPr>
        <w:t>557</w:t>
      </w:r>
      <w:r w:rsidR="002E2327" w:rsidRPr="00C50A5C">
        <w:rPr>
          <w:sz w:val="20"/>
          <w:szCs w:val="20"/>
          <w:lang w:val="fr-CA"/>
        </w:rPr>
        <w:t>)</w:t>
      </w:r>
    </w:p>
    <w:p w:rsidR="002E2327" w:rsidRPr="00C50A5C" w:rsidRDefault="002E2327" w:rsidP="00C50A5C">
      <w:pPr>
        <w:widowControl w:val="0"/>
        <w:jc w:val="both"/>
        <w:rPr>
          <w:sz w:val="20"/>
          <w:szCs w:val="20"/>
          <w:lang w:val="fr-CA"/>
        </w:rPr>
      </w:pPr>
    </w:p>
    <w:p w:rsidR="00A14137" w:rsidRPr="005006AB" w:rsidRDefault="005006AB" w:rsidP="00C50A5C">
      <w:pPr>
        <w:pStyle w:val="ListParagraph"/>
        <w:widowControl w:val="0"/>
        <w:numPr>
          <w:ilvl w:val="0"/>
          <w:numId w:val="1"/>
        </w:numPr>
        <w:ind w:hanging="720"/>
        <w:jc w:val="both"/>
        <w:rPr>
          <w:sz w:val="20"/>
          <w:szCs w:val="20"/>
        </w:rPr>
      </w:pPr>
      <w:r w:rsidRPr="005006AB">
        <w:rPr>
          <w:i/>
          <w:sz w:val="20"/>
          <w:szCs w:val="20"/>
        </w:rPr>
        <w:t xml:space="preserve">George Salter et al. v. Jason </w:t>
      </w:r>
      <w:proofErr w:type="spellStart"/>
      <w:r w:rsidRPr="005006AB">
        <w:rPr>
          <w:i/>
          <w:sz w:val="20"/>
          <w:szCs w:val="20"/>
        </w:rPr>
        <w:t>Hirst</w:t>
      </w:r>
      <w:proofErr w:type="spellEnd"/>
      <w:r w:rsidRPr="00A14137">
        <w:rPr>
          <w:sz w:val="20"/>
          <w:szCs w:val="20"/>
        </w:rPr>
        <w:t xml:space="preserve"> (Ont.) (Civil) (By Leave)</w:t>
      </w:r>
      <w:r w:rsidRPr="005006AB">
        <w:rPr>
          <w:sz w:val="20"/>
          <w:szCs w:val="20"/>
        </w:rPr>
        <w:t xml:space="preserve"> </w:t>
      </w:r>
      <w:r w:rsidR="002E2327" w:rsidRPr="005006AB">
        <w:rPr>
          <w:sz w:val="20"/>
          <w:szCs w:val="20"/>
        </w:rPr>
        <w:t>(3</w:t>
      </w:r>
      <w:r w:rsidR="00A14137" w:rsidRPr="005006AB">
        <w:rPr>
          <w:sz w:val="20"/>
          <w:szCs w:val="20"/>
        </w:rPr>
        <w:t>4536</w:t>
      </w:r>
      <w:r w:rsidR="002E2327" w:rsidRPr="005006AB">
        <w:rPr>
          <w:sz w:val="20"/>
          <w:szCs w:val="20"/>
        </w:rPr>
        <w:t>)</w:t>
      </w:r>
    </w:p>
    <w:p w:rsidR="00A14137" w:rsidRPr="005006AB" w:rsidRDefault="00A14137" w:rsidP="00A14137">
      <w:pPr>
        <w:pStyle w:val="ListParagraph"/>
        <w:widowControl w:val="0"/>
        <w:ind w:left="0"/>
        <w:jc w:val="both"/>
        <w:rPr>
          <w:sz w:val="20"/>
          <w:szCs w:val="20"/>
        </w:rPr>
      </w:pPr>
    </w:p>
    <w:p w:rsidR="00A14137" w:rsidRPr="005006AB" w:rsidRDefault="005006AB" w:rsidP="00C50A5C">
      <w:pPr>
        <w:pStyle w:val="ListParagraph"/>
        <w:widowControl w:val="0"/>
        <w:numPr>
          <w:ilvl w:val="0"/>
          <w:numId w:val="1"/>
        </w:numPr>
        <w:ind w:hanging="720"/>
        <w:jc w:val="both"/>
        <w:rPr>
          <w:sz w:val="20"/>
          <w:szCs w:val="20"/>
        </w:rPr>
      </w:pPr>
      <w:r w:rsidRPr="005006AB">
        <w:rPr>
          <w:i/>
          <w:sz w:val="20"/>
          <w:szCs w:val="20"/>
        </w:rPr>
        <w:t>L-</w:t>
      </w:r>
      <w:proofErr w:type="spellStart"/>
      <w:r w:rsidRPr="005006AB">
        <w:rPr>
          <w:i/>
          <w:sz w:val="20"/>
          <w:szCs w:val="20"/>
        </w:rPr>
        <w:t>Jalco</w:t>
      </w:r>
      <w:proofErr w:type="spellEnd"/>
      <w:r w:rsidRPr="005006AB">
        <w:rPr>
          <w:i/>
          <w:sz w:val="20"/>
          <w:szCs w:val="20"/>
        </w:rPr>
        <w:t xml:space="preserve"> Holdings Inc. v. Gregory Joseph Marino et al.</w:t>
      </w:r>
      <w:r w:rsidRPr="00A14137">
        <w:rPr>
          <w:sz w:val="20"/>
          <w:szCs w:val="20"/>
        </w:rPr>
        <w:t xml:space="preserve"> (Ont.) (Civil) (By Leave)</w:t>
      </w:r>
      <w:r w:rsidRPr="005006AB">
        <w:rPr>
          <w:sz w:val="20"/>
          <w:szCs w:val="20"/>
        </w:rPr>
        <w:t xml:space="preserve"> </w:t>
      </w:r>
      <w:r w:rsidR="00A14137" w:rsidRPr="005006AB">
        <w:rPr>
          <w:sz w:val="20"/>
          <w:szCs w:val="20"/>
        </w:rPr>
        <w:t>(34571)</w:t>
      </w:r>
    </w:p>
    <w:p w:rsidR="005006AB" w:rsidRDefault="005006AB">
      <w:pPr>
        <w:rPr>
          <w:sz w:val="20"/>
          <w:szCs w:val="20"/>
        </w:rPr>
      </w:pPr>
    </w:p>
    <w:p w:rsidR="005006AB" w:rsidRDefault="005006AB">
      <w:pPr>
        <w:rPr>
          <w:sz w:val="20"/>
          <w:szCs w:val="20"/>
        </w:rPr>
      </w:pPr>
      <w:r>
        <w:rPr>
          <w:sz w:val="20"/>
          <w:szCs w:val="20"/>
        </w:rPr>
        <w:br w:type="page"/>
      </w:r>
    </w:p>
    <w:p w:rsidR="00A14137" w:rsidRPr="005006AB" w:rsidRDefault="005006AB" w:rsidP="00C50A5C">
      <w:pPr>
        <w:pStyle w:val="ListParagraph"/>
        <w:widowControl w:val="0"/>
        <w:numPr>
          <w:ilvl w:val="0"/>
          <w:numId w:val="1"/>
        </w:numPr>
        <w:ind w:hanging="720"/>
        <w:jc w:val="both"/>
        <w:rPr>
          <w:sz w:val="20"/>
          <w:szCs w:val="20"/>
        </w:rPr>
      </w:pPr>
      <w:r w:rsidRPr="005006AB">
        <w:rPr>
          <w:i/>
          <w:sz w:val="20"/>
          <w:szCs w:val="20"/>
        </w:rPr>
        <w:lastRenderedPageBreak/>
        <w:t xml:space="preserve">Royal &amp; </w:t>
      </w:r>
      <w:proofErr w:type="spellStart"/>
      <w:r w:rsidRPr="005006AB">
        <w:rPr>
          <w:i/>
          <w:sz w:val="20"/>
          <w:szCs w:val="20"/>
        </w:rPr>
        <w:t>Sunalliance</w:t>
      </w:r>
      <w:proofErr w:type="spellEnd"/>
      <w:r w:rsidRPr="005006AB">
        <w:rPr>
          <w:i/>
          <w:sz w:val="20"/>
          <w:szCs w:val="20"/>
        </w:rPr>
        <w:t xml:space="preserve"> Insurance Company of Canada v. Estate of Michael Burke et al.</w:t>
      </w:r>
      <w:r w:rsidRPr="00A14137">
        <w:rPr>
          <w:sz w:val="20"/>
          <w:szCs w:val="20"/>
        </w:rPr>
        <w:t xml:space="preserve"> (N.B.) (Civil) (By</w:t>
      </w:r>
      <w:r w:rsidR="00E15EB1">
        <w:rPr>
          <w:sz w:val="20"/>
          <w:szCs w:val="20"/>
        </w:rPr>
        <w:t> </w:t>
      </w:r>
      <w:r w:rsidRPr="00A14137">
        <w:rPr>
          <w:sz w:val="20"/>
          <w:szCs w:val="20"/>
        </w:rPr>
        <w:t>Leave)</w:t>
      </w:r>
      <w:r>
        <w:rPr>
          <w:sz w:val="20"/>
          <w:szCs w:val="20"/>
        </w:rPr>
        <w:t xml:space="preserve"> </w:t>
      </w:r>
      <w:r w:rsidR="00A14137" w:rsidRPr="005006AB">
        <w:rPr>
          <w:sz w:val="20"/>
          <w:szCs w:val="20"/>
        </w:rPr>
        <w:t>(34594)</w:t>
      </w:r>
    </w:p>
    <w:p w:rsidR="00A14137" w:rsidRPr="005006AB" w:rsidRDefault="00A14137" w:rsidP="00A14137">
      <w:pPr>
        <w:pStyle w:val="ListParagraph"/>
        <w:widowControl w:val="0"/>
        <w:ind w:left="0"/>
        <w:jc w:val="both"/>
        <w:rPr>
          <w:sz w:val="20"/>
          <w:szCs w:val="20"/>
        </w:rPr>
      </w:pPr>
    </w:p>
    <w:p w:rsidR="00A14137" w:rsidRPr="00C50A5C" w:rsidRDefault="005006AB" w:rsidP="00C50A5C">
      <w:pPr>
        <w:pStyle w:val="ListParagraph"/>
        <w:widowControl w:val="0"/>
        <w:numPr>
          <w:ilvl w:val="0"/>
          <w:numId w:val="1"/>
        </w:numPr>
        <w:ind w:hanging="720"/>
        <w:jc w:val="both"/>
        <w:rPr>
          <w:sz w:val="20"/>
          <w:szCs w:val="20"/>
          <w:lang w:val="fr-CA"/>
        </w:rPr>
      </w:pPr>
      <w:r w:rsidRPr="005006AB">
        <w:rPr>
          <w:i/>
          <w:sz w:val="20"/>
          <w:szCs w:val="20"/>
          <w:lang w:val="fr-CA"/>
        </w:rPr>
        <w:t>Édith St-Pierre et autre c. Municipalité de St-Magloire</w:t>
      </w:r>
      <w:r w:rsidRPr="00A14137">
        <w:rPr>
          <w:sz w:val="20"/>
          <w:szCs w:val="20"/>
          <w:lang w:val="fr-CA"/>
        </w:rPr>
        <w:t xml:space="preserve"> (</w:t>
      </w:r>
      <w:proofErr w:type="spellStart"/>
      <w:r w:rsidRPr="00A14137">
        <w:rPr>
          <w:sz w:val="20"/>
          <w:szCs w:val="20"/>
          <w:lang w:val="fr-CA"/>
        </w:rPr>
        <w:t>Qc</w:t>
      </w:r>
      <w:proofErr w:type="spellEnd"/>
      <w:r w:rsidRPr="00A14137">
        <w:rPr>
          <w:sz w:val="20"/>
          <w:szCs w:val="20"/>
          <w:lang w:val="fr-CA"/>
        </w:rPr>
        <w:t>) (Civile) (Autorisation)</w:t>
      </w:r>
      <w:r>
        <w:rPr>
          <w:sz w:val="20"/>
          <w:szCs w:val="20"/>
          <w:lang w:val="fr-CA"/>
        </w:rPr>
        <w:t xml:space="preserve"> </w:t>
      </w:r>
      <w:r w:rsidR="00A14137">
        <w:rPr>
          <w:sz w:val="20"/>
          <w:szCs w:val="20"/>
          <w:lang w:val="fr-CA"/>
        </w:rPr>
        <w:t>(34638)</w:t>
      </w:r>
    </w:p>
    <w:p w:rsidR="002E2327" w:rsidRDefault="002E2327" w:rsidP="002E2327">
      <w:pPr>
        <w:widowControl w:val="0"/>
        <w:rPr>
          <w:sz w:val="20"/>
          <w:szCs w:val="20"/>
          <w:lang w:val="fr-CA"/>
        </w:rPr>
      </w:pPr>
    </w:p>
    <w:p w:rsidR="002E2327" w:rsidRPr="00C50A5C" w:rsidRDefault="007505E6" w:rsidP="002E2327">
      <w:pPr>
        <w:widowControl w:val="0"/>
        <w:rPr>
          <w:sz w:val="20"/>
          <w:szCs w:val="20"/>
        </w:rPr>
      </w:pPr>
      <w:r w:rsidRPr="007505E6">
        <w:rPr>
          <w:sz w:val="20"/>
          <w:szCs w:val="20"/>
        </w:rPr>
        <w:pict>
          <v:rect id="_x0000_i1034"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A6468" w:rsidRDefault="0044776A" w:rsidP="0044776A">
            <w:pPr>
              <w:keepLines/>
              <w:rPr>
                <w:szCs w:val="24"/>
                <w:lang w:val="fr-CA"/>
              </w:rPr>
            </w:pPr>
            <w:r w:rsidRPr="00BA6468">
              <w:rPr>
                <w:b/>
                <w:szCs w:val="24"/>
                <w:lang w:val="fr-CA"/>
              </w:rPr>
              <w:t>AUDIENCE ORDONNÉE</w:t>
            </w:r>
            <w:r w:rsidRPr="00BA6468">
              <w:rPr>
                <w:szCs w:val="24"/>
                <w:lang w:val="fr-CA"/>
              </w:rPr>
              <w:t xml:space="preserve"> </w:t>
            </w:r>
          </w:p>
        </w:tc>
      </w:tr>
    </w:tbl>
    <w:p w:rsidR="00A935AA" w:rsidRDefault="00A935AA" w:rsidP="0044776A">
      <w:pPr>
        <w:rPr>
          <w:b/>
          <w:sz w:val="20"/>
          <w:szCs w:val="20"/>
        </w:rPr>
      </w:pPr>
    </w:p>
    <w:p w:rsidR="000310F3" w:rsidRDefault="000310F3" w:rsidP="001B157C">
      <w:pPr>
        <w:rPr>
          <w:b/>
          <w:sz w:val="20"/>
          <w:szCs w:val="20"/>
          <w:lang w:val="fr-CA"/>
        </w:rPr>
      </w:pPr>
      <w:r>
        <w:rPr>
          <w:b/>
          <w:sz w:val="20"/>
          <w:szCs w:val="20"/>
          <w:lang w:val="fr-CA"/>
        </w:rPr>
        <w:t>MARCH 29, 2012 / LE 29 MARS 2012</w:t>
      </w:r>
    </w:p>
    <w:p w:rsidR="000310F3" w:rsidRDefault="000310F3" w:rsidP="001B15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157C" w:rsidRPr="00DD16F6" w:rsidTr="002A4AFA">
        <w:trPr>
          <w:cantSplit/>
        </w:trPr>
        <w:tc>
          <w:tcPr>
            <w:tcW w:w="1458" w:type="dxa"/>
          </w:tcPr>
          <w:p w:rsidR="001B157C" w:rsidRPr="00DD16F6" w:rsidRDefault="001B157C" w:rsidP="002A4AFA">
            <w:pPr>
              <w:rPr>
                <w:rFonts w:cs="Times New Roman"/>
                <w:sz w:val="20"/>
                <w:szCs w:val="20"/>
              </w:rPr>
            </w:pPr>
            <w:r>
              <w:rPr>
                <w:rStyle w:val="SCCFileNumberChar"/>
                <w:sz w:val="20"/>
                <w:szCs w:val="20"/>
              </w:rPr>
              <w:t>3452</w:t>
            </w:r>
            <w:r w:rsidR="000310F3">
              <w:rPr>
                <w:rStyle w:val="SCCFileNumberChar"/>
                <w:sz w:val="20"/>
                <w:szCs w:val="20"/>
              </w:rPr>
              <w:t>4</w:t>
            </w:r>
          </w:p>
          <w:p w:rsidR="001B157C" w:rsidRPr="00DD16F6" w:rsidRDefault="001B157C" w:rsidP="002A4AFA">
            <w:pPr>
              <w:rPr>
                <w:rFonts w:cs="Times New Roman"/>
                <w:b/>
                <w:sz w:val="20"/>
                <w:szCs w:val="20"/>
                <w:lang w:val="fr-CA"/>
              </w:rPr>
            </w:pPr>
          </w:p>
        </w:tc>
        <w:tc>
          <w:tcPr>
            <w:tcW w:w="8118" w:type="dxa"/>
          </w:tcPr>
          <w:p w:rsidR="001B157C" w:rsidRPr="000310F3" w:rsidRDefault="000310F3" w:rsidP="002A4AFA">
            <w:pPr>
              <w:jc w:val="both"/>
              <w:rPr>
                <w:rStyle w:val="SCCLsocChar"/>
                <w:rFonts w:cs="Times New Roman"/>
                <w:sz w:val="20"/>
                <w:szCs w:val="20"/>
                <w:lang w:val="en-CA"/>
              </w:rPr>
            </w:pPr>
            <w:proofErr w:type="spellStart"/>
            <w:r>
              <w:rPr>
                <w:rFonts w:eastAsia="Calibri"/>
                <w:b/>
                <w:sz w:val="20"/>
                <w:u w:val="single"/>
              </w:rPr>
              <w:t>Mandeep</w:t>
            </w:r>
            <w:proofErr w:type="spellEnd"/>
            <w:r>
              <w:rPr>
                <w:rFonts w:eastAsia="Calibri"/>
                <w:b/>
                <w:sz w:val="20"/>
                <w:u w:val="single"/>
              </w:rPr>
              <w:t xml:space="preserve"> Singh </w:t>
            </w:r>
            <w:proofErr w:type="spellStart"/>
            <w:r>
              <w:rPr>
                <w:rFonts w:eastAsia="Calibri"/>
                <w:b/>
                <w:sz w:val="20"/>
                <w:u w:val="single"/>
              </w:rPr>
              <w:t>Chehil</w:t>
            </w:r>
            <w:proofErr w:type="spellEnd"/>
            <w:r>
              <w:rPr>
                <w:rFonts w:eastAsia="Calibri"/>
                <w:b/>
                <w:sz w:val="20"/>
                <w:u w:val="single"/>
              </w:rPr>
              <w:t xml:space="preserve"> v. Her</w:t>
            </w:r>
            <w:r w:rsidR="001B157C" w:rsidRPr="005A0423">
              <w:rPr>
                <w:rFonts w:eastAsia="Calibri"/>
                <w:b/>
                <w:sz w:val="20"/>
                <w:u w:val="single"/>
              </w:rPr>
              <w:t xml:space="preserve"> Majesty the Queen</w:t>
            </w:r>
            <w:r w:rsidR="001B157C">
              <w:rPr>
                <w:rFonts w:eastAsia="Calibri"/>
                <w:b/>
                <w:sz w:val="20"/>
              </w:rPr>
              <w:t xml:space="preserve"> </w:t>
            </w:r>
            <w:r w:rsidR="001B157C" w:rsidRPr="00EA4785">
              <w:rPr>
                <w:rFonts w:eastAsia="Calibri"/>
                <w:sz w:val="20"/>
              </w:rPr>
              <w:t>(</w:t>
            </w:r>
            <w:r>
              <w:rPr>
                <w:rFonts w:eastAsia="Calibri"/>
                <w:sz w:val="20"/>
              </w:rPr>
              <w:t>N.S</w:t>
            </w:r>
            <w:r w:rsidR="001B157C" w:rsidRPr="00EA4785">
              <w:rPr>
                <w:rFonts w:eastAsia="Calibri"/>
                <w:sz w:val="20"/>
              </w:rPr>
              <w:t>.) (Criminal) (By Leave)</w:t>
            </w:r>
          </w:p>
          <w:p w:rsidR="001B157C" w:rsidRPr="00DD16F6" w:rsidRDefault="001B157C" w:rsidP="002A4AFA">
            <w:pPr>
              <w:rPr>
                <w:rFonts w:cs="Times New Roman"/>
                <w:sz w:val="20"/>
                <w:szCs w:val="20"/>
              </w:rPr>
            </w:pPr>
          </w:p>
        </w:tc>
      </w:tr>
      <w:tr w:rsidR="001B157C" w:rsidRPr="00DD16F6" w:rsidTr="002A4AFA">
        <w:trPr>
          <w:cantSplit/>
        </w:trPr>
        <w:tc>
          <w:tcPr>
            <w:tcW w:w="1458" w:type="dxa"/>
          </w:tcPr>
          <w:p w:rsidR="001B157C" w:rsidRPr="00DD16F6" w:rsidRDefault="001B157C" w:rsidP="002A4AFA">
            <w:pPr>
              <w:rPr>
                <w:rFonts w:cs="Times New Roman"/>
                <w:sz w:val="20"/>
                <w:szCs w:val="20"/>
              </w:rPr>
            </w:pPr>
            <w:r w:rsidRPr="00DD16F6">
              <w:rPr>
                <w:rFonts w:cs="Times New Roman"/>
                <w:sz w:val="20"/>
                <w:szCs w:val="20"/>
              </w:rPr>
              <w:t>Coram :</w:t>
            </w:r>
          </w:p>
        </w:tc>
        <w:tc>
          <w:tcPr>
            <w:tcW w:w="8118" w:type="dxa"/>
          </w:tcPr>
          <w:p w:rsidR="001B157C" w:rsidRPr="00DD16F6" w:rsidRDefault="001B157C" w:rsidP="002A4AFA">
            <w:pPr>
              <w:rPr>
                <w:rFonts w:cs="Times New Roman"/>
                <w:sz w:val="20"/>
                <w:szCs w:val="20"/>
              </w:rPr>
            </w:pPr>
            <w:proofErr w:type="spellStart"/>
            <w:r w:rsidRPr="001B157C">
              <w:rPr>
                <w:rStyle w:val="SCCCoramChar"/>
                <w:rFonts w:cs="Times New Roman"/>
                <w:sz w:val="20"/>
                <w:szCs w:val="20"/>
                <w:lang w:val="en-CA"/>
              </w:rPr>
              <w:t>McLachlin</w:t>
            </w:r>
            <w:proofErr w:type="spellEnd"/>
            <w:r w:rsidRPr="001B157C">
              <w:rPr>
                <w:rStyle w:val="SCCCoramChar"/>
                <w:rFonts w:cs="Times New Roman"/>
                <w:sz w:val="20"/>
                <w:szCs w:val="20"/>
                <w:lang w:val="en-CA"/>
              </w:rPr>
              <w:t xml:space="preserve"> C.J. and </w:t>
            </w:r>
            <w:proofErr w:type="spellStart"/>
            <w:r w:rsidRPr="001B157C">
              <w:rPr>
                <w:rStyle w:val="SCCCoramChar"/>
                <w:rFonts w:cs="Times New Roman"/>
                <w:sz w:val="20"/>
                <w:szCs w:val="20"/>
                <w:lang w:val="en-CA"/>
              </w:rPr>
              <w:t>Deschamps</w:t>
            </w:r>
            <w:proofErr w:type="spellEnd"/>
            <w:r w:rsidRPr="001B157C">
              <w:rPr>
                <w:rStyle w:val="SCCCoramChar"/>
                <w:rFonts w:cs="Times New Roman"/>
                <w:sz w:val="20"/>
                <w:szCs w:val="20"/>
                <w:lang w:val="en-CA"/>
              </w:rPr>
              <w:t xml:space="preserve"> and </w:t>
            </w:r>
            <w:r w:rsidR="000310F3">
              <w:rPr>
                <w:rStyle w:val="SCCCoramChar"/>
                <w:rFonts w:cs="Times New Roman"/>
                <w:sz w:val="20"/>
                <w:szCs w:val="20"/>
                <w:lang w:val="en-CA"/>
              </w:rPr>
              <w:t>Cromwell</w:t>
            </w:r>
            <w:r w:rsidRPr="001B157C">
              <w:rPr>
                <w:rStyle w:val="SCCCoramChar"/>
                <w:rFonts w:cs="Times New Roman"/>
                <w:sz w:val="20"/>
                <w:szCs w:val="20"/>
                <w:lang w:val="en-CA"/>
              </w:rPr>
              <w:t> JJ.</w:t>
            </w:r>
          </w:p>
          <w:p w:rsidR="001B157C" w:rsidRPr="00DD16F6" w:rsidRDefault="001B157C" w:rsidP="002A4AFA">
            <w:pPr>
              <w:rPr>
                <w:rFonts w:cs="Times New Roman"/>
                <w:sz w:val="20"/>
                <w:szCs w:val="20"/>
                <w:u w:val="single"/>
              </w:rPr>
            </w:pPr>
          </w:p>
        </w:tc>
      </w:tr>
      <w:tr w:rsidR="001B157C" w:rsidRPr="000310F3" w:rsidTr="002A4AFA">
        <w:trPr>
          <w:cantSplit/>
        </w:trPr>
        <w:tc>
          <w:tcPr>
            <w:tcW w:w="9576" w:type="dxa"/>
            <w:gridSpan w:val="2"/>
          </w:tcPr>
          <w:p w:rsidR="001B157C" w:rsidRPr="003E019A" w:rsidRDefault="000310F3" w:rsidP="000310F3">
            <w:pPr>
              <w:pStyle w:val="SCCShortJudgment"/>
              <w:rPr>
                <w:rFonts w:cs="Times New Roman"/>
                <w:szCs w:val="20"/>
                <w:lang w:val="fr-CA"/>
              </w:rPr>
            </w:pPr>
            <w:r w:rsidRPr="00983F47">
              <w:rPr>
                <w:szCs w:val="20"/>
              </w:rPr>
              <w:t xml:space="preserve">The request for an oral hearing of the application for leave to appeal from the judgment of the of the Nova Scotia Court of Appeal, Number CAC 339413, 2011 NSCA 82, dated September 16, 2011 is granted.   </w:t>
            </w:r>
            <w:r w:rsidRPr="00DA20EC">
              <w:rPr>
                <w:szCs w:val="20"/>
                <w:lang w:val="fr-CA"/>
              </w:rPr>
              <w:t xml:space="preserve">The </w:t>
            </w:r>
            <w:proofErr w:type="spellStart"/>
            <w:r w:rsidRPr="00DA20EC">
              <w:rPr>
                <w:szCs w:val="20"/>
                <w:lang w:val="fr-CA"/>
              </w:rPr>
              <w:t>hearing</w:t>
            </w:r>
            <w:proofErr w:type="spellEnd"/>
            <w:r w:rsidRPr="00DA20EC">
              <w:rPr>
                <w:szCs w:val="20"/>
                <w:lang w:val="fr-CA"/>
              </w:rPr>
              <w:t xml:space="preserve"> </w:t>
            </w:r>
            <w:proofErr w:type="spellStart"/>
            <w:r w:rsidRPr="00DA20EC">
              <w:rPr>
                <w:szCs w:val="20"/>
                <w:lang w:val="fr-CA"/>
              </w:rPr>
              <w:t>is</w:t>
            </w:r>
            <w:proofErr w:type="spellEnd"/>
            <w:r w:rsidRPr="00DA20EC">
              <w:rPr>
                <w:szCs w:val="20"/>
                <w:lang w:val="fr-CA"/>
              </w:rPr>
              <w:t xml:space="preserve"> </w:t>
            </w:r>
            <w:proofErr w:type="spellStart"/>
            <w:r w:rsidRPr="00DA20EC">
              <w:rPr>
                <w:szCs w:val="20"/>
                <w:lang w:val="fr-CA"/>
              </w:rPr>
              <w:t>scheduled</w:t>
            </w:r>
            <w:proofErr w:type="spellEnd"/>
            <w:r w:rsidRPr="00DA20EC">
              <w:rPr>
                <w:szCs w:val="20"/>
                <w:lang w:val="fr-CA"/>
              </w:rPr>
              <w:t xml:space="preserve"> for May 7, 2012.</w:t>
            </w:r>
          </w:p>
          <w:p w:rsidR="001B157C" w:rsidRPr="003E019A" w:rsidRDefault="001B157C" w:rsidP="002A4AFA">
            <w:pPr>
              <w:pStyle w:val="SCCShortJudgment"/>
              <w:ind w:firstLine="0"/>
              <w:rPr>
                <w:rFonts w:cs="Times New Roman"/>
                <w:szCs w:val="20"/>
                <w:lang w:val="fr-CA"/>
              </w:rPr>
            </w:pPr>
          </w:p>
          <w:p w:rsidR="001B157C" w:rsidRPr="00DD16F6" w:rsidRDefault="000310F3" w:rsidP="000310F3">
            <w:pPr>
              <w:pStyle w:val="SCCShortJudgment"/>
              <w:rPr>
                <w:rFonts w:cs="Times New Roman"/>
                <w:szCs w:val="20"/>
                <w:lang w:val="fr-CA"/>
              </w:rPr>
            </w:pPr>
            <w:r w:rsidRPr="00983F47">
              <w:rPr>
                <w:szCs w:val="20"/>
                <w:lang w:val="fr-CA"/>
              </w:rPr>
              <w:t>La demande pour la tenue d’une audience de la demande d’autorisation d’appel de l’arrêt de la Cour d’appel de la Nouvelle-Écosse, numéro CAC 339413, 2011 NSCA 82, daté du 16 septembre 2011, est accueillie. L’audition est prévue pour le 7 mai 2012.</w:t>
            </w:r>
          </w:p>
        </w:tc>
      </w:tr>
    </w:tbl>
    <w:p w:rsidR="001B157C" w:rsidRDefault="001B157C" w:rsidP="001B157C">
      <w:pPr>
        <w:rPr>
          <w:sz w:val="20"/>
          <w:szCs w:val="20"/>
          <w:lang w:val="fr-CA"/>
        </w:rPr>
      </w:pPr>
    </w:p>
    <w:p w:rsidR="001B157C" w:rsidRPr="000D61DC" w:rsidRDefault="001B157C" w:rsidP="001B157C">
      <w:pPr>
        <w:rPr>
          <w:sz w:val="20"/>
          <w:szCs w:val="20"/>
          <w:u w:val="single"/>
        </w:rPr>
      </w:pPr>
      <w:r w:rsidRPr="000D61DC">
        <w:rPr>
          <w:sz w:val="20"/>
          <w:szCs w:val="20"/>
          <w:u w:val="single"/>
        </w:rPr>
        <w:t>CASE SUMMARY</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4E01F6" w:rsidRPr="00B32C06" w:rsidTr="000A4857">
        <w:tc>
          <w:tcPr>
            <w:tcW w:w="5000" w:type="pct"/>
            <w:gridSpan w:val="3"/>
          </w:tcPr>
          <w:p w:rsidR="004E01F6" w:rsidRPr="00B32C06" w:rsidRDefault="004E01F6" w:rsidP="000A4857">
            <w:pPr>
              <w:jc w:val="both"/>
              <w:rPr>
                <w:rFonts w:eastAsia="Calibri"/>
                <w:sz w:val="20"/>
                <w:szCs w:val="20"/>
              </w:rPr>
            </w:pPr>
            <w:r w:rsidRPr="00B32C06">
              <w:rPr>
                <w:rFonts w:eastAsia="Calibri"/>
                <w:i/>
                <w:sz w:val="20"/>
                <w:szCs w:val="20"/>
              </w:rPr>
              <w:t xml:space="preserve">Charter of Rights and Freedoms </w:t>
            </w:r>
            <w:r w:rsidRPr="00B32C06">
              <w:rPr>
                <w:rFonts w:eastAsia="Calibri"/>
                <w:sz w:val="20"/>
                <w:szCs w:val="20"/>
              </w:rPr>
              <w:t xml:space="preserve">– Search and seizure – Freedom from unreasonable search and seizure – Sniff search of suitcase by sniffer-dog led to discovery of drugs - Whether the jurisprudence is inconsistent regarding the meaning of “objectively reasonable suspicion” – What factors should be considered when deciding if there is a “reasonable suspicion” of criminal activity that justifies the use of a sniffer dog - What standards should be applied by the courts when considering the reliability of a police sniffer-dog - Whether there are issues of public importance raised – ss. 7, 8 and 9 of the </w:t>
            </w:r>
            <w:r w:rsidRPr="00B32C06">
              <w:rPr>
                <w:rFonts w:eastAsia="Calibri"/>
                <w:i/>
                <w:sz w:val="20"/>
                <w:szCs w:val="20"/>
              </w:rPr>
              <w:t>Charter</w:t>
            </w:r>
            <w:r w:rsidRPr="00B32C06">
              <w:rPr>
                <w:rFonts w:eastAsia="Calibri"/>
                <w:sz w:val="20"/>
                <w:szCs w:val="20"/>
              </w:rPr>
              <w:t xml:space="preserve">. </w:t>
            </w:r>
          </w:p>
          <w:p w:rsidR="004E01F6" w:rsidRPr="00B32C06" w:rsidRDefault="004E01F6" w:rsidP="000A4857">
            <w:pPr>
              <w:jc w:val="both"/>
              <w:rPr>
                <w:rFonts w:eastAsia="Calibri"/>
                <w:sz w:val="20"/>
                <w:szCs w:val="20"/>
              </w:rPr>
            </w:pPr>
          </w:p>
        </w:tc>
      </w:tr>
      <w:tr w:rsidR="004E01F6" w:rsidRPr="00B32C06" w:rsidTr="000A4857">
        <w:tc>
          <w:tcPr>
            <w:tcW w:w="5000" w:type="pct"/>
            <w:gridSpan w:val="3"/>
          </w:tcPr>
          <w:p w:rsidR="004E01F6" w:rsidRPr="00B32C06" w:rsidRDefault="004E01F6" w:rsidP="000A4857">
            <w:pPr>
              <w:jc w:val="both"/>
              <w:rPr>
                <w:rFonts w:eastAsia="Calibri"/>
                <w:sz w:val="20"/>
                <w:szCs w:val="20"/>
              </w:rPr>
            </w:pPr>
            <w:r w:rsidRPr="00B32C06">
              <w:rPr>
                <w:rFonts w:eastAsia="Calibri"/>
                <w:sz w:val="20"/>
                <w:szCs w:val="20"/>
              </w:rPr>
              <w:t xml:space="preserve">The applicant, Mr. </w:t>
            </w:r>
            <w:proofErr w:type="spellStart"/>
            <w:r w:rsidRPr="00B32C06">
              <w:rPr>
                <w:rFonts w:eastAsia="Calibri"/>
                <w:sz w:val="20"/>
                <w:szCs w:val="20"/>
              </w:rPr>
              <w:t>Chehil</w:t>
            </w:r>
            <w:proofErr w:type="spellEnd"/>
            <w:r w:rsidRPr="00B32C06">
              <w:rPr>
                <w:rFonts w:eastAsia="Calibri"/>
                <w:sz w:val="20"/>
                <w:szCs w:val="20"/>
              </w:rPr>
              <w:t xml:space="preserve">, was charged with possession of cocaine for the purpose of trafficking. The police examined, as part of a program designed to curtail drug traffickers, the </w:t>
            </w:r>
            <w:proofErr w:type="spellStart"/>
            <w:r w:rsidRPr="00B32C06">
              <w:rPr>
                <w:rFonts w:eastAsia="Calibri"/>
                <w:sz w:val="20"/>
                <w:szCs w:val="20"/>
              </w:rPr>
              <w:t>Westjet</w:t>
            </w:r>
            <w:proofErr w:type="spellEnd"/>
            <w:r w:rsidRPr="00B32C06">
              <w:rPr>
                <w:rFonts w:eastAsia="Calibri"/>
                <w:sz w:val="20"/>
                <w:szCs w:val="20"/>
              </w:rPr>
              <w:t xml:space="preserve"> passenger manifest for arriving flights, and identified Mr. </w:t>
            </w:r>
            <w:proofErr w:type="spellStart"/>
            <w:r w:rsidRPr="00B32C06">
              <w:rPr>
                <w:rFonts w:eastAsia="Calibri"/>
                <w:sz w:val="20"/>
                <w:szCs w:val="20"/>
              </w:rPr>
              <w:t>Chehil</w:t>
            </w:r>
            <w:proofErr w:type="spellEnd"/>
            <w:r w:rsidRPr="00B32C06">
              <w:rPr>
                <w:rFonts w:eastAsia="Calibri"/>
                <w:sz w:val="20"/>
                <w:szCs w:val="20"/>
              </w:rPr>
              <w:t xml:space="preserve"> as having made the last or near last purchase of a one-way ticket from Vancouver to Halifax. It was an overnight flight. Mr. </w:t>
            </w:r>
            <w:proofErr w:type="spellStart"/>
            <w:proofErr w:type="gramStart"/>
            <w:r w:rsidRPr="00B32C06">
              <w:rPr>
                <w:rFonts w:eastAsia="Calibri"/>
                <w:sz w:val="20"/>
                <w:szCs w:val="20"/>
              </w:rPr>
              <w:t>Chehil</w:t>
            </w:r>
            <w:proofErr w:type="spellEnd"/>
            <w:r w:rsidRPr="00B32C06">
              <w:rPr>
                <w:rFonts w:eastAsia="Calibri"/>
                <w:sz w:val="20"/>
                <w:szCs w:val="20"/>
              </w:rPr>
              <w:t xml:space="preserve">  paid</w:t>
            </w:r>
            <w:proofErr w:type="gramEnd"/>
            <w:r w:rsidRPr="00B32C06">
              <w:rPr>
                <w:rFonts w:eastAsia="Calibri"/>
                <w:sz w:val="20"/>
                <w:szCs w:val="20"/>
              </w:rPr>
              <w:t xml:space="preserve"> by cash and had one relatively new suitcase that was locked. The police had a police sniffer dog smell Mr. </w:t>
            </w:r>
            <w:proofErr w:type="spellStart"/>
            <w:r w:rsidRPr="00B32C06">
              <w:rPr>
                <w:rFonts w:eastAsia="Calibri"/>
                <w:sz w:val="20"/>
                <w:szCs w:val="20"/>
              </w:rPr>
              <w:t>Chehil’s</w:t>
            </w:r>
            <w:proofErr w:type="spellEnd"/>
            <w:r w:rsidRPr="00B32C06">
              <w:rPr>
                <w:rFonts w:eastAsia="Calibri"/>
                <w:sz w:val="20"/>
                <w:szCs w:val="20"/>
              </w:rPr>
              <w:t xml:space="preserve"> suitcase, which was identified by the dog as containing narcotics. The dog also erroneously identified a cooler as containing drugs. After Mr. </w:t>
            </w:r>
            <w:proofErr w:type="spellStart"/>
            <w:r w:rsidRPr="00B32C06">
              <w:rPr>
                <w:rFonts w:eastAsia="Calibri"/>
                <w:sz w:val="20"/>
                <w:szCs w:val="20"/>
              </w:rPr>
              <w:t>Chehil</w:t>
            </w:r>
            <w:proofErr w:type="spellEnd"/>
            <w:r w:rsidRPr="00B32C06">
              <w:rPr>
                <w:rFonts w:eastAsia="Calibri"/>
                <w:sz w:val="20"/>
                <w:szCs w:val="20"/>
              </w:rPr>
              <w:t xml:space="preserve"> retrieved the suitcase from the carousel, an officer engaged him in conversation and arrested him for possession of a controlled substance. The officer opened Mr. </w:t>
            </w:r>
            <w:proofErr w:type="spellStart"/>
            <w:r w:rsidRPr="00B32C06">
              <w:rPr>
                <w:rFonts w:eastAsia="Calibri"/>
                <w:sz w:val="20"/>
                <w:szCs w:val="20"/>
              </w:rPr>
              <w:t>Chehil’s</w:t>
            </w:r>
            <w:proofErr w:type="spellEnd"/>
            <w:r w:rsidRPr="00B32C06">
              <w:rPr>
                <w:rFonts w:eastAsia="Calibri"/>
                <w:sz w:val="20"/>
                <w:szCs w:val="20"/>
              </w:rPr>
              <w:t xml:space="preserve"> suitcase without his consent, and discovered a knapsack containing three kilograms of cocaine. On the </w:t>
            </w:r>
            <w:proofErr w:type="spellStart"/>
            <w:r w:rsidRPr="00B32C06">
              <w:rPr>
                <w:rFonts w:eastAsia="Calibri"/>
                <w:i/>
                <w:sz w:val="20"/>
                <w:szCs w:val="20"/>
              </w:rPr>
              <w:t>voir</w:t>
            </w:r>
            <w:proofErr w:type="spellEnd"/>
            <w:r w:rsidRPr="00B32C06">
              <w:rPr>
                <w:rFonts w:eastAsia="Calibri"/>
                <w:i/>
                <w:sz w:val="20"/>
                <w:szCs w:val="20"/>
              </w:rPr>
              <w:t xml:space="preserve"> dire</w:t>
            </w:r>
            <w:r w:rsidRPr="00B32C06">
              <w:rPr>
                <w:rFonts w:eastAsia="Calibri"/>
                <w:sz w:val="20"/>
                <w:szCs w:val="20"/>
              </w:rPr>
              <w:t xml:space="preserve"> ruling, the judge held that the search violated Mr. </w:t>
            </w:r>
            <w:proofErr w:type="spellStart"/>
            <w:r w:rsidRPr="00B32C06">
              <w:rPr>
                <w:rFonts w:eastAsia="Calibri"/>
                <w:sz w:val="20"/>
                <w:szCs w:val="20"/>
              </w:rPr>
              <w:t>Chehil’s</w:t>
            </w:r>
            <w:proofErr w:type="spellEnd"/>
            <w:r w:rsidRPr="00B32C06">
              <w:rPr>
                <w:rFonts w:eastAsia="Calibri"/>
                <w:sz w:val="20"/>
                <w:szCs w:val="20"/>
              </w:rPr>
              <w:t xml:space="preserve"> </w:t>
            </w:r>
            <w:r w:rsidRPr="00B32C06">
              <w:rPr>
                <w:rFonts w:eastAsia="Calibri"/>
                <w:i/>
                <w:sz w:val="20"/>
                <w:szCs w:val="20"/>
              </w:rPr>
              <w:t>Charter</w:t>
            </w:r>
            <w:r w:rsidRPr="00B32C06">
              <w:rPr>
                <w:rFonts w:eastAsia="Calibri"/>
                <w:sz w:val="20"/>
                <w:szCs w:val="20"/>
              </w:rPr>
              <w:t xml:space="preserve"> rights and the evidence was ruled inadmissible, resulting in an acquittal. The Court of Appeal allowed the appeal and ordered a new trial.</w:t>
            </w:r>
          </w:p>
          <w:p w:rsidR="004E01F6" w:rsidRPr="00B32C06" w:rsidRDefault="004E01F6" w:rsidP="000A4857">
            <w:pPr>
              <w:jc w:val="both"/>
              <w:rPr>
                <w:rFonts w:eastAsia="Calibri"/>
                <w:sz w:val="20"/>
                <w:szCs w:val="20"/>
              </w:rPr>
            </w:pPr>
          </w:p>
        </w:tc>
      </w:tr>
      <w:tr w:rsidR="004E01F6" w:rsidRPr="00B32C06" w:rsidTr="000A4857">
        <w:tc>
          <w:tcPr>
            <w:tcW w:w="2427" w:type="pct"/>
          </w:tcPr>
          <w:p w:rsidR="004E01F6" w:rsidRPr="00B32C06" w:rsidRDefault="004E01F6" w:rsidP="000A4857">
            <w:pPr>
              <w:jc w:val="both"/>
              <w:rPr>
                <w:rFonts w:eastAsia="Calibri"/>
                <w:sz w:val="20"/>
                <w:szCs w:val="20"/>
              </w:rPr>
            </w:pPr>
            <w:r w:rsidRPr="00B32C06">
              <w:rPr>
                <w:rFonts w:eastAsia="Calibri"/>
                <w:sz w:val="20"/>
                <w:szCs w:val="20"/>
              </w:rPr>
              <w:t>August 26, 2010</w:t>
            </w:r>
          </w:p>
          <w:p w:rsidR="004E01F6" w:rsidRPr="00B32C06" w:rsidRDefault="004E01F6" w:rsidP="000A4857">
            <w:pPr>
              <w:jc w:val="both"/>
              <w:rPr>
                <w:rFonts w:eastAsia="Calibri"/>
                <w:sz w:val="20"/>
                <w:szCs w:val="20"/>
              </w:rPr>
            </w:pPr>
            <w:r w:rsidRPr="00B32C06">
              <w:rPr>
                <w:rFonts w:eastAsia="Calibri"/>
                <w:sz w:val="20"/>
                <w:szCs w:val="20"/>
              </w:rPr>
              <w:t>Supreme Court of Nova Scotia, Trial Division</w:t>
            </w:r>
          </w:p>
          <w:p w:rsidR="004E01F6" w:rsidRPr="00B32C06" w:rsidRDefault="004E01F6" w:rsidP="000A4857">
            <w:pPr>
              <w:jc w:val="both"/>
              <w:rPr>
                <w:rFonts w:eastAsia="Calibri"/>
                <w:sz w:val="20"/>
                <w:szCs w:val="20"/>
              </w:rPr>
            </w:pPr>
            <w:r w:rsidRPr="00B32C06">
              <w:rPr>
                <w:rFonts w:eastAsia="Calibri"/>
                <w:sz w:val="20"/>
                <w:szCs w:val="20"/>
              </w:rPr>
              <w:t>(</w:t>
            </w:r>
            <w:proofErr w:type="spellStart"/>
            <w:r w:rsidRPr="00B32C06">
              <w:rPr>
                <w:rFonts w:eastAsia="Calibri"/>
                <w:sz w:val="20"/>
                <w:szCs w:val="20"/>
              </w:rPr>
              <w:t>Cacchione</w:t>
            </w:r>
            <w:proofErr w:type="spellEnd"/>
            <w:r w:rsidRPr="00B32C06">
              <w:rPr>
                <w:rFonts w:eastAsia="Calibri"/>
                <w:sz w:val="20"/>
                <w:szCs w:val="20"/>
              </w:rPr>
              <w:t xml:space="preserve"> J.)</w:t>
            </w:r>
          </w:p>
          <w:p w:rsidR="004E01F6" w:rsidRPr="00B32C06" w:rsidRDefault="004E01F6" w:rsidP="000A4857">
            <w:pPr>
              <w:jc w:val="both"/>
              <w:rPr>
                <w:rFonts w:eastAsia="Calibri"/>
                <w:sz w:val="20"/>
                <w:szCs w:val="20"/>
              </w:rPr>
            </w:pPr>
          </w:p>
        </w:tc>
        <w:tc>
          <w:tcPr>
            <w:tcW w:w="243" w:type="pct"/>
          </w:tcPr>
          <w:p w:rsidR="004E01F6" w:rsidRPr="00B32C06" w:rsidRDefault="004E01F6" w:rsidP="000A4857">
            <w:pPr>
              <w:jc w:val="both"/>
              <w:rPr>
                <w:rFonts w:eastAsia="Calibri"/>
                <w:sz w:val="20"/>
                <w:szCs w:val="20"/>
              </w:rPr>
            </w:pPr>
          </w:p>
        </w:tc>
        <w:tc>
          <w:tcPr>
            <w:tcW w:w="2330" w:type="pct"/>
          </w:tcPr>
          <w:p w:rsidR="004E01F6" w:rsidRPr="00B32C06" w:rsidRDefault="004E01F6" w:rsidP="000A4857">
            <w:pPr>
              <w:jc w:val="both"/>
              <w:rPr>
                <w:rFonts w:eastAsia="Calibri"/>
                <w:sz w:val="20"/>
                <w:szCs w:val="20"/>
              </w:rPr>
            </w:pPr>
            <w:r w:rsidRPr="00B32C06">
              <w:rPr>
                <w:rFonts w:eastAsia="Calibri"/>
                <w:sz w:val="20"/>
                <w:szCs w:val="20"/>
              </w:rPr>
              <w:t xml:space="preserve">Acquittal entered for possession for the purpose of trafficking; rights under ss. 7, 8 and 9 </w:t>
            </w:r>
            <w:r w:rsidRPr="00B32C06">
              <w:rPr>
                <w:rFonts w:eastAsia="Calibri"/>
                <w:i/>
                <w:sz w:val="20"/>
                <w:szCs w:val="20"/>
              </w:rPr>
              <w:t>Charter</w:t>
            </w:r>
            <w:r w:rsidRPr="00B32C06">
              <w:rPr>
                <w:rFonts w:eastAsia="Calibri"/>
                <w:sz w:val="20"/>
                <w:szCs w:val="20"/>
              </w:rPr>
              <w:t xml:space="preserve"> infringed; evidence excluded pursuant to s. 24(2) of the </w:t>
            </w:r>
            <w:r w:rsidRPr="00B32C06">
              <w:rPr>
                <w:rFonts w:eastAsia="Calibri"/>
                <w:i/>
                <w:sz w:val="20"/>
                <w:szCs w:val="20"/>
              </w:rPr>
              <w:t>Charter</w:t>
            </w:r>
          </w:p>
          <w:p w:rsidR="004E01F6" w:rsidRPr="00B32C06" w:rsidRDefault="004E01F6" w:rsidP="000A4857">
            <w:pPr>
              <w:jc w:val="both"/>
              <w:rPr>
                <w:rFonts w:eastAsia="Calibri"/>
                <w:sz w:val="20"/>
                <w:szCs w:val="20"/>
              </w:rPr>
            </w:pPr>
          </w:p>
        </w:tc>
      </w:tr>
      <w:tr w:rsidR="004E01F6" w:rsidRPr="00B32C06" w:rsidTr="000A4857">
        <w:tc>
          <w:tcPr>
            <w:tcW w:w="2427" w:type="pct"/>
          </w:tcPr>
          <w:p w:rsidR="004E01F6" w:rsidRPr="00B32C06" w:rsidRDefault="004E01F6" w:rsidP="000A4857">
            <w:pPr>
              <w:jc w:val="both"/>
              <w:rPr>
                <w:rFonts w:eastAsia="Calibri"/>
                <w:sz w:val="20"/>
                <w:szCs w:val="20"/>
              </w:rPr>
            </w:pPr>
            <w:r w:rsidRPr="00B32C06">
              <w:rPr>
                <w:rFonts w:eastAsia="Calibri"/>
                <w:sz w:val="20"/>
                <w:szCs w:val="20"/>
              </w:rPr>
              <w:t>September 16, 2011</w:t>
            </w:r>
          </w:p>
          <w:p w:rsidR="004E01F6" w:rsidRPr="00B32C06" w:rsidRDefault="004E01F6" w:rsidP="000A4857">
            <w:pPr>
              <w:jc w:val="both"/>
              <w:rPr>
                <w:rFonts w:eastAsia="Calibri"/>
                <w:sz w:val="20"/>
                <w:szCs w:val="20"/>
              </w:rPr>
            </w:pPr>
            <w:r w:rsidRPr="00B32C06">
              <w:rPr>
                <w:rFonts w:eastAsia="Calibri"/>
                <w:sz w:val="20"/>
                <w:szCs w:val="20"/>
              </w:rPr>
              <w:t>Nova Scotia Court of Appeal</w:t>
            </w:r>
          </w:p>
          <w:p w:rsidR="004E01F6" w:rsidRPr="00B32C06" w:rsidRDefault="004E01F6" w:rsidP="000A4857">
            <w:pPr>
              <w:jc w:val="both"/>
              <w:rPr>
                <w:rFonts w:eastAsia="Calibri"/>
                <w:sz w:val="20"/>
                <w:szCs w:val="20"/>
              </w:rPr>
            </w:pPr>
            <w:r w:rsidRPr="00B32C06">
              <w:rPr>
                <w:rFonts w:eastAsia="Calibri"/>
                <w:sz w:val="20"/>
                <w:szCs w:val="20"/>
              </w:rPr>
              <w:t>(MacDonald C.J., Saunders and Farrar JJ.A.)</w:t>
            </w:r>
          </w:p>
          <w:p w:rsidR="004E01F6" w:rsidRPr="00B32C06" w:rsidRDefault="004E01F6" w:rsidP="000A4857">
            <w:pPr>
              <w:jc w:val="both"/>
              <w:rPr>
                <w:rFonts w:eastAsia="Calibri"/>
                <w:sz w:val="20"/>
                <w:szCs w:val="20"/>
              </w:rPr>
            </w:pPr>
            <w:r w:rsidRPr="00B32C06">
              <w:rPr>
                <w:rFonts w:eastAsia="Calibri"/>
                <w:sz w:val="20"/>
                <w:szCs w:val="20"/>
              </w:rPr>
              <w:t>Neutral citation: 2011 NSCA 82</w:t>
            </w:r>
          </w:p>
          <w:p w:rsidR="004E01F6" w:rsidRPr="00B32C06" w:rsidRDefault="004E01F6" w:rsidP="000A4857">
            <w:pPr>
              <w:jc w:val="both"/>
              <w:rPr>
                <w:rFonts w:eastAsia="Calibri"/>
                <w:sz w:val="20"/>
                <w:szCs w:val="20"/>
              </w:rPr>
            </w:pPr>
          </w:p>
        </w:tc>
        <w:tc>
          <w:tcPr>
            <w:tcW w:w="243" w:type="pct"/>
          </w:tcPr>
          <w:p w:rsidR="004E01F6" w:rsidRPr="00B32C06" w:rsidRDefault="004E01F6" w:rsidP="000A4857">
            <w:pPr>
              <w:jc w:val="both"/>
              <w:rPr>
                <w:rFonts w:eastAsia="Calibri"/>
                <w:sz w:val="20"/>
                <w:szCs w:val="20"/>
              </w:rPr>
            </w:pPr>
          </w:p>
        </w:tc>
        <w:tc>
          <w:tcPr>
            <w:tcW w:w="2330" w:type="pct"/>
          </w:tcPr>
          <w:p w:rsidR="004E01F6" w:rsidRPr="00B32C06" w:rsidRDefault="004E01F6" w:rsidP="000A4857">
            <w:pPr>
              <w:jc w:val="both"/>
              <w:rPr>
                <w:rFonts w:eastAsia="Calibri"/>
                <w:sz w:val="20"/>
                <w:szCs w:val="20"/>
              </w:rPr>
            </w:pPr>
            <w:r w:rsidRPr="00B32C06">
              <w:rPr>
                <w:rFonts w:eastAsia="Calibri"/>
                <w:sz w:val="20"/>
                <w:szCs w:val="20"/>
              </w:rPr>
              <w:t xml:space="preserve">Appeal allowed; no </w:t>
            </w:r>
            <w:r w:rsidRPr="00B32C06">
              <w:rPr>
                <w:rFonts w:eastAsia="Calibri"/>
                <w:i/>
                <w:sz w:val="20"/>
                <w:szCs w:val="20"/>
              </w:rPr>
              <w:t>Charter</w:t>
            </w:r>
            <w:r w:rsidRPr="00B32C06">
              <w:rPr>
                <w:rFonts w:eastAsia="Calibri"/>
                <w:sz w:val="20"/>
                <w:szCs w:val="20"/>
              </w:rPr>
              <w:t xml:space="preserve"> breach; new trial ordered</w:t>
            </w:r>
          </w:p>
          <w:p w:rsidR="004E01F6" w:rsidRPr="00B32C06" w:rsidRDefault="004E01F6" w:rsidP="000A4857">
            <w:pPr>
              <w:jc w:val="both"/>
              <w:rPr>
                <w:rFonts w:eastAsia="Calibri"/>
                <w:sz w:val="20"/>
                <w:szCs w:val="20"/>
              </w:rPr>
            </w:pPr>
          </w:p>
        </w:tc>
      </w:tr>
      <w:tr w:rsidR="004E01F6" w:rsidRPr="00B32C06" w:rsidTr="000A4857">
        <w:tc>
          <w:tcPr>
            <w:tcW w:w="2427" w:type="pct"/>
          </w:tcPr>
          <w:p w:rsidR="004E01F6" w:rsidRPr="00B32C06" w:rsidRDefault="004E01F6" w:rsidP="000A4857">
            <w:pPr>
              <w:jc w:val="both"/>
              <w:rPr>
                <w:rFonts w:eastAsia="Calibri"/>
                <w:sz w:val="20"/>
                <w:szCs w:val="20"/>
              </w:rPr>
            </w:pPr>
            <w:r w:rsidRPr="00B32C06">
              <w:rPr>
                <w:rFonts w:eastAsia="Calibri"/>
                <w:sz w:val="20"/>
                <w:szCs w:val="20"/>
              </w:rPr>
              <w:t>November 14, 2011</w:t>
            </w:r>
          </w:p>
          <w:p w:rsidR="004E01F6" w:rsidRPr="00B32C06" w:rsidRDefault="004E01F6" w:rsidP="000A4857">
            <w:pPr>
              <w:jc w:val="both"/>
              <w:rPr>
                <w:rFonts w:eastAsia="Calibri"/>
                <w:sz w:val="20"/>
                <w:szCs w:val="20"/>
              </w:rPr>
            </w:pPr>
            <w:r w:rsidRPr="00B32C06">
              <w:rPr>
                <w:rFonts w:eastAsia="Calibri"/>
                <w:sz w:val="20"/>
                <w:szCs w:val="20"/>
              </w:rPr>
              <w:t>Supreme Court of Canada</w:t>
            </w:r>
          </w:p>
        </w:tc>
        <w:tc>
          <w:tcPr>
            <w:tcW w:w="243" w:type="pct"/>
          </w:tcPr>
          <w:p w:rsidR="004E01F6" w:rsidRPr="00B32C06" w:rsidRDefault="004E01F6" w:rsidP="000A4857">
            <w:pPr>
              <w:jc w:val="both"/>
              <w:rPr>
                <w:rFonts w:eastAsia="Calibri"/>
                <w:sz w:val="20"/>
                <w:szCs w:val="20"/>
              </w:rPr>
            </w:pPr>
          </w:p>
        </w:tc>
        <w:tc>
          <w:tcPr>
            <w:tcW w:w="2330" w:type="pct"/>
          </w:tcPr>
          <w:p w:rsidR="004E01F6" w:rsidRPr="00B32C06" w:rsidRDefault="004E01F6" w:rsidP="000A4857">
            <w:pPr>
              <w:jc w:val="both"/>
              <w:rPr>
                <w:rFonts w:eastAsia="Calibri"/>
                <w:sz w:val="20"/>
                <w:szCs w:val="20"/>
              </w:rPr>
            </w:pPr>
            <w:r w:rsidRPr="00B32C06">
              <w:rPr>
                <w:rFonts w:eastAsia="Calibri"/>
                <w:sz w:val="20"/>
                <w:szCs w:val="20"/>
              </w:rPr>
              <w:t>Oral hearing of leave application and application for leave to appeal filed</w:t>
            </w:r>
          </w:p>
        </w:tc>
      </w:tr>
    </w:tbl>
    <w:p w:rsidR="000310F3" w:rsidRPr="004E01F6" w:rsidRDefault="000310F3" w:rsidP="001B157C">
      <w:pPr>
        <w:rPr>
          <w:sz w:val="20"/>
          <w:szCs w:val="20"/>
        </w:rPr>
      </w:pPr>
    </w:p>
    <w:p w:rsidR="001B157C" w:rsidRPr="00C50A5C" w:rsidRDefault="007505E6" w:rsidP="001B157C">
      <w:pPr>
        <w:rPr>
          <w:sz w:val="20"/>
          <w:szCs w:val="20"/>
        </w:rPr>
      </w:pPr>
      <w:r w:rsidRPr="007505E6">
        <w:rPr>
          <w:sz w:val="20"/>
          <w:szCs w:val="20"/>
          <w:lang w:val="fr-CA"/>
        </w:rPr>
        <w:pict>
          <v:rect id="_x0000_i1037" style="width:2in;height:1pt" o:hrpct="0" o:hralign="center" o:hrstd="t" o:hrnoshade="t" o:hr="t" fillcolor="black [3213]" stroked="f"/>
        </w:pict>
      </w:r>
    </w:p>
    <w:p w:rsidR="001B157C" w:rsidRDefault="001B157C" w:rsidP="001B157C">
      <w:pPr>
        <w:rPr>
          <w:sz w:val="20"/>
          <w:szCs w:val="20"/>
        </w:rPr>
      </w:pPr>
    </w:p>
    <w:p w:rsidR="004E01F6" w:rsidRDefault="004E01F6">
      <w:pPr>
        <w:rPr>
          <w:sz w:val="20"/>
          <w:szCs w:val="20"/>
          <w:u w:val="single"/>
          <w:lang w:val="fr-CA"/>
        </w:rPr>
      </w:pPr>
      <w:r>
        <w:rPr>
          <w:sz w:val="20"/>
          <w:szCs w:val="20"/>
          <w:u w:val="single"/>
          <w:lang w:val="fr-CA"/>
        </w:rPr>
        <w:br w:type="page"/>
      </w:r>
    </w:p>
    <w:p w:rsidR="001B157C" w:rsidRDefault="001B157C" w:rsidP="001B157C">
      <w:pPr>
        <w:rPr>
          <w:sz w:val="20"/>
          <w:szCs w:val="20"/>
          <w:lang w:val="fr-CA"/>
        </w:rPr>
      </w:pPr>
      <w:r w:rsidRPr="000D61DC">
        <w:rPr>
          <w:sz w:val="20"/>
          <w:szCs w:val="20"/>
          <w:u w:val="single"/>
          <w:lang w:val="fr-CA"/>
        </w:rPr>
        <w:lastRenderedPageBreak/>
        <w:t>RÉSUMÉ DE L’AFFAIRE</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4E01F6" w:rsidRPr="002D3F55" w:rsidTr="000A4857">
        <w:tc>
          <w:tcPr>
            <w:tcW w:w="5000" w:type="pct"/>
            <w:gridSpan w:val="3"/>
          </w:tcPr>
          <w:p w:rsidR="004E01F6" w:rsidRPr="00B32C06" w:rsidRDefault="004E01F6" w:rsidP="000A4857">
            <w:pPr>
              <w:jc w:val="both"/>
              <w:rPr>
                <w:rFonts w:eastAsia="Calibri"/>
                <w:sz w:val="20"/>
                <w:szCs w:val="20"/>
                <w:lang w:val="fr-CA"/>
              </w:rPr>
            </w:pPr>
            <w:r w:rsidRPr="00B32C06">
              <w:rPr>
                <w:rFonts w:eastAsia="Calibri"/>
                <w:i/>
                <w:sz w:val="20"/>
                <w:szCs w:val="20"/>
                <w:lang w:val="fr-CA"/>
              </w:rPr>
              <w:t xml:space="preserve">Charte des droits et libertés </w:t>
            </w:r>
            <w:r w:rsidRPr="00B32C06">
              <w:rPr>
                <w:rFonts w:eastAsia="Calibri"/>
                <w:sz w:val="20"/>
                <w:szCs w:val="20"/>
                <w:lang w:val="fr-CA"/>
              </w:rPr>
              <w:t xml:space="preserve">– Fouilles et perquisitions – Protection contre fouilles, les perquisitions et les saisies abusives – La fouille d'une valise au moyen d’un chien renifleur a mené à la découverte de drogue – La jurisprudence </w:t>
            </w:r>
            <w:proofErr w:type="spellStart"/>
            <w:r w:rsidRPr="00B32C06">
              <w:rPr>
                <w:rFonts w:eastAsia="Calibri"/>
                <w:sz w:val="20"/>
                <w:szCs w:val="20"/>
                <w:lang w:val="fr-CA"/>
              </w:rPr>
              <w:t>est</w:t>
            </w:r>
            <w:r w:rsidRPr="00B32C06">
              <w:rPr>
                <w:rFonts w:eastAsia="Calibri"/>
                <w:sz w:val="20"/>
                <w:szCs w:val="20"/>
                <w:lang w:val="fr-CA"/>
              </w:rPr>
              <w:noBreakHyphen/>
              <w:t>elle</w:t>
            </w:r>
            <w:proofErr w:type="spellEnd"/>
            <w:r w:rsidRPr="00B32C06">
              <w:rPr>
                <w:rFonts w:eastAsia="Calibri"/>
                <w:sz w:val="20"/>
                <w:szCs w:val="20"/>
                <w:lang w:val="fr-CA"/>
              </w:rPr>
              <w:t xml:space="preserve"> contradictoire quant au sens de l'expression « soupçon objectivement raisonnable »? – Quels facteurs doivent être pris en compte lorsqu'il s'agit de décider s'il existe un « soupçon raisonnable » d'activité criminelle qui justifie l'utilisation d'un chien renifleur? – Quelles normes les tribunaux </w:t>
            </w:r>
            <w:proofErr w:type="spellStart"/>
            <w:r w:rsidRPr="00B32C06">
              <w:rPr>
                <w:rFonts w:eastAsia="Calibri"/>
                <w:sz w:val="20"/>
                <w:szCs w:val="20"/>
                <w:lang w:val="fr-CA"/>
              </w:rPr>
              <w:t>doivent</w:t>
            </w:r>
            <w:r w:rsidRPr="00B32C06">
              <w:rPr>
                <w:rFonts w:eastAsia="Calibri"/>
                <w:sz w:val="20"/>
                <w:szCs w:val="20"/>
                <w:lang w:val="fr-CA"/>
              </w:rPr>
              <w:noBreakHyphen/>
              <w:t>ils</w:t>
            </w:r>
            <w:proofErr w:type="spellEnd"/>
            <w:r w:rsidRPr="00B32C06">
              <w:rPr>
                <w:rFonts w:eastAsia="Calibri"/>
                <w:sz w:val="20"/>
                <w:szCs w:val="20"/>
                <w:lang w:val="fr-CA"/>
              </w:rPr>
              <w:t xml:space="preserve"> appliquer lorsqu'ils considèrent la fiabilité d'un chien policier renifleur? – L'affaire </w:t>
            </w:r>
            <w:proofErr w:type="spellStart"/>
            <w:r w:rsidRPr="00B32C06">
              <w:rPr>
                <w:rFonts w:eastAsia="Calibri"/>
                <w:sz w:val="20"/>
                <w:szCs w:val="20"/>
                <w:lang w:val="fr-CA"/>
              </w:rPr>
              <w:t>soulève</w:t>
            </w:r>
            <w:r w:rsidRPr="00B32C06">
              <w:rPr>
                <w:rFonts w:eastAsia="Calibri"/>
                <w:sz w:val="20"/>
                <w:szCs w:val="20"/>
                <w:lang w:val="fr-CA"/>
              </w:rPr>
              <w:noBreakHyphen/>
              <w:t>t</w:t>
            </w:r>
            <w:r w:rsidRPr="00B32C06">
              <w:rPr>
                <w:rFonts w:eastAsia="Calibri"/>
                <w:sz w:val="20"/>
                <w:szCs w:val="20"/>
                <w:lang w:val="fr-CA"/>
              </w:rPr>
              <w:noBreakHyphen/>
              <w:t>elle</w:t>
            </w:r>
            <w:proofErr w:type="spellEnd"/>
            <w:r w:rsidRPr="00B32C06">
              <w:rPr>
                <w:rFonts w:eastAsia="Calibri"/>
                <w:sz w:val="20"/>
                <w:szCs w:val="20"/>
                <w:lang w:val="fr-CA"/>
              </w:rPr>
              <w:t xml:space="preserve"> des questions d'importance pour le public? – Art. 7, 8 et 9 de la </w:t>
            </w:r>
            <w:r w:rsidRPr="00B32C06">
              <w:rPr>
                <w:rFonts w:eastAsia="Calibri"/>
                <w:i/>
                <w:sz w:val="20"/>
                <w:szCs w:val="20"/>
                <w:lang w:val="fr-CA"/>
              </w:rPr>
              <w:t>Charte</w:t>
            </w:r>
            <w:r w:rsidRPr="00B32C06">
              <w:rPr>
                <w:rFonts w:eastAsia="Calibri"/>
                <w:sz w:val="20"/>
                <w:szCs w:val="20"/>
                <w:lang w:val="fr-CA"/>
              </w:rPr>
              <w:t xml:space="preserve">. </w:t>
            </w:r>
          </w:p>
          <w:p w:rsidR="004E01F6" w:rsidRPr="00B32C06" w:rsidRDefault="004E01F6" w:rsidP="000A4857">
            <w:pPr>
              <w:jc w:val="both"/>
              <w:rPr>
                <w:rFonts w:eastAsia="Calibri"/>
                <w:sz w:val="20"/>
                <w:szCs w:val="20"/>
                <w:lang w:val="fr-CA"/>
              </w:rPr>
            </w:pPr>
          </w:p>
        </w:tc>
      </w:tr>
      <w:tr w:rsidR="004E01F6" w:rsidRPr="002D3F55" w:rsidTr="000A4857">
        <w:tc>
          <w:tcPr>
            <w:tcW w:w="5000" w:type="pct"/>
            <w:gridSpan w:val="3"/>
          </w:tcPr>
          <w:p w:rsidR="004E01F6" w:rsidRPr="00B32C06" w:rsidRDefault="004E01F6" w:rsidP="000A4857">
            <w:pPr>
              <w:jc w:val="both"/>
              <w:rPr>
                <w:rFonts w:eastAsia="Calibri"/>
                <w:sz w:val="20"/>
                <w:szCs w:val="20"/>
                <w:lang w:val="fr-CA"/>
              </w:rPr>
            </w:pPr>
            <w:r w:rsidRPr="00B32C06">
              <w:rPr>
                <w:rFonts w:eastAsia="Calibri"/>
                <w:sz w:val="20"/>
                <w:szCs w:val="20"/>
                <w:lang w:val="fr-CA"/>
              </w:rPr>
              <w:t xml:space="preserve">Le demandeur, M. </w:t>
            </w:r>
            <w:proofErr w:type="spellStart"/>
            <w:r w:rsidRPr="00B32C06">
              <w:rPr>
                <w:rFonts w:eastAsia="Calibri"/>
                <w:sz w:val="20"/>
                <w:szCs w:val="20"/>
                <w:lang w:val="fr-CA"/>
              </w:rPr>
              <w:t>Chehil</w:t>
            </w:r>
            <w:proofErr w:type="spellEnd"/>
            <w:r w:rsidRPr="00B32C06">
              <w:rPr>
                <w:rFonts w:eastAsia="Calibri"/>
                <w:sz w:val="20"/>
                <w:szCs w:val="20"/>
                <w:lang w:val="fr-CA"/>
              </w:rPr>
              <w:t xml:space="preserve">, a été accusé de possession de cocaïne en vue d'en faire le trafic. Dans le cadre d'un programme de lutte contre les trafiquants de drogue, les policiers ont examiné la liste des passagers de </w:t>
            </w:r>
            <w:proofErr w:type="spellStart"/>
            <w:r w:rsidRPr="00B32C06">
              <w:rPr>
                <w:rFonts w:eastAsia="Calibri"/>
                <w:sz w:val="20"/>
                <w:szCs w:val="20"/>
                <w:lang w:val="fr-CA"/>
              </w:rPr>
              <w:t>Westjet</w:t>
            </w:r>
            <w:proofErr w:type="spellEnd"/>
            <w:r w:rsidRPr="00B32C06">
              <w:rPr>
                <w:rFonts w:eastAsia="Calibri"/>
                <w:sz w:val="20"/>
                <w:szCs w:val="20"/>
                <w:lang w:val="fr-CA"/>
              </w:rPr>
              <w:t xml:space="preserve"> pour les vols à l'arrivée et ils ont constaté que M. </w:t>
            </w:r>
            <w:proofErr w:type="spellStart"/>
            <w:r w:rsidRPr="00B32C06">
              <w:rPr>
                <w:rFonts w:eastAsia="Calibri"/>
                <w:sz w:val="20"/>
                <w:szCs w:val="20"/>
                <w:lang w:val="fr-CA"/>
              </w:rPr>
              <w:t>Chehil</w:t>
            </w:r>
            <w:proofErr w:type="spellEnd"/>
            <w:r w:rsidRPr="00B32C06">
              <w:rPr>
                <w:rFonts w:eastAsia="Calibri"/>
                <w:sz w:val="20"/>
                <w:szCs w:val="20"/>
                <w:lang w:val="fr-CA"/>
              </w:rPr>
              <w:t xml:space="preserve"> avait fait le dernier ou l’</w:t>
            </w:r>
            <w:proofErr w:type="spellStart"/>
            <w:r w:rsidRPr="00B32C06">
              <w:rPr>
                <w:rFonts w:eastAsia="Calibri"/>
                <w:sz w:val="20"/>
                <w:szCs w:val="20"/>
                <w:lang w:val="fr-CA"/>
              </w:rPr>
              <w:t>avant</w:t>
            </w:r>
            <w:r w:rsidRPr="00B32C06">
              <w:rPr>
                <w:rFonts w:eastAsia="Calibri"/>
                <w:sz w:val="20"/>
                <w:szCs w:val="20"/>
                <w:lang w:val="fr-CA"/>
              </w:rPr>
              <w:noBreakHyphen/>
              <w:t>dernier</w:t>
            </w:r>
            <w:proofErr w:type="spellEnd"/>
            <w:r w:rsidRPr="00B32C06">
              <w:rPr>
                <w:rFonts w:eastAsia="Calibri"/>
                <w:sz w:val="20"/>
                <w:szCs w:val="20"/>
                <w:lang w:val="fr-CA"/>
              </w:rPr>
              <w:t xml:space="preserve"> achat d'un billet en aller simple de Vancouver à Halifax. Il s'agissait d'un vol de nuit. Monsieur </w:t>
            </w:r>
            <w:proofErr w:type="spellStart"/>
            <w:r w:rsidRPr="00B32C06">
              <w:rPr>
                <w:rFonts w:eastAsia="Calibri"/>
                <w:sz w:val="20"/>
                <w:szCs w:val="20"/>
                <w:lang w:val="fr-CA"/>
              </w:rPr>
              <w:t>Chehil</w:t>
            </w:r>
            <w:proofErr w:type="spellEnd"/>
            <w:r w:rsidRPr="00B32C06">
              <w:rPr>
                <w:rFonts w:eastAsia="Calibri"/>
                <w:sz w:val="20"/>
                <w:szCs w:val="20"/>
                <w:lang w:val="fr-CA"/>
              </w:rPr>
              <w:t xml:space="preserve"> avait payé comptant et possédait une valise relativement neuve qui était verrouillée. Les policiers ont fait sentir la valise de M. </w:t>
            </w:r>
            <w:proofErr w:type="spellStart"/>
            <w:r w:rsidRPr="00B32C06">
              <w:rPr>
                <w:rFonts w:eastAsia="Calibri"/>
                <w:sz w:val="20"/>
                <w:szCs w:val="20"/>
                <w:lang w:val="fr-CA"/>
              </w:rPr>
              <w:t>Chehil</w:t>
            </w:r>
            <w:proofErr w:type="spellEnd"/>
            <w:r w:rsidRPr="00B32C06">
              <w:rPr>
                <w:rFonts w:eastAsia="Calibri"/>
                <w:sz w:val="20"/>
                <w:szCs w:val="20"/>
                <w:lang w:val="fr-CA"/>
              </w:rPr>
              <w:t xml:space="preserve"> par un chien renifleur qui a détecté la présence de stupéfiants. Le chien a également détecté par erreur la présence de drogue dans une glacière. Après que M. </w:t>
            </w:r>
            <w:proofErr w:type="spellStart"/>
            <w:r w:rsidRPr="00B32C06">
              <w:rPr>
                <w:rFonts w:eastAsia="Calibri"/>
                <w:sz w:val="20"/>
                <w:szCs w:val="20"/>
                <w:lang w:val="fr-CA"/>
              </w:rPr>
              <w:t>Chehil</w:t>
            </w:r>
            <w:proofErr w:type="spellEnd"/>
            <w:r w:rsidRPr="00B32C06">
              <w:rPr>
                <w:rFonts w:eastAsia="Calibri"/>
                <w:sz w:val="20"/>
                <w:szCs w:val="20"/>
                <w:lang w:val="fr-CA"/>
              </w:rPr>
              <w:t xml:space="preserve"> eut récupéré sa valise du carrousel, un agent a engagé une conversation avec lui et il l’a arrêté pour possession d'une substance réglementée. L'agent a ouvert la valise de M. </w:t>
            </w:r>
            <w:proofErr w:type="spellStart"/>
            <w:r w:rsidRPr="00B32C06">
              <w:rPr>
                <w:rFonts w:eastAsia="Calibri"/>
                <w:sz w:val="20"/>
                <w:szCs w:val="20"/>
                <w:lang w:val="fr-CA"/>
              </w:rPr>
              <w:t>Chehil</w:t>
            </w:r>
            <w:proofErr w:type="spellEnd"/>
            <w:r w:rsidRPr="00B32C06">
              <w:rPr>
                <w:rFonts w:eastAsia="Calibri"/>
                <w:sz w:val="20"/>
                <w:szCs w:val="20"/>
                <w:lang w:val="fr-CA"/>
              </w:rPr>
              <w:t xml:space="preserve"> sans son consentement et a découvert un sac à dos qui renfermait trois kilogrammes de cocaïne. Au terme d’un </w:t>
            </w:r>
            <w:proofErr w:type="spellStart"/>
            <w:r w:rsidRPr="00B32C06">
              <w:rPr>
                <w:rFonts w:eastAsia="Calibri"/>
                <w:sz w:val="20"/>
                <w:szCs w:val="20"/>
                <w:lang w:val="fr-CA"/>
              </w:rPr>
              <w:t>voir</w:t>
            </w:r>
            <w:r w:rsidRPr="00B32C06">
              <w:rPr>
                <w:rFonts w:eastAsia="Calibri"/>
                <w:sz w:val="20"/>
                <w:szCs w:val="20"/>
                <w:lang w:val="fr-CA"/>
              </w:rPr>
              <w:noBreakHyphen/>
              <w:t>dire</w:t>
            </w:r>
            <w:proofErr w:type="spellEnd"/>
            <w:r w:rsidRPr="00B32C06">
              <w:rPr>
                <w:rFonts w:eastAsia="Calibri"/>
                <w:sz w:val="20"/>
                <w:szCs w:val="20"/>
                <w:lang w:val="fr-CA"/>
              </w:rPr>
              <w:t xml:space="preserve">, le juge a statué que la fouille avait violé les droits de M. </w:t>
            </w:r>
            <w:proofErr w:type="spellStart"/>
            <w:r w:rsidRPr="00B32C06">
              <w:rPr>
                <w:rFonts w:eastAsia="Calibri"/>
                <w:sz w:val="20"/>
                <w:szCs w:val="20"/>
                <w:lang w:val="fr-CA"/>
              </w:rPr>
              <w:t>Chehil</w:t>
            </w:r>
            <w:proofErr w:type="spellEnd"/>
            <w:r w:rsidRPr="00B32C06">
              <w:rPr>
                <w:rFonts w:eastAsia="Calibri"/>
                <w:sz w:val="20"/>
                <w:szCs w:val="20"/>
                <w:lang w:val="fr-CA"/>
              </w:rPr>
              <w:t xml:space="preserve"> garantis par la </w:t>
            </w:r>
            <w:r w:rsidRPr="00B32C06">
              <w:rPr>
                <w:rFonts w:eastAsia="Calibri"/>
                <w:i/>
                <w:sz w:val="20"/>
                <w:szCs w:val="20"/>
                <w:lang w:val="fr-CA"/>
              </w:rPr>
              <w:t>Charte</w:t>
            </w:r>
            <w:r w:rsidRPr="00B32C06">
              <w:rPr>
                <w:rFonts w:eastAsia="Calibri"/>
                <w:sz w:val="20"/>
                <w:szCs w:val="20"/>
                <w:lang w:val="fr-CA"/>
              </w:rPr>
              <w:t xml:space="preserve"> et il a jugé la preuve inadmissible, ce qui a donné lieu à un acquittement. La Cour d'appel a accueilli l'appel et a ordonné la tenue d'un nouveau procès.</w:t>
            </w:r>
          </w:p>
          <w:p w:rsidR="004E01F6" w:rsidRPr="00B32C06" w:rsidRDefault="004E01F6" w:rsidP="000A4857">
            <w:pPr>
              <w:jc w:val="both"/>
              <w:rPr>
                <w:rFonts w:eastAsia="Calibri"/>
                <w:sz w:val="20"/>
                <w:szCs w:val="20"/>
                <w:lang w:val="fr-CA"/>
              </w:rPr>
            </w:pPr>
          </w:p>
        </w:tc>
      </w:tr>
      <w:tr w:rsidR="004E01F6" w:rsidRPr="002D3F55" w:rsidTr="000A4857">
        <w:tc>
          <w:tcPr>
            <w:tcW w:w="2427" w:type="pct"/>
          </w:tcPr>
          <w:p w:rsidR="004E01F6" w:rsidRPr="00B32C06" w:rsidRDefault="004E01F6" w:rsidP="000A4857">
            <w:pPr>
              <w:jc w:val="both"/>
              <w:rPr>
                <w:rFonts w:eastAsia="Calibri"/>
                <w:sz w:val="20"/>
                <w:szCs w:val="20"/>
                <w:lang w:val="fr-CA"/>
              </w:rPr>
            </w:pPr>
            <w:r w:rsidRPr="00B32C06">
              <w:rPr>
                <w:rFonts w:eastAsia="Calibri"/>
                <w:sz w:val="20"/>
                <w:szCs w:val="20"/>
                <w:lang w:val="fr-CA"/>
              </w:rPr>
              <w:t>26 août 2010</w:t>
            </w:r>
          </w:p>
          <w:p w:rsidR="004E01F6" w:rsidRPr="00B32C06" w:rsidRDefault="004E01F6" w:rsidP="000A4857">
            <w:pPr>
              <w:jc w:val="both"/>
              <w:rPr>
                <w:rFonts w:eastAsia="Calibri"/>
                <w:sz w:val="20"/>
                <w:szCs w:val="20"/>
                <w:lang w:val="fr-CA"/>
              </w:rPr>
            </w:pPr>
            <w:r w:rsidRPr="00B32C06">
              <w:rPr>
                <w:rFonts w:eastAsia="Calibri"/>
                <w:sz w:val="20"/>
                <w:szCs w:val="20"/>
                <w:lang w:val="fr-CA"/>
              </w:rPr>
              <w:t xml:space="preserve">Cour suprême de la </w:t>
            </w:r>
            <w:proofErr w:type="spellStart"/>
            <w:r w:rsidRPr="00B32C06">
              <w:rPr>
                <w:rFonts w:eastAsia="Calibri"/>
                <w:sz w:val="20"/>
                <w:szCs w:val="20"/>
                <w:lang w:val="fr-CA"/>
              </w:rPr>
              <w:t>Nouvelle</w:t>
            </w:r>
            <w:r w:rsidRPr="00B32C06">
              <w:rPr>
                <w:rFonts w:eastAsia="Calibri"/>
                <w:sz w:val="20"/>
                <w:szCs w:val="20"/>
                <w:lang w:val="fr-CA"/>
              </w:rPr>
              <w:noBreakHyphen/>
              <w:t>Écosse</w:t>
            </w:r>
            <w:proofErr w:type="spellEnd"/>
            <w:r w:rsidRPr="00B32C06">
              <w:rPr>
                <w:rFonts w:eastAsia="Calibri"/>
                <w:sz w:val="20"/>
                <w:szCs w:val="20"/>
                <w:lang w:val="fr-CA"/>
              </w:rPr>
              <w:t xml:space="preserve">, Section de première instance </w:t>
            </w:r>
          </w:p>
          <w:p w:rsidR="004E01F6" w:rsidRPr="00B32C06" w:rsidRDefault="004E01F6" w:rsidP="000A4857">
            <w:pPr>
              <w:jc w:val="both"/>
              <w:rPr>
                <w:rFonts w:eastAsia="Calibri"/>
                <w:sz w:val="20"/>
                <w:szCs w:val="20"/>
                <w:lang w:val="fr-CA"/>
              </w:rPr>
            </w:pPr>
            <w:r w:rsidRPr="00B32C06">
              <w:rPr>
                <w:rFonts w:eastAsia="Calibri"/>
                <w:sz w:val="20"/>
                <w:szCs w:val="20"/>
                <w:lang w:val="fr-CA"/>
              </w:rPr>
              <w:t xml:space="preserve">(Juge </w:t>
            </w:r>
            <w:proofErr w:type="spellStart"/>
            <w:r w:rsidRPr="00B32C06">
              <w:rPr>
                <w:rFonts w:eastAsia="Calibri"/>
                <w:sz w:val="20"/>
                <w:szCs w:val="20"/>
                <w:lang w:val="fr-CA"/>
              </w:rPr>
              <w:t>Cacchione</w:t>
            </w:r>
            <w:proofErr w:type="spellEnd"/>
            <w:r w:rsidRPr="00B32C06">
              <w:rPr>
                <w:rFonts w:eastAsia="Calibri"/>
                <w:sz w:val="20"/>
                <w:szCs w:val="20"/>
                <w:lang w:val="fr-CA"/>
              </w:rPr>
              <w:t>)</w:t>
            </w:r>
          </w:p>
          <w:p w:rsidR="004E01F6" w:rsidRPr="00B32C06" w:rsidRDefault="004E01F6" w:rsidP="000A4857">
            <w:pPr>
              <w:jc w:val="both"/>
              <w:rPr>
                <w:rFonts w:eastAsia="Calibri"/>
                <w:sz w:val="20"/>
                <w:szCs w:val="20"/>
                <w:lang w:val="fr-CA"/>
              </w:rPr>
            </w:pPr>
          </w:p>
        </w:tc>
        <w:tc>
          <w:tcPr>
            <w:tcW w:w="243" w:type="pct"/>
          </w:tcPr>
          <w:p w:rsidR="004E01F6" w:rsidRPr="00B32C06" w:rsidRDefault="004E01F6" w:rsidP="000A4857">
            <w:pPr>
              <w:jc w:val="both"/>
              <w:rPr>
                <w:rFonts w:eastAsia="Calibri"/>
                <w:sz w:val="20"/>
                <w:szCs w:val="20"/>
                <w:lang w:val="fr-CA"/>
              </w:rPr>
            </w:pPr>
          </w:p>
        </w:tc>
        <w:tc>
          <w:tcPr>
            <w:tcW w:w="2330" w:type="pct"/>
          </w:tcPr>
          <w:p w:rsidR="004E01F6" w:rsidRPr="00B32C06" w:rsidRDefault="004E01F6" w:rsidP="000A4857">
            <w:pPr>
              <w:jc w:val="both"/>
              <w:rPr>
                <w:rFonts w:eastAsia="Calibri"/>
                <w:sz w:val="20"/>
                <w:szCs w:val="20"/>
                <w:lang w:val="fr-CA"/>
              </w:rPr>
            </w:pPr>
            <w:r w:rsidRPr="00B32C06">
              <w:rPr>
                <w:rFonts w:eastAsia="Calibri"/>
                <w:sz w:val="20"/>
                <w:szCs w:val="20"/>
                <w:lang w:val="fr-CA"/>
              </w:rPr>
              <w:t xml:space="preserve">Acquittement inscrit relativement à l'accusation de possession en vue de faire le trafic; les droits garantis par les arts. 7, 8 et 9 de la </w:t>
            </w:r>
            <w:r w:rsidRPr="00B32C06">
              <w:rPr>
                <w:rFonts w:eastAsia="Calibri"/>
                <w:i/>
                <w:sz w:val="20"/>
                <w:szCs w:val="20"/>
                <w:lang w:val="fr-CA"/>
              </w:rPr>
              <w:t>Charte</w:t>
            </w:r>
            <w:r w:rsidRPr="00B32C06">
              <w:rPr>
                <w:rFonts w:eastAsia="Calibri"/>
                <w:sz w:val="20"/>
                <w:szCs w:val="20"/>
                <w:lang w:val="fr-CA"/>
              </w:rPr>
              <w:t xml:space="preserve"> ont été violés; preuve exclue en application du par. 24(2) de la </w:t>
            </w:r>
            <w:r w:rsidRPr="00B32C06">
              <w:rPr>
                <w:rFonts w:eastAsia="Calibri"/>
                <w:i/>
                <w:sz w:val="20"/>
                <w:szCs w:val="20"/>
                <w:lang w:val="fr-CA"/>
              </w:rPr>
              <w:t>Charte</w:t>
            </w:r>
          </w:p>
          <w:p w:rsidR="004E01F6" w:rsidRPr="00B32C06" w:rsidRDefault="004E01F6" w:rsidP="000A4857">
            <w:pPr>
              <w:jc w:val="both"/>
              <w:rPr>
                <w:rFonts w:eastAsia="Calibri"/>
                <w:sz w:val="20"/>
                <w:szCs w:val="20"/>
                <w:lang w:val="fr-CA"/>
              </w:rPr>
            </w:pPr>
          </w:p>
        </w:tc>
      </w:tr>
      <w:tr w:rsidR="004E01F6" w:rsidRPr="002D3F55" w:rsidTr="000A4857">
        <w:tc>
          <w:tcPr>
            <w:tcW w:w="2427" w:type="pct"/>
          </w:tcPr>
          <w:p w:rsidR="004E01F6" w:rsidRPr="00B32C06" w:rsidRDefault="004E01F6" w:rsidP="000A4857">
            <w:pPr>
              <w:jc w:val="both"/>
              <w:rPr>
                <w:rFonts w:eastAsia="Calibri"/>
                <w:sz w:val="20"/>
                <w:szCs w:val="20"/>
                <w:lang w:val="fr-CA"/>
              </w:rPr>
            </w:pPr>
            <w:r w:rsidRPr="00B32C06">
              <w:rPr>
                <w:rFonts w:eastAsia="Calibri"/>
                <w:sz w:val="20"/>
                <w:szCs w:val="20"/>
                <w:lang w:val="fr-CA"/>
              </w:rPr>
              <w:t>16 septembre 2011</w:t>
            </w:r>
          </w:p>
          <w:p w:rsidR="004E01F6" w:rsidRPr="00B32C06" w:rsidRDefault="004E01F6" w:rsidP="000A4857">
            <w:pPr>
              <w:jc w:val="both"/>
              <w:rPr>
                <w:rFonts w:eastAsia="Calibri"/>
                <w:sz w:val="20"/>
                <w:szCs w:val="20"/>
                <w:lang w:val="fr-CA"/>
              </w:rPr>
            </w:pPr>
            <w:r w:rsidRPr="00B32C06">
              <w:rPr>
                <w:rFonts w:eastAsia="Calibri"/>
                <w:sz w:val="20"/>
                <w:szCs w:val="20"/>
                <w:lang w:val="fr-CA"/>
              </w:rPr>
              <w:t xml:space="preserve">Cour d'appel de la </w:t>
            </w:r>
            <w:proofErr w:type="spellStart"/>
            <w:r w:rsidRPr="00B32C06">
              <w:rPr>
                <w:rFonts w:eastAsia="Calibri"/>
                <w:sz w:val="20"/>
                <w:szCs w:val="20"/>
                <w:lang w:val="fr-CA"/>
              </w:rPr>
              <w:t>Nouvelle</w:t>
            </w:r>
            <w:r w:rsidRPr="00B32C06">
              <w:rPr>
                <w:rFonts w:eastAsia="Calibri"/>
                <w:sz w:val="20"/>
                <w:szCs w:val="20"/>
                <w:lang w:val="fr-CA"/>
              </w:rPr>
              <w:noBreakHyphen/>
              <w:t>Écosse</w:t>
            </w:r>
            <w:proofErr w:type="spellEnd"/>
            <w:r w:rsidRPr="00B32C06">
              <w:rPr>
                <w:rFonts w:eastAsia="Calibri"/>
                <w:sz w:val="20"/>
                <w:szCs w:val="20"/>
                <w:lang w:val="fr-CA"/>
              </w:rPr>
              <w:t xml:space="preserve"> </w:t>
            </w:r>
          </w:p>
          <w:p w:rsidR="004E01F6" w:rsidRPr="00B32C06" w:rsidRDefault="004E01F6" w:rsidP="000A4857">
            <w:pPr>
              <w:jc w:val="both"/>
              <w:rPr>
                <w:rFonts w:eastAsia="Calibri"/>
                <w:sz w:val="20"/>
                <w:szCs w:val="20"/>
                <w:lang w:val="fr-CA"/>
              </w:rPr>
            </w:pPr>
            <w:r w:rsidRPr="00B32C06">
              <w:rPr>
                <w:rFonts w:eastAsia="Calibri"/>
                <w:sz w:val="20"/>
                <w:szCs w:val="20"/>
                <w:lang w:val="fr-CA"/>
              </w:rPr>
              <w:t xml:space="preserve">(Juge en chef </w:t>
            </w:r>
            <w:proofErr w:type="spellStart"/>
            <w:r w:rsidRPr="00B32C06">
              <w:rPr>
                <w:rFonts w:eastAsia="Calibri"/>
                <w:sz w:val="20"/>
                <w:szCs w:val="20"/>
                <w:lang w:val="fr-CA"/>
              </w:rPr>
              <w:t>MacDonald</w:t>
            </w:r>
            <w:proofErr w:type="spellEnd"/>
            <w:r w:rsidRPr="00B32C06">
              <w:rPr>
                <w:rFonts w:eastAsia="Calibri"/>
                <w:sz w:val="20"/>
                <w:szCs w:val="20"/>
                <w:lang w:val="fr-CA"/>
              </w:rPr>
              <w:t xml:space="preserve">, juges </w:t>
            </w:r>
            <w:proofErr w:type="spellStart"/>
            <w:r w:rsidRPr="00B32C06">
              <w:rPr>
                <w:rFonts w:eastAsia="Calibri"/>
                <w:sz w:val="20"/>
                <w:szCs w:val="20"/>
                <w:lang w:val="fr-CA"/>
              </w:rPr>
              <w:t>Saunders</w:t>
            </w:r>
            <w:proofErr w:type="spellEnd"/>
            <w:r w:rsidRPr="00B32C06">
              <w:rPr>
                <w:rFonts w:eastAsia="Calibri"/>
                <w:sz w:val="20"/>
                <w:szCs w:val="20"/>
                <w:lang w:val="fr-CA"/>
              </w:rPr>
              <w:t xml:space="preserve"> et </w:t>
            </w:r>
            <w:proofErr w:type="spellStart"/>
            <w:r w:rsidRPr="00B32C06">
              <w:rPr>
                <w:rFonts w:eastAsia="Calibri"/>
                <w:sz w:val="20"/>
                <w:szCs w:val="20"/>
                <w:lang w:val="fr-CA"/>
              </w:rPr>
              <w:t>Farrar</w:t>
            </w:r>
            <w:proofErr w:type="spellEnd"/>
            <w:r w:rsidRPr="00B32C06">
              <w:rPr>
                <w:rFonts w:eastAsia="Calibri"/>
                <w:sz w:val="20"/>
                <w:szCs w:val="20"/>
                <w:lang w:val="fr-CA"/>
              </w:rPr>
              <w:t>)</w:t>
            </w:r>
          </w:p>
          <w:p w:rsidR="004E01F6" w:rsidRPr="00B32C06" w:rsidRDefault="004E01F6" w:rsidP="000A4857">
            <w:pPr>
              <w:jc w:val="both"/>
              <w:rPr>
                <w:rFonts w:eastAsia="Calibri"/>
                <w:sz w:val="20"/>
                <w:szCs w:val="20"/>
                <w:lang w:val="fr-CA"/>
              </w:rPr>
            </w:pPr>
            <w:r w:rsidRPr="00B32C06">
              <w:rPr>
                <w:rFonts w:eastAsia="Calibri"/>
                <w:sz w:val="20"/>
                <w:szCs w:val="20"/>
                <w:lang w:val="fr-CA"/>
              </w:rPr>
              <w:t>Référence neutre : 2011 NSCA 82</w:t>
            </w:r>
          </w:p>
          <w:p w:rsidR="004E01F6" w:rsidRPr="00B32C06" w:rsidRDefault="004E01F6" w:rsidP="000A4857">
            <w:pPr>
              <w:jc w:val="both"/>
              <w:rPr>
                <w:rFonts w:eastAsia="Calibri"/>
                <w:sz w:val="20"/>
                <w:szCs w:val="20"/>
                <w:lang w:val="fr-CA"/>
              </w:rPr>
            </w:pPr>
          </w:p>
        </w:tc>
        <w:tc>
          <w:tcPr>
            <w:tcW w:w="243" w:type="pct"/>
          </w:tcPr>
          <w:p w:rsidR="004E01F6" w:rsidRPr="00B32C06" w:rsidRDefault="004E01F6" w:rsidP="000A4857">
            <w:pPr>
              <w:jc w:val="both"/>
              <w:rPr>
                <w:rFonts w:eastAsia="Calibri"/>
                <w:sz w:val="20"/>
                <w:szCs w:val="20"/>
                <w:lang w:val="fr-CA"/>
              </w:rPr>
            </w:pPr>
          </w:p>
        </w:tc>
        <w:tc>
          <w:tcPr>
            <w:tcW w:w="2330" w:type="pct"/>
          </w:tcPr>
          <w:p w:rsidR="004E01F6" w:rsidRPr="00B32C06" w:rsidRDefault="004E01F6" w:rsidP="000A4857">
            <w:pPr>
              <w:jc w:val="both"/>
              <w:rPr>
                <w:rFonts w:eastAsia="Calibri"/>
                <w:sz w:val="20"/>
                <w:szCs w:val="20"/>
                <w:lang w:val="fr-CA"/>
              </w:rPr>
            </w:pPr>
            <w:r w:rsidRPr="00B32C06">
              <w:rPr>
                <w:rFonts w:eastAsia="Calibri"/>
                <w:sz w:val="20"/>
                <w:szCs w:val="20"/>
                <w:lang w:val="fr-CA"/>
              </w:rPr>
              <w:t xml:space="preserve">Appel accueilli; aucune violation de la </w:t>
            </w:r>
            <w:r w:rsidRPr="00B32C06">
              <w:rPr>
                <w:rFonts w:eastAsia="Calibri"/>
                <w:i/>
                <w:sz w:val="20"/>
                <w:szCs w:val="20"/>
                <w:lang w:val="fr-CA"/>
              </w:rPr>
              <w:t>Charte</w:t>
            </w:r>
            <w:r w:rsidRPr="00B32C06">
              <w:rPr>
                <w:rFonts w:eastAsia="Calibri"/>
                <w:sz w:val="20"/>
                <w:szCs w:val="20"/>
                <w:lang w:val="fr-CA"/>
              </w:rPr>
              <w:t>; nouveau procès ordonné</w:t>
            </w:r>
          </w:p>
          <w:p w:rsidR="004E01F6" w:rsidRPr="00B32C06" w:rsidRDefault="004E01F6" w:rsidP="000A4857">
            <w:pPr>
              <w:jc w:val="both"/>
              <w:rPr>
                <w:rFonts w:eastAsia="Calibri"/>
                <w:sz w:val="20"/>
                <w:szCs w:val="20"/>
                <w:lang w:val="fr-CA"/>
              </w:rPr>
            </w:pPr>
          </w:p>
        </w:tc>
      </w:tr>
      <w:tr w:rsidR="004E01F6" w:rsidRPr="002D3F55" w:rsidTr="000A4857">
        <w:tc>
          <w:tcPr>
            <w:tcW w:w="2427" w:type="pct"/>
          </w:tcPr>
          <w:p w:rsidR="004E01F6" w:rsidRPr="00B32C06" w:rsidRDefault="004E01F6" w:rsidP="000A4857">
            <w:pPr>
              <w:jc w:val="both"/>
              <w:rPr>
                <w:rFonts w:eastAsia="Calibri"/>
                <w:sz w:val="20"/>
                <w:szCs w:val="20"/>
                <w:lang w:val="fr-CA"/>
              </w:rPr>
            </w:pPr>
            <w:r w:rsidRPr="00B32C06">
              <w:rPr>
                <w:rFonts w:eastAsia="Calibri"/>
                <w:sz w:val="20"/>
                <w:szCs w:val="20"/>
                <w:lang w:val="fr-CA"/>
              </w:rPr>
              <w:t>14 novembre 2011</w:t>
            </w:r>
          </w:p>
          <w:p w:rsidR="004E01F6" w:rsidRPr="00B32C06" w:rsidRDefault="004E01F6" w:rsidP="000A4857">
            <w:pPr>
              <w:jc w:val="both"/>
              <w:rPr>
                <w:rFonts w:eastAsia="Calibri"/>
                <w:sz w:val="20"/>
                <w:szCs w:val="20"/>
                <w:lang w:val="fr-CA"/>
              </w:rPr>
            </w:pPr>
            <w:r w:rsidRPr="00B32C06">
              <w:rPr>
                <w:rFonts w:eastAsia="Calibri"/>
                <w:sz w:val="20"/>
                <w:szCs w:val="20"/>
                <w:lang w:val="fr-CA"/>
              </w:rPr>
              <w:t>Cour suprême du Canada</w:t>
            </w:r>
          </w:p>
        </w:tc>
        <w:tc>
          <w:tcPr>
            <w:tcW w:w="243" w:type="pct"/>
          </w:tcPr>
          <w:p w:rsidR="004E01F6" w:rsidRPr="00B32C06" w:rsidRDefault="004E01F6" w:rsidP="000A4857">
            <w:pPr>
              <w:jc w:val="both"/>
              <w:rPr>
                <w:rFonts w:eastAsia="Calibri"/>
                <w:sz w:val="20"/>
                <w:szCs w:val="20"/>
                <w:lang w:val="fr-CA"/>
              </w:rPr>
            </w:pPr>
          </w:p>
        </w:tc>
        <w:tc>
          <w:tcPr>
            <w:tcW w:w="2330" w:type="pct"/>
          </w:tcPr>
          <w:p w:rsidR="004E01F6" w:rsidRPr="00B32C06" w:rsidRDefault="004E01F6" w:rsidP="000A4857">
            <w:pPr>
              <w:jc w:val="both"/>
              <w:rPr>
                <w:rFonts w:eastAsia="Calibri"/>
                <w:sz w:val="20"/>
                <w:szCs w:val="20"/>
                <w:lang w:val="fr-CA"/>
              </w:rPr>
            </w:pPr>
            <w:r w:rsidRPr="00B32C06">
              <w:rPr>
                <w:rFonts w:eastAsia="Calibri"/>
                <w:sz w:val="20"/>
                <w:szCs w:val="20"/>
                <w:lang w:val="fr-CA"/>
              </w:rPr>
              <w:t>Audition orale de la demande d'autorisation et demande d'autorisation d'appel, déposée</w:t>
            </w:r>
          </w:p>
        </w:tc>
      </w:tr>
    </w:tbl>
    <w:p w:rsidR="004E01F6" w:rsidRDefault="004E01F6" w:rsidP="001B157C">
      <w:pPr>
        <w:rPr>
          <w:sz w:val="20"/>
          <w:szCs w:val="20"/>
          <w:lang w:val="fr-CA"/>
        </w:rPr>
      </w:pPr>
    </w:p>
    <w:p w:rsidR="001B157C" w:rsidRDefault="007505E6" w:rsidP="001B157C">
      <w:pPr>
        <w:rPr>
          <w:sz w:val="20"/>
          <w:szCs w:val="20"/>
          <w:lang w:val="fr-CA"/>
        </w:rPr>
      </w:pPr>
      <w:r w:rsidRPr="007505E6">
        <w:rPr>
          <w:sz w:val="20"/>
          <w:szCs w:val="20"/>
          <w:lang w:val="fr-CA"/>
        </w:rPr>
        <w:pict>
          <v:rect id="_x0000_i1038" style="width:2in;height:1pt" o:hrpct="0" o:hralign="center" o:hrstd="t" o:hrnoshade="t" o:hr="t" fillcolor="black [3213]" stroked="f"/>
        </w:pict>
      </w:r>
    </w:p>
    <w:p w:rsidR="001B157C" w:rsidRPr="005F2D90" w:rsidRDefault="001B157C" w:rsidP="001B157C">
      <w:pPr>
        <w:rPr>
          <w:sz w:val="20"/>
          <w:szCs w:val="20"/>
          <w:lang w:val="fr-CA"/>
        </w:rPr>
      </w:pPr>
    </w:p>
    <w:p w:rsidR="002E2327" w:rsidRPr="00C50A5C" w:rsidRDefault="002E2327" w:rsidP="002E2327">
      <w:pPr>
        <w:widowControl w:val="0"/>
        <w:spacing w:line="0" w:lineRule="atLeast"/>
        <w:rPr>
          <w:sz w:val="20"/>
          <w:szCs w:val="20"/>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5"/>
          <w:footerReference w:type="default" r:id="rId26"/>
          <w:headerReference w:type="first" r:id="rId27"/>
          <w:footerReference w:type="first" r:id="rId2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2D3F55"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C64AFA" w:rsidP="008D292F">
      <w:pPr>
        <w:rPr>
          <w:b/>
          <w:sz w:val="20"/>
          <w:szCs w:val="20"/>
        </w:rPr>
      </w:pPr>
      <w:r>
        <w:rPr>
          <w:b/>
          <w:sz w:val="20"/>
          <w:szCs w:val="20"/>
        </w:rPr>
        <w:t>M</w:t>
      </w:r>
      <w:r w:rsidR="008D292F" w:rsidRPr="00C50A5C">
        <w:rPr>
          <w:b/>
          <w:sz w:val="20"/>
          <w:szCs w:val="20"/>
        </w:rPr>
        <w:t>A</w:t>
      </w:r>
      <w:r>
        <w:rPr>
          <w:b/>
          <w:sz w:val="20"/>
          <w:szCs w:val="20"/>
        </w:rPr>
        <w:t>RCH</w:t>
      </w:r>
      <w:r w:rsidR="008D292F" w:rsidRPr="00C50A5C">
        <w:rPr>
          <w:b/>
          <w:sz w:val="20"/>
          <w:szCs w:val="20"/>
        </w:rPr>
        <w:t xml:space="preserve"> 29, 201</w:t>
      </w:r>
      <w:r>
        <w:rPr>
          <w:b/>
          <w:sz w:val="20"/>
          <w:szCs w:val="20"/>
        </w:rPr>
        <w:t>2</w:t>
      </w:r>
      <w:r w:rsidR="008D292F" w:rsidRPr="00C50A5C">
        <w:rPr>
          <w:b/>
          <w:sz w:val="20"/>
          <w:szCs w:val="20"/>
        </w:rPr>
        <w:t xml:space="preserve"> / LE 29 </w:t>
      </w:r>
      <w:r>
        <w:rPr>
          <w:b/>
          <w:sz w:val="20"/>
          <w:szCs w:val="20"/>
        </w:rPr>
        <w:t>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6529" w:rsidRPr="00176529" w:rsidTr="000A4857">
        <w:trPr>
          <w:cantSplit/>
        </w:trPr>
        <w:tc>
          <w:tcPr>
            <w:tcW w:w="1458" w:type="dxa"/>
          </w:tcPr>
          <w:p w:rsidR="00176529" w:rsidRPr="00176529" w:rsidRDefault="00176529" w:rsidP="000A4857">
            <w:pPr>
              <w:rPr>
                <w:sz w:val="20"/>
                <w:szCs w:val="20"/>
              </w:rPr>
            </w:pPr>
            <w:r w:rsidRPr="00176529">
              <w:rPr>
                <w:rStyle w:val="SCCFileNumberChar"/>
                <w:sz w:val="20"/>
                <w:szCs w:val="20"/>
              </w:rPr>
              <w:t>34244</w:t>
            </w:r>
          </w:p>
          <w:p w:rsidR="00176529" w:rsidRPr="00176529" w:rsidRDefault="00176529" w:rsidP="000A4857">
            <w:pPr>
              <w:rPr>
                <w:b/>
                <w:sz w:val="20"/>
                <w:szCs w:val="20"/>
                <w:lang w:val="fr-CA"/>
              </w:rPr>
            </w:pPr>
          </w:p>
        </w:tc>
        <w:tc>
          <w:tcPr>
            <w:tcW w:w="8118" w:type="dxa"/>
          </w:tcPr>
          <w:p w:rsidR="00176529" w:rsidRPr="00176529" w:rsidRDefault="00176529" w:rsidP="000A4857">
            <w:pPr>
              <w:jc w:val="both"/>
              <w:rPr>
                <w:sz w:val="20"/>
                <w:szCs w:val="20"/>
              </w:rPr>
            </w:pPr>
            <w:r w:rsidRPr="00176529">
              <w:rPr>
                <w:rStyle w:val="SCCLsocChar"/>
                <w:sz w:val="20"/>
                <w:szCs w:val="20"/>
                <w:lang w:val="en-CA"/>
              </w:rPr>
              <w:t xml:space="preserve">Tele-Mobile Company Partnership, </w:t>
            </w:r>
            <w:proofErr w:type="spellStart"/>
            <w:r w:rsidRPr="00176529">
              <w:rPr>
                <w:rStyle w:val="SCCLsocChar"/>
                <w:sz w:val="20"/>
                <w:szCs w:val="20"/>
                <w:lang w:val="en-CA"/>
              </w:rPr>
              <w:t>Telus</w:t>
            </w:r>
            <w:proofErr w:type="spellEnd"/>
            <w:r w:rsidRPr="00176529">
              <w:rPr>
                <w:rStyle w:val="SCCLsocChar"/>
                <w:sz w:val="20"/>
                <w:szCs w:val="20"/>
                <w:lang w:val="en-CA"/>
              </w:rPr>
              <w:t xml:space="preserve"> Communications Company Partnership, </w:t>
            </w:r>
            <w:proofErr w:type="spellStart"/>
            <w:r w:rsidRPr="00176529">
              <w:rPr>
                <w:rStyle w:val="SCCLsocChar"/>
                <w:sz w:val="20"/>
                <w:szCs w:val="20"/>
                <w:lang w:val="en-CA"/>
              </w:rPr>
              <w:t>Telus</w:t>
            </w:r>
            <w:proofErr w:type="spellEnd"/>
            <w:r w:rsidRPr="00176529">
              <w:rPr>
                <w:rStyle w:val="SCCLsocChar"/>
                <w:sz w:val="20"/>
                <w:szCs w:val="20"/>
                <w:lang w:val="en-CA"/>
              </w:rPr>
              <w:t xml:space="preserve"> Communications Inc., 1219723 Alberta Ltd. and MTS </w:t>
            </w:r>
            <w:proofErr w:type="spellStart"/>
            <w:r w:rsidRPr="00176529">
              <w:rPr>
                <w:rStyle w:val="SCCLsocChar"/>
                <w:sz w:val="20"/>
                <w:szCs w:val="20"/>
                <w:lang w:val="en-CA"/>
              </w:rPr>
              <w:t>Allstream</w:t>
            </w:r>
            <w:proofErr w:type="spellEnd"/>
            <w:r w:rsidRPr="00176529">
              <w:rPr>
                <w:rStyle w:val="SCCLsocChar"/>
                <w:sz w:val="20"/>
                <w:szCs w:val="20"/>
                <w:lang w:val="en-CA"/>
              </w:rPr>
              <w:t xml:space="preserve"> Inc. v. Canada Revenue Agency</w:t>
            </w:r>
            <w:r w:rsidRPr="00176529">
              <w:rPr>
                <w:sz w:val="20"/>
                <w:szCs w:val="20"/>
              </w:rPr>
              <w:t xml:space="preserve"> (F.C.) (Civil) (By Leave)</w:t>
            </w:r>
          </w:p>
          <w:p w:rsidR="00176529" w:rsidRPr="00176529" w:rsidRDefault="00176529" w:rsidP="000A4857">
            <w:pPr>
              <w:rPr>
                <w:sz w:val="20"/>
                <w:szCs w:val="20"/>
              </w:rPr>
            </w:pPr>
          </w:p>
        </w:tc>
      </w:tr>
      <w:tr w:rsidR="00176529" w:rsidRPr="00176529" w:rsidTr="000A4857">
        <w:trPr>
          <w:cantSplit/>
        </w:trPr>
        <w:tc>
          <w:tcPr>
            <w:tcW w:w="1458" w:type="dxa"/>
          </w:tcPr>
          <w:p w:rsidR="00176529" w:rsidRPr="00176529" w:rsidRDefault="00176529" w:rsidP="000A4857">
            <w:pPr>
              <w:rPr>
                <w:sz w:val="20"/>
                <w:szCs w:val="20"/>
              </w:rPr>
            </w:pPr>
            <w:r w:rsidRPr="00176529">
              <w:rPr>
                <w:sz w:val="20"/>
                <w:szCs w:val="20"/>
              </w:rPr>
              <w:t>Coram :</w:t>
            </w:r>
          </w:p>
        </w:tc>
        <w:tc>
          <w:tcPr>
            <w:tcW w:w="8118" w:type="dxa"/>
          </w:tcPr>
          <w:p w:rsidR="00176529" w:rsidRPr="00176529" w:rsidRDefault="00176529" w:rsidP="000A4857">
            <w:pPr>
              <w:rPr>
                <w:sz w:val="20"/>
                <w:szCs w:val="20"/>
              </w:rPr>
            </w:pPr>
            <w:proofErr w:type="spellStart"/>
            <w:r w:rsidRPr="00176529">
              <w:rPr>
                <w:rStyle w:val="SCCCoramChar"/>
                <w:sz w:val="20"/>
                <w:szCs w:val="20"/>
                <w:lang w:val="en-CA"/>
              </w:rPr>
              <w:t>Deschamps</w:t>
            </w:r>
            <w:proofErr w:type="spellEnd"/>
            <w:r w:rsidRPr="00176529">
              <w:rPr>
                <w:rStyle w:val="SCCCoramChar"/>
                <w:sz w:val="20"/>
                <w:szCs w:val="20"/>
                <w:lang w:val="en-CA"/>
              </w:rPr>
              <w:t xml:space="preserve">, Fish and </w:t>
            </w:r>
            <w:proofErr w:type="spellStart"/>
            <w:r w:rsidRPr="00176529">
              <w:rPr>
                <w:rStyle w:val="SCCCoramChar"/>
                <w:sz w:val="20"/>
                <w:szCs w:val="20"/>
                <w:lang w:val="en-CA"/>
              </w:rPr>
              <w:t>Karakatsanis</w:t>
            </w:r>
            <w:proofErr w:type="spellEnd"/>
            <w:r w:rsidRPr="00176529">
              <w:rPr>
                <w:rStyle w:val="SCCCoramChar"/>
                <w:sz w:val="20"/>
                <w:szCs w:val="20"/>
                <w:lang w:val="en-CA"/>
              </w:rPr>
              <w:t> JJ.</w:t>
            </w:r>
          </w:p>
          <w:p w:rsidR="00176529" w:rsidRPr="00176529" w:rsidRDefault="00176529" w:rsidP="000A4857">
            <w:pPr>
              <w:rPr>
                <w:sz w:val="20"/>
                <w:szCs w:val="20"/>
                <w:u w:val="single"/>
              </w:rPr>
            </w:pPr>
          </w:p>
        </w:tc>
      </w:tr>
      <w:tr w:rsidR="00176529" w:rsidRPr="002D3F55" w:rsidTr="000A4857">
        <w:trPr>
          <w:cantSplit/>
        </w:trPr>
        <w:tc>
          <w:tcPr>
            <w:tcW w:w="9576" w:type="dxa"/>
            <w:gridSpan w:val="2"/>
          </w:tcPr>
          <w:p w:rsidR="00176529" w:rsidRPr="00176529" w:rsidRDefault="00176529" w:rsidP="000A4857">
            <w:pPr>
              <w:pStyle w:val="SCCShortJudgment"/>
              <w:rPr>
                <w:szCs w:val="20"/>
              </w:rPr>
            </w:pPr>
            <w:r w:rsidRPr="00176529">
              <w:rPr>
                <w:szCs w:val="20"/>
              </w:rPr>
              <w:t>The application for leave to appeal from the judgment of the Federal Court of Appeal, Number A-311-10,  2011 FCA 89, dated March 8, 2011, is dismissed with costs.</w:t>
            </w:r>
          </w:p>
          <w:p w:rsidR="00176529" w:rsidRPr="00176529" w:rsidRDefault="00176529" w:rsidP="000A4857">
            <w:pPr>
              <w:pStyle w:val="SCCShortJudgment"/>
              <w:ind w:firstLine="0"/>
              <w:rPr>
                <w:szCs w:val="20"/>
              </w:rPr>
            </w:pPr>
          </w:p>
          <w:p w:rsidR="00176529" w:rsidRPr="00176529" w:rsidRDefault="00176529" w:rsidP="000A4857">
            <w:pPr>
              <w:pStyle w:val="SCCShortJudgment"/>
              <w:rPr>
                <w:szCs w:val="20"/>
                <w:lang w:val="fr-CA"/>
              </w:rPr>
            </w:pPr>
            <w:r w:rsidRPr="00176529">
              <w:rPr>
                <w:szCs w:val="20"/>
                <w:lang w:val="fr-CA"/>
              </w:rPr>
              <w:t>La demande d’autorisation d’appel de l’arrêt de la Cour d’appel fédérale, numéro A-311-10,  2011 CAF 89, daté du 8 mars 2011, est rejetée avec dépens.</w:t>
            </w:r>
          </w:p>
        </w:tc>
      </w:tr>
    </w:tbl>
    <w:p w:rsidR="006B649F" w:rsidRPr="00176529" w:rsidRDefault="006B649F" w:rsidP="008D292F">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8D292F">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064913" w:rsidRPr="00B32C06" w:rsidTr="00CD0650">
        <w:tc>
          <w:tcPr>
            <w:tcW w:w="5000" w:type="pct"/>
            <w:gridSpan w:val="3"/>
          </w:tcPr>
          <w:p w:rsidR="00064913" w:rsidRPr="00B32C06" w:rsidRDefault="00064913" w:rsidP="00CD0650">
            <w:pPr>
              <w:jc w:val="both"/>
              <w:rPr>
                <w:rFonts w:eastAsia="Calibri"/>
                <w:sz w:val="20"/>
              </w:rPr>
            </w:pPr>
            <w:r w:rsidRPr="00B32C06">
              <w:rPr>
                <w:rFonts w:eastAsia="Calibri"/>
                <w:sz w:val="20"/>
              </w:rPr>
              <w:t xml:space="preserve">Administrative law – Judicial Review – Whether the Federal Court of Appeal has been systematically misapplying the decision in </w:t>
            </w:r>
            <w:r w:rsidRPr="00B32C06">
              <w:rPr>
                <w:rFonts w:eastAsia="Calibri"/>
                <w:i/>
                <w:sz w:val="20"/>
              </w:rPr>
              <w:t xml:space="preserve">Addison &amp; </w:t>
            </w:r>
            <w:proofErr w:type="spellStart"/>
            <w:r w:rsidRPr="00B32C06">
              <w:rPr>
                <w:rFonts w:eastAsia="Calibri"/>
                <w:i/>
                <w:sz w:val="20"/>
              </w:rPr>
              <w:t>Leyen</w:t>
            </w:r>
            <w:proofErr w:type="spellEnd"/>
            <w:r w:rsidRPr="00B32C06">
              <w:rPr>
                <w:rFonts w:eastAsia="Calibri"/>
                <w:sz w:val="20"/>
              </w:rPr>
              <w:t>, 2007 SCC 33, [2007] 2 S.C.R. 793, which held in part that judicial review is available in tax cases if the matter is not otherwise appealable, and thereby effectively has precluded judicial review in tax cases – Whether the Federal Court of Appeal’s approach defeats the fundamental principle of administrative law that judicial review is available to challenge governmental decisions because it leaves no remedy for an improper exercise of discretion by the Canada Revenue Agency – Whether the Federal Court of Appeal’s approach is contrary to a decision of the Ontario Court of Appeal.</w:t>
            </w:r>
          </w:p>
        </w:tc>
      </w:tr>
      <w:tr w:rsidR="00064913" w:rsidRPr="00B32C06" w:rsidTr="00CD0650">
        <w:tc>
          <w:tcPr>
            <w:tcW w:w="5000" w:type="pct"/>
            <w:gridSpan w:val="3"/>
          </w:tcPr>
          <w:p w:rsidR="00064913" w:rsidRPr="00B32C06" w:rsidRDefault="00064913" w:rsidP="00CD0650">
            <w:pPr>
              <w:jc w:val="both"/>
              <w:rPr>
                <w:rFonts w:eastAsia="Calibri"/>
                <w:sz w:val="20"/>
              </w:rPr>
            </w:pPr>
          </w:p>
        </w:tc>
      </w:tr>
      <w:tr w:rsidR="00064913" w:rsidRPr="00B32C06" w:rsidTr="00CD0650">
        <w:tc>
          <w:tcPr>
            <w:tcW w:w="5000" w:type="pct"/>
            <w:gridSpan w:val="3"/>
          </w:tcPr>
          <w:p w:rsidR="00064913" w:rsidRPr="00B32C06" w:rsidRDefault="00064913" w:rsidP="00CD0650">
            <w:pPr>
              <w:jc w:val="both"/>
              <w:rPr>
                <w:rFonts w:eastAsia="Calibri"/>
                <w:sz w:val="20"/>
              </w:rPr>
            </w:pPr>
            <w:r w:rsidRPr="00B32C06">
              <w:rPr>
                <w:rFonts w:eastAsia="Calibri"/>
                <w:sz w:val="20"/>
              </w:rPr>
              <w:t>The applicants are suppliers of mobile telephone services and they charge international roaming fees when calls are made by a Canadian mobile phone in a non-Canadian area code.  The applicants treated international roaming charges as exempt from GST.  In 2006, the respondent took the position that international roaming charges are subject to GST. The applicants asked that the consequent tax assessments start only from January 1, 2006.  On May 13, 2009, the respondent refused and stated that assessments would commence from October, 2004, because this was when the industry started treating the charges as a single supply of telecommunication services.  The applicants applied for judicial review and sought an order of prohibition against assessments from October, 2004. The respondent moved to strike the motion.  The motion was dismissed by the motions judge.  The Federal Court of Appeal allowed an appeal and struck the application for judicial review.</w:t>
            </w:r>
          </w:p>
          <w:p w:rsidR="00064913" w:rsidRPr="00B32C06" w:rsidRDefault="00064913" w:rsidP="00CD0650">
            <w:pPr>
              <w:jc w:val="both"/>
              <w:rPr>
                <w:rFonts w:eastAsia="Calibri"/>
                <w:sz w:val="20"/>
              </w:rPr>
            </w:pPr>
          </w:p>
        </w:tc>
      </w:tr>
      <w:tr w:rsidR="00064913" w:rsidRPr="00B32C06" w:rsidTr="00CD0650">
        <w:tblPrEx>
          <w:tblCellMar>
            <w:bottom w:w="0" w:type="dxa"/>
          </w:tblCellMar>
        </w:tblPrEx>
        <w:tc>
          <w:tcPr>
            <w:tcW w:w="2390" w:type="pct"/>
          </w:tcPr>
          <w:p w:rsidR="00064913" w:rsidRPr="00B32C06" w:rsidRDefault="00064913" w:rsidP="00CD0650">
            <w:pPr>
              <w:jc w:val="both"/>
              <w:rPr>
                <w:rFonts w:eastAsia="Calibri"/>
                <w:sz w:val="20"/>
              </w:rPr>
            </w:pPr>
            <w:r w:rsidRPr="00B32C06">
              <w:rPr>
                <w:rFonts w:eastAsia="Calibri"/>
                <w:sz w:val="20"/>
              </w:rPr>
              <w:t>August 25, 2010</w:t>
            </w:r>
          </w:p>
          <w:p w:rsidR="00064913" w:rsidRPr="00B32C06" w:rsidRDefault="00064913" w:rsidP="00CD0650">
            <w:pPr>
              <w:jc w:val="both"/>
              <w:rPr>
                <w:rFonts w:eastAsia="Calibri"/>
                <w:sz w:val="20"/>
              </w:rPr>
            </w:pPr>
            <w:r w:rsidRPr="00B32C06">
              <w:rPr>
                <w:rFonts w:eastAsia="Calibri"/>
                <w:sz w:val="20"/>
              </w:rPr>
              <w:t>Federal Court</w:t>
            </w:r>
          </w:p>
          <w:p w:rsidR="00064913" w:rsidRPr="00B32C06" w:rsidRDefault="00064913" w:rsidP="00CD0650">
            <w:pPr>
              <w:jc w:val="both"/>
              <w:rPr>
                <w:rFonts w:eastAsia="Calibri"/>
                <w:sz w:val="20"/>
              </w:rPr>
            </w:pPr>
            <w:r w:rsidRPr="00B32C06">
              <w:rPr>
                <w:rFonts w:eastAsia="Calibri"/>
                <w:sz w:val="20"/>
              </w:rPr>
              <w:t>(</w:t>
            </w:r>
            <w:proofErr w:type="spellStart"/>
            <w:r w:rsidRPr="00B32C06">
              <w:rPr>
                <w:rFonts w:eastAsia="Calibri"/>
                <w:sz w:val="20"/>
              </w:rPr>
              <w:t>Zinn</w:t>
            </w:r>
            <w:proofErr w:type="spellEnd"/>
            <w:r w:rsidRPr="00B32C06">
              <w:rPr>
                <w:rFonts w:eastAsia="Calibri"/>
                <w:sz w:val="20"/>
              </w:rPr>
              <w:t xml:space="preserve"> J.)</w:t>
            </w:r>
          </w:p>
          <w:p w:rsidR="00064913" w:rsidRPr="00B32C06" w:rsidRDefault="00064913" w:rsidP="00CD0650">
            <w:pPr>
              <w:jc w:val="both"/>
              <w:rPr>
                <w:rFonts w:eastAsia="Calibri"/>
                <w:sz w:val="20"/>
              </w:rPr>
            </w:pPr>
          </w:p>
        </w:tc>
        <w:tc>
          <w:tcPr>
            <w:tcW w:w="270" w:type="pct"/>
          </w:tcPr>
          <w:p w:rsidR="00064913" w:rsidRPr="00B32C06" w:rsidRDefault="00064913" w:rsidP="00CD0650">
            <w:pPr>
              <w:jc w:val="both"/>
              <w:rPr>
                <w:rFonts w:eastAsia="Calibri"/>
                <w:sz w:val="20"/>
              </w:rPr>
            </w:pPr>
          </w:p>
        </w:tc>
        <w:tc>
          <w:tcPr>
            <w:tcW w:w="2340" w:type="pct"/>
          </w:tcPr>
          <w:p w:rsidR="00064913" w:rsidRPr="00B32C06" w:rsidRDefault="00064913" w:rsidP="00CD0650">
            <w:pPr>
              <w:jc w:val="both"/>
              <w:rPr>
                <w:rFonts w:eastAsia="Calibri"/>
                <w:sz w:val="20"/>
              </w:rPr>
            </w:pPr>
            <w:r w:rsidRPr="00B32C06">
              <w:rPr>
                <w:rFonts w:eastAsia="Calibri"/>
                <w:sz w:val="20"/>
              </w:rPr>
              <w:t>Motion by respondent to strike application for judicial review dismissed</w:t>
            </w:r>
          </w:p>
        </w:tc>
      </w:tr>
      <w:tr w:rsidR="00064913" w:rsidRPr="00B32C06" w:rsidTr="00CD0650">
        <w:tblPrEx>
          <w:tblCellMar>
            <w:bottom w:w="0" w:type="dxa"/>
          </w:tblCellMar>
        </w:tblPrEx>
        <w:tc>
          <w:tcPr>
            <w:tcW w:w="2390" w:type="pct"/>
          </w:tcPr>
          <w:p w:rsidR="00064913" w:rsidRPr="00B32C06" w:rsidRDefault="00064913" w:rsidP="00CD0650">
            <w:pPr>
              <w:jc w:val="both"/>
              <w:rPr>
                <w:rFonts w:eastAsia="Calibri"/>
                <w:sz w:val="20"/>
              </w:rPr>
            </w:pPr>
            <w:r w:rsidRPr="00B32C06">
              <w:rPr>
                <w:rFonts w:eastAsia="Calibri"/>
                <w:sz w:val="20"/>
              </w:rPr>
              <w:t>March 8, 2011</w:t>
            </w:r>
          </w:p>
          <w:p w:rsidR="00064913" w:rsidRPr="00B32C06" w:rsidRDefault="00064913" w:rsidP="00CD0650">
            <w:pPr>
              <w:jc w:val="both"/>
              <w:rPr>
                <w:rFonts w:eastAsia="Calibri"/>
                <w:sz w:val="20"/>
              </w:rPr>
            </w:pPr>
            <w:r w:rsidRPr="00B32C06">
              <w:rPr>
                <w:rFonts w:eastAsia="Calibri"/>
                <w:sz w:val="20"/>
              </w:rPr>
              <w:t>Federal Court of Appeal</w:t>
            </w:r>
          </w:p>
          <w:p w:rsidR="00064913" w:rsidRPr="00B32C06" w:rsidRDefault="00064913" w:rsidP="00CD0650">
            <w:pPr>
              <w:jc w:val="both"/>
              <w:rPr>
                <w:rFonts w:eastAsia="Calibri"/>
                <w:sz w:val="20"/>
              </w:rPr>
            </w:pPr>
            <w:r w:rsidRPr="00B32C06">
              <w:rPr>
                <w:rFonts w:eastAsia="Calibri"/>
                <w:sz w:val="20"/>
              </w:rPr>
              <w:t>(</w:t>
            </w:r>
            <w:proofErr w:type="spellStart"/>
            <w:r w:rsidRPr="00B32C06">
              <w:rPr>
                <w:rFonts w:eastAsia="Calibri"/>
                <w:sz w:val="20"/>
              </w:rPr>
              <w:t>Blais</w:t>
            </w:r>
            <w:proofErr w:type="spellEnd"/>
            <w:r w:rsidRPr="00B32C06">
              <w:rPr>
                <w:rFonts w:eastAsia="Calibri"/>
                <w:sz w:val="20"/>
              </w:rPr>
              <w:t xml:space="preserve">, </w:t>
            </w:r>
            <w:proofErr w:type="spellStart"/>
            <w:r w:rsidRPr="00B32C06">
              <w:rPr>
                <w:rFonts w:eastAsia="Calibri"/>
                <w:sz w:val="20"/>
              </w:rPr>
              <w:t>Sharlow</w:t>
            </w:r>
            <w:proofErr w:type="spellEnd"/>
            <w:r w:rsidRPr="00B32C06">
              <w:rPr>
                <w:rFonts w:eastAsia="Calibri"/>
                <w:sz w:val="20"/>
              </w:rPr>
              <w:t xml:space="preserve">, </w:t>
            </w:r>
            <w:proofErr w:type="spellStart"/>
            <w:r w:rsidRPr="00B32C06">
              <w:rPr>
                <w:rFonts w:eastAsia="Calibri"/>
                <w:sz w:val="20"/>
              </w:rPr>
              <w:t>Stratas</w:t>
            </w:r>
            <w:proofErr w:type="spellEnd"/>
            <w:r w:rsidRPr="00B32C06">
              <w:rPr>
                <w:rFonts w:eastAsia="Calibri"/>
                <w:sz w:val="20"/>
              </w:rPr>
              <w:t xml:space="preserve"> JJ.A.)</w:t>
            </w:r>
          </w:p>
          <w:p w:rsidR="00064913" w:rsidRPr="00B32C06" w:rsidRDefault="00064913" w:rsidP="00CD0650">
            <w:pPr>
              <w:jc w:val="both"/>
              <w:rPr>
                <w:rFonts w:eastAsia="Calibri"/>
                <w:sz w:val="20"/>
              </w:rPr>
            </w:pPr>
            <w:r w:rsidRPr="00B32C06">
              <w:rPr>
                <w:rFonts w:eastAsia="Calibri"/>
                <w:sz w:val="20"/>
              </w:rPr>
              <w:t>2011 FCA 89; A-311-10</w:t>
            </w:r>
          </w:p>
          <w:p w:rsidR="00064913" w:rsidRPr="00B32C06" w:rsidRDefault="00064913" w:rsidP="00CD0650">
            <w:pPr>
              <w:jc w:val="both"/>
              <w:rPr>
                <w:rFonts w:eastAsia="Calibri"/>
                <w:sz w:val="20"/>
              </w:rPr>
            </w:pPr>
          </w:p>
        </w:tc>
        <w:tc>
          <w:tcPr>
            <w:tcW w:w="270" w:type="pct"/>
          </w:tcPr>
          <w:p w:rsidR="00064913" w:rsidRPr="00B32C06" w:rsidRDefault="00064913" w:rsidP="00CD0650">
            <w:pPr>
              <w:jc w:val="both"/>
              <w:rPr>
                <w:rFonts w:eastAsia="Calibri"/>
                <w:sz w:val="20"/>
              </w:rPr>
            </w:pPr>
          </w:p>
        </w:tc>
        <w:tc>
          <w:tcPr>
            <w:tcW w:w="2340" w:type="pct"/>
          </w:tcPr>
          <w:p w:rsidR="00064913" w:rsidRPr="00B32C06" w:rsidRDefault="00064913" w:rsidP="00CD0650">
            <w:pPr>
              <w:jc w:val="both"/>
              <w:rPr>
                <w:rFonts w:eastAsia="Calibri"/>
                <w:sz w:val="20"/>
              </w:rPr>
            </w:pPr>
            <w:r w:rsidRPr="00B32C06">
              <w:rPr>
                <w:rFonts w:eastAsia="Calibri"/>
                <w:sz w:val="20"/>
              </w:rPr>
              <w:t>Appeal allowed, application for judicial review struck out</w:t>
            </w:r>
          </w:p>
          <w:p w:rsidR="00064913" w:rsidRPr="00B32C06" w:rsidRDefault="00064913" w:rsidP="00CD0650">
            <w:pPr>
              <w:jc w:val="both"/>
              <w:rPr>
                <w:rFonts w:eastAsia="Calibri"/>
                <w:sz w:val="20"/>
              </w:rPr>
            </w:pPr>
          </w:p>
        </w:tc>
      </w:tr>
      <w:tr w:rsidR="00064913" w:rsidRPr="00B32C06" w:rsidTr="00CD0650">
        <w:tblPrEx>
          <w:tblCellMar>
            <w:bottom w:w="0" w:type="dxa"/>
          </w:tblCellMar>
        </w:tblPrEx>
        <w:tc>
          <w:tcPr>
            <w:tcW w:w="2390" w:type="pct"/>
          </w:tcPr>
          <w:p w:rsidR="00064913" w:rsidRPr="00B32C06" w:rsidRDefault="00064913" w:rsidP="00CD0650">
            <w:pPr>
              <w:jc w:val="both"/>
              <w:rPr>
                <w:rFonts w:eastAsia="Calibri"/>
                <w:sz w:val="20"/>
              </w:rPr>
            </w:pPr>
            <w:r w:rsidRPr="00B32C06">
              <w:rPr>
                <w:rFonts w:eastAsia="Calibri"/>
                <w:sz w:val="20"/>
              </w:rPr>
              <w:t>May 5, 2011</w:t>
            </w:r>
          </w:p>
          <w:p w:rsidR="00064913" w:rsidRPr="00B32C06" w:rsidRDefault="00064913" w:rsidP="00CD0650">
            <w:pPr>
              <w:jc w:val="both"/>
              <w:rPr>
                <w:rFonts w:eastAsia="Calibri"/>
                <w:sz w:val="20"/>
              </w:rPr>
            </w:pPr>
            <w:r w:rsidRPr="00B32C06">
              <w:rPr>
                <w:rFonts w:eastAsia="Calibri"/>
                <w:sz w:val="20"/>
              </w:rPr>
              <w:t>Supreme Court of Canada</w:t>
            </w:r>
          </w:p>
        </w:tc>
        <w:tc>
          <w:tcPr>
            <w:tcW w:w="270" w:type="pct"/>
          </w:tcPr>
          <w:p w:rsidR="00064913" w:rsidRPr="00B32C06" w:rsidRDefault="00064913" w:rsidP="00CD0650">
            <w:pPr>
              <w:jc w:val="both"/>
              <w:rPr>
                <w:rFonts w:eastAsia="Calibri"/>
                <w:sz w:val="20"/>
              </w:rPr>
            </w:pPr>
          </w:p>
        </w:tc>
        <w:tc>
          <w:tcPr>
            <w:tcW w:w="2340" w:type="pct"/>
          </w:tcPr>
          <w:p w:rsidR="00064913" w:rsidRPr="00B32C06" w:rsidRDefault="00064913" w:rsidP="00CD0650">
            <w:pPr>
              <w:jc w:val="both"/>
              <w:rPr>
                <w:rFonts w:eastAsia="Calibri"/>
                <w:sz w:val="20"/>
              </w:rPr>
            </w:pPr>
            <w:r w:rsidRPr="00B32C06">
              <w:rPr>
                <w:rFonts w:eastAsia="Calibri"/>
                <w:sz w:val="20"/>
              </w:rPr>
              <w:t>Application for leave to appeal filed</w:t>
            </w:r>
          </w:p>
        </w:tc>
      </w:tr>
    </w:tbl>
    <w:p w:rsidR="00064913" w:rsidRDefault="00064913" w:rsidP="008D292F">
      <w:pPr>
        <w:rPr>
          <w:sz w:val="20"/>
          <w:szCs w:val="20"/>
        </w:rPr>
      </w:pPr>
    </w:p>
    <w:p w:rsidR="00C64AFA" w:rsidRPr="00C50A5C" w:rsidRDefault="007505E6" w:rsidP="00C64AFA">
      <w:pPr>
        <w:rPr>
          <w:sz w:val="20"/>
          <w:szCs w:val="20"/>
        </w:rPr>
      </w:pPr>
      <w:r w:rsidRPr="007505E6">
        <w:rPr>
          <w:sz w:val="20"/>
          <w:szCs w:val="20"/>
          <w:lang w:val="fr-CA"/>
        </w:rPr>
        <w:pict>
          <v:rect id="_x0000_i1041" style="width:2in;height:1pt" o:hrpct="0" o:hralign="center" o:hrstd="t" o:hrnoshade="t" o:hr="t" fillcolor="black [3213]" stroked="f"/>
        </w:pict>
      </w:r>
    </w:p>
    <w:p w:rsidR="00C64AFA" w:rsidRDefault="00C64AFA" w:rsidP="00C64AFA">
      <w:pPr>
        <w:rPr>
          <w:sz w:val="20"/>
          <w:szCs w:val="20"/>
        </w:rPr>
      </w:pPr>
    </w:p>
    <w:p w:rsidR="00DA20EC" w:rsidRDefault="00DA20EC">
      <w:pPr>
        <w:rPr>
          <w:sz w:val="20"/>
          <w:szCs w:val="20"/>
          <w:u w:val="single"/>
          <w:lang w:val="fr-CA"/>
        </w:rPr>
      </w:pPr>
      <w:r>
        <w:rPr>
          <w:sz w:val="20"/>
          <w:szCs w:val="20"/>
          <w:u w:val="single"/>
          <w:lang w:val="fr-CA"/>
        </w:rPr>
        <w:br w:type="page"/>
      </w:r>
    </w:p>
    <w:p w:rsidR="00C64AFA" w:rsidRPr="001B157C" w:rsidRDefault="00C64AFA" w:rsidP="00C64AFA">
      <w:pPr>
        <w:rPr>
          <w:sz w:val="20"/>
          <w:szCs w:val="20"/>
          <w:u w:val="single"/>
          <w:lang w:val="fr-CA"/>
        </w:rPr>
      </w:pPr>
      <w:r w:rsidRPr="001B157C">
        <w:rPr>
          <w:sz w:val="20"/>
          <w:szCs w:val="20"/>
          <w:u w:val="single"/>
          <w:lang w:val="fr-CA"/>
        </w:rPr>
        <w:lastRenderedPageBreak/>
        <w:t>RÉSUMÉ DE L’AFFAIRE</w:t>
      </w:r>
    </w:p>
    <w:p w:rsidR="00C64AFA" w:rsidRDefault="00C64AFA" w:rsidP="008D292F">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064913" w:rsidRPr="002D3F55" w:rsidTr="00CD0650">
        <w:tc>
          <w:tcPr>
            <w:tcW w:w="5000" w:type="pct"/>
            <w:gridSpan w:val="3"/>
          </w:tcPr>
          <w:p w:rsidR="00064913" w:rsidRPr="00B32C06" w:rsidRDefault="00064913" w:rsidP="00CD0650">
            <w:pPr>
              <w:jc w:val="both"/>
              <w:rPr>
                <w:rFonts w:eastAsia="Calibri"/>
                <w:sz w:val="20"/>
                <w:lang w:val="fr-CA"/>
              </w:rPr>
            </w:pPr>
            <w:r w:rsidRPr="00B32C06">
              <w:rPr>
                <w:rFonts w:eastAsia="Calibri"/>
                <w:sz w:val="20"/>
                <w:lang w:val="fr-CA"/>
              </w:rPr>
              <w:t xml:space="preserve">Droit administratif – Contrôle judiciaire – La Cour d'appel fédérale se trompe-t-elle systématiquement dans l’application de l'arrêt </w:t>
            </w:r>
            <w:r w:rsidRPr="00B32C06">
              <w:rPr>
                <w:rFonts w:eastAsia="Calibri"/>
                <w:i/>
                <w:sz w:val="20"/>
                <w:lang w:val="fr-CA"/>
              </w:rPr>
              <w:t xml:space="preserve">Addison &amp; </w:t>
            </w:r>
            <w:proofErr w:type="spellStart"/>
            <w:r w:rsidRPr="00B32C06">
              <w:rPr>
                <w:rFonts w:eastAsia="Calibri"/>
                <w:i/>
                <w:sz w:val="20"/>
                <w:lang w:val="fr-CA"/>
              </w:rPr>
              <w:t>Leyen</w:t>
            </w:r>
            <w:proofErr w:type="spellEnd"/>
            <w:r w:rsidRPr="00B32C06">
              <w:rPr>
                <w:rFonts w:eastAsia="Calibri"/>
                <w:sz w:val="20"/>
                <w:lang w:val="fr-CA"/>
              </w:rPr>
              <w:t>, 2007 CSC 33, [2007] 2 R.C.S. 793, dans lequel il a notamment été statué qu’il y avait possibilité de recours en contrôle judiciaire en matière fiscale si l’affaire n’était pas autrement susceptible d'appel, empêchant ainsi à toutes fins pratiques l'exercice d'un contrôle judiciaire en matière fiscale? – L'approche de la Cour d'appel fédérale contrevient-elle au principe fondamental du droit administratif selon lequel le contrôle judiciaire peut être exercé pour contester les décisions gouvernementales, puisqu'elle ne permet aucun recours contre l'exercice abusif d'un pouvoir discrétionnaire par l'Agence du revenu du Canada? – L'approche de la Cour d'appel fédérale est-elle contraire à un arrêt de la Cour d'appel de l'Ontario?</w:t>
            </w:r>
          </w:p>
        </w:tc>
      </w:tr>
      <w:tr w:rsidR="00064913" w:rsidRPr="002D3F55" w:rsidTr="00CD0650">
        <w:tc>
          <w:tcPr>
            <w:tcW w:w="5000" w:type="pct"/>
            <w:gridSpan w:val="3"/>
          </w:tcPr>
          <w:p w:rsidR="00064913" w:rsidRPr="00B32C06" w:rsidRDefault="00064913" w:rsidP="00CD0650">
            <w:pPr>
              <w:jc w:val="both"/>
              <w:rPr>
                <w:rFonts w:eastAsia="Calibri"/>
                <w:sz w:val="20"/>
                <w:lang w:val="fr-CA"/>
              </w:rPr>
            </w:pPr>
          </w:p>
        </w:tc>
      </w:tr>
      <w:tr w:rsidR="00064913" w:rsidRPr="002D3F55" w:rsidTr="00CD0650">
        <w:tc>
          <w:tcPr>
            <w:tcW w:w="5000" w:type="pct"/>
            <w:gridSpan w:val="3"/>
          </w:tcPr>
          <w:p w:rsidR="00064913" w:rsidRPr="00B32C06" w:rsidRDefault="00064913" w:rsidP="00CD0650">
            <w:pPr>
              <w:jc w:val="both"/>
              <w:rPr>
                <w:rFonts w:eastAsia="Calibri"/>
                <w:sz w:val="20"/>
                <w:lang w:val="fr-CA"/>
              </w:rPr>
            </w:pPr>
            <w:r w:rsidRPr="00B32C06">
              <w:rPr>
                <w:rFonts w:eastAsia="Calibri"/>
                <w:sz w:val="20"/>
                <w:lang w:val="fr-CA"/>
              </w:rPr>
              <w:t xml:space="preserve">Les </w:t>
            </w:r>
            <w:proofErr w:type="spellStart"/>
            <w:r w:rsidRPr="00B32C06">
              <w:rPr>
                <w:rFonts w:eastAsia="Calibri"/>
                <w:sz w:val="20"/>
                <w:lang w:val="fr-CA"/>
              </w:rPr>
              <w:t>demanderesses</w:t>
            </w:r>
            <w:proofErr w:type="spellEnd"/>
            <w:r w:rsidRPr="00B32C06">
              <w:rPr>
                <w:rFonts w:eastAsia="Calibri"/>
                <w:sz w:val="20"/>
                <w:lang w:val="fr-CA"/>
              </w:rPr>
              <w:t xml:space="preserve"> sont des fournisseurs de services de téléphonie mobile qui facturent des frais d'itinérance internationaux lorsque des appels sont faits par un téléphone mobile canadien dans une zone de numérotage non canadienne. Les </w:t>
            </w:r>
            <w:proofErr w:type="spellStart"/>
            <w:r w:rsidRPr="00B32C06">
              <w:rPr>
                <w:rFonts w:eastAsia="Calibri"/>
                <w:sz w:val="20"/>
                <w:lang w:val="fr-CA"/>
              </w:rPr>
              <w:t>demanderesses</w:t>
            </w:r>
            <w:proofErr w:type="spellEnd"/>
            <w:r w:rsidRPr="00B32C06">
              <w:rPr>
                <w:rFonts w:eastAsia="Calibri"/>
                <w:sz w:val="20"/>
                <w:lang w:val="fr-CA"/>
              </w:rPr>
              <w:t xml:space="preserve"> ont traité les frais d'itinérance internationaux comme s'ils étaient exonérés de la TPS. En 2006, l'intimée a statué que les frais d'itinérance internationaux étaient assujettis à la TPS. Les </w:t>
            </w:r>
            <w:proofErr w:type="spellStart"/>
            <w:r w:rsidRPr="00B32C06">
              <w:rPr>
                <w:rFonts w:eastAsia="Calibri"/>
                <w:sz w:val="20"/>
                <w:lang w:val="fr-CA"/>
              </w:rPr>
              <w:t>demanderesses</w:t>
            </w:r>
            <w:proofErr w:type="spellEnd"/>
            <w:r w:rsidRPr="00B32C06">
              <w:rPr>
                <w:rFonts w:eastAsia="Calibri"/>
                <w:sz w:val="20"/>
                <w:lang w:val="fr-CA"/>
              </w:rPr>
              <w:t xml:space="preserve"> ont demandé que les cotisations fiscales qui découlaient de cette décision ne commencent à courir que le 1</w:t>
            </w:r>
            <w:r w:rsidRPr="00B32C06">
              <w:rPr>
                <w:rFonts w:eastAsia="Calibri"/>
                <w:sz w:val="20"/>
                <w:vertAlign w:val="superscript"/>
                <w:lang w:val="fr-CA"/>
              </w:rPr>
              <w:t>er</w:t>
            </w:r>
            <w:r w:rsidRPr="00B32C06">
              <w:rPr>
                <w:rFonts w:eastAsia="Calibri"/>
                <w:sz w:val="20"/>
                <w:lang w:val="fr-CA"/>
              </w:rPr>
              <w:t xml:space="preserve"> janvier  2006. Le 13 mai 2009, l'intimée a refusé et a déclaré que les cotisations commenceraient à courir à partir d'octobre 2004, parce que c'est à cette époque que l'industrie a commencé à traiter les frais comme une prestation unique de services de télécommunications. Les </w:t>
            </w:r>
            <w:proofErr w:type="spellStart"/>
            <w:r w:rsidRPr="00B32C06">
              <w:rPr>
                <w:rFonts w:eastAsia="Calibri"/>
                <w:sz w:val="20"/>
                <w:lang w:val="fr-CA"/>
              </w:rPr>
              <w:t>demanderesses</w:t>
            </w:r>
            <w:proofErr w:type="spellEnd"/>
            <w:r w:rsidRPr="00B32C06">
              <w:rPr>
                <w:rFonts w:eastAsia="Calibri"/>
                <w:sz w:val="20"/>
                <w:lang w:val="fr-CA"/>
              </w:rPr>
              <w:t xml:space="preserve"> ont demandé le contrôle judiciaire et une ordonnance d'interdiction contre les cotisations à partir d'octobre 2004. L'intimée a demandé par requête la radiation de la requête. La requête a été rejetée par le juge de première instance. La Cour d'appel fédérale a accueilli l'appel et a radié la demande de contrôle judiciaire.</w:t>
            </w:r>
          </w:p>
          <w:p w:rsidR="00064913" w:rsidRPr="00B32C06" w:rsidRDefault="00064913" w:rsidP="00CD0650">
            <w:pPr>
              <w:jc w:val="both"/>
              <w:rPr>
                <w:rFonts w:eastAsia="Calibri"/>
                <w:sz w:val="20"/>
                <w:lang w:val="fr-CA"/>
              </w:rPr>
            </w:pPr>
          </w:p>
        </w:tc>
      </w:tr>
      <w:tr w:rsidR="00064913" w:rsidRPr="002D3F55" w:rsidTr="00CD0650">
        <w:tblPrEx>
          <w:tblCellMar>
            <w:bottom w:w="0" w:type="dxa"/>
          </w:tblCellMar>
        </w:tblPrEx>
        <w:tc>
          <w:tcPr>
            <w:tcW w:w="2390" w:type="pct"/>
          </w:tcPr>
          <w:p w:rsidR="00064913" w:rsidRPr="00B32C06" w:rsidRDefault="00064913" w:rsidP="00CD0650">
            <w:pPr>
              <w:jc w:val="both"/>
              <w:rPr>
                <w:rFonts w:eastAsia="Calibri"/>
                <w:sz w:val="20"/>
                <w:lang w:val="fr-CA"/>
              </w:rPr>
            </w:pPr>
            <w:r w:rsidRPr="00B32C06">
              <w:rPr>
                <w:rFonts w:eastAsia="Calibri"/>
                <w:sz w:val="20"/>
                <w:lang w:val="fr-CA"/>
              </w:rPr>
              <w:t>25 août 2010</w:t>
            </w:r>
          </w:p>
          <w:p w:rsidR="00064913" w:rsidRPr="00B32C06" w:rsidRDefault="00064913" w:rsidP="00CD0650">
            <w:pPr>
              <w:jc w:val="both"/>
              <w:rPr>
                <w:rFonts w:eastAsia="Calibri"/>
                <w:sz w:val="20"/>
                <w:lang w:val="fr-CA"/>
              </w:rPr>
            </w:pPr>
            <w:r w:rsidRPr="00B32C06">
              <w:rPr>
                <w:rFonts w:eastAsia="Calibri"/>
                <w:sz w:val="20"/>
                <w:lang w:val="fr-CA"/>
              </w:rPr>
              <w:t xml:space="preserve">Cour fédérale </w:t>
            </w:r>
          </w:p>
          <w:p w:rsidR="00064913" w:rsidRPr="00B32C06" w:rsidRDefault="00064913" w:rsidP="00CD0650">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Zinn</w:t>
            </w:r>
            <w:proofErr w:type="spellEnd"/>
            <w:r w:rsidRPr="00B32C06">
              <w:rPr>
                <w:rFonts w:eastAsia="Calibri"/>
                <w:sz w:val="20"/>
                <w:lang w:val="fr-CA"/>
              </w:rPr>
              <w:t>)</w:t>
            </w:r>
          </w:p>
          <w:p w:rsidR="00064913" w:rsidRPr="00B32C06" w:rsidRDefault="00064913" w:rsidP="00CD0650">
            <w:pPr>
              <w:jc w:val="both"/>
              <w:rPr>
                <w:rFonts w:eastAsia="Calibri"/>
                <w:sz w:val="20"/>
                <w:lang w:val="fr-CA"/>
              </w:rPr>
            </w:pPr>
          </w:p>
        </w:tc>
        <w:tc>
          <w:tcPr>
            <w:tcW w:w="270" w:type="pct"/>
          </w:tcPr>
          <w:p w:rsidR="00064913" w:rsidRPr="00B32C06" w:rsidRDefault="00064913" w:rsidP="00CD0650">
            <w:pPr>
              <w:jc w:val="both"/>
              <w:rPr>
                <w:rFonts w:eastAsia="Calibri"/>
                <w:sz w:val="20"/>
                <w:lang w:val="fr-CA"/>
              </w:rPr>
            </w:pPr>
          </w:p>
        </w:tc>
        <w:tc>
          <w:tcPr>
            <w:tcW w:w="2340" w:type="pct"/>
          </w:tcPr>
          <w:p w:rsidR="00064913" w:rsidRPr="00B32C06" w:rsidRDefault="00064913" w:rsidP="00CD0650">
            <w:pPr>
              <w:jc w:val="both"/>
              <w:rPr>
                <w:rFonts w:eastAsia="Calibri"/>
                <w:sz w:val="20"/>
                <w:lang w:val="fr-CA"/>
              </w:rPr>
            </w:pPr>
            <w:r w:rsidRPr="00B32C06">
              <w:rPr>
                <w:rFonts w:eastAsia="Calibri"/>
                <w:sz w:val="20"/>
                <w:lang w:val="fr-CA"/>
              </w:rPr>
              <w:t>Requête de l'intimée en radiation de la demande de contrôle judiciaire, rejetée</w:t>
            </w:r>
          </w:p>
        </w:tc>
      </w:tr>
      <w:tr w:rsidR="00064913" w:rsidRPr="002D3F55" w:rsidTr="00CD0650">
        <w:tblPrEx>
          <w:tblCellMar>
            <w:bottom w:w="0" w:type="dxa"/>
          </w:tblCellMar>
        </w:tblPrEx>
        <w:tc>
          <w:tcPr>
            <w:tcW w:w="2390" w:type="pct"/>
          </w:tcPr>
          <w:p w:rsidR="00064913" w:rsidRPr="00B32C06" w:rsidRDefault="00064913" w:rsidP="00CD0650">
            <w:pPr>
              <w:jc w:val="both"/>
              <w:rPr>
                <w:rFonts w:eastAsia="Calibri"/>
                <w:sz w:val="20"/>
                <w:lang w:val="fr-CA"/>
              </w:rPr>
            </w:pPr>
            <w:r w:rsidRPr="00B32C06">
              <w:rPr>
                <w:rFonts w:eastAsia="Calibri"/>
                <w:sz w:val="20"/>
                <w:lang w:val="fr-CA"/>
              </w:rPr>
              <w:t>8 mars 2011</w:t>
            </w:r>
          </w:p>
          <w:p w:rsidR="00064913" w:rsidRPr="00B32C06" w:rsidRDefault="00064913" w:rsidP="00CD0650">
            <w:pPr>
              <w:jc w:val="both"/>
              <w:rPr>
                <w:rFonts w:eastAsia="Calibri"/>
                <w:sz w:val="20"/>
                <w:lang w:val="fr-CA"/>
              </w:rPr>
            </w:pPr>
            <w:r w:rsidRPr="00B32C06">
              <w:rPr>
                <w:rFonts w:eastAsia="Calibri"/>
                <w:sz w:val="20"/>
                <w:lang w:val="fr-CA"/>
              </w:rPr>
              <w:t xml:space="preserve">Cour d'appel fédérale </w:t>
            </w:r>
          </w:p>
          <w:p w:rsidR="00064913" w:rsidRPr="00B32C06" w:rsidRDefault="00064913" w:rsidP="00CD0650">
            <w:pPr>
              <w:jc w:val="both"/>
              <w:rPr>
                <w:rFonts w:eastAsia="Calibri"/>
                <w:sz w:val="20"/>
                <w:lang w:val="fr-CA"/>
              </w:rPr>
            </w:pPr>
            <w:r w:rsidRPr="00B32C06">
              <w:rPr>
                <w:rFonts w:eastAsia="Calibri"/>
                <w:sz w:val="20"/>
                <w:lang w:val="fr-CA"/>
              </w:rPr>
              <w:t xml:space="preserve">(Juges Blais, </w:t>
            </w:r>
            <w:proofErr w:type="spellStart"/>
            <w:r w:rsidRPr="00B32C06">
              <w:rPr>
                <w:rFonts w:eastAsia="Calibri"/>
                <w:sz w:val="20"/>
                <w:lang w:val="fr-CA"/>
              </w:rPr>
              <w:t>Sharlow</w:t>
            </w:r>
            <w:proofErr w:type="spellEnd"/>
            <w:r w:rsidRPr="00B32C06">
              <w:rPr>
                <w:rFonts w:eastAsia="Calibri"/>
                <w:sz w:val="20"/>
                <w:lang w:val="fr-CA"/>
              </w:rPr>
              <w:t xml:space="preserve"> et </w:t>
            </w:r>
            <w:proofErr w:type="spellStart"/>
            <w:r w:rsidRPr="00B32C06">
              <w:rPr>
                <w:rFonts w:eastAsia="Calibri"/>
                <w:sz w:val="20"/>
                <w:lang w:val="fr-CA"/>
              </w:rPr>
              <w:t>Stratas</w:t>
            </w:r>
            <w:proofErr w:type="spellEnd"/>
            <w:r w:rsidRPr="00B32C06">
              <w:rPr>
                <w:rFonts w:eastAsia="Calibri"/>
                <w:sz w:val="20"/>
                <w:lang w:val="fr-CA"/>
              </w:rPr>
              <w:t>)</w:t>
            </w:r>
          </w:p>
          <w:p w:rsidR="00064913" w:rsidRPr="00B32C06" w:rsidRDefault="00064913" w:rsidP="00CD0650">
            <w:pPr>
              <w:jc w:val="both"/>
              <w:rPr>
                <w:rFonts w:eastAsia="Calibri"/>
                <w:sz w:val="20"/>
                <w:lang w:val="fr-CA"/>
              </w:rPr>
            </w:pPr>
            <w:r w:rsidRPr="00B32C06">
              <w:rPr>
                <w:rFonts w:eastAsia="Calibri"/>
                <w:sz w:val="20"/>
                <w:lang w:val="fr-CA"/>
              </w:rPr>
              <w:t>2011 FCA 89; A-311-10</w:t>
            </w:r>
          </w:p>
          <w:p w:rsidR="00064913" w:rsidRPr="00B32C06" w:rsidRDefault="00064913" w:rsidP="00CD0650">
            <w:pPr>
              <w:jc w:val="both"/>
              <w:rPr>
                <w:rFonts w:eastAsia="Calibri"/>
                <w:sz w:val="20"/>
                <w:lang w:val="fr-CA"/>
              </w:rPr>
            </w:pPr>
          </w:p>
        </w:tc>
        <w:tc>
          <w:tcPr>
            <w:tcW w:w="270" w:type="pct"/>
          </w:tcPr>
          <w:p w:rsidR="00064913" w:rsidRPr="00B32C06" w:rsidRDefault="00064913" w:rsidP="00CD0650">
            <w:pPr>
              <w:jc w:val="both"/>
              <w:rPr>
                <w:rFonts w:eastAsia="Calibri"/>
                <w:sz w:val="20"/>
                <w:lang w:val="fr-CA"/>
              </w:rPr>
            </w:pPr>
          </w:p>
        </w:tc>
        <w:tc>
          <w:tcPr>
            <w:tcW w:w="2340" w:type="pct"/>
          </w:tcPr>
          <w:p w:rsidR="00064913" w:rsidRPr="00B32C06" w:rsidRDefault="00064913" w:rsidP="00CD0650">
            <w:pPr>
              <w:jc w:val="both"/>
              <w:rPr>
                <w:rFonts w:eastAsia="Calibri"/>
                <w:sz w:val="20"/>
                <w:lang w:val="fr-CA"/>
              </w:rPr>
            </w:pPr>
            <w:r w:rsidRPr="00B32C06">
              <w:rPr>
                <w:rFonts w:eastAsia="Calibri"/>
                <w:sz w:val="20"/>
                <w:lang w:val="fr-CA"/>
              </w:rPr>
              <w:t>Appel accueilli, demande de contrôle judiciaire, radiée</w:t>
            </w:r>
          </w:p>
          <w:p w:rsidR="00064913" w:rsidRPr="00B32C06" w:rsidRDefault="00064913" w:rsidP="00CD0650">
            <w:pPr>
              <w:jc w:val="both"/>
              <w:rPr>
                <w:rFonts w:eastAsia="Calibri"/>
                <w:sz w:val="20"/>
                <w:lang w:val="fr-CA"/>
              </w:rPr>
            </w:pPr>
          </w:p>
        </w:tc>
      </w:tr>
      <w:tr w:rsidR="00064913" w:rsidRPr="00B32C06" w:rsidTr="00CD0650">
        <w:tblPrEx>
          <w:tblCellMar>
            <w:bottom w:w="0" w:type="dxa"/>
          </w:tblCellMar>
        </w:tblPrEx>
        <w:tc>
          <w:tcPr>
            <w:tcW w:w="2390" w:type="pct"/>
          </w:tcPr>
          <w:p w:rsidR="00064913" w:rsidRPr="00B32C06" w:rsidRDefault="00064913" w:rsidP="00CD0650">
            <w:pPr>
              <w:jc w:val="both"/>
              <w:rPr>
                <w:rFonts w:eastAsia="Calibri"/>
                <w:sz w:val="20"/>
                <w:lang w:val="fr-CA"/>
              </w:rPr>
            </w:pPr>
            <w:r w:rsidRPr="00B32C06">
              <w:rPr>
                <w:rFonts w:eastAsia="Calibri"/>
                <w:sz w:val="20"/>
                <w:lang w:val="fr-CA"/>
              </w:rPr>
              <w:t>5 mai 2011</w:t>
            </w:r>
          </w:p>
          <w:p w:rsidR="00064913" w:rsidRPr="00B32C06" w:rsidRDefault="00064913" w:rsidP="00064913">
            <w:pPr>
              <w:jc w:val="both"/>
              <w:rPr>
                <w:rFonts w:eastAsia="Calibri"/>
                <w:sz w:val="20"/>
                <w:lang w:val="fr-CA"/>
              </w:rPr>
            </w:pPr>
            <w:r w:rsidRPr="00B32C06">
              <w:rPr>
                <w:rFonts w:eastAsia="Calibri"/>
                <w:sz w:val="20"/>
                <w:lang w:val="fr-CA"/>
              </w:rPr>
              <w:t>Cour suprême du Canada</w:t>
            </w:r>
          </w:p>
        </w:tc>
        <w:tc>
          <w:tcPr>
            <w:tcW w:w="270" w:type="pct"/>
          </w:tcPr>
          <w:p w:rsidR="00064913" w:rsidRPr="00B32C06" w:rsidRDefault="00064913" w:rsidP="00CD0650">
            <w:pPr>
              <w:jc w:val="both"/>
              <w:rPr>
                <w:rFonts w:eastAsia="Calibri"/>
                <w:sz w:val="20"/>
                <w:lang w:val="fr-CA"/>
              </w:rPr>
            </w:pPr>
          </w:p>
        </w:tc>
        <w:tc>
          <w:tcPr>
            <w:tcW w:w="2340" w:type="pct"/>
          </w:tcPr>
          <w:p w:rsidR="00064913" w:rsidRPr="00B32C06" w:rsidRDefault="00064913" w:rsidP="00CD0650">
            <w:pPr>
              <w:jc w:val="both"/>
              <w:rPr>
                <w:rFonts w:eastAsia="Calibri"/>
                <w:sz w:val="20"/>
                <w:lang w:val="fr-CA"/>
              </w:rPr>
            </w:pPr>
            <w:r w:rsidRPr="00B32C06">
              <w:rPr>
                <w:rFonts w:eastAsia="Calibri"/>
                <w:sz w:val="20"/>
                <w:lang w:val="fr-CA"/>
              </w:rPr>
              <w:t>Demande d'autorisation d'appel, déposée</w:t>
            </w:r>
          </w:p>
        </w:tc>
      </w:tr>
    </w:tbl>
    <w:p w:rsidR="00C64AFA" w:rsidRDefault="00C64AFA" w:rsidP="008D292F">
      <w:pPr>
        <w:rPr>
          <w:sz w:val="20"/>
          <w:szCs w:val="20"/>
        </w:rPr>
      </w:pPr>
    </w:p>
    <w:p w:rsidR="00C64AFA" w:rsidRDefault="007505E6" w:rsidP="008D292F">
      <w:pPr>
        <w:rPr>
          <w:sz w:val="20"/>
          <w:szCs w:val="20"/>
        </w:rPr>
      </w:pPr>
      <w:r w:rsidRPr="007505E6">
        <w:rPr>
          <w:sz w:val="20"/>
          <w:szCs w:val="20"/>
          <w:lang w:val="fr-CA"/>
        </w:rPr>
        <w:pict>
          <v:rect id="_x0000_i1042" style="width:2in;height:1pt" o:hrpct="0" o:hralign="center" o:hrstd="t" o:hrnoshade="t" o:hr="t" fillcolor="black [3213]" stroked="f"/>
        </w:pict>
      </w: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6529" w:rsidRPr="00A54F27" w:rsidTr="000A4857">
        <w:trPr>
          <w:cantSplit/>
        </w:trPr>
        <w:tc>
          <w:tcPr>
            <w:tcW w:w="1458" w:type="dxa"/>
          </w:tcPr>
          <w:p w:rsidR="00176529" w:rsidRPr="00A54F27" w:rsidRDefault="00176529" w:rsidP="000A4857">
            <w:pPr>
              <w:rPr>
                <w:sz w:val="20"/>
                <w:szCs w:val="20"/>
              </w:rPr>
            </w:pPr>
            <w:r w:rsidRPr="00A54F27">
              <w:rPr>
                <w:rStyle w:val="SCCFileNumberChar"/>
                <w:sz w:val="20"/>
                <w:szCs w:val="20"/>
              </w:rPr>
              <w:t>34350</w:t>
            </w:r>
          </w:p>
          <w:p w:rsidR="00176529" w:rsidRPr="00A54F27" w:rsidRDefault="00176529" w:rsidP="000A4857">
            <w:pPr>
              <w:rPr>
                <w:b/>
                <w:sz w:val="20"/>
                <w:szCs w:val="20"/>
                <w:lang w:val="fr-CA"/>
              </w:rPr>
            </w:pPr>
          </w:p>
        </w:tc>
        <w:tc>
          <w:tcPr>
            <w:tcW w:w="8118" w:type="dxa"/>
          </w:tcPr>
          <w:p w:rsidR="00176529" w:rsidRPr="00A54F27" w:rsidRDefault="00176529" w:rsidP="000A4857">
            <w:pPr>
              <w:rPr>
                <w:sz w:val="20"/>
                <w:szCs w:val="20"/>
              </w:rPr>
            </w:pPr>
            <w:r w:rsidRPr="00176529">
              <w:rPr>
                <w:rStyle w:val="SCCLsocChar"/>
                <w:sz w:val="20"/>
                <w:szCs w:val="20"/>
                <w:lang w:val="en-CA"/>
              </w:rPr>
              <w:t>Her Majesty the Queen v. David J. Daniels</w:t>
            </w:r>
            <w:r w:rsidRPr="00A54F27">
              <w:rPr>
                <w:sz w:val="20"/>
                <w:szCs w:val="20"/>
              </w:rPr>
              <w:t xml:space="preserve"> (Sask.) (Criminal) (By Leave)</w:t>
            </w:r>
          </w:p>
          <w:p w:rsidR="00176529" w:rsidRPr="00A54F27" w:rsidRDefault="00176529" w:rsidP="000A4857">
            <w:pPr>
              <w:rPr>
                <w:sz w:val="20"/>
                <w:szCs w:val="20"/>
              </w:rPr>
            </w:pPr>
          </w:p>
        </w:tc>
      </w:tr>
      <w:tr w:rsidR="00176529" w:rsidRPr="00A54F27" w:rsidTr="000A4857">
        <w:trPr>
          <w:cantSplit/>
        </w:trPr>
        <w:tc>
          <w:tcPr>
            <w:tcW w:w="1458" w:type="dxa"/>
          </w:tcPr>
          <w:p w:rsidR="00176529" w:rsidRPr="00A54F27" w:rsidRDefault="00176529" w:rsidP="000A4857">
            <w:pPr>
              <w:rPr>
                <w:sz w:val="20"/>
                <w:szCs w:val="20"/>
              </w:rPr>
            </w:pPr>
            <w:r w:rsidRPr="00A54F27">
              <w:rPr>
                <w:sz w:val="20"/>
                <w:szCs w:val="20"/>
              </w:rPr>
              <w:t>Coram :</w:t>
            </w:r>
          </w:p>
        </w:tc>
        <w:tc>
          <w:tcPr>
            <w:tcW w:w="8118" w:type="dxa"/>
          </w:tcPr>
          <w:p w:rsidR="00176529" w:rsidRPr="00A54F27" w:rsidRDefault="00176529" w:rsidP="000A4857">
            <w:pPr>
              <w:rPr>
                <w:sz w:val="20"/>
                <w:szCs w:val="20"/>
              </w:rPr>
            </w:pPr>
            <w:proofErr w:type="spellStart"/>
            <w:r w:rsidRPr="00176529">
              <w:rPr>
                <w:rStyle w:val="SCCCoramChar"/>
                <w:sz w:val="20"/>
                <w:szCs w:val="20"/>
                <w:lang w:val="en-CA"/>
              </w:rPr>
              <w:t>McLachlin</w:t>
            </w:r>
            <w:proofErr w:type="spellEnd"/>
            <w:r w:rsidRPr="00176529">
              <w:rPr>
                <w:rStyle w:val="SCCCoramChar"/>
                <w:sz w:val="20"/>
                <w:szCs w:val="20"/>
                <w:lang w:val="en-CA"/>
              </w:rPr>
              <w:t xml:space="preserve"> C.J. and Rothstein and </w:t>
            </w:r>
            <w:proofErr w:type="spellStart"/>
            <w:r w:rsidRPr="00176529">
              <w:rPr>
                <w:rStyle w:val="SCCCoramChar"/>
                <w:sz w:val="20"/>
                <w:szCs w:val="20"/>
                <w:lang w:val="en-CA"/>
              </w:rPr>
              <w:t>Moldaver</w:t>
            </w:r>
            <w:proofErr w:type="spellEnd"/>
            <w:r w:rsidRPr="00176529">
              <w:rPr>
                <w:rStyle w:val="SCCCoramChar"/>
                <w:sz w:val="20"/>
                <w:szCs w:val="20"/>
                <w:lang w:val="en-CA"/>
              </w:rPr>
              <w:t> JJ.</w:t>
            </w:r>
          </w:p>
          <w:p w:rsidR="00176529" w:rsidRPr="00A54F27" w:rsidRDefault="00176529" w:rsidP="000A4857">
            <w:pPr>
              <w:rPr>
                <w:sz w:val="20"/>
                <w:szCs w:val="20"/>
                <w:u w:val="single"/>
              </w:rPr>
            </w:pPr>
          </w:p>
        </w:tc>
      </w:tr>
      <w:tr w:rsidR="00176529" w:rsidRPr="002D3F55" w:rsidTr="000A4857">
        <w:trPr>
          <w:cantSplit/>
        </w:trPr>
        <w:tc>
          <w:tcPr>
            <w:tcW w:w="9576" w:type="dxa"/>
            <w:gridSpan w:val="2"/>
          </w:tcPr>
          <w:p w:rsidR="00176529" w:rsidRPr="00A54F27" w:rsidRDefault="00176529" w:rsidP="000A4857">
            <w:pPr>
              <w:pStyle w:val="SCCShortJudgment"/>
              <w:rPr>
                <w:szCs w:val="20"/>
              </w:rPr>
            </w:pPr>
            <w:r w:rsidRPr="00A54F27">
              <w:rPr>
                <w:szCs w:val="20"/>
              </w:rPr>
              <w:t>The application for leave to appeal from the judgment of the Court of Appeal for Saskatchewan, Number 1587, 2011 SKCA 67, dated May 30, 2011, is dismissed without costs.</w:t>
            </w:r>
          </w:p>
          <w:p w:rsidR="00176529" w:rsidRPr="00A54F27" w:rsidRDefault="00176529" w:rsidP="000A4857">
            <w:pPr>
              <w:pStyle w:val="SCCShortJudgment"/>
              <w:ind w:firstLine="0"/>
              <w:rPr>
                <w:szCs w:val="20"/>
              </w:rPr>
            </w:pPr>
          </w:p>
          <w:p w:rsidR="00176529" w:rsidRPr="00A54F27" w:rsidRDefault="00176529" w:rsidP="000A4857">
            <w:pPr>
              <w:pStyle w:val="SCCShortJudgment"/>
              <w:rPr>
                <w:szCs w:val="20"/>
                <w:lang w:val="fr-CA"/>
              </w:rPr>
            </w:pPr>
            <w:r w:rsidRPr="00A54F27">
              <w:rPr>
                <w:szCs w:val="20"/>
                <w:lang w:val="fr-CA"/>
              </w:rPr>
              <w:t>La demande d’autorisation d’appel de l’arrêt de la Cour d’appel de la Saskatchewan, numéro 1587, 2011 SKCA 67, daté du 30 mai 2011, est rejetée sans dépens.</w:t>
            </w:r>
          </w:p>
        </w:tc>
      </w:tr>
    </w:tbl>
    <w:p w:rsidR="00C64AFA" w:rsidRPr="00176529"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DF1A81" w:rsidRPr="00B32C06" w:rsidTr="00CD0650">
        <w:tc>
          <w:tcPr>
            <w:tcW w:w="5000" w:type="pct"/>
            <w:gridSpan w:val="3"/>
          </w:tcPr>
          <w:p w:rsidR="00DF1A81" w:rsidRPr="00B32C06" w:rsidRDefault="00DF1A81" w:rsidP="00CD0650">
            <w:pPr>
              <w:jc w:val="both"/>
              <w:rPr>
                <w:rFonts w:eastAsia="Calibri"/>
                <w:sz w:val="20"/>
              </w:rPr>
            </w:pPr>
            <w:r w:rsidRPr="00B32C06">
              <w:rPr>
                <w:rFonts w:eastAsia="Calibri"/>
                <w:sz w:val="20"/>
              </w:rPr>
              <w:t xml:space="preserve">Criminal Law – Sentencing – Dangerous offender and long term offender designations – Appeal – Standard of review – Criteria for granting a dangerous offender designation – Whether an indeterminate sentence requires a future </w:t>
            </w:r>
            <w:r w:rsidRPr="00B32C06">
              <w:rPr>
                <w:rFonts w:eastAsia="Calibri"/>
                <w:sz w:val="20"/>
              </w:rPr>
              <w:lastRenderedPageBreak/>
              <w:t>prospect of serious bodily injury or hospitalization – Standard of review applicable on an appeal from a dangerous offender designation.</w:t>
            </w:r>
          </w:p>
        </w:tc>
      </w:tr>
      <w:tr w:rsidR="00DF1A81" w:rsidRPr="00B32C06" w:rsidTr="00CD0650">
        <w:tc>
          <w:tcPr>
            <w:tcW w:w="5000" w:type="pct"/>
            <w:gridSpan w:val="3"/>
          </w:tcPr>
          <w:p w:rsidR="00DF1A81" w:rsidRPr="00B32C06" w:rsidRDefault="00DF1A81" w:rsidP="00CD0650">
            <w:pPr>
              <w:jc w:val="both"/>
              <w:rPr>
                <w:rFonts w:eastAsia="Calibri"/>
                <w:sz w:val="20"/>
              </w:rPr>
            </w:pPr>
          </w:p>
        </w:tc>
      </w:tr>
      <w:tr w:rsidR="00DF1A81" w:rsidRPr="00B32C06" w:rsidTr="00CD0650">
        <w:tc>
          <w:tcPr>
            <w:tcW w:w="5000" w:type="pct"/>
            <w:gridSpan w:val="3"/>
          </w:tcPr>
          <w:p w:rsidR="00DF1A81" w:rsidRPr="00B32C06" w:rsidRDefault="00DF1A81" w:rsidP="00CD0650">
            <w:pPr>
              <w:jc w:val="both"/>
              <w:rPr>
                <w:rFonts w:eastAsia="Calibri"/>
                <w:sz w:val="20"/>
              </w:rPr>
            </w:pPr>
            <w:r w:rsidRPr="00B32C06">
              <w:rPr>
                <w:rFonts w:eastAsia="Calibri"/>
                <w:sz w:val="20"/>
              </w:rPr>
              <w:t xml:space="preserve">The respondent was convicted on two counts of uttering a threat to cause death, robbery, breaking and entering a dwelling house and committing assault with a weapon, theft over $5000, attempting to obstruct, obstructing justice by threatening to kill two witnesses, two counts of unlawful confinement, assault using a weapon, and failing to comply with a condition of a recognizance.  The sentencing judge declared the applicant a dangerous offender and imposed an </w:t>
            </w:r>
            <w:bookmarkStart w:id="1" w:name="HIT_24"/>
            <w:bookmarkStart w:id="2" w:name="ORIGHIT_24"/>
            <w:bookmarkEnd w:id="1"/>
            <w:bookmarkEnd w:id="2"/>
            <w:r w:rsidRPr="00B32C06">
              <w:rPr>
                <w:rFonts w:eastAsia="Calibri"/>
                <w:sz w:val="20"/>
              </w:rPr>
              <w:t>indeterminate sentence.  A majority of the Court of Appeal allowed an appeal from sentence, substituted a long term offender designation, and remanded the matter back to the sentencing judge to determine an appropriate term and sentencing conditions.</w:t>
            </w:r>
          </w:p>
          <w:p w:rsidR="00DF1A81" w:rsidRPr="00B32C06" w:rsidRDefault="00DF1A81" w:rsidP="00CD0650">
            <w:pPr>
              <w:jc w:val="both"/>
              <w:rPr>
                <w:rFonts w:eastAsia="Calibri"/>
                <w:sz w:val="20"/>
              </w:rPr>
            </w:pPr>
          </w:p>
        </w:tc>
      </w:tr>
      <w:tr w:rsidR="00DF1A81" w:rsidRPr="00B32C06" w:rsidTr="00CD0650">
        <w:tblPrEx>
          <w:tblCellMar>
            <w:bottom w:w="0" w:type="dxa"/>
          </w:tblCellMar>
        </w:tblPrEx>
        <w:tc>
          <w:tcPr>
            <w:tcW w:w="2390" w:type="pct"/>
          </w:tcPr>
          <w:p w:rsidR="00DF1A81" w:rsidRPr="00B32C06" w:rsidRDefault="00DF1A81" w:rsidP="00CD0650">
            <w:pPr>
              <w:jc w:val="both"/>
              <w:rPr>
                <w:rFonts w:eastAsia="Calibri"/>
                <w:sz w:val="20"/>
              </w:rPr>
            </w:pPr>
            <w:r w:rsidRPr="00B32C06">
              <w:rPr>
                <w:rFonts w:eastAsia="Calibri"/>
                <w:sz w:val="20"/>
              </w:rPr>
              <w:t>September 4, 2008</w:t>
            </w:r>
          </w:p>
          <w:p w:rsidR="00DF1A81" w:rsidRPr="00B32C06" w:rsidRDefault="00DF1A81" w:rsidP="00CD0650">
            <w:pPr>
              <w:jc w:val="both"/>
              <w:rPr>
                <w:rFonts w:eastAsia="Calibri"/>
                <w:sz w:val="20"/>
              </w:rPr>
            </w:pPr>
            <w:r w:rsidRPr="00B32C06">
              <w:rPr>
                <w:rFonts w:eastAsia="Calibri"/>
                <w:sz w:val="20"/>
              </w:rPr>
              <w:t>Court of Queen’s Bench of Saskatchewan</w:t>
            </w:r>
          </w:p>
          <w:p w:rsidR="00DF1A81" w:rsidRPr="00B32C06" w:rsidRDefault="00DF1A81" w:rsidP="00CD0650">
            <w:pPr>
              <w:jc w:val="both"/>
              <w:rPr>
                <w:rFonts w:eastAsia="Calibri"/>
                <w:sz w:val="20"/>
              </w:rPr>
            </w:pPr>
            <w:r w:rsidRPr="00B32C06">
              <w:rPr>
                <w:rFonts w:eastAsia="Calibri"/>
                <w:sz w:val="20"/>
              </w:rPr>
              <w:t>(</w:t>
            </w:r>
            <w:proofErr w:type="spellStart"/>
            <w:r w:rsidRPr="00B32C06">
              <w:rPr>
                <w:rFonts w:eastAsia="Calibri"/>
                <w:sz w:val="20"/>
              </w:rPr>
              <w:t>Popescul</w:t>
            </w:r>
            <w:proofErr w:type="spellEnd"/>
            <w:r w:rsidRPr="00B32C06">
              <w:rPr>
                <w:rFonts w:eastAsia="Calibri"/>
                <w:sz w:val="20"/>
              </w:rPr>
              <w:t xml:space="preserve"> J.)</w:t>
            </w:r>
          </w:p>
          <w:p w:rsidR="00DF1A81" w:rsidRPr="00B32C06" w:rsidRDefault="00DF1A81" w:rsidP="00CD0650">
            <w:pPr>
              <w:jc w:val="both"/>
              <w:rPr>
                <w:rFonts w:eastAsia="Calibri"/>
                <w:sz w:val="20"/>
              </w:rPr>
            </w:pPr>
            <w:r w:rsidRPr="00B32C06">
              <w:rPr>
                <w:rFonts w:eastAsia="Calibri"/>
                <w:sz w:val="20"/>
              </w:rPr>
              <w:t>2008 SKQB 349</w:t>
            </w:r>
          </w:p>
          <w:p w:rsidR="00DF1A81" w:rsidRPr="00B32C06" w:rsidRDefault="00DF1A81" w:rsidP="00CD0650">
            <w:pPr>
              <w:jc w:val="both"/>
              <w:rPr>
                <w:rFonts w:eastAsia="Calibri"/>
                <w:sz w:val="20"/>
              </w:rPr>
            </w:pPr>
          </w:p>
        </w:tc>
        <w:tc>
          <w:tcPr>
            <w:tcW w:w="270" w:type="pct"/>
          </w:tcPr>
          <w:p w:rsidR="00DF1A81" w:rsidRPr="00B32C06" w:rsidRDefault="00DF1A81" w:rsidP="00CD0650">
            <w:pPr>
              <w:jc w:val="both"/>
              <w:rPr>
                <w:rFonts w:eastAsia="Calibri"/>
                <w:sz w:val="20"/>
              </w:rPr>
            </w:pPr>
          </w:p>
        </w:tc>
        <w:tc>
          <w:tcPr>
            <w:tcW w:w="2340" w:type="pct"/>
          </w:tcPr>
          <w:p w:rsidR="00DF1A81" w:rsidRPr="00B32C06" w:rsidRDefault="00DF1A81" w:rsidP="00CD0650">
            <w:pPr>
              <w:jc w:val="both"/>
              <w:rPr>
                <w:rFonts w:eastAsia="Calibri"/>
                <w:sz w:val="20"/>
              </w:rPr>
            </w:pPr>
            <w:r w:rsidRPr="00B32C06">
              <w:rPr>
                <w:rFonts w:eastAsia="Calibri"/>
                <w:sz w:val="20"/>
              </w:rPr>
              <w:t>Dangerous offender designation granted; indeterminate sentence imposed</w:t>
            </w:r>
          </w:p>
          <w:p w:rsidR="00DF1A81" w:rsidRPr="00B32C06" w:rsidRDefault="00DF1A81" w:rsidP="00CD0650">
            <w:pPr>
              <w:jc w:val="both"/>
              <w:rPr>
                <w:rFonts w:eastAsia="Calibri"/>
                <w:sz w:val="20"/>
              </w:rPr>
            </w:pPr>
          </w:p>
        </w:tc>
      </w:tr>
      <w:tr w:rsidR="00DF1A81" w:rsidRPr="00B32C06" w:rsidTr="00CD0650">
        <w:tblPrEx>
          <w:tblCellMar>
            <w:bottom w:w="0" w:type="dxa"/>
          </w:tblCellMar>
        </w:tblPrEx>
        <w:tc>
          <w:tcPr>
            <w:tcW w:w="2390" w:type="pct"/>
          </w:tcPr>
          <w:p w:rsidR="00DF1A81" w:rsidRPr="00B32C06" w:rsidRDefault="00DF1A81" w:rsidP="00CD0650">
            <w:pPr>
              <w:jc w:val="both"/>
              <w:rPr>
                <w:rFonts w:eastAsia="Calibri"/>
                <w:sz w:val="20"/>
              </w:rPr>
            </w:pPr>
            <w:r w:rsidRPr="00B32C06">
              <w:rPr>
                <w:rFonts w:eastAsia="Calibri"/>
                <w:sz w:val="20"/>
              </w:rPr>
              <w:t>May 30, 2011</w:t>
            </w:r>
          </w:p>
          <w:p w:rsidR="00DF1A81" w:rsidRPr="00B32C06" w:rsidRDefault="00DF1A81" w:rsidP="00CD0650">
            <w:pPr>
              <w:jc w:val="both"/>
              <w:rPr>
                <w:rFonts w:eastAsia="Calibri"/>
                <w:sz w:val="20"/>
              </w:rPr>
            </w:pPr>
            <w:r w:rsidRPr="00B32C06">
              <w:rPr>
                <w:rFonts w:eastAsia="Calibri"/>
                <w:sz w:val="20"/>
              </w:rPr>
              <w:t>Court of Appeal for Saskatchewan</w:t>
            </w:r>
          </w:p>
          <w:p w:rsidR="00DF1A81" w:rsidRPr="00B32C06" w:rsidRDefault="00DF1A81" w:rsidP="00CD0650">
            <w:pPr>
              <w:jc w:val="both"/>
              <w:rPr>
                <w:rFonts w:eastAsia="Calibri"/>
                <w:sz w:val="20"/>
              </w:rPr>
            </w:pPr>
            <w:r w:rsidRPr="00B32C06">
              <w:rPr>
                <w:rFonts w:eastAsia="Calibri"/>
                <w:sz w:val="20"/>
              </w:rPr>
              <w:t xml:space="preserve">(Jackson, Richards, </w:t>
            </w:r>
            <w:proofErr w:type="spellStart"/>
            <w:r w:rsidRPr="00B32C06">
              <w:rPr>
                <w:rFonts w:eastAsia="Calibri"/>
                <w:sz w:val="20"/>
              </w:rPr>
              <w:t>Ottenbreit</w:t>
            </w:r>
            <w:proofErr w:type="spellEnd"/>
            <w:r w:rsidRPr="00B32C06">
              <w:rPr>
                <w:rFonts w:eastAsia="Calibri"/>
                <w:sz w:val="20"/>
              </w:rPr>
              <w:t xml:space="preserve"> [dissenting] JJ.A.)</w:t>
            </w:r>
          </w:p>
          <w:p w:rsidR="00DF1A81" w:rsidRPr="00B32C06" w:rsidRDefault="00DF1A81" w:rsidP="00CD0650">
            <w:pPr>
              <w:jc w:val="both"/>
              <w:rPr>
                <w:rFonts w:eastAsia="Calibri"/>
                <w:sz w:val="20"/>
              </w:rPr>
            </w:pPr>
            <w:r w:rsidRPr="00B32C06">
              <w:rPr>
                <w:rFonts w:eastAsia="Calibri"/>
                <w:sz w:val="20"/>
              </w:rPr>
              <w:t>2011 SKCA 67; Docket No. 1587</w:t>
            </w:r>
          </w:p>
          <w:p w:rsidR="00DF1A81" w:rsidRPr="00B32C06" w:rsidRDefault="00DF1A81" w:rsidP="00CD0650">
            <w:pPr>
              <w:jc w:val="both"/>
              <w:rPr>
                <w:rFonts w:eastAsia="Calibri"/>
                <w:sz w:val="20"/>
              </w:rPr>
            </w:pPr>
          </w:p>
        </w:tc>
        <w:tc>
          <w:tcPr>
            <w:tcW w:w="270" w:type="pct"/>
          </w:tcPr>
          <w:p w:rsidR="00DF1A81" w:rsidRPr="00B32C06" w:rsidRDefault="00DF1A81" w:rsidP="00CD0650">
            <w:pPr>
              <w:jc w:val="both"/>
              <w:rPr>
                <w:rFonts w:eastAsia="Calibri"/>
                <w:sz w:val="20"/>
              </w:rPr>
            </w:pPr>
          </w:p>
        </w:tc>
        <w:tc>
          <w:tcPr>
            <w:tcW w:w="2340" w:type="pct"/>
          </w:tcPr>
          <w:p w:rsidR="00DF1A81" w:rsidRPr="00B32C06" w:rsidRDefault="00DF1A81" w:rsidP="00CD0650">
            <w:pPr>
              <w:jc w:val="both"/>
              <w:rPr>
                <w:rFonts w:eastAsia="Calibri"/>
                <w:sz w:val="20"/>
              </w:rPr>
            </w:pPr>
            <w:r w:rsidRPr="00B32C06">
              <w:rPr>
                <w:rFonts w:eastAsia="Calibri"/>
                <w:sz w:val="20"/>
              </w:rPr>
              <w:t>Appeal allowed; Long term offender designation substituted; matter remitted to sentencing judge</w:t>
            </w:r>
          </w:p>
          <w:p w:rsidR="00DF1A81" w:rsidRPr="00B32C06" w:rsidRDefault="00DF1A81" w:rsidP="00CD0650">
            <w:pPr>
              <w:jc w:val="both"/>
              <w:rPr>
                <w:rFonts w:eastAsia="Calibri"/>
                <w:sz w:val="20"/>
              </w:rPr>
            </w:pPr>
          </w:p>
        </w:tc>
      </w:tr>
      <w:tr w:rsidR="00DF1A81" w:rsidRPr="00B32C06" w:rsidTr="00CD0650">
        <w:tblPrEx>
          <w:tblCellMar>
            <w:bottom w:w="0" w:type="dxa"/>
          </w:tblCellMar>
        </w:tblPrEx>
        <w:tc>
          <w:tcPr>
            <w:tcW w:w="2390" w:type="pct"/>
          </w:tcPr>
          <w:p w:rsidR="00DF1A81" w:rsidRPr="00B32C06" w:rsidRDefault="00DF1A81" w:rsidP="00CD0650">
            <w:pPr>
              <w:jc w:val="both"/>
              <w:rPr>
                <w:rFonts w:eastAsia="Calibri"/>
                <w:sz w:val="20"/>
              </w:rPr>
            </w:pPr>
            <w:r w:rsidRPr="00B32C06">
              <w:rPr>
                <w:rFonts w:eastAsia="Calibri"/>
                <w:sz w:val="20"/>
              </w:rPr>
              <w:t>July 19, 2011</w:t>
            </w:r>
          </w:p>
          <w:p w:rsidR="00DF1A81" w:rsidRPr="00B32C06" w:rsidRDefault="00DF1A81" w:rsidP="00DF1A81">
            <w:pPr>
              <w:jc w:val="both"/>
              <w:rPr>
                <w:rFonts w:eastAsia="Calibri"/>
                <w:sz w:val="20"/>
              </w:rPr>
            </w:pPr>
            <w:r w:rsidRPr="00B32C06">
              <w:rPr>
                <w:rFonts w:eastAsia="Calibri"/>
                <w:sz w:val="20"/>
              </w:rPr>
              <w:t>Supreme Court of Canada</w:t>
            </w:r>
          </w:p>
        </w:tc>
        <w:tc>
          <w:tcPr>
            <w:tcW w:w="270" w:type="pct"/>
          </w:tcPr>
          <w:p w:rsidR="00DF1A81" w:rsidRPr="00B32C06" w:rsidRDefault="00DF1A81" w:rsidP="00CD0650">
            <w:pPr>
              <w:jc w:val="both"/>
              <w:rPr>
                <w:rFonts w:eastAsia="Calibri"/>
                <w:sz w:val="20"/>
              </w:rPr>
            </w:pPr>
          </w:p>
        </w:tc>
        <w:tc>
          <w:tcPr>
            <w:tcW w:w="2340" w:type="pct"/>
          </w:tcPr>
          <w:p w:rsidR="00DF1A81" w:rsidRPr="00B32C06" w:rsidRDefault="00DF1A81" w:rsidP="00CD0650">
            <w:pPr>
              <w:jc w:val="both"/>
              <w:rPr>
                <w:rFonts w:eastAsia="Calibri"/>
                <w:sz w:val="20"/>
              </w:rPr>
            </w:pPr>
            <w:r w:rsidRPr="00B32C06">
              <w:rPr>
                <w:rFonts w:eastAsia="Calibri"/>
                <w:sz w:val="20"/>
              </w:rPr>
              <w:t>Application for leave to appeal filed</w:t>
            </w:r>
          </w:p>
          <w:p w:rsidR="00DF1A81" w:rsidRPr="00B32C06" w:rsidRDefault="00DF1A81" w:rsidP="00CD0650">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43"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DF1A81" w:rsidRPr="002D3F55" w:rsidTr="00CD0650">
        <w:tc>
          <w:tcPr>
            <w:tcW w:w="5000" w:type="pct"/>
            <w:gridSpan w:val="3"/>
          </w:tcPr>
          <w:p w:rsidR="00DF1A81" w:rsidRPr="00B32C06" w:rsidRDefault="00DF1A81" w:rsidP="00CD0650">
            <w:pPr>
              <w:jc w:val="both"/>
              <w:rPr>
                <w:rFonts w:eastAsia="Calibri"/>
                <w:sz w:val="20"/>
                <w:lang w:val="fr-CA"/>
              </w:rPr>
            </w:pPr>
            <w:r w:rsidRPr="00B32C06">
              <w:rPr>
                <w:rFonts w:eastAsia="Calibri"/>
                <w:sz w:val="20"/>
                <w:lang w:val="fr-CA"/>
              </w:rPr>
              <w:t>Droit criminel – Détermination de la peine – Déclarations de délinquant dangereux et de délinquant à contrôler – Appel – Norme de contrôle – Critère pour accueillir une demande de déclaration de délinquant dangereux – Faut-il une éventualité de blessures corporelles graves ou d'hospitalisation pour prononcer une peine d’une durée indéterminée? – Norme de contrôle applicable en appel d'une déclaration de délinquant dangereux.</w:t>
            </w:r>
          </w:p>
        </w:tc>
      </w:tr>
      <w:tr w:rsidR="00DF1A81" w:rsidRPr="002D3F55" w:rsidTr="00CD0650">
        <w:tc>
          <w:tcPr>
            <w:tcW w:w="5000" w:type="pct"/>
            <w:gridSpan w:val="3"/>
          </w:tcPr>
          <w:p w:rsidR="00DF1A81" w:rsidRPr="00B32C06" w:rsidRDefault="00DF1A81" w:rsidP="00CD0650">
            <w:pPr>
              <w:jc w:val="both"/>
              <w:rPr>
                <w:rFonts w:eastAsia="Calibri"/>
                <w:sz w:val="20"/>
                <w:lang w:val="fr-CA"/>
              </w:rPr>
            </w:pPr>
          </w:p>
        </w:tc>
      </w:tr>
      <w:tr w:rsidR="00DF1A81" w:rsidRPr="002D3F55" w:rsidTr="00CD0650">
        <w:tc>
          <w:tcPr>
            <w:tcW w:w="5000" w:type="pct"/>
            <w:gridSpan w:val="3"/>
          </w:tcPr>
          <w:p w:rsidR="00DF1A81" w:rsidRPr="00B32C06" w:rsidRDefault="00DF1A81" w:rsidP="00CD0650">
            <w:pPr>
              <w:jc w:val="both"/>
              <w:rPr>
                <w:rFonts w:eastAsia="Calibri"/>
                <w:sz w:val="20"/>
                <w:lang w:val="fr-CA"/>
              </w:rPr>
            </w:pPr>
            <w:r w:rsidRPr="00B32C06">
              <w:rPr>
                <w:rFonts w:eastAsia="Calibri"/>
                <w:sz w:val="20"/>
                <w:lang w:val="fr-CA"/>
              </w:rPr>
              <w:t>L'intimé a été déclaré coupable sous deux chefs d'avoir proféré des menaces de mort, de vol qualifié, d'introduction par effraction dans une maison d'habitation et d'y avoir commis des voies de fait armées, de vol de plus de 5000 $, de tentative d'entrave, d'entrave à la justice en menaçant de tuer deux témoins, deux chefs de séquestration, d'agression armée et de défaut de se conformer à un engagement. Le juge chargé de déterminer la peine a déclaré l'intimé délinquant dangereux et lui a imposé une peine d'une durée indéterminée. Les juges majoritaires de la Cour d'appel ont accueilli un appel de la peine, ils ont substitué une déclaration de délinquant à contrôler et ont renvoyé l'affaire au juge chargé de déterminer la peine pour qu'il fixe une durée et des conditions de la peine appropriées.</w:t>
            </w:r>
          </w:p>
          <w:p w:rsidR="00DF1A81" w:rsidRPr="00B32C06" w:rsidRDefault="00DF1A81" w:rsidP="00CD0650">
            <w:pPr>
              <w:jc w:val="both"/>
              <w:rPr>
                <w:rFonts w:eastAsia="Calibri"/>
                <w:sz w:val="20"/>
                <w:lang w:val="fr-CA"/>
              </w:rPr>
            </w:pPr>
          </w:p>
        </w:tc>
      </w:tr>
      <w:tr w:rsidR="00DF1A81" w:rsidRPr="002D3F55" w:rsidTr="00CD0650">
        <w:tblPrEx>
          <w:tblCellMar>
            <w:bottom w:w="0" w:type="dxa"/>
          </w:tblCellMar>
        </w:tblPrEx>
        <w:tc>
          <w:tcPr>
            <w:tcW w:w="2390" w:type="pct"/>
          </w:tcPr>
          <w:p w:rsidR="00DF1A81" w:rsidRPr="00B32C06" w:rsidRDefault="00DF1A81" w:rsidP="00CD0650">
            <w:pPr>
              <w:jc w:val="both"/>
              <w:rPr>
                <w:rFonts w:eastAsia="Calibri"/>
                <w:sz w:val="20"/>
                <w:lang w:val="fr-CA"/>
              </w:rPr>
            </w:pPr>
            <w:r w:rsidRPr="00B32C06">
              <w:rPr>
                <w:rFonts w:eastAsia="Calibri"/>
                <w:sz w:val="20"/>
                <w:lang w:val="fr-CA"/>
              </w:rPr>
              <w:t>4 septembre 2008</w:t>
            </w:r>
          </w:p>
          <w:p w:rsidR="00DF1A81" w:rsidRPr="00B32C06" w:rsidRDefault="00DF1A81" w:rsidP="00CD0650">
            <w:pPr>
              <w:jc w:val="both"/>
              <w:rPr>
                <w:rFonts w:eastAsia="Calibri"/>
                <w:sz w:val="20"/>
                <w:lang w:val="fr-CA"/>
              </w:rPr>
            </w:pPr>
            <w:r w:rsidRPr="00B32C06">
              <w:rPr>
                <w:rFonts w:eastAsia="Calibri"/>
                <w:sz w:val="20"/>
                <w:lang w:val="fr-CA"/>
              </w:rPr>
              <w:t>Cour du Banc de la Reine de la Saskatchewan</w:t>
            </w:r>
          </w:p>
          <w:p w:rsidR="00DF1A81" w:rsidRPr="00B32C06" w:rsidRDefault="00DF1A81" w:rsidP="00CD0650">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Popescul</w:t>
            </w:r>
            <w:proofErr w:type="spellEnd"/>
            <w:r w:rsidRPr="00B32C06">
              <w:rPr>
                <w:rFonts w:eastAsia="Calibri"/>
                <w:sz w:val="20"/>
                <w:lang w:val="fr-CA"/>
              </w:rPr>
              <w:t>)</w:t>
            </w:r>
          </w:p>
          <w:p w:rsidR="00DF1A81" w:rsidRPr="00B32C06" w:rsidRDefault="00DF1A81" w:rsidP="00CD0650">
            <w:pPr>
              <w:jc w:val="both"/>
              <w:rPr>
                <w:rFonts w:eastAsia="Calibri"/>
                <w:sz w:val="20"/>
                <w:lang w:val="fr-CA"/>
              </w:rPr>
            </w:pPr>
            <w:r w:rsidRPr="00B32C06">
              <w:rPr>
                <w:rFonts w:eastAsia="Calibri"/>
                <w:sz w:val="20"/>
                <w:lang w:val="fr-CA"/>
              </w:rPr>
              <w:t>2008 SKQB 349</w:t>
            </w:r>
          </w:p>
          <w:p w:rsidR="00DF1A81" w:rsidRPr="00B32C06" w:rsidRDefault="00DF1A81" w:rsidP="00CD0650">
            <w:pPr>
              <w:jc w:val="both"/>
              <w:rPr>
                <w:rFonts w:eastAsia="Calibri"/>
                <w:sz w:val="20"/>
                <w:lang w:val="fr-CA"/>
              </w:rPr>
            </w:pPr>
          </w:p>
        </w:tc>
        <w:tc>
          <w:tcPr>
            <w:tcW w:w="270" w:type="pct"/>
          </w:tcPr>
          <w:p w:rsidR="00DF1A81" w:rsidRPr="00B32C06" w:rsidRDefault="00DF1A81" w:rsidP="00CD0650">
            <w:pPr>
              <w:jc w:val="both"/>
              <w:rPr>
                <w:rFonts w:eastAsia="Calibri"/>
                <w:sz w:val="20"/>
                <w:lang w:val="fr-CA"/>
              </w:rPr>
            </w:pPr>
          </w:p>
        </w:tc>
        <w:tc>
          <w:tcPr>
            <w:tcW w:w="2340" w:type="pct"/>
          </w:tcPr>
          <w:p w:rsidR="00DF1A81" w:rsidRPr="00B32C06" w:rsidRDefault="00DF1A81" w:rsidP="00CD0650">
            <w:pPr>
              <w:jc w:val="both"/>
              <w:rPr>
                <w:rFonts w:eastAsia="Calibri"/>
                <w:sz w:val="20"/>
                <w:lang w:val="fr-CA"/>
              </w:rPr>
            </w:pPr>
            <w:r w:rsidRPr="00B32C06">
              <w:rPr>
                <w:rFonts w:eastAsia="Calibri"/>
                <w:sz w:val="20"/>
                <w:lang w:val="fr-CA"/>
              </w:rPr>
              <w:t>Demande de déclaration de délinquant dangereux, accueillie; peine d'une durée indéterminée imposée</w:t>
            </w:r>
          </w:p>
          <w:p w:rsidR="00DF1A81" w:rsidRPr="00B32C06" w:rsidRDefault="00DF1A81" w:rsidP="00CD0650">
            <w:pPr>
              <w:jc w:val="both"/>
              <w:rPr>
                <w:rFonts w:eastAsia="Calibri"/>
                <w:sz w:val="20"/>
                <w:lang w:val="fr-CA"/>
              </w:rPr>
            </w:pPr>
          </w:p>
        </w:tc>
      </w:tr>
      <w:tr w:rsidR="00DF1A81" w:rsidRPr="002D3F55" w:rsidTr="00CD0650">
        <w:tblPrEx>
          <w:tblCellMar>
            <w:bottom w:w="0" w:type="dxa"/>
          </w:tblCellMar>
        </w:tblPrEx>
        <w:tc>
          <w:tcPr>
            <w:tcW w:w="2390" w:type="pct"/>
          </w:tcPr>
          <w:p w:rsidR="00DF1A81" w:rsidRPr="00B32C06" w:rsidRDefault="00DF1A81" w:rsidP="00CD0650">
            <w:pPr>
              <w:jc w:val="both"/>
              <w:rPr>
                <w:rFonts w:eastAsia="Calibri"/>
                <w:sz w:val="20"/>
                <w:lang w:val="fr-CA"/>
              </w:rPr>
            </w:pPr>
            <w:r w:rsidRPr="00B32C06">
              <w:rPr>
                <w:rFonts w:eastAsia="Calibri"/>
                <w:sz w:val="20"/>
                <w:lang w:val="fr-CA"/>
              </w:rPr>
              <w:t>30 mai 2011</w:t>
            </w:r>
          </w:p>
          <w:p w:rsidR="00DF1A81" w:rsidRPr="00B32C06" w:rsidRDefault="00DF1A81" w:rsidP="00CD0650">
            <w:pPr>
              <w:jc w:val="both"/>
              <w:rPr>
                <w:rFonts w:eastAsia="Calibri"/>
                <w:sz w:val="20"/>
                <w:lang w:val="fr-CA"/>
              </w:rPr>
            </w:pPr>
            <w:r w:rsidRPr="00B32C06">
              <w:rPr>
                <w:rFonts w:eastAsia="Calibri"/>
                <w:sz w:val="20"/>
                <w:lang w:val="fr-CA"/>
              </w:rPr>
              <w:t>Cour d'appel de la Saskatchewan</w:t>
            </w:r>
          </w:p>
          <w:p w:rsidR="00DF1A81" w:rsidRPr="00B32C06" w:rsidRDefault="00DF1A81" w:rsidP="00CD0650">
            <w:pPr>
              <w:jc w:val="both"/>
              <w:rPr>
                <w:rFonts w:eastAsia="Calibri"/>
                <w:sz w:val="20"/>
                <w:lang w:val="fr-CA"/>
              </w:rPr>
            </w:pPr>
            <w:r w:rsidRPr="00B32C06">
              <w:rPr>
                <w:rFonts w:eastAsia="Calibri"/>
                <w:sz w:val="20"/>
                <w:lang w:val="fr-CA"/>
              </w:rPr>
              <w:t xml:space="preserve">(Juges Jackson, Richards et </w:t>
            </w:r>
            <w:proofErr w:type="spellStart"/>
            <w:r w:rsidRPr="00B32C06">
              <w:rPr>
                <w:rFonts w:eastAsia="Calibri"/>
                <w:sz w:val="20"/>
                <w:lang w:val="fr-CA"/>
              </w:rPr>
              <w:t>Ottenbreit</w:t>
            </w:r>
            <w:proofErr w:type="spellEnd"/>
            <w:r w:rsidRPr="00B32C06">
              <w:rPr>
                <w:rFonts w:eastAsia="Calibri"/>
                <w:sz w:val="20"/>
                <w:lang w:val="fr-CA"/>
              </w:rPr>
              <w:t xml:space="preserve"> [dissident])</w:t>
            </w:r>
          </w:p>
          <w:p w:rsidR="00DF1A81" w:rsidRPr="00B32C06" w:rsidRDefault="00DF1A81" w:rsidP="00CD0650">
            <w:pPr>
              <w:jc w:val="both"/>
              <w:rPr>
                <w:rFonts w:eastAsia="Calibri"/>
                <w:sz w:val="20"/>
                <w:lang w:val="fr-CA"/>
              </w:rPr>
            </w:pPr>
            <w:r w:rsidRPr="00B32C06">
              <w:rPr>
                <w:rFonts w:eastAsia="Calibri"/>
                <w:sz w:val="20"/>
                <w:lang w:val="fr-CA"/>
              </w:rPr>
              <w:t>2011 SKCA 67; n</w:t>
            </w:r>
            <w:r w:rsidRPr="00B32C06">
              <w:rPr>
                <w:rFonts w:eastAsia="Calibri"/>
                <w:sz w:val="20"/>
                <w:vertAlign w:val="superscript"/>
                <w:lang w:val="fr-CA"/>
              </w:rPr>
              <w:t>o</w:t>
            </w:r>
            <w:r w:rsidRPr="00B32C06">
              <w:rPr>
                <w:rFonts w:eastAsia="Calibri"/>
                <w:sz w:val="20"/>
                <w:lang w:val="fr-CA"/>
              </w:rPr>
              <w:t xml:space="preserve"> du greffe 1587</w:t>
            </w:r>
          </w:p>
          <w:p w:rsidR="00DF1A81" w:rsidRPr="00B32C06" w:rsidRDefault="00DF1A81" w:rsidP="00CD0650">
            <w:pPr>
              <w:jc w:val="both"/>
              <w:rPr>
                <w:rFonts w:eastAsia="Calibri"/>
                <w:sz w:val="20"/>
                <w:lang w:val="fr-CA"/>
              </w:rPr>
            </w:pPr>
          </w:p>
        </w:tc>
        <w:tc>
          <w:tcPr>
            <w:tcW w:w="270" w:type="pct"/>
          </w:tcPr>
          <w:p w:rsidR="00DF1A81" w:rsidRPr="00B32C06" w:rsidRDefault="00DF1A81" w:rsidP="00CD0650">
            <w:pPr>
              <w:jc w:val="both"/>
              <w:rPr>
                <w:rFonts w:eastAsia="Calibri"/>
                <w:sz w:val="20"/>
                <w:lang w:val="fr-CA"/>
              </w:rPr>
            </w:pPr>
          </w:p>
        </w:tc>
        <w:tc>
          <w:tcPr>
            <w:tcW w:w="2340" w:type="pct"/>
          </w:tcPr>
          <w:p w:rsidR="00DF1A81" w:rsidRPr="00B32C06" w:rsidRDefault="00DF1A81" w:rsidP="00CD0650">
            <w:pPr>
              <w:jc w:val="both"/>
              <w:rPr>
                <w:rFonts w:eastAsia="Calibri"/>
                <w:sz w:val="20"/>
                <w:lang w:val="fr-CA"/>
              </w:rPr>
            </w:pPr>
            <w:r w:rsidRPr="00B32C06">
              <w:rPr>
                <w:rFonts w:eastAsia="Calibri"/>
                <w:sz w:val="20"/>
                <w:lang w:val="fr-CA"/>
              </w:rPr>
              <w:t>Appel accueilli; déclaration de délinquant à contrôler prononcée à la place; affaire renvoyée au juge chargé de déterminer la peine</w:t>
            </w:r>
          </w:p>
          <w:p w:rsidR="00DF1A81" w:rsidRPr="00B32C06" w:rsidRDefault="00DF1A81" w:rsidP="00CD0650">
            <w:pPr>
              <w:jc w:val="both"/>
              <w:rPr>
                <w:rFonts w:eastAsia="Calibri"/>
                <w:sz w:val="20"/>
                <w:lang w:val="fr-CA"/>
              </w:rPr>
            </w:pPr>
          </w:p>
        </w:tc>
      </w:tr>
      <w:tr w:rsidR="00DF1A81" w:rsidRPr="00B32C06" w:rsidTr="00DA20EC">
        <w:tblPrEx>
          <w:tblCellMar>
            <w:bottom w:w="0" w:type="dxa"/>
          </w:tblCellMar>
        </w:tblPrEx>
        <w:trPr>
          <w:cantSplit/>
        </w:trPr>
        <w:tc>
          <w:tcPr>
            <w:tcW w:w="2390" w:type="pct"/>
          </w:tcPr>
          <w:p w:rsidR="00DF1A81" w:rsidRPr="00B32C06" w:rsidRDefault="00DF1A81" w:rsidP="00CD0650">
            <w:pPr>
              <w:jc w:val="both"/>
              <w:rPr>
                <w:rFonts w:eastAsia="Calibri"/>
                <w:sz w:val="20"/>
                <w:lang w:val="fr-CA"/>
              </w:rPr>
            </w:pPr>
            <w:r w:rsidRPr="00B32C06">
              <w:rPr>
                <w:rFonts w:eastAsia="Calibri"/>
                <w:sz w:val="20"/>
                <w:lang w:val="fr-CA"/>
              </w:rPr>
              <w:lastRenderedPageBreak/>
              <w:t>19 juillet 2011</w:t>
            </w:r>
          </w:p>
          <w:p w:rsidR="00DF1A81" w:rsidRPr="00B32C06" w:rsidRDefault="00DF1A81" w:rsidP="00CD0650">
            <w:pPr>
              <w:jc w:val="both"/>
              <w:rPr>
                <w:rFonts w:eastAsia="Calibri"/>
                <w:sz w:val="20"/>
                <w:lang w:val="fr-CA"/>
              </w:rPr>
            </w:pPr>
            <w:r w:rsidRPr="00B32C06">
              <w:rPr>
                <w:rFonts w:eastAsia="Calibri"/>
                <w:sz w:val="20"/>
                <w:lang w:val="fr-CA"/>
              </w:rPr>
              <w:t>Cour suprême du Canada</w:t>
            </w:r>
          </w:p>
        </w:tc>
        <w:tc>
          <w:tcPr>
            <w:tcW w:w="270" w:type="pct"/>
          </w:tcPr>
          <w:p w:rsidR="00DF1A81" w:rsidRPr="00B32C06" w:rsidRDefault="00DF1A81" w:rsidP="00CD0650">
            <w:pPr>
              <w:jc w:val="both"/>
              <w:rPr>
                <w:rFonts w:eastAsia="Calibri"/>
                <w:sz w:val="20"/>
                <w:lang w:val="fr-CA"/>
              </w:rPr>
            </w:pPr>
          </w:p>
        </w:tc>
        <w:tc>
          <w:tcPr>
            <w:tcW w:w="2340" w:type="pct"/>
          </w:tcPr>
          <w:p w:rsidR="00DF1A81" w:rsidRPr="00B32C06" w:rsidRDefault="00DF1A81" w:rsidP="00CD0650">
            <w:pPr>
              <w:jc w:val="both"/>
              <w:rPr>
                <w:rFonts w:eastAsia="Calibri"/>
                <w:sz w:val="20"/>
                <w:lang w:val="fr-CA"/>
              </w:rPr>
            </w:pPr>
            <w:r w:rsidRPr="00B32C06">
              <w:rPr>
                <w:rFonts w:eastAsia="Calibri"/>
                <w:sz w:val="20"/>
                <w:lang w:val="fr-CA"/>
              </w:rPr>
              <w:t>Demande d'autorisation d'appel, déposée</w:t>
            </w:r>
          </w:p>
          <w:p w:rsidR="00DF1A81" w:rsidRPr="00B32C06" w:rsidRDefault="00DF1A81" w:rsidP="00CD0650">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44"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6529" w:rsidRPr="00A54F27" w:rsidTr="000A4857">
        <w:trPr>
          <w:cantSplit/>
        </w:trPr>
        <w:tc>
          <w:tcPr>
            <w:tcW w:w="1458" w:type="dxa"/>
          </w:tcPr>
          <w:p w:rsidR="00176529" w:rsidRPr="00A54F27" w:rsidRDefault="00176529" w:rsidP="000A4857">
            <w:pPr>
              <w:rPr>
                <w:sz w:val="20"/>
                <w:szCs w:val="20"/>
              </w:rPr>
            </w:pPr>
            <w:r w:rsidRPr="00A54F27">
              <w:rPr>
                <w:rStyle w:val="SCCFileNumberChar"/>
                <w:sz w:val="20"/>
                <w:szCs w:val="20"/>
              </w:rPr>
              <w:t>34387</w:t>
            </w:r>
          </w:p>
          <w:p w:rsidR="00176529" w:rsidRPr="00A54F27" w:rsidRDefault="00176529" w:rsidP="000A4857">
            <w:pPr>
              <w:rPr>
                <w:b/>
                <w:sz w:val="20"/>
                <w:szCs w:val="20"/>
                <w:lang w:val="fr-CA"/>
              </w:rPr>
            </w:pPr>
          </w:p>
        </w:tc>
        <w:tc>
          <w:tcPr>
            <w:tcW w:w="8118" w:type="dxa"/>
          </w:tcPr>
          <w:p w:rsidR="00176529" w:rsidRPr="00A54F27" w:rsidRDefault="00176529" w:rsidP="000A4857">
            <w:pPr>
              <w:jc w:val="both"/>
              <w:rPr>
                <w:sz w:val="20"/>
                <w:szCs w:val="20"/>
              </w:rPr>
            </w:pPr>
            <w:r w:rsidRPr="00176529">
              <w:rPr>
                <w:rStyle w:val="SCCLsocChar"/>
                <w:sz w:val="20"/>
                <w:szCs w:val="20"/>
                <w:lang w:val="en-CA"/>
              </w:rPr>
              <w:t xml:space="preserve">Attorney General of Canada v. </w:t>
            </w:r>
            <w:proofErr w:type="spellStart"/>
            <w:r w:rsidRPr="00176529">
              <w:rPr>
                <w:rStyle w:val="SCCLsocChar"/>
                <w:sz w:val="20"/>
                <w:szCs w:val="20"/>
                <w:lang w:val="en-CA"/>
              </w:rPr>
              <w:t>Ahousaht</w:t>
            </w:r>
            <w:proofErr w:type="spellEnd"/>
            <w:r w:rsidRPr="00176529">
              <w:rPr>
                <w:rStyle w:val="SCCLsocChar"/>
                <w:sz w:val="20"/>
                <w:szCs w:val="20"/>
                <w:lang w:val="en-CA"/>
              </w:rPr>
              <w:t xml:space="preserve"> Indian Band and </w:t>
            </w:r>
            <w:proofErr w:type="spellStart"/>
            <w:r w:rsidRPr="00176529">
              <w:rPr>
                <w:rStyle w:val="SCCLsocChar"/>
                <w:sz w:val="20"/>
                <w:szCs w:val="20"/>
                <w:lang w:val="en-CA"/>
              </w:rPr>
              <w:t>Ahousaht</w:t>
            </w:r>
            <w:proofErr w:type="spellEnd"/>
            <w:r w:rsidRPr="00176529">
              <w:rPr>
                <w:rStyle w:val="SCCLsocChar"/>
                <w:sz w:val="20"/>
                <w:szCs w:val="20"/>
                <w:lang w:val="en-CA"/>
              </w:rPr>
              <w:t xml:space="preserve"> Nation, represented by Shawn </w:t>
            </w:r>
            <w:proofErr w:type="spellStart"/>
            <w:r w:rsidRPr="00176529">
              <w:rPr>
                <w:rStyle w:val="SCCLsocChar"/>
                <w:sz w:val="20"/>
                <w:szCs w:val="20"/>
                <w:lang w:val="en-CA"/>
              </w:rPr>
              <w:t>Atleo</w:t>
            </w:r>
            <w:proofErr w:type="spellEnd"/>
            <w:r w:rsidRPr="00176529">
              <w:rPr>
                <w:rStyle w:val="SCCLsocChar"/>
                <w:sz w:val="20"/>
                <w:szCs w:val="20"/>
                <w:lang w:val="en-CA"/>
              </w:rPr>
              <w:t xml:space="preserve"> on his own behalf and on behalf of the members of the </w:t>
            </w:r>
            <w:proofErr w:type="spellStart"/>
            <w:r w:rsidRPr="00176529">
              <w:rPr>
                <w:rStyle w:val="SCCLsocChar"/>
                <w:sz w:val="20"/>
                <w:szCs w:val="20"/>
                <w:lang w:val="en-CA"/>
              </w:rPr>
              <w:t>Ahousaht</w:t>
            </w:r>
            <w:proofErr w:type="spellEnd"/>
            <w:r w:rsidRPr="00176529">
              <w:rPr>
                <w:rStyle w:val="SCCLsocChar"/>
                <w:sz w:val="20"/>
                <w:szCs w:val="20"/>
                <w:lang w:val="en-CA"/>
              </w:rPr>
              <w:t xml:space="preserve"> Indian Band and the </w:t>
            </w:r>
            <w:proofErr w:type="spellStart"/>
            <w:r w:rsidRPr="00176529">
              <w:rPr>
                <w:rStyle w:val="SCCLsocChar"/>
                <w:sz w:val="20"/>
                <w:szCs w:val="20"/>
                <w:lang w:val="en-CA"/>
              </w:rPr>
              <w:t>Ahousaht</w:t>
            </w:r>
            <w:proofErr w:type="spellEnd"/>
            <w:r w:rsidRPr="00176529">
              <w:rPr>
                <w:rStyle w:val="SCCLsocChar"/>
                <w:sz w:val="20"/>
                <w:szCs w:val="20"/>
                <w:lang w:val="en-CA"/>
              </w:rPr>
              <w:t xml:space="preserve"> Nation, </w:t>
            </w:r>
            <w:proofErr w:type="spellStart"/>
            <w:r w:rsidRPr="00176529">
              <w:rPr>
                <w:rStyle w:val="SCCLsocChar"/>
                <w:sz w:val="20"/>
                <w:szCs w:val="20"/>
                <w:lang w:val="en-CA"/>
              </w:rPr>
              <w:t>Ehattesaht</w:t>
            </w:r>
            <w:proofErr w:type="spellEnd"/>
            <w:r w:rsidRPr="00176529">
              <w:rPr>
                <w:rStyle w:val="SCCLsocChar"/>
                <w:sz w:val="20"/>
                <w:szCs w:val="20"/>
                <w:lang w:val="en-CA"/>
              </w:rPr>
              <w:t xml:space="preserve"> Indian Band and </w:t>
            </w:r>
            <w:proofErr w:type="spellStart"/>
            <w:r w:rsidRPr="00176529">
              <w:rPr>
                <w:rStyle w:val="SCCLsocChar"/>
                <w:sz w:val="20"/>
                <w:szCs w:val="20"/>
                <w:lang w:val="en-CA"/>
              </w:rPr>
              <w:t>Ehattesaht</w:t>
            </w:r>
            <w:proofErr w:type="spellEnd"/>
            <w:r w:rsidRPr="00176529">
              <w:rPr>
                <w:rStyle w:val="SCCLsocChar"/>
                <w:sz w:val="20"/>
                <w:szCs w:val="20"/>
                <w:lang w:val="en-CA"/>
              </w:rPr>
              <w:t xml:space="preserve"> Nation, represented by Dawn Smith on his own behalf and </w:t>
            </w:r>
            <w:proofErr w:type="spellStart"/>
            <w:r w:rsidRPr="00176529">
              <w:rPr>
                <w:rStyle w:val="SCCLsocChar"/>
                <w:sz w:val="20"/>
                <w:szCs w:val="20"/>
                <w:lang w:val="en-CA"/>
              </w:rPr>
              <w:t>and</w:t>
            </w:r>
            <w:proofErr w:type="spellEnd"/>
            <w:r w:rsidRPr="00176529">
              <w:rPr>
                <w:rStyle w:val="SCCLsocChar"/>
                <w:sz w:val="20"/>
                <w:szCs w:val="20"/>
                <w:lang w:val="en-CA"/>
              </w:rPr>
              <w:t xml:space="preserve"> on behalf of the members of the </w:t>
            </w:r>
            <w:proofErr w:type="spellStart"/>
            <w:r w:rsidRPr="00176529">
              <w:rPr>
                <w:rStyle w:val="SCCLsocChar"/>
                <w:sz w:val="20"/>
                <w:szCs w:val="20"/>
                <w:lang w:val="en-CA"/>
              </w:rPr>
              <w:t>Ehattesaht</w:t>
            </w:r>
            <w:proofErr w:type="spellEnd"/>
            <w:r w:rsidRPr="00176529">
              <w:rPr>
                <w:rStyle w:val="SCCLsocChar"/>
                <w:sz w:val="20"/>
                <w:szCs w:val="20"/>
                <w:lang w:val="en-CA"/>
              </w:rPr>
              <w:t xml:space="preserve"> Indian Band and the </w:t>
            </w:r>
            <w:proofErr w:type="spellStart"/>
            <w:r w:rsidRPr="00176529">
              <w:rPr>
                <w:rStyle w:val="SCCLsocChar"/>
                <w:sz w:val="20"/>
                <w:szCs w:val="20"/>
                <w:lang w:val="en-CA"/>
              </w:rPr>
              <w:t>Ehattesaht</w:t>
            </w:r>
            <w:proofErr w:type="spellEnd"/>
            <w:r w:rsidRPr="00176529">
              <w:rPr>
                <w:rStyle w:val="SCCLsocChar"/>
                <w:sz w:val="20"/>
                <w:szCs w:val="20"/>
                <w:lang w:val="en-CA"/>
              </w:rPr>
              <w:t xml:space="preserve"> Nation, </w:t>
            </w:r>
            <w:proofErr w:type="spellStart"/>
            <w:r w:rsidRPr="00176529">
              <w:rPr>
                <w:rStyle w:val="SCCLsocChar"/>
                <w:sz w:val="20"/>
                <w:szCs w:val="20"/>
                <w:lang w:val="en-CA"/>
              </w:rPr>
              <w:t>Hesquiaht</w:t>
            </w:r>
            <w:proofErr w:type="spellEnd"/>
            <w:r w:rsidRPr="00176529">
              <w:rPr>
                <w:rStyle w:val="SCCLsocChar"/>
                <w:sz w:val="20"/>
                <w:szCs w:val="20"/>
                <w:lang w:val="en-CA"/>
              </w:rPr>
              <w:t xml:space="preserve"> Indian Band and </w:t>
            </w:r>
            <w:proofErr w:type="spellStart"/>
            <w:r w:rsidRPr="00176529">
              <w:rPr>
                <w:rStyle w:val="SCCLsocChar"/>
                <w:sz w:val="20"/>
                <w:szCs w:val="20"/>
                <w:lang w:val="en-CA"/>
              </w:rPr>
              <w:t>Hesquiaht</w:t>
            </w:r>
            <w:proofErr w:type="spellEnd"/>
            <w:r w:rsidRPr="00176529">
              <w:rPr>
                <w:rStyle w:val="SCCLsocChar"/>
                <w:sz w:val="20"/>
                <w:szCs w:val="20"/>
                <w:lang w:val="en-CA"/>
              </w:rPr>
              <w:t xml:space="preserve"> Nation, represented by Simon Lucas on </w:t>
            </w:r>
            <w:proofErr w:type="spellStart"/>
            <w:r w:rsidRPr="00176529">
              <w:rPr>
                <w:rStyle w:val="SCCLsocChar"/>
                <w:sz w:val="20"/>
                <w:szCs w:val="20"/>
                <w:lang w:val="en-CA"/>
              </w:rPr>
              <w:t>hi</w:t>
            </w:r>
            <w:proofErr w:type="spellEnd"/>
            <w:r w:rsidRPr="00176529">
              <w:rPr>
                <w:rStyle w:val="SCCLsocChar"/>
                <w:sz w:val="20"/>
                <w:szCs w:val="20"/>
                <w:lang w:val="en-CA"/>
              </w:rPr>
              <w:t xml:space="preserve"> own behalf and on behalf of the members of the </w:t>
            </w:r>
            <w:proofErr w:type="spellStart"/>
            <w:r w:rsidRPr="00176529">
              <w:rPr>
                <w:rStyle w:val="SCCLsocChar"/>
                <w:sz w:val="20"/>
                <w:szCs w:val="20"/>
                <w:lang w:val="en-CA"/>
              </w:rPr>
              <w:t>Hesquiaht</w:t>
            </w:r>
            <w:proofErr w:type="spellEnd"/>
            <w:r w:rsidRPr="00176529">
              <w:rPr>
                <w:rStyle w:val="SCCLsocChar"/>
                <w:sz w:val="20"/>
                <w:szCs w:val="20"/>
                <w:lang w:val="en-CA"/>
              </w:rPr>
              <w:t xml:space="preserve"> Indian Band and the </w:t>
            </w:r>
            <w:proofErr w:type="spellStart"/>
            <w:r w:rsidRPr="00176529">
              <w:rPr>
                <w:rStyle w:val="SCCLsocChar"/>
                <w:sz w:val="20"/>
                <w:szCs w:val="20"/>
                <w:lang w:val="en-CA"/>
              </w:rPr>
              <w:t>Hesquiaht</w:t>
            </w:r>
            <w:proofErr w:type="spellEnd"/>
            <w:r w:rsidRPr="00176529">
              <w:rPr>
                <w:rStyle w:val="SCCLsocChar"/>
                <w:sz w:val="20"/>
                <w:szCs w:val="20"/>
                <w:lang w:val="en-CA"/>
              </w:rPr>
              <w:t xml:space="preserve"> Nation, </w:t>
            </w:r>
            <w:proofErr w:type="spellStart"/>
            <w:r w:rsidRPr="00176529">
              <w:rPr>
                <w:rStyle w:val="SCCLsocChar"/>
                <w:sz w:val="20"/>
                <w:szCs w:val="20"/>
                <w:lang w:val="en-CA"/>
              </w:rPr>
              <w:t>Mowachaht</w:t>
            </w:r>
            <w:proofErr w:type="spellEnd"/>
            <w:r w:rsidRPr="00176529">
              <w:rPr>
                <w:rStyle w:val="SCCLsocChar"/>
                <w:sz w:val="20"/>
                <w:szCs w:val="20"/>
                <w:lang w:val="en-CA"/>
              </w:rPr>
              <w:t>/</w:t>
            </w:r>
            <w:proofErr w:type="spellStart"/>
            <w:r w:rsidRPr="00176529">
              <w:rPr>
                <w:rStyle w:val="SCCLsocChar"/>
                <w:sz w:val="20"/>
                <w:szCs w:val="20"/>
                <w:lang w:val="en-CA"/>
              </w:rPr>
              <w:t>Muchalaht</w:t>
            </w:r>
            <w:proofErr w:type="spellEnd"/>
            <w:r w:rsidRPr="00176529">
              <w:rPr>
                <w:rStyle w:val="SCCLsocChar"/>
                <w:sz w:val="20"/>
                <w:szCs w:val="20"/>
                <w:lang w:val="en-CA"/>
              </w:rPr>
              <w:t xml:space="preserve"> Indian Band and </w:t>
            </w:r>
            <w:proofErr w:type="spellStart"/>
            <w:r w:rsidRPr="00176529">
              <w:rPr>
                <w:rStyle w:val="SCCLsocChar"/>
                <w:sz w:val="20"/>
                <w:szCs w:val="20"/>
                <w:lang w:val="en-CA"/>
              </w:rPr>
              <w:t>Mowachaht</w:t>
            </w:r>
            <w:proofErr w:type="spellEnd"/>
            <w:r w:rsidRPr="00176529">
              <w:rPr>
                <w:rStyle w:val="SCCLsocChar"/>
                <w:sz w:val="20"/>
                <w:szCs w:val="20"/>
                <w:lang w:val="en-CA"/>
              </w:rPr>
              <w:t>/</w:t>
            </w:r>
            <w:proofErr w:type="spellStart"/>
            <w:r w:rsidRPr="00176529">
              <w:rPr>
                <w:rStyle w:val="SCCLsocChar"/>
                <w:sz w:val="20"/>
                <w:szCs w:val="20"/>
                <w:lang w:val="en-CA"/>
              </w:rPr>
              <w:t>Muchalaht</w:t>
            </w:r>
            <w:proofErr w:type="spellEnd"/>
            <w:r w:rsidRPr="00176529">
              <w:rPr>
                <w:rStyle w:val="SCCLsocChar"/>
                <w:sz w:val="20"/>
                <w:szCs w:val="20"/>
                <w:lang w:val="en-CA"/>
              </w:rPr>
              <w:t xml:space="preserve"> Nation, represented by Lillian Howard on her own behalf and on behalf of the members of the </w:t>
            </w:r>
            <w:proofErr w:type="spellStart"/>
            <w:r w:rsidRPr="00176529">
              <w:rPr>
                <w:rStyle w:val="SCCLsocChar"/>
                <w:sz w:val="20"/>
                <w:szCs w:val="20"/>
                <w:lang w:val="en-CA"/>
              </w:rPr>
              <w:t>Mowachaht</w:t>
            </w:r>
            <w:proofErr w:type="spellEnd"/>
            <w:r w:rsidRPr="00176529">
              <w:rPr>
                <w:rStyle w:val="SCCLsocChar"/>
                <w:sz w:val="20"/>
                <w:szCs w:val="20"/>
                <w:lang w:val="en-CA"/>
              </w:rPr>
              <w:t>/</w:t>
            </w:r>
            <w:proofErr w:type="spellStart"/>
            <w:r w:rsidRPr="00176529">
              <w:rPr>
                <w:rStyle w:val="SCCLsocChar"/>
                <w:sz w:val="20"/>
                <w:szCs w:val="20"/>
                <w:lang w:val="en-CA"/>
              </w:rPr>
              <w:t>Muchalaht</w:t>
            </w:r>
            <w:proofErr w:type="spellEnd"/>
            <w:r w:rsidRPr="00176529">
              <w:rPr>
                <w:rStyle w:val="SCCLsocChar"/>
                <w:sz w:val="20"/>
                <w:szCs w:val="20"/>
                <w:lang w:val="en-CA"/>
              </w:rPr>
              <w:t xml:space="preserve"> Indian Band and the </w:t>
            </w:r>
            <w:proofErr w:type="spellStart"/>
            <w:r w:rsidRPr="00176529">
              <w:rPr>
                <w:rStyle w:val="SCCLsocChar"/>
                <w:sz w:val="20"/>
                <w:szCs w:val="20"/>
                <w:lang w:val="en-CA"/>
              </w:rPr>
              <w:t>Mowachaht</w:t>
            </w:r>
            <w:proofErr w:type="spellEnd"/>
            <w:r w:rsidRPr="00176529">
              <w:rPr>
                <w:rStyle w:val="SCCLsocChar"/>
                <w:sz w:val="20"/>
                <w:szCs w:val="20"/>
                <w:lang w:val="en-CA"/>
              </w:rPr>
              <w:t>/</w:t>
            </w:r>
            <w:proofErr w:type="spellStart"/>
            <w:r w:rsidRPr="00176529">
              <w:rPr>
                <w:rStyle w:val="SCCLsocChar"/>
                <w:sz w:val="20"/>
                <w:szCs w:val="20"/>
                <w:lang w:val="en-CA"/>
              </w:rPr>
              <w:t>Muchalaht</w:t>
            </w:r>
            <w:proofErr w:type="spellEnd"/>
            <w:r w:rsidRPr="00176529">
              <w:rPr>
                <w:rStyle w:val="SCCLsocChar"/>
                <w:sz w:val="20"/>
                <w:szCs w:val="20"/>
                <w:lang w:val="en-CA"/>
              </w:rPr>
              <w:t xml:space="preserve"> Nation, </w:t>
            </w:r>
            <w:proofErr w:type="spellStart"/>
            <w:r w:rsidRPr="00176529">
              <w:rPr>
                <w:rStyle w:val="SCCLsocChar"/>
                <w:sz w:val="20"/>
                <w:szCs w:val="20"/>
                <w:lang w:val="en-CA"/>
              </w:rPr>
              <w:t>Tla</w:t>
            </w:r>
            <w:proofErr w:type="spellEnd"/>
            <w:r w:rsidRPr="00176529">
              <w:rPr>
                <w:rStyle w:val="SCCLsocChar"/>
                <w:sz w:val="20"/>
                <w:szCs w:val="20"/>
                <w:lang w:val="en-CA"/>
              </w:rPr>
              <w:t>-o-qui-</w:t>
            </w:r>
            <w:proofErr w:type="spellStart"/>
            <w:r w:rsidRPr="00176529">
              <w:rPr>
                <w:rStyle w:val="SCCLsocChar"/>
                <w:sz w:val="20"/>
                <w:szCs w:val="20"/>
                <w:lang w:val="en-CA"/>
              </w:rPr>
              <w:t>aht</w:t>
            </w:r>
            <w:proofErr w:type="spellEnd"/>
            <w:r w:rsidRPr="00176529">
              <w:rPr>
                <w:rStyle w:val="SCCLsocChar"/>
                <w:sz w:val="20"/>
                <w:szCs w:val="20"/>
                <w:lang w:val="en-CA"/>
              </w:rPr>
              <w:t xml:space="preserve"> Indian Band and the </w:t>
            </w:r>
            <w:proofErr w:type="spellStart"/>
            <w:r w:rsidRPr="00176529">
              <w:rPr>
                <w:rStyle w:val="SCCLsocChar"/>
                <w:sz w:val="20"/>
                <w:szCs w:val="20"/>
                <w:lang w:val="en-CA"/>
              </w:rPr>
              <w:t>Tla</w:t>
            </w:r>
            <w:proofErr w:type="spellEnd"/>
            <w:r w:rsidRPr="00176529">
              <w:rPr>
                <w:rStyle w:val="SCCLsocChar"/>
                <w:sz w:val="20"/>
                <w:szCs w:val="20"/>
                <w:lang w:val="en-CA"/>
              </w:rPr>
              <w:t>-o-qui-</w:t>
            </w:r>
            <w:proofErr w:type="spellStart"/>
            <w:r w:rsidRPr="00176529">
              <w:rPr>
                <w:rStyle w:val="SCCLsocChar"/>
                <w:sz w:val="20"/>
                <w:szCs w:val="20"/>
                <w:lang w:val="en-CA"/>
              </w:rPr>
              <w:t>aht</w:t>
            </w:r>
            <w:proofErr w:type="spellEnd"/>
            <w:r w:rsidRPr="00176529">
              <w:rPr>
                <w:rStyle w:val="SCCLsocChar"/>
                <w:sz w:val="20"/>
                <w:szCs w:val="20"/>
                <w:lang w:val="en-CA"/>
              </w:rPr>
              <w:t xml:space="preserve"> Nation, represented by Benedict Williams on his own behalf and on behalf of the members of the </w:t>
            </w:r>
            <w:proofErr w:type="spellStart"/>
            <w:r w:rsidRPr="00176529">
              <w:rPr>
                <w:rStyle w:val="SCCLsocChar"/>
                <w:sz w:val="20"/>
                <w:szCs w:val="20"/>
                <w:lang w:val="en-CA"/>
              </w:rPr>
              <w:t>Tla</w:t>
            </w:r>
            <w:proofErr w:type="spellEnd"/>
            <w:r w:rsidRPr="00176529">
              <w:rPr>
                <w:rStyle w:val="SCCLsocChar"/>
                <w:sz w:val="20"/>
                <w:szCs w:val="20"/>
                <w:lang w:val="en-CA"/>
              </w:rPr>
              <w:t>-o-qui-</w:t>
            </w:r>
            <w:proofErr w:type="spellStart"/>
            <w:r w:rsidRPr="00176529">
              <w:rPr>
                <w:rStyle w:val="SCCLsocChar"/>
                <w:sz w:val="20"/>
                <w:szCs w:val="20"/>
                <w:lang w:val="en-CA"/>
              </w:rPr>
              <w:t>aht</w:t>
            </w:r>
            <w:proofErr w:type="spellEnd"/>
            <w:r w:rsidRPr="00176529">
              <w:rPr>
                <w:rStyle w:val="SCCLsocChar"/>
                <w:sz w:val="20"/>
                <w:szCs w:val="20"/>
                <w:lang w:val="en-CA"/>
              </w:rPr>
              <w:t xml:space="preserve"> Indian Band and the </w:t>
            </w:r>
            <w:proofErr w:type="spellStart"/>
            <w:r w:rsidRPr="00176529">
              <w:rPr>
                <w:rStyle w:val="SCCLsocChar"/>
                <w:sz w:val="20"/>
                <w:szCs w:val="20"/>
                <w:lang w:val="en-CA"/>
              </w:rPr>
              <w:t>Tla</w:t>
            </w:r>
            <w:proofErr w:type="spellEnd"/>
            <w:r w:rsidRPr="00176529">
              <w:rPr>
                <w:rStyle w:val="SCCLsocChar"/>
                <w:sz w:val="20"/>
                <w:szCs w:val="20"/>
                <w:lang w:val="en-CA"/>
              </w:rPr>
              <w:t>-o-qui-</w:t>
            </w:r>
            <w:proofErr w:type="spellStart"/>
            <w:r w:rsidRPr="00176529">
              <w:rPr>
                <w:rStyle w:val="SCCLsocChar"/>
                <w:sz w:val="20"/>
                <w:szCs w:val="20"/>
                <w:lang w:val="en-CA"/>
              </w:rPr>
              <w:t>aht</w:t>
            </w:r>
            <w:proofErr w:type="spellEnd"/>
            <w:r w:rsidRPr="00176529">
              <w:rPr>
                <w:rStyle w:val="SCCLsocChar"/>
                <w:sz w:val="20"/>
                <w:szCs w:val="20"/>
                <w:lang w:val="en-CA"/>
              </w:rPr>
              <w:t xml:space="preserve"> Nation</w:t>
            </w:r>
            <w:r w:rsidRPr="00A54F27">
              <w:rPr>
                <w:sz w:val="20"/>
                <w:szCs w:val="20"/>
              </w:rPr>
              <w:t xml:space="preserve"> (B.C.) (Civil) (By Leave)</w:t>
            </w:r>
          </w:p>
          <w:p w:rsidR="00176529" w:rsidRPr="00A54F27" w:rsidRDefault="00176529" w:rsidP="000A4857">
            <w:pPr>
              <w:jc w:val="both"/>
              <w:rPr>
                <w:sz w:val="20"/>
                <w:szCs w:val="20"/>
              </w:rPr>
            </w:pPr>
          </w:p>
        </w:tc>
      </w:tr>
      <w:tr w:rsidR="00176529" w:rsidRPr="00A54F27" w:rsidTr="000A4857">
        <w:trPr>
          <w:cantSplit/>
        </w:trPr>
        <w:tc>
          <w:tcPr>
            <w:tcW w:w="1458" w:type="dxa"/>
          </w:tcPr>
          <w:p w:rsidR="00176529" w:rsidRPr="00A54F27" w:rsidRDefault="00176529" w:rsidP="000A4857">
            <w:pPr>
              <w:rPr>
                <w:sz w:val="20"/>
                <w:szCs w:val="20"/>
              </w:rPr>
            </w:pPr>
            <w:r w:rsidRPr="00A54F27">
              <w:rPr>
                <w:sz w:val="20"/>
                <w:szCs w:val="20"/>
              </w:rPr>
              <w:t>Coram :</w:t>
            </w:r>
          </w:p>
        </w:tc>
        <w:tc>
          <w:tcPr>
            <w:tcW w:w="8118" w:type="dxa"/>
          </w:tcPr>
          <w:p w:rsidR="00176529" w:rsidRPr="00A54F27" w:rsidRDefault="00176529" w:rsidP="000A4857">
            <w:pPr>
              <w:rPr>
                <w:sz w:val="20"/>
                <w:szCs w:val="20"/>
              </w:rPr>
            </w:pPr>
            <w:proofErr w:type="spellStart"/>
            <w:r w:rsidRPr="00176529">
              <w:rPr>
                <w:rStyle w:val="SCCCoramChar"/>
                <w:sz w:val="20"/>
                <w:szCs w:val="20"/>
                <w:lang w:val="en-CA"/>
              </w:rPr>
              <w:t>McLachlin</w:t>
            </w:r>
            <w:proofErr w:type="spellEnd"/>
            <w:r w:rsidRPr="00176529">
              <w:rPr>
                <w:rStyle w:val="SCCCoramChar"/>
                <w:sz w:val="20"/>
                <w:szCs w:val="20"/>
                <w:lang w:val="en-CA"/>
              </w:rPr>
              <w:t xml:space="preserve"> C.J. and Rothstein and </w:t>
            </w:r>
            <w:proofErr w:type="spellStart"/>
            <w:r w:rsidRPr="00176529">
              <w:rPr>
                <w:rStyle w:val="SCCCoramChar"/>
                <w:sz w:val="20"/>
                <w:szCs w:val="20"/>
                <w:lang w:val="en-CA"/>
              </w:rPr>
              <w:t>Moldaver</w:t>
            </w:r>
            <w:proofErr w:type="spellEnd"/>
            <w:r w:rsidRPr="00176529">
              <w:rPr>
                <w:rStyle w:val="SCCCoramChar"/>
                <w:sz w:val="20"/>
                <w:szCs w:val="20"/>
                <w:lang w:val="en-CA"/>
              </w:rPr>
              <w:t> JJ.</w:t>
            </w:r>
          </w:p>
          <w:p w:rsidR="00176529" w:rsidRPr="00A54F27" w:rsidRDefault="00176529" w:rsidP="000A4857">
            <w:pPr>
              <w:rPr>
                <w:sz w:val="20"/>
                <w:szCs w:val="20"/>
                <w:u w:val="single"/>
              </w:rPr>
            </w:pPr>
          </w:p>
        </w:tc>
      </w:tr>
      <w:tr w:rsidR="00176529" w:rsidRPr="002D3F55" w:rsidTr="000A4857">
        <w:trPr>
          <w:cantSplit/>
        </w:trPr>
        <w:tc>
          <w:tcPr>
            <w:tcW w:w="9576" w:type="dxa"/>
            <w:gridSpan w:val="2"/>
          </w:tcPr>
          <w:p w:rsidR="00176529" w:rsidRDefault="00176529" w:rsidP="000A4857">
            <w:pPr>
              <w:pStyle w:val="SCCShortJudgment"/>
              <w:rPr>
                <w:szCs w:val="20"/>
              </w:rPr>
            </w:pPr>
            <w:r w:rsidRPr="00A54F27">
              <w:rPr>
                <w:szCs w:val="20"/>
              </w:rPr>
              <w:t>The motion for an extension of time to serve and file the conditional application for leave to cross-appeal is granted. The conditional application for leave to cross-appeal from the judgment of the Court of Appeal for British Columbia (Vancouver), Number CA037704, 2011 BCCA 425, dated October 31, 2011, is dismissed with costs to the applicant Attorney General of Canada.</w:t>
            </w:r>
          </w:p>
          <w:p w:rsidR="0079054E" w:rsidRPr="00A54F27" w:rsidRDefault="0079054E" w:rsidP="000A4857">
            <w:pPr>
              <w:pStyle w:val="SCCShortJudgment"/>
              <w:rPr>
                <w:szCs w:val="20"/>
              </w:rPr>
            </w:pPr>
          </w:p>
          <w:p w:rsidR="00176529" w:rsidRPr="00A54F27" w:rsidRDefault="00176529" w:rsidP="000A4857">
            <w:pPr>
              <w:pStyle w:val="SCCShortJudgment"/>
              <w:rPr>
                <w:szCs w:val="20"/>
              </w:rPr>
            </w:pPr>
            <w:r w:rsidRPr="00A54F27">
              <w:rPr>
                <w:szCs w:val="20"/>
              </w:rPr>
              <w:t xml:space="preserve">Pursuant to subsection 43 (1.1) of the </w:t>
            </w:r>
            <w:r w:rsidRPr="0079054E">
              <w:rPr>
                <w:i/>
                <w:szCs w:val="20"/>
              </w:rPr>
              <w:t>Supreme Court Act</w:t>
            </w:r>
            <w:r w:rsidRPr="00A54F27">
              <w:rPr>
                <w:szCs w:val="20"/>
              </w:rPr>
              <w:t xml:space="preserve">, the case forming the basis of the application for leave to appeal from the judgment of the Court of Appeal for British Columbia (Vancouver), Number CA037704, 2011 BCCA 237, dated May 18, 2011, is remanded to the Court of Appeal for British Columbia to be reconsidered in accordance with the decision of this Court in </w:t>
            </w:r>
            <w:r w:rsidRPr="0079054E">
              <w:rPr>
                <w:i/>
                <w:szCs w:val="20"/>
              </w:rPr>
              <w:t xml:space="preserve">Lax </w:t>
            </w:r>
            <w:proofErr w:type="spellStart"/>
            <w:r w:rsidRPr="0079054E">
              <w:rPr>
                <w:i/>
                <w:szCs w:val="20"/>
              </w:rPr>
              <w:t>Kw’alaams</w:t>
            </w:r>
            <w:proofErr w:type="spellEnd"/>
            <w:r w:rsidRPr="0079054E">
              <w:rPr>
                <w:i/>
                <w:szCs w:val="20"/>
              </w:rPr>
              <w:t xml:space="preserve"> Indian Band v. Canada (Attorney General)</w:t>
            </w:r>
            <w:r w:rsidRPr="00A54F27">
              <w:rPr>
                <w:szCs w:val="20"/>
              </w:rPr>
              <w:t>, [2011] 3 S.C.R. 535.</w:t>
            </w:r>
          </w:p>
          <w:p w:rsidR="00176529" w:rsidRPr="00A54F27" w:rsidRDefault="00176529" w:rsidP="000A4857">
            <w:pPr>
              <w:pStyle w:val="SCCShortJudgment"/>
              <w:ind w:firstLine="0"/>
              <w:rPr>
                <w:szCs w:val="20"/>
              </w:rPr>
            </w:pPr>
          </w:p>
          <w:p w:rsidR="00176529" w:rsidRDefault="00176529" w:rsidP="000A4857">
            <w:pPr>
              <w:pStyle w:val="SCCShortJudgment"/>
              <w:rPr>
                <w:szCs w:val="20"/>
                <w:lang w:val="fr-CA"/>
              </w:rPr>
            </w:pPr>
            <w:r w:rsidRPr="00A54F27">
              <w:rPr>
                <w:szCs w:val="20"/>
                <w:lang w:val="fr-CA"/>
              </w:rPr>
              <w:t xml:space="preserve">La requête en prorogation du délai de signification et de dépôt de la demande conditionnelle d’autorisation d’appel incident est accueillie. La demande conditionnelle d’autorisation d’appel incident de l’arrêt de la Cour d’appel de la Colombie-Britannique (Vancouver), numéro CA037704, 2011 BCCA 425, daté du 31 octobre 2011, est rejetée avec dépens en faveur du demandeur Procureur général du Canada. </w:t>
            </w:r>
          </w:p>
          <w:p w:rsidR="0079054E" w:rsidRPr="00A54F27" w:rsidRDefault="0079054E" w:rsidP="000A4857">
            <w:pPr>
              <w:pStyle w:val="SCCShortJudgment"/>
              <w:rPr>
                <w:szCs w:val="20"/>
                <w:lang w:val="fr-CA"/>
              </w:rPr>
            </w:pPr>
          </w:p>
          <w:p w:rsidR="00176529" w:rsidRPr="00A54F27" w:rsidRDefault="00176529" w:rsidP="000A4857">
            <w:pPr>
              <w:pStyle w:val="SCCShortJudgment"/>
              <w:rPr>
                <w:szCs w:val="20"/>
                <w:lang w:val="fr-CA"/>
              </w:rPr>
            </w:pPr>
            <w:r w:rsidRPr="00A54F27">
              <w:rPr>
                <w:szCs w:val="20"/>
                <w:lang w:val="fr-CA"/>
              </w:rPr>
              <w:t xml:space="preserve">Conformément au paragraphe 43 (1.1) de la </w:t>
            </w:r>
            <w:r w:rsidRPr="0079054E">
              <w:rPr>
                <w:i/>
                <w:szCs w:val="20"/>
                <w:lang w:val="fr-CA"/>
              </w:rPr>
              <w:t>Loi sur la Cour suprême</w:t>
            </w:r>
            <w:r w:rsidRPr="00A54F27">
              <w:rPr>
                <w:szCs w:val="20"/>
                <w:lang w:val="fr-CA"/>
              </w:rPr>
              <w:t xml:space="preserve">, l’affaire à l’origine de la demande d’autorisation d’appel de l’arrêt de la Cour d’appel de la Colombie-Britannique (Vancouver), numéro CA037704, 2011 BCCA 237, daté du 18 mai 2011, est renvoyée à la Cour d’appel de la Colombie-Britannique pour réexamen en conformité avec l’arrêt de notre Cour dans </w:t>
            </w:r>
            <w:proofErr w:type="spellStart"/>
            <w:r w:rsidRPr="0079054E">
              <w:rPr>
                <w:i/>
                <w:szCs w:val="20"/>
                <w:lang w:val="fr-CA"/>
              </w:rPr>
              <w:t>Lax</w:t>
            </w:r>
            <w:proofErr w:type="spellEnd"/>
            <w:r w:rsidRPr="0079054E">
              <w:rPr>
                <w:i/>
                <w:szCs w:val="20"/>
                <w:lang w:val="fr-CA"/>
              </w:rPr>
              <w:t xml:space="preserve"> </w:t>
            </w:r>
            <w:proofErr w:type="spellStart"/>
            <w:r w:rsidRPr="0079054E">
              <w:rPr>
                <w:i/>
                <w:szCs w:val="20"/>
                <w:lang w:val="fr-CA"/>
              </w:rPr>
              <w:t>Kw’alaams</w:t>
            </w:r>
            <w:proofErr w:type="spellEnd"/>
            <w:r w:rsidRPr="0079054E">
              <w:rPr>
                <w:i/>
                <w:szCs w:val="20"/>
                <w:lang w:val="fr-CA"/>
              </w:rPr>
              <w:t xml:space="preserve"> </w:t>
            </w:r>
            <w:proofErr w:type="spellStart"/>
            <w:r w:rsidRPr="0079054E">
              <w:rPr>
                <w:i/>
                <w:szCs w:val="20"/>
                <w:lang w:val="fr-CA"/>
              </w:rPr>
              <w:t>Indian</w:t>
            </w:r>
            <w:proofErr w:type="spellEnd"/>
            <w:r w:rsidRPr="0079054E">
              <w:rPr>
                <w:i/>
                <w:szCs w:val="20"/>
                <w:lang w:val="fr-CA"/>
              </w:rPr>
              <w:t xml:space="preserve"> Band c. Procureur général du Canada</w:t>
            </w:r>
            <w:r w:rsidRPr="00A54F27">
              <w:rPr>
                <w:szCs w:val="20"/>
                <w:lang w:val="fr-CA"/>
              </w:rPr>
              <w:t>, [2011] 3 R.C.S. 535.</w:t>
            </w:r>
          </w:p>
        </w:tc>
      </w:tr>
    </w:tbl>
    <w:p w:rsidR="00176529" w:rsidRPr="00176529" w:rsidRDefault="00176529"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0650" w:rsidRPr="00B32C06" w:rsidTr="00CD0650">
        <w:tc>
          <w:tcPr>
            <w:tcW w:w="5000" w:type="pct"/>
            <w:gridSpan w:val="3"/>
          </w:tcPr>
          <w:p w:rsidR="00CD0650" w:rsidRPr="00B32C06" w:rsidRDefault="00CD0650" w:rsidP="00CD0650">
            <w:pPr>
              <w:jc w:val="both"/>
              <w:rPr>
                <w:rFonts w:eastAsia="Calibri"/>
                <w:sz w:val="20"/>
              </w:rPr>
            </w:pPr>
            <w:r w:rsidRPr="00B32C06">
              <w:rPr>
                <w:rFonts w:eastAsia="Calibri"/>
                <w:sz w:val="20"/>
              </w:rPr>
              <w:t>Aboriginal  law – Constitutional law – </w:t>
            </w:r>
            <w:r w:rsidRPr="00B32C06">
              <w:rPr>
                <w:rFonts w:eastAsia="Calibri"/>
                <w:i/>
                <w:iCs/>
                <w:sz w:val="20"/>
              </w:rPr>
              <w:t>Constitution  Act, 1982</w:t>
            </w:r>
            <w:r w:rsidRPr="00B32C06">
              <w:rPr>
                <w:rFonts w:eastAsia="Calibri"/>
                <w:sz w:val="20"/>
              </w:rPr>
              <w:t xml:space="preserve">,  s. 35 –Aboriginal  rights – Indian band  – Fishing – Did the Court of Appeal err in upholding the trial judge’s decision to dispense with the first step in the analysis developed by this Court to determine Aboriginal rights claims, that is, to characterize the nature of the right claimed – Did the Court of Appeal err in deferring part of the analysis of defining the Aboriginal right based on the proven pre-contact practices to the stage of examining whether an infringement of that right is justified – Did the Court of Appeal err in permitting pre-contact practices of harvesting, gift-giving, feasting and tribute to support a modern Aboriginal right to sell fish in the commercial marketplace – If leave is granted to Canada in the main application, would this signal the presence of issues of public importance such that the trial judge was correct in making an award of special </w:t>
            </w:r>
            <w:r w:rsidRPr="00B32C06">
              <w:rPr>
                <w:rFonts w:eastAsia="Calibri"/>
                <w:sz w:val="20"/>
              </w:rPr>
              <w:lastRenderedPageBreak/>
              <w:t>costs to the respondents based on the public interest of the case.</w:t>
            </w:r>
          </w:p>
          <w:p w:rsidR="00CD0650" w:rsidRPr="00B32C06" w:rsidRDefault="00CD0650" w:rsidP="00CD0650">
            <w:pPr>
              <w:jc w:val="both"/>
              <w:rPr>
                <w:rFonts w:eastAsia="Calibri"/>
                <w:sz w:val="20"/>
              </w:rPr>
            </w:pPr>
          </w:p>
        </w:tc>
      </w:tr>
      <w:tr w:rsidR="00CD0650" w:rsidRPr="00B32C06" w:rsidTr="00CD0650">
        <w:tc>
          <w:tcPr>
            <w:tcW w:w="5000" w:type="pct"/>
            <w:gridSpan w:val="3"/>
          </w:tcPr>
          <w:p w:rsidR="00CD0650" w:rsidRPr="00B32C06" w:rsidRDefault="00CD0650" w:rsidP="00CD0650">
            <w:pPr>
              <w:jc w:val="both"/>
              <w:rPr>
                <w:rFonts w:eastAsia="Calibri"/>
                <w:sz w:val="20"/>
              </w:rPr>
            </w:pPr>
            <w:r w:rsidRPr="00B32C06">
              <w:rPr>
                <w:rFonts w:eastAsia="Calibri"/>
                <w:sz w:val="20"/>
              </w:rPr>
              <w:lastRenderedPageBreak/>
              <w:t xml:space="preserve">The respondents are five B.C. Aboriginal bands who claim Aboriginal commercial fishing rights, and Aboriginal title to submerged lands.  The Supreme Court of British Columbia granted orders and declarations that: the respondents have Aboriginal rights to fish for any species within certain defined fishing territories and to sell that fish; Canada’s fisheries regime is a </w:t>
            </w:r>
            <w:r w:rsidRPr="00B32C06">
              <w:rPr>
                <w:rFonts w:eastAsia="Calibri"/>
                <w:i/>
                <w:sz w:val="20"/>
              </w:rPr>
              <w:t>prima facie</w:t>
            </w:r>
            <w:r w:rsidRPr="00B32C06">
              <w:rPr>
                <w:rFonts w:eastAsia="Calibri"/>
                <w:sz w:val="20"/>
              </w:rPr>
              <w:t xml:space="preserve"> infringement of those rights (with the exception of harvesting clams and fishing for food, social and ceremonial purposes); and Canada has a duty to consult and negotiate with the respondents with respect to the manner in which their rights can be accommodated and exercised without jeopardizing legislative objectives and societal interests.  The claim for title was dismissed as unnecessary, and no declaration was made on whether any infringement of the rights was justified, pending a period of two years for the parties to consult and negotiate.  The Court of Appeal for British Columbia allowed Canada’s appeal in part to make variations to the Order, specifying that the right to fish and sell any species is “with the exception of </w:t>
            </w:r>
            <w:proofErr w:type="spellStart"/>
            <w:r w:rsidRPr="00B32C06">
              <w:rPr>
                <w:rFonts w:eastAsia="Calibri"/>
                <w:sz w:val="20"/>
              </w:rPr>
              <w:t>geoduck</w:t>
            </w:r>
            <w:proofErr w:type="spellEnd"/>
            <w:r w:rsidRPr="00B32C06">
              <w:rPr>
                <w:rFonts w:eastAsia="Calibri"/>
                <w:sz w:val="20"/>
              </w:rPr>
              <w:t>”, and granting additional time for the parties to negotiate.  In a Supplementary Order, the Court of Appeal set aside the trial judge’s award of special costs in favour of the respondents.</w:t>
            </w:r>
          </w:p>
          <w:p w:rsidR="00CD0650" w:rsidRPr="00B32C06" w:rsidRDefault="00CD0650" w:rsidP="00CD0650">
            <w:pPr>
              <w:jc w:val="both"/>
              <w:rPr>
                <w:rFonts w:eastAsia="Calibri"/>
                <w:sz w:val="20"/>
              </w:rPr>
            </w:pPr>
          </w:p>
        </w:tc>
      </w:tr>
      <w:tr w:rsidR="00CD0650" w:rsidRPr="00B32C06" w:rsidTr="00CD0650">
        <w:tc>
          <w:tcPr>
            <w:tcW w:w="2427" w:type="pct"/>
          </w:tcPr>
          <w:p w:rsidR="00CD0650" w:rsidRPr="00B32C06" w:rsidRDefault="00CD0650" w:rsidP="00CD0650">
            <w:pPr>
              <w:jc w:val="both"/>
              <w:rPr>
                <w:rFonts w:eastAsia="Calibri"/>
                <w:sz w:val="20"/>
              </w:rPr>
            </w:pPr>
            <w:r w:rsidRPr="00B32C06">
              <w:rPr>
                <w:rFonts w:eastAsia="Calibri"/>
                <w:sz w:val="20"/>
              </w:rPr>
              <w:t>November 3, 2009</w:t>
            </w:r>
          </w:p>
          <w:p w:rsidR="00CD0650" w:rsidRPr="00B32C06" w:rsidRDefault="00CD0650" w:rsidP="00CD0650">
            <w:pPr>
              <w:jc w:val="both"/>
              <w:rPr>
                <w:rFonts w:eastAsia="Calibri"/>
                <w:sz w:val="20"/>
              </w:rPr>
            </w:pPr>
            <w:r w:rsidRPr="00B32C06">
              <w:rPr>
                <w:rFonts w:eastAsia="Calibri"/>
                <w:sz w:val="20"/>
              </w:rPr>
              <w:t>Supreme Court of British Columbia</w:t>
            </w:r>
          </w:p>
          <w:p w:rsidR="00CD0650" w:rsidRPr="00B32C06" w:rsidRDefault="00CD0650" w:rsidP="00CD0650">
            <w:pPr>
              <w:jc w:val="both"/>
              <w:rPr>
                <w:rFonts w:eastAsia="Calibri"/>
                <w:sz w:val="20"/>
              </w:rPr>
            </w:pPr>
            <w:r w:rsidRPr="00B32C06">
              <w:rPr>
                <w:rFonts w:eastAsia="Calibri"/>
                <w:sz w:val="20"/>
              </w:rPr>
              <w:t>(Garson J.)</w:t>
            </w:r>
          </w:p>
          <w:p w:rsidR="00CD0650" w:rsidRPr="00B32C06" w:rsidRDefault="00CD0650" w:rsidP="00CD0650">
            <w:pPr>
              <w:jc w:val="both"/>
              <w:rPr>
                <w:rFonts w:eastAsia="Calibri"/>
                <w:sz w:val="20"/>
                <w:lang w:val="fr-CA"/>
              </w:rPr>
            </w:pPr>
            <w:r w:rsidRPr="00B32C06">
              <w:rPr>
                <w:rFonts w:eastAsia="Calibri"/>
                <w:sz w:val="20"/>
                <w:lang w:val="fr-CA"/>
              </w:rPr>
              <w:t>2009 BCSC 1494</w:t>
            </w:r>
          </w:p>
          <w:p w:rsidR="00CD0650" w:rsidRPr="00B32C06" w:rsidRDefault="00CD0650" w:rsidP="00CD0650">
            <w:pPr>
              <w:jc w:val="both"/>
              <w:rPr>
                <w:rFonts w:eastAsia="Calibri"/>
                <w:sz w:val="20"/>
              </w:rPr>
            </w:pPr>
          </w:p>
        </w:tc>
        <w:tc>
          <w:tcPr>
            <w:tcW w:w="243" w:type="pct"/>
          </w:tcPr>
          <w:p w:rsidR="00CD0650" w:rsidRPr="00B32C06" w:rsidRDefault="00CD0650" w:rsidP="00CD0650">
            <w:pPr>
              <w:jc w:val="both"/>
              <w:rPr>
                <w:rFonts w:eastAsia="Calibri"/>
                <w:sz w:val="20"/>
              </w:rPr>
            </w:pPr>
          </w:p>
        </w:tc>
        <w:tc>
          <w:tcPr>
            <w:tcW w:w="2330" w:type="pct"/>
          </w:tcPr>
          <w:p w:rsidR="00CD0650" w:rsidRPr="00B32C06" w:rsidRDefault="00CD0650" w:rsidP="00CD0650">
            <w:pPr>
              <w:jc w:val="both"/>
              <w:rPr>
                <w:rFonts w:eastAsia="Calibri"/>
                <w:sz w:val="20"/>
              </w:rPr>
            </w:pPr>
            <w:r w:rsidRPr="00B32C06">
              <w:rPr>
                <w:rFonts w:eastAsia="Calibri"/>
                <w:sz w:val="20"/>
              </w:rPr>
              <w:t xml:space="preserve">Various declarations concerning the respondents’ Aboriginal rights to fish and </w:t>
            </w:r>
            <w:proofErr w:type="spellStart"/>
            <w:r w:rsidRPr="00B32C06">
              <w:rPr>
                <w:rFonts w:eastAsia="Calibri"/>
                <w:sz w:val="20"/>
              </w:rPr>
              <w:t>sell</w:t>
            </w:r>
            <w:proofErr w:type="spellEnd"/>
            <w:r w:rsidRPr="00B32C06">
              <w:rPr>
                <w:rFonts w:eastAsia="Calibri"/>
                <w:sz w:val="20"/>
              </w:rPr>
              <w:t xml:space="preserve"> fish, and Canada’s infringement of those rights; two-year negotiation period ordered. </w:t>
            </w:r>
          </w:p>
        </w:tc>
      </w:tr>
      <w:tr w:rsidR="00CD0650" w:rsidRPr="00B32C06" w:rsidTr="00CD0650">
        <w:tc>
          <w:tcPr>
            <w:tcW w:w="2427" w:type="pct"/>
          </w:tcPr>
          <w:p w:rsidR="00CD0650" w:rsidRPr="00B32C06" w:rsidRDefault="00CD0650" w:rsidP="00CD0650">
            <w:pPr>
              <w:jc w:val="both"/>
              <w:rPr>
                <w:rFonts w:eastAsia="Calibri"/>
                <w:sz w:val="20"/>
              </w:rPr>
            </w:pPr>
            <w:r w:rsidRPr="00B32C06">
              <w:rPr>
                <w:rFonts w:eastAsia="Calibri"/>
                <w:sz w:val="20"/>
              </w:rPr>
              <w:t>May 18, 2011</w:t>
            </w:r>
          </w:p>
          <w:p w:rsidR="00CD0650" w:rsidRPr="00B32C06" w:rsidRDefault="00CD0650" w:rsidP="00CD0650">
            <w:pPr>
              <w:jc w:val="both"/>
              <w:rPr>
                <w:rFonts w:eastAsia="Calibri"/>
                <w:sz w:val="20"/>
              </w:rPr>
            </w:pPr>
            <w:r w:rsidRPr="00B32C06">
              <w:rPr>
                <w:rFonts w:eastAsia="Calibri"/>
                <w:sz w:val="20"/>
              </w:rPr>
              <w:t>Court of Appeal for British Columbia (Vancouver)</w:t>
            </w:r>
          </w:p>
          <w:p w:rsidR="00CD0650" w:rsidRPr="00B32C06" w:rsidRDefault="00CD0650" w:rsidP="00CD0650">
            <w:pPr>
              <w:jc w:val="both"/>
              <w:rPr>
                <w:rFonts w:eastAsia="Calibri"/>
                <w:sz w:val="20"/>
              </w:rPr>
            </w:pPr>
            <w:r w:rsidRPr="00B32C06">
              <w:rPr>
                <w:rFonts w:eastAsia="Calibri"/>
                <w:sz w:val="20"/>
              </w:rPr>
              <w:t xml:space="preserve">(Hall and Neilson JJ.A., </w:t>
            </w:r>
            <w:proofErr w:type="spellStart"/>
            <w:r w:rsidRPr="00B32C06">
              <w:rPr>
                <w:rFonts w:eastAsia="Calibri"/>
                <w:sz w:val="20"/>
              </w:rPr>
              <w:t>Chiasson</w:t>
            </w:r>
            <w:proofErr w:type="spellEnd"/>
            <w:r w:rsidRPr="00B32C06">
              <w:rPr>
                <w:rFonts w:eastAsia="Calibri"/>
                <w:sz w:val="20"/>
              </w:rPr>
              <w:t xml:space="preserve"> J.A. dissenting in part)</w:t>
            </w:r>
          </w:p>
          <w:p w:rsidR="00CD0650" w:rsidRPr="00B32C06" w:rsidRDefault="00CD0650" w:rsidP="00CD0650">
            <w:pPr>
              <w:jc w:val="both"/>
              <w:rPr>
                <w:rFonts w:eastAsia="Calibri"/>
                <w:sz w:val="20"/>
              </w:rPr>
            </w:pPr>
            <w:r w:rsidRPr="00B32C06">
              <w:rPr>
                <w:rFonts w:eastAsia="Calibri"/>
                <w:sz w:val="20"/>
              </w:rPr>
              <w:t>2011 BCCA 237</w:t>
            </w:r>
          </w:p>
          <w:p w:rsidR="00CD0650" w:rsidRPr="00B32C06" w:rsidRDefault="00CD0650" w:rsidP="00CD0650">
            <w:pPr>
              <w:jc w:val="both"/>
              <w:rPr>
                <w:rFonts w:eastAsia="Calibri"/>
                <w:sz w:val="20"/>
              </w:rPr>
            </w:pPr>
            <w:r w:rsidRPr="00B32C06">
              <w:rPr>
                <w:rFonts w:eastAsia="Calibri"/>
                <w:sz w:val="20"/>
              </w:rPr>
              <w:t>Docket:  CA037704</w:t>
            </w:r>
          </w:p>
          <w:p w:rsidR="00CD0650" w:rsidRPr="00B32C06" w:rsidRDefault="00CD0650" w:rsidP="00CD0650">
            <w:pPr>
              <w:jc w:val="both"/>
              <w:rPr>
                <w:rFonts w:eastAsia="Calibri"/>
                <w:sz w:val="20"/>
              </w:rPr>
            </w:pPr>
          </w:p>
        </w:tc>
        <w:tc>
          <w:tcPr>
            <w:tcW w:w="243" w:type="pct"/>
          </w:tcPr>
          <w:p w:rsidR="00CD0650" w:rsidRPr="00B32C06" w:rsidRDefault="00CD0650" w:rsidP="00CD0650">
            <w:pPr>
              <w:jc w:val="both"/>
              <w:rPr>
                <w:rFonts w:eastAsia="Calibri"/>
                <w:sz w:val="20"/>
              </w:rPr>
            </w:pPr>
          </w:p>
        </w:tc>
        <w:tc>
          <w:tcPr>
            <w:tcW w:w="2330" w:type="pct"/>
          </w:tcPr>
          <w:p w:rsidR="00CD0650" w:rsidRPr="00B32C06" w:rsidRDefault="00CD0650" w:rsidP="00CD0650">
            <w:pPr>
              <w:jc w:val="both"/>
              <w:rPr>
                <w:rFonts w:eastAsia="Calibri"/>
                <w:sz w:val="20"/>
              </w:rPr>
            </w:pPr>
            <w:r w:rsidRPr="00B32C06">
              <w:rPr>
                <w:rFonts w:eastAsia="Calibri"/>
                <w:sz w:val="20"/>
              </w:rPr>
              <w:t xml:space="preserve">Canada’s appeal allowed in part in order </w:t>
            </w:r>
            <w:proofErr w:type="gramStart"/>
            <w:r w:rsidRPr="00B32C06">
              <w:rPr>
                <w:rFonts w:eastAsia="Calibri"/>
                <w:sz w:val="20"/>
              </w:rPr>
              <w:t>to make</w:t>
            </w:r>
            <w:proofErr w:type="gramEnd"/>
            <w:r w:rsidRPr="00B32C06">
              <w:rPr>
                <w:rFonts w:eastAsia="Calibri"/>
                <w:sz w:val="20"/>
              </w:rPr>
              <w:t xml:space="preserve"> variations to the trial Order, including extending the period of time for the parties to negotiate, and specifying that the Aboriginal right to fish and sell any species is “with the exception of </w:t>
            </w:r>
            <w:proofErr w:type="spellStart"/>
            <w:r w:rsidRPr="00B32C06">
              <w:rPr>
                <w:rFonts w:eastAsia="Calibri"/>
                <w:sz w:val="20"/>
              </w:rPr>
              <w:t>geoduck</w:t>
            </w:r>
            <w:proofErr w:type="spellEnd"/>
            <w:r w:rsidRPr="00B32C06">
              <w:rPr>
                <w:rFonts w:eastAsia="Calibri"/>
                <w:sz w:val="20"/>
              </w:rPr>
              <w:t>”.</w:t>
            </w:r>
          </w:p>
          <w:p w:rsidR="00CD0650" w:rsidRPr="00B32C06" w:rsidRDefault="00CD0650" w:rsidP="00CD0650">
            <w:pPr>
              <w:jc w:val="both"/>
              <w:rPr>
                <w:rFonts w:eastAsia="Calibri"/>
                <w:sz w:val="20"/>
              </w:rPr>
            </w:pPr>
          </w:p>
        </w:tc>
      </w:tr>
      <w:tr w:rsidR="00CD0650" w:rsidRPr="00B32C06" w:rsidTr="00CD0650">
        <w:trPr>
          <w:trHeight w:val="822"/>
        </w:trPr>
        <w:tc>
          <w:tcPr>
            <w:tcW w:w="2427" w:type="pct"/>
          </w:tcPr>
          <w:p w:rsidR="00CD0650" w:rsidRPr="00B32C06" w:rsidRDefault="00CD0650" w:rsidP="00CD0650">
            <w:pPr>
              <w:jc w:val="both"/>
              <w:rPr>
                <w:rFonts w:eastAsia="Calibri"/>
                <w:sz w:val="20"/>
              </w:rPr>
            </w:pPr>
            <w:r w:rsidRPr="00B32C06">
              <w:rPr>
                <w:rFonts w:eastAsia="Calibri"/>
                <w:sz w:val="20"/>
              </w:rPr>
              <w:t>August 17, 2011</w:t>
            </w:r>
          </w:p>
          <w:p w:rsidR="00CD0650" w:rsidRPr="00B32C06" w:rsidRDefault="00CD0650" w:rsidP="00CD0650">
            <w:pPr>
              <w:jc w:val="both"/>
              <w:rPr>
                <w:rFonts w:eastAsia="Calibri"/>
                <w:sz w:val="20"/>
              </w:rPr>
            </w:pPr>
            <w:r w:rsidRPr="00B32C06">
              <w:rPr>
                <w:rFonts w:eastAsia="Calibri"/>
                <w:sz w:val="20"/>
              </w:rPr>
              <w:t>Supreme Court of Canada</w:t>
            </w:r>
          </w:p>
          <w:p w:rsidR="00CD0650" w:rsidRPr="00B32C06" w:rsidRDefault="00CD0650" w:rsidP="00CD0650">
            <w:pPr>
              <w:jc w:val="both"/>
              <w:rPr>
                <w:rFonts w:eastAsia="Calibri"/>
                <w:sz w:val="20"/>
              </w:rPr>
            </w:pPr>
          </w:p>
        </w:tc>
        <w:tc>
          <w:tcPr>
            <w:tcW w:w="243" w:type="pct"/>
          </w:tcPr>
          <w:p w:rsidR="00CD0650" w:rsidRPr="00B32C06" w:rsidRDefault="00CD0650" w:rsidP="00CD0650">
            <w:pPr>
              <w:jc w:val="both"/>
              <w:rPr>
                <w:rFonts w:eastAsia="Calibri"/>
                <w:sz w:val="20"/>
              </w:rPr>
            </w:pPr>
          </w:p>
        </w:tc>
        <w:tc>
          <w:tcPr>
            <w:tcW w:w="2330" w:type="pct"/>
          </w:tcPr>
          <w:p w:rsidR="00CD0650" w:rsidRPr="00B32C06" w:rsidRDefault="00CD0650" w:rsidP="00CD0650">
            <w:pPr>
              <w:jc w:val="both"/>
              <w:rPr>
                <w:rFonts w:eastAsia="Calibri"/>
                <w:sz w:val="20"/>
              </w:rPr>
            </w:pPr>
            <w:r w:rsidRPr="00B32C06">
              <w:rPr>
                <w:rFonts w:eastAsia="Calibri"/>
                <w:sz w:val="20"/>
              </w:rPr>
              <w:t>Application for leave to appeal filed by Canada</w:t>
            </w:r>
          </w:p>
          <w:p w:rsidR="00CD0650" w:rsidRPr="00B32C06" w:rsidRDefault="00CD0650" w:rsidP="00CD0650">
            <w:pPr>
              <w:jc w:val="both"/>
              <w:rPr>
                <w:rFonts w:eastAsia="Calibri"/>
                <w:sz w:val="20"/>
              </w:rPr>
            </w:pPr>
          </w:p>
        </w:tc>
      </w:tr>
      <w:tr w:rsidR="00CD0650" w:rsidRPr="00B32C06" w:rsidTr="00CD0650">
        <w:trPr>
          <w:trHeight w:val="821"/>
        </w:trPr>
        <w:tc>
          <w:tcPr>
            <w:tcW w:w="2427" w:type="pct"/>
          </w:tcPr>
          <w:p w:rsidR="00CD0650" w:rsidRPr="00B32C06" w:rsidRDefault="00CD0650" w:rsidP="00CD0650">
            <w:pPr>
              <w:jc w:val="both"/>
              <w:rPr>
                <w:rFonts w:eastAsia="Calibri"/>
                <w:sz w:val="20"/>
              </w:rPr>
            </w:pPr>
            <w:r w:rsidRPr="00B32C06">
              <w:rPr>
                <w:rFonts w:eastAsia="Calibri"/>
                <w:sz w:val="20"/>
              </w:rPr>
              <w:t>October 31, 2011</w:t>
            </w:r>
          </w:p>
          <w:p w:rsidR="00CD0650" w:rsidRPr="00B32C06" w:rsidRDefault="00CD0650" w:rsidP="00CD0650">
            <w:pPr>
              <w:jc w:val="both"/>
              <w:rPr>
                <w:rFonts w:eastAsia="Calibri"/>
                <w:sz w:val="20"/>
              </w:rPr>
            </w:pPr>
            <w:r w:rsidRPr="00B32C06">
              <w:rPr>
                <w:rFonts w:eastAsia="Calibri"/>
                <w:sz w:val="20"/>
              </w:rPr>
              <w:t>Court of Appeal for British Columbia</w:t>
            </w:r>
          </w:p>
          <w:p w:rsidR="00CD0650" w:rsidRPr="00B32C06" w:rsidRDefault="00CD0650" w:rsidP="00CD0650">
            <w:pPr>
              <w:jc w:val="both"/>
              <w:rPr>
                <w:rFonts w:eastAsia="Calibri"/>
                <w:sz w:val="20"/>
              </w:rPr>
            </w:pPr>
            <w:r w:rsidRPr="00B32C06">
              <w:rPr>
                <w:rFonts w:eastAsia="Calibri"/>
                <w:sz w:val="20"/>
              </w:rPr>
              <w:t>(Vancouver)</w:t>
            </w:r>
          </w:p>
          <w:p w:rsidR="00CD0650" w:rsidRPr="00B32C06" w:rsidRDefault="00CD0650" w:rsidP="00CD0650">
            <w:pPr>
              <w:jc w:val="both"/>
              <w:rPr>
                <w:rFonts w:eastAsia="Calibri"/>
                <w:sz w:val="20"/>
              </w:rPr>
            </w:pPr>
            <w:r w:rsidRPr="00B32C06">
              <w:rPr>
                <w:rFonts w:eastAsia="Calibri"/>
                <w:sz w:val="20"/>
              </w:rPr>
              <w:t xml:space="preserve">(Hall, </w:t>
            </w:r>
            <w:proofErr w:type="spellStart"/>
            <w:r w:rsidRPr="00B32C06">
              <w:rPr>
                <w:rFonts w:eastAsia="Calibri"/>
                <w:sz w:val="20"/>
              </w:rPr>
              <w:t>Chiasson</w:t>
            </w:r>
            <w:proofErr w:type="spellEnd"/>
            <w:r w:rsidRPr="00B32C06">
              <w:rPr>
                <w:rFonts w:eastAsia="Calibri"/>
                <w:sz w:val="20"/>
              </w:rPr>
              <w:t xml:space="preserve"> and Neilson JJ.A.)</w:t>
            </w:r>
          </w:p>
          <w:p w:rsidR="00CD0650" w:rsidRPr="00B32C06" w:rsidRDefault="00CD0650" w:rsidP="00CD0650">
            <w:pPr>
              <w:jc w:val="both"/>
              <w:rPr>
                <w:rFonts w:eastAsia="Calibri"/>
                <w:sz w:val="20"/>
              </w:rPr>
            </w:pPr>
          </w:p>
        </w:tc>
        <w:tc>
          <w:tcPr>
            <w:tcW w:w="243" w:type="pct"/>
          </w:tcPr>
          <w:p w:rsidR="00CD0650" w:rsidRPr="00B32C06" w:rsidRDefault="00CD0650" w:rsidP="00CD0650">
            <w:pPr>
              <w:jc w:val="both"/>
              <w:rPr>
                <w:rFonts w:eastAsia="Calibri"/>
                <w:sz w:val="20"/>
              </w:rPr>
            </w:pPr>
          </w:p>
        </w:tc>
        <w:tc>
          <w:tcPr>
            <w:tcW w:w="2330" w:type="pct"/>
          </w:tcPr>
          <w:p w:rsidR="00CD0650" w:rsidRPr="00B32C06" w:rsidRDefault="00CD0650" w:rsidP="00CD0650">
            <w:pPr>
              <w:jc w:val="both"/>
              <w:rPr>
                <w:rFonts w:eastAsia="Calibri"/>
                <w:sz w:val="20"/>
              </w:rPr>
            </w:pPr>
            <w:r w:rsidRPr="00B32C06">
              <w:rPr>
                <w:rFonts w:eastAsia="Calibri"/>
                <w:sz w:val="20"/>
              </w:rPr>
              <w:t xml:space="preserve">Supplementary Order and reasons for judgment on trial costs, setting aside trial judge’s award of special costs </w:t>
            </w:r>
          </w:p>
          <w:p w:rsidR="00CD0650" w:rsidRPr="00B32C06" w:rsidRDefault="00CD0650" w:rsidP="00CD0650">
            <w:pPr>
              <w:jc w:val="both"/>
              <w:rPr>
                <w:rFonts w:eastAsia="Calibri"/>
                <w:sz w:val="20"/>
              </w:rPr>
            </w:pPr>
          </w:p>
        </w:tc>
      </w:tr>
      <w:tr w:rsidR="00CD0650" w:rsidRPr="00B32C06" w:rsidTr="00CD0650">
        <w:trPr>
          <w:trHeight w:val="821"/>
        </w:trPr>
        <w:tc>
          <w:tcPr>
            <w:tcW w:w="2427" w:type="pct"/>
          </w:tcPr>
          <w:p w:rsidR="00CD0650" w:rsidRPr="00B32C06" w:rsidRDefault="00CD0650" w:rsidP="00CD0650">
            <w:pPr>
              <w:jc w:val="both"/>
              <w:rPr>
                <w:rFonts w:eastAsia="Calibri"/>
                <w:sz w:val="20"/>
              </w:rPr>
            </w:pPr>
            <w:r w:rsidRPr="00B32C06">
              <w:rPr>
                <w:rFonts w:eastAsia="Calibri"/>
                <w:sz w:val="20"/>
              </w:rPr>
              <w:t>November 21, 2011</w:t>
            </w:r>
          </w:p>
          <w:p w:rsidR="00CD0650" w:rsidRPr="00B32C06" w:rsidRDefault="00CD0650" w:rsidP="00CD0650">
            <w:pPr>
              <w:jc w:val="both"/>
              <w:rPr>
                <w:rFonts w:eastAsia="Calibri"/>
                <w:sz w:val="20"/>
              </w:rPr>
            </w:pPr>
            <w:r w:rsidRPr="00B32C06">
              <w:rPr>
                <w:rFonts w:eastAsia="Calibri"/>
                <w:sz w:val="20"/>
              </w:rPr>
              <w:t>Supreme Court of Canada</w:t>
            </w:r>
          </w:p>
        </w:tc>
        <w:tc>
          <w:tcPr>
            <w:tcW w:w="243" w:type="pct"/>
          </w:tcPr>
          <w:p w:rsidR="00CD0650" w:rsidRPr="00B32C06" w:rsidRDefault="00CD0650" w:rsidP="00CD0650">
            <w:pPr>
              <w:jc w:val="both"/>
              <w:rPr>
                <w:rFonts w:eastAsia="Calibri"/>
                <w:sz w:val="20"/>
              </w:rPr>
            </w:pPr>
          </w:p>
        </w:tc>
        <w:tc>
          <w:tcPr>
            <w:tcW w:w="2330" w:type="pct"/>
          </w:tcPr>
          <w:p w:rsidR="00CD0650" w:rsidRPr="00B32C06" w:rsidRDefault="00CD0650" w:rsidP="00CD0650">
            <w:pPr>
              <w:jc w:val="both"/>
              <w:rPr>
                <w:rFonts w:eastAsia="Calibri"/>
                <w:sz w:val="20"/>
              </w:rPr>
            </w:pPr>
            <w:r w:rsidRPr="00B32C06">
              <w:rPr>
                <w:rFonts w:eastAsia="Calibri"/>
                <w:sz w:val="20"/>
              </w:rPr>
              <w:t>Conditional application for leave to cross-appeal the Court of Appeal’s Supplementary Order on trial costs filed by respondents, including motion to extend time for filing of cross-appeal application.</w:t>
            </w: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45"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0650" w:rsidRPr="006112F1" w:rsidTr="00CD0650">
        <w:tc>
          <w:tcPr>
            <w:tcW w:w="5000" w:type="pct"/>
            <w:gridSpan w:val="3"/>
          </w:tcPr>
          <w:p w:rsidR="00CD0650" w:rsidRPr="00B32C06" w:rsidRDefault="00CD0650" w:rsidP="00CD0650">
            <w:pPr>
              <w:jc w:val="both"/>
              <w:rPr>
                <w:rFonts w:eastAsia="Calibri"/>
                <w:sz w:val="20"/>
                <w:lang w:val="fr-CA"/>
              </w:rPr>
            </w:pPr>
            <w:r w:rsidRPr="00B32C06">
              <w:rPr>
                <w:rFonts w:eastAsia="Calibri"/>
                <w:sz w:val="20"/>
                <w:lang w:val="fr-CA"/>
              </w:rPr>
              <w:t>Droit des Autochtones – Droit constitutionnel – </w:t>
            </w:r>
            <w:r w:rsidRPr="00B32C06">
              <w:rPr>
                <w:rFonts w:eastAsia="Calibri"/>
                <w:i/>
                <w:iCs/>
                <w:sz w:val="20"/>
                <w:lang w:val="fr-CA"/>
              </w:rPr>
              <w:t>Loi constitutionnelle de 1982</w:t>
            </w:r>
            <w:r w:rsidRPr="00B32C06">
              <w:rPr>
                <w:rFonts w:eastAsia="Calibri"/>
                <w:sz w:val="20"/>
                <w:lang w:val="fr-CA"/>
              </w:rPr>
              <w:t xml:space="preserve">, art. 35 – Droits ancestraux – Bande indienne – Pêche – La Cour d’appel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elle</w:t>
            </w:r>
            <w:proofErr w:type="spellEnd"/>
            <w:r w:rsidRPr="00B32C06">
              <w:rPr>
                <w:rFonts w:eastAsia="Calibri"/>
                <w:sz w:val="20"/>
                <w:lang w:val="fr-CA"/>
              </w:rPr>
              <w:t xml:space="preserve"> commis une erreur en confirmant la décision de la juge de première instance de sauter la première étape de la méthode d’analyse établie par la Cour lorsqu’il s’agit de statuer sur des revendications de droits ancestraux, soit l’étape de la caractérisation des droits revendiqués? – La Cour d’appel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elle</w:t>
            </w:r>
            <w:proofErr w:type="spellEnd"/>
            <w:r w:rsidRPr="00B32C06">
              <w:rPr>
                <w:rFonts w:eastAsia="Calibri"/>
                <w:sz w:val="20"/>
                <w:lang w:val="fr-CA"/>
              </w:rPr>
              <w:t xml:space="preserve"> fait erreur en reportant, à l’étape où il faut se demander si la violation du droit en question est justifiée, une partie de l’analyse consistant à déterminer le droit ancestral en fonction des pratiques prouvées antérieures au contact avec les Européens? – La Cour d’appel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elle</w:t>
            </w:r>
            <w:proofErr w:type="spellEnd"/>
            <w:r w:rsidRPr="00B32C06">
              <w:rPr>
                <w:rFonts w:eastAsia="Calibri"/>
                <w:sz w:val="20"/>
                <w:lang w:val="fr-CA"/>
              </w:rPr>
              <w:t xml:space="preserve"> commis une erreur en permettant que diverses pratiques antérieures au contact </w:t>
            </w:r>
            <w:r w:rsidRPr="00B32C06">
              <w:rPr>
                <w:rFonts w:eastAsia="Calibri"/>
                <w:sz w:val="20"/>
                <w:lang w:val="fr-CA"/>
              </w:rPr>
              <w:lastRenderedPageBreak/>
              <w:t xml:space="preserve">avec les Européens – </w:t>
            </w:r>
            <w:proofErr w:type="gramStart"/>
            <w:r w:rsidRPr="00B32C06">
              <w:rPr>
                <w:rFonts w:eastAsia="Calibri"/>
                <w:sz w:val="20"/>
                <w:lang w:val="fr-CA"/>
              </w:rPr>
              <w:t>récoltes</w:t>
            </w:r>
            <w:proofErr w:type="gramEnd"/>
            <w:r w:rsidRPr="00B32C06">
              <w:rPr>
                <w:rFonts w:eastAsia="Calibri"/>
                <w:sz w:val="20"/>
                <w:lang w:val="fr-CA"/>
              </w:rPr>
              <w:t xml:space="preserve">, cadeaux, festins et tributs – puissent fonder l’existence d’un droit ancestral contemporain de vendre du poisson sur le marché commercial? – Si l’autorisation était accordée au Canada dans la demande principale, </w:t>
            </w:r>
            <w:proofErr w:type="spellStart"/>
            <w:r w:rsidRPr="00B32C06">
              <w:rPr>
                <w:rFonts w:eastAsia="Calibri"/>
                <w:sz w:val="20"/>
                <w:lang w:val="fr-CA"/>
              </w:rPr>
              <w:t>est</w:t>
            </w:r>
            <w:r w:rsidRPr="00B32C06">
              <w:rPr>
                <w:rFonts w:eastAsia="Calibri"/>
                <w:sz w:val="20"/>
                <w:lang w:val="fr-CA"/>
              </w:rPr>
              <w:noBreakHyphen/>
              <w:t>ce</w:t>
            </w:r>
            <w:proofErr w:type="spellEnd"/>
            <w:r w:rsidRPr="00B32C06">
              <w:rPr>
                <w:rFonts w:eastAsia="Calibri"/>
                <w:sz w:val="20"/>
                <w:lang w:val="fr-CA"/>
              </w:rPr>
              <w:t xml:space="preserve"> que cela signalerait la présence de questions d’importance pour le public et confirmerait par le fait même le </w:t>
            </w:r>
            <w:proofErr w:type="spellStart"/>
            <w:r w:rsidRPr="00B32C06">
              <w:rPr>
                <w:rFonts w:eastAsia="Calibri"/>
                <w:sz w:val="20"/>
                <w:lang w:val="fr-CA"/>
              </w:rPr>
              <w:t>bien</w:t>
            </w:r>
            <w:r w:rsidRPr="00B32C06">
              <w:rPr>
                <w:rFonts w:eastAsia="Calibri"/>
                <w:sz w:val="20"/>
                <w:lang w:val="fr-CA"/>
              </w:rPr>
              <w:noBreakHyphen/>
              <w:t>fondé</w:t>
            </w:r>
            <w:proofErr w:type="spellEnd"/>
            <w:r w:rsidRPr="00B32C06">
              <w:rPr>
                <w:rFonts w:eastAsia="Calibri"/>
                <w:sz w:val="20"/>
                <w:lang w:val="fr-CA"/>
              </w:rPr>
              <w:t xml:space="preserve"> de la décision de première instance d’accorder des dépens spéciaux aux intimées compte tenu de l’intérêt public de l’affaire?</w:t>
            </w:r>
          </w:p>
          <w:p w:rsidR="00CD0650" w:rsidRPr="00B32C06" w:rsidRDefault="00CD0650" w:rsidP="00CD0650">
            <w:pPr>
              <w:jc w:val="both"/>
              <w:rPr>
                <w:rFonts w:eastAsia="Calibri"/>
                <w:sz w:val="20"/>
                <w:lang w:val="fr-CA"/>
              </w:rPr>
            </w:pPr>
          </w:p>
        </w:tc>
      </w:tr>
      <w:tr w:rsidR="00CD0650" w:rsidRPr="002D3F55" w:rsidTr="00CD0650">
        <w:tc>
          <w:tcPr>
            <w:tcW w:w="5000" w:type="pct"/>
            <w:gridSpan w:val="3"/>
          </w:tcPr>
          <w:p w:rsidR="00CD0650" w:rsidRPr="00B32C06" w:rsidRDefault="00CD0650" w:rsidP="00CD0650">
            <w:pPr>
              <w:jc w:val="both"/>
              <w:rPr>
                <w:rFonts w:eastAsia="Calibri"/>
                <w:sz w:val="20"/>
                <w:lang w:val="fr-CA"/>
              </w:rPr>
            </w:pPr>
            <w:r w:rsidRPr="00B32C06">
              <w:rPr>
                <w:rFonts w:eastAsia="Calibri"/>
                <w:sz w:val="20"/>
                <w:lang w:val="fr-CA"/>
              </w:rPr>
              <w:lastRenderedPageBreak/>
              <w:t xml:space="preserve">Les intimés sont cinq bandes indiennes de la </w:t>
            </w:r>
            <w:proofErr w:type="spellStart"/>
            <w:r w:rsidRPr="00B32C06">
              <w:rPr>
                <w:rFonts w:eastAsia="Calibri"/>
                <w:sz w:val="20"/>
                <w:lang w:val="fr-CA"/>
              </w:rPr>
              <w:t>Colombie</w:t>
            </w:r>
            <w:r w:rsidRPr="00B32C06">
              <w:rPr>
                <w:rFonts w:eastAsia="Calibri"/>
                <w:sz w:val="20"/>
                <w:lang w:val="fr-CA"/>
              </w:rPr>
              <w:noBreakHyphen/>
              <w:t>Britannique</w:t>
            </w:r>
            <w:proofErr w:type="spellEnd"/>
            <w:r w:rsidRPr="00B32C06">
              <w:rPr>
                <w:rFonts w:eastAsia="Calibri"/>
                <w:sz w:val="20"/>
                <w:lang w:val="fr-CA"/>
              </w:rPr>
              <w:t xml:space="preserve"> qui revendiquent des droits ancestraux de pêche commerciale, et un titre ancestral sur des terres submergées.  La Cour suprême de la </w:t>
            </w:r>
            <w:proofErr w:type="spellStart"/>
            <w:r w:rsidRPr="00B32C06">
              <w:rPr>
                <w:rFonts w:eastAsia="Calibri"/>
                <w:sz w:val="20"/>
                <w:lang w:val="fr-CA"/>
              </w:rPr>
              <w:t>Colombie</w:t>
            </w:r>
            <w:r w:rsidRPr="00B32C06">
              <w:rPr>
                <w:rFonts w:eastAsia="Calibri"/>
                <w:sz w:val="20"/>
                <w:lang w:val="fr-CA"/>
              </w:rPr>
              <w:noBreakHyphen/>
              <w:t>Britannique</w:t>
            </w:r>
            <w:proofErr w:type="spellEnd"/>
            <w:r w:rsidRPr="00B32C06">
              <w:rPr>
                <w:rFonts w:eastAsia="Calibri"/>
                <w:sz w:val="20"/>
                <w:lang w:val="fr-CA"/>
              </w:rPr>
              <w:t xml:space="preserve"> a rendu des ordonnances et des jugements déclaratoires portant que : les intimées ont le droit ancestral de pêcher quelque espèce que ce soit dans certains territoires de pêche déterminés et celui de vendre leur prise; le régime canadien des pêches constitue une atteinte </w:t>
            </w:r>
            <w:r w:rsidRPr="00B32C06">
              <w:rPr>
                <w:rFonts w:eastAsia="Calibri"/>
                <w:i/>
                <w:sz w:val="20"/>
                <w:lang w:val="fr-CA"/>
              </w:rPr>
              <w:t xml:space="preserve">prima </w:t>
            </w:r>
            <w:proofErr w:type="spellStart"/>
            <w:r w:rsidRPr="00B32C06">
              <w:rPr>
                <w:rFonts w:eastAsia="Calibri"/>
                <w:i/>
                <w:sz w:val="20"/>
                <w:lang w:val="fr-CA"/>
              </w:rPr>
              <w:t>facie</w:t>
            </w:r>
            <w:proofErr w:type="spellEnd"/>
            <w:r w:rsidRPr="00B32C06">
              <w:rPr>
                <w:rFonts w:eastAsia="Calibri"/>
                <w:sz w:val="20"/>
                <w:lang w:val="fr-CA"/>
              </w:rPr>
              <w:t xml:space="preserve"> à ces droits (sauf en ce qui concerne la récolte de palourdes et la pêche à des fins alimentaires, sociales et rituelles); et le Canada a, envers les intimées, une obligation de consultation et de négociation quant à la manière dont leurs droits peuvent être pris en compte et exercés sans que les objectifs législatifs et les intérêts sociétaux ne soient mis en péril.  Elle a rejeté la revendication de titre au motif qu’elle n’était pas nécessaire, et elle a décidé de ne rendre aucun jugement déclaratoire quant à savoir si une atteinte à ces droits était justifiée, et ce, pendant une période de deux ans, au cours de laquelle les parties pourront se consulter et négocier.  La Cour d’appel de la </w:t>
            </w:r>
            <w:proofErr w:type="spellStart"/>
            <w:r w:rsidRPr="00B32C06">
              <w:rPr>
                <w:rFonts w:eastAsia="Calibri"/>
                <w:sz w:val="20"/>
                <w:lang w:val="fr-CA"/>
              </w:rPr>
              <w:t>Colombie</w:t>
            </w:r>
            <w:r w:rsidRPr="00B32C06">
              <w:rPr>
                <w:rFonts w:eastAsia="Calibri"/>
                <w:sz w:val="20"/>
                <w:lang w:val="fr-CA"/>
              </w:rPr>
              <w:noBreakHyphen/>
              <w:t>Britannique</w:t>
            </w:r>
            <w:proofErr w:type="spellEnd"/>
            <w:r w:rsidRPr="00B32C06">
              <w:rPr>
                <w:rFonts w:eastAsia="Calibri"/>
                <w:sz w:val="20"/>
                <w:lang w:val="fr-CA"/>
              </w:rPr>
              <w:t xml:space="preserve"> a accueilli en partie l’appel du Canada et modifié l’ordonnance de première instance, précisant que le droit de pêcher et de vendre quelque espèce que ce soit comporte une exception, « la </w:t>
            </w:r>
            <w:proofErr w:type="spellStart"/>
            <w:r w:rsidRPr="00B32C06">
              <w:rPr>
                <w:rFonts w:eastAsia="Calibri"/>
                <w:sz w:val="20"/>
                <w:lang w:val="fr-CA"/>
              </w:rPr>
              <w:t>panope</w:t>
            </w:r>
            <w:proofErr w:type="spellEnd"/>
            <w:r w:rsidRPr="00B32C06">
              <w:rPr>
                <w:rFonts w:eastAsia="Calibri"/>
                <w:sz w:val="20"/>
                <w:lang w:val="fr-CA"/>
              </w:rPr>
              <w:t xml:space="preserve"> du Pacifique » et accordant aux parties un délai supplémentaire pour  négocier.  Dans une ordonnance supplémentaire, la Cour d’appel a annulé la décision de première instance d’accorder des dépens spéciaux aux intimées.</w:t>
            </w:r>
          </w:p>
          <w:p w:rsidR="00CD0650" w:rsidRPr="00B32C06" w:rsidRDefault="00CD0650" w:rsidP="00CD0650">
            <w:pPr>
              <w:jc w:val="both"/>
              <w:rPr>
                <w:rFonts w:eastAsia="Calibri"/>
                <w:sz w:val="20"/>
                <w:lang w:val="fr-CA"/>
              </w:rPr>
            </w:pPr>
          </w:p>
        </w:tc>
      </w:tr>
      <w:tr w:rsidR="00CD0650" w:rsidRPr="002D3F55" w:rsidTr="00CD0650">
        <w:tc>
          <w:tcPr>
            <w:tcW w:w="2427" w:type="pct"/>
          </w:tcPr>
          <w:p w:rsidR="00CD0650" w:rsidRPr="00B32C06" w:rsidRDefault="00CD0650" w:rsidP="00CD0650">
            <w:pPr>
              <w:jc w:val="both"/>
              <w:rPr>
                <w:rFonts w:eastAsia="Calibri"/>
                <w:sz w:val="20"/>
                <w:lang w:val="fr-CA"/>
              </w:rPr>
            </w:pPr>
            <w:r w:rsidRPr="00B32C06">
              <w:rPr>
                <w:rFonts w:eastAsia="Calibri"/>
                <w:sz w:val="20"/>
                <w:lang w:val="fr-CA"/>
              </w:rPr>
              <w:t>3 novembre 2009</w:t>
            </w:r>
          </w:p>
          <w:p w:rsidR="00CD0650" w:rsidRPr="00B32C06" w:rsidRDefault="00CD0650" w:rsidP="00CD0650">
            <w:pPr>
              <w:jc w:val="both"/>
              <w:rPr>
                <w:rFonts w:eastAsia="Calibri"/>
                <w:sz w:val="20"/>
                <w:lang w:val="fr-CA"/>
              </w:rPr>
            </w:pPr>
            <w:r w:rsidRPr="00B32C06">
              <w:rPr>
                <w:rFonts w:eastAsia="Calibri"/>
                <w:sz w:val="20"/>
                <w:lang w:val="fr-CA"/>
              </w:rPr>
              <w:t xml:space="preserve">Cour suprême de la </w:t>
            </w:r>
            <w:proofErr w:type="spellStart"/>
            <w:r w:rsidRPr="00B32C06">
              <w:rPr>
                <w:rFonts w:eastAsia="Calibri"/>
                <w:sz w:val="20"/>
                <w:lang w:val="fr-CA"/>
              </w:rPr>
              <w:t>Colombie</w:t>
            </w:r>
            <w:r w:rsidRPr="00B32C06">
              <w:rPr>
                <w:rFonts w:eastAsia="Calibri"/>
                <w:sz w:val="20"/>
                <w:lang w:val="fr-CA"/>
              </w:rPr>
              <w:noBreakHyphen/>
              <w:t>Britannique</w:t>
            </w:r>
            <w:proofErr w:type="spellEnd"/>
          </w:p>
          <w:p w:rsidR="00CD0650" w:rsidRPr="00B32C06" w:rsidRDefault="00CD0650" w:rsidP="00CD0650">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Garson</w:t>
            </w:r>
            <w:proofErr w:type="spellEnd"/>
            <w:r w:rsidRPr="00B32C06">
              <w:rPr>
                <w:rFonts w:eastAsia="Calibri"/>
                <w:sz w:val="20"/>
                <w:lang w:val="fr-CA"/>
              </w:rPr>
              <w:t>)</w:t>
            </w:r>
          </w:p>
          <w:p w:rsidR="00CD0650" w:rsidRPr="00B32C06" w:rsidRDefault="00CD0650" w:rsidP="00CD0650">
            <w:pPr>
              <w:jc w:val="both"/>
              <w:rPr>
                <w:rFonts w:eastAsia="Calibri"/>
                <w:sz w:val="20"/>
                <w:lang w:val="fr-CA"/>
              </w:rPr>
            </w:pPr>
            <w:r w:rsidRPr="00B32C06">
              <w:rPr>
                <w:rFonts w:eastAsia="Calibri"/>
                <w:sz w:val="20"/>
                <w:lang w:val="fr-CA"/>
              </w:rPr>
              <w:t>2009 BCSC 1494</w:t>
            </w:r>
          </w:p>
          <w:p w:rsidR="00CD0650" w:rsidRPr="00B32C06" w:rsidRDefault="00CD0650" w:rsidP="00CD0650">
            <w:pPr>
              <w:jc w:val="both"/>
              <w:rPr>
                <w:rFonts w:eastAsia="Calibri"/>
                <w:sz w:val="20"/>
                <w:lang w:val="fr-CA"/>
              </w:rPr>
            </w:pPr>
          </w:p>
        </w:tc>
        <w:tc>
          <w:tcPr>
            <w:tcW w:w="243" w:type="pct"/>
          </w:tcPr>
          <w:p w:rsidR="00CD0650" w:rsidRPr="00B32C06" w:rsidRDefault="00CD0650" w:rsidP="00CD0650">
            <w:pPr>
              <w:jc w:val="both"/>
              <w:rPr>
                <w:rFonts w:eastAsia="Calibri"/>
                <w:sz w:val="20"/>
                <w:lang w:val="fr-CA"/>
              </w:rPr>
            </w:pPr>
          </w:p>
        </w:tc>
        <w:tc>
          <w:tcPr>
            <w:tcW w:w="2330" w:type="pct"/>
          </w:tcPr>
          <w:p w:rsidR="00CD0650" w:rsidRPr="00B32C06" w:rsidRDefault="00CD0650" w:rsidP="00CD0650">
            <w:pPr>
              <w:jc w:val="both"/>
              <w:rPr>
                <w:rFonts w:eastAsia="Calibri"/>
                <w:sz w:val="20"/>
                <w:lang w:val="fr-CA"/>
              </w:rPr>
            </w:pPr>
            <w:r w:rsidRPr="00B32C06">
              <w:rPr>
                <w:rFonts w:eastAsia="Calibri"/>
                <w:sz w:val="20"/>
                <w:lang w:val="fr-CA"/>
              </w:rPr>
              <w:t xml:space="preserve">Divers jugements déclaratoires rendus relativement aux droits ancestraux des intimées de pêcher et de vendre du poisson, et à l’atteinte portée à ces droits par le Canada; période de négociation de deux ans ordonnée. </w:t>
            </w:r>
          </w:p>
          <w:p w:rsidR="00CD0650" w:rsidRPr="00B32C06" w:rsidRDefault="00CD0650" w:rsidP="00CD0650">
            <w:pPr>
              <w:jc w:val="both"/>
              <w:rPr>
                <w:rFonts w:eastAsia="Calibri"/>
                <w:sz w:val="20"/>
                <w:lang w:val="fr-CA"/>
              </w:rPr>
            </w:pPr>
          </w:p>
        </w:tc>
      </w:tr>
      <w:tr w:rsidR="00CD0650" w:rsidRPr="002D3F55" w:rsidTr="00CD0650">
        <w:tc>
          <w:tcPr>
            <w:tcW w:w="2427" w:type="pct"/>
          </w:tcPr>
          <w:p w:rsidR="00CD0650" w:rsidRPr="00B32C06" w:rsidRDefault="00CD0650" w:rsidP="00CD0650">
            <w:pPr>
              <w:jc w:val="both"/>
              <w:rPr>
                <w:rFonts w:eastAsia="Calibri"/>
                <w:sz w:val="20"/>
                <w:lang w:val="fr-CA"/>
              </w:rPr>
            </w:pPr>
            <w:r w:rsidRPr="00B32C06">
              <w:rPr>
                <w:rFonts w:eastAsia="Calibri"/>
                <w:sz w:val="20"/>
                <w:lang w:val="fr-CA"/>
              </w:rPr>
              <w:t>18 mai 2011</w:t>
            </w:r>
          </w:p>
          <w:p w:rsidR="00CD0650" w:rsidRPr="00B32C06" w:rsidRDefault="00CD0650" w:rsidP="00CD0650">
            <w:pPr>
              <w:jc w:val="both"/>
              <w:rPr>
                <w:rFonts w:eastAsia="Calibri"/>
                <w:sz w:val="20"/>
                <w:lang w:val="fr-CA"/>
              </w:rPr>
            </w:pPr>
            <w:r w:rsidRPr="00B32C06">
              <w:rPr>
                <w:rFonts w:eastAsia="Calibri"/>
                <w:sz w:val="20"/>
                <w:lang w:val="fr-CA"/>
              </w:rPr>
              <w:t xml:space="preserve">Cour d’appel de la </w:t>
            </w:r>
            <w:proofErr w:type="spellStart"/>
            <w:r w:rsidRPr="00B32C06">
              <w:rPr>
                <w:rFonts w:eastAsia="Calibri"/>
                <w:sz w:val="20"/>
                <w:lang w:val="fr-CA"/>
              </w:rPr>
              <w:t>Colombie</w:t>
            </w:r>
            <w:r w:rsidRPr="00B32C06">
              <w:rPr>
                <w:rFonts w:eastAsia="Calibri"/>
                <w:sz w:val="20"/>
                <w:lang w:val="fr-CA"/>
              </w:rPr>
              <w:noBreakHyphen/>
              <w:t>Britannique</w:t>
            </w:r>
            <w:proofErr w:type="spellEnd"/>
            <w:r w:rsidRPr="00B32C06">
              <w:rPr>
                <w:rFonts w:eastAsia="Calibri"/>
                <w:sz w:val="20"/>
                <w:lang w:val="fr-CA"/>
              </w:rPr>
              <w:t xml:space="preserve"> (Vancouver)</w:t>
            </w:r>
          </w:p>
          <w:p w:rsidR="00CD0650" w:rsidRPr="00B32C06" w:rsidRDefault="00CD0650" w:rsidP="00CD0650">
            <w:pPr>
              <w:jc w:val="both"/>
              <w:rPr>
                <w:rFonts w:eastAsia="Calibri"/>
                <w:sz w:val="20"/>
                <w:lang w:val="fr-CA"/>
              </w:rPr>
            </w:pPr>
            <w:r w:rsidRPr="00B32C06">
              <w:rPr>
                <w:rFonts w:eastAsia="Calibri"/>
                <w:sz w:val="20"/>
                <w:lang w:val="fr-CA"/>
              </w:rPr>
              <w:t xml:space="preserve">(Les juges Hall et </w:t>
            </w:r>
            <w:proofErr w:type="spellStart"/>
            <w:r w:rsidRPr="00B32C06">
              <w:rPr>
                <w:rFonts w:eastAsia="Calibri"/>
                <w:sz w:val="20"/>
                <w:lang w:val="fr-CA"/>
              </w:rPr>
              <w:t>Neilson</w:t>
            </w:r>
            <w:proofErr w:type="spellEnd"/>
            <w:r w:rsidRPr="00B32C06">
              <w:rPr>
                <w:rFonts w:eastAsia="Calibri"/>
                <w:sz w:val="20"/>
                <w:lang w:val="fr-CA"/>
              </w:rPr>
              <w:t>, le juge Chiasson étant dissident en partie)</w:t>
            </w:r>
          </w:p>
          <w:p w:rsidR="00CD0650" w:rsidRPr="00B32C06" w:rsidRDefault="00CD0650" w:rsidP="00CD0650">
            <w:pPr>
              <w:jc w:val="both"/>
              <w:rPr>
                <w:rFonts w:eastAsia="Calibri"/>
                <w:sz w:val="20"/>
                <w:lang w:val="fr-CA"/>
              </w:rPr>
            </w:pPr>
            <w:r w:rsidRPr="00B32C06">
              <w:rPr>
                <w:rFonts w:eastAsia="Calibri"/>
                <w:sz w:val="20"/>
                <w:lang w:val="fr-CA"/>
              </w:rPr>
              <w:t>2011 BCCA 237</w:t>
            </w:r>
          </w:p>
          <w:p w:rsidR="00CD0650" w:rsidRPr="00B32C06" w:rsidRDefault="00CD0650" w:rsidP="00CD0650">
            <w:pPr>
              <w:jc w:val="both"/>
              <w:rPr>
                <w:rFonts w:eastAsia="Calibri"/>
                <w:sz w:val="20"/>
                <w:lang w:val="fr-CA"/>
              </w:rPr>
            </w:pPr>
            <w:r w:rsidRPr="00B32C06">
              <w:rPr>
                <w:rFonts w:eastAsia="Calibri"/>
                <w:sz w:val="20"/>
                <w:lang w:val="fr-CA"/>
              </w:rPr>
              <w:t>Dossier : CA037704</w:t>
            </w:r>
          </w:p>
          <w:p w:rsidR="00CD0650" w:rsidRPr="00B32C06" w:rsidRDefault="00CD0650" w:rsidP="00CD0650">
            <w:pPr>
              <w:jc w:val="both"/>
              <w:rPr>
                <w:rFonts w:eastAsia="Calibri"/>
                <w:sz w:val="20"/>
                <w:lang w:val="fr-CA"/>
              </w:rPr>
            </w:pPr>
          </w:p>
        </w:tc>
        <w:tc>
          <w:tcPr>
            <w:tcW w:w="243" w:type="pct"/>
          </w:tcPr>
          <w:p w:rsidR="00CD0650" w:rsidRPr="00B32C06" w:rsidRDefault="00CD0650" w:rsidP="00CD0650">
            <w:pPr>
              <w:jc w:val="both"/>
              <w:rPr>
                <w:rFonts w:eastAsia="Calibri"/>
                <w:sz w:val="20"/>
                <w:lang w:val="fr-CA"/>
              </w:rPr>
            </w:pPr>
          </w:p>
        </w:tc>
        <w:tc>
          <w:tcPr>
            <w:tcW w:w="2330" w:type="pct"/>
          </w:tcPr>
          <w:p w:rsidR="00CD0650" w:rsidRPr="00B32C06" w:rsidRDefault="00CD0650" w:rsidP="00CD0650">
            <w:pPr>
              <w:jc w:val="both"/>
              <w:rPr>
                <w:rFonts w:eastAsia="Calibri"/>
                <w:sz w:val="20"/>
                <w:lang w:val="fr-CA"/>
              </w:rPr>
            </w:pPr>
            <w:r w:rsidRPr="00B32C06">
              <w:rPr>
                <w:rFonts w:eastAsia="Calibri"/>
                <w:sz w:val="20"/>
                <w:lang w:val="fr-CA"/>
              </w:rPr>
              <w:t xml:space="preserve">Appel du Canada accueilli en partie et modification de l’ordonnance de première instance, afin notamment de proroger le délai accordé aux parties pour négocier et de préciser que le droit ancestral de pêcher et de vendre quelque espèce que ce soit comporte une exception, « la </w:t>
            </w:r>
            <w:proofErr w:type="spellStart"/>
            <w:r w:rsidRPr="00B32C06">
              <w:rPr>
                <w:rFonts w:eastAsia="Calibri"/>
                <w:sz w:val="20"/>
                <w:lang w:val="fr-CA"/>
              </w:rPr>
              <w:t>panope</w:t>
            </w:r>
            <w:proofErr w:type="spellEnd"/>
            <w:r w:rsidRPr="00B32C06">
              <w:rPr>
                <w:rFonts w:eastAsia="Calibri"/>
                <w:sz w:val="20"/>
                <w:lang w:val="fr-CA"/>
              </w:rPr>
              <w:t xml:space="preserve"> du Pacifique ».</w:t>
            </w:r>
          </w:p>
          <w:p w:rsidR="00CD0650" w:rsidRPr="00B32C06" w:rsidRDefault="00CD0650" w:rsidP="00CD0650">
            <w:pPr>
              <w:jc w:val="both"/>
              <w:rPr>
                <w:rFonts w:eastAsia="Calibri"/>
                <w:sz w:val="20"/>
                <w:lang w:val="fr-CA"/>
              </w:rPr>
            </w:pPr>
          </w:p>
        </w:tc>
      </w:tr>
      <w:tr w:rsidR="00CD0650" w:rsidRPr="002D3F55" w:rsidTr="00CD0650">
        <w:trPr>
          <w:trHeight w:val="1046"/>
        </w:trPr>
        <w:tc>
          <w:tcPr>
            <w:tcW w:w="2427" w:type="pct"/>
          </w:tcPr>
          <w:p w:rsidR="00CD0650" w:rsidRPr="00B32C06" w:rsidRDefault="00CD0650" w:rsidP="00CD0650">
            <w:pPr>
              <w:jc w:val="both"/>
              <w:rPr>
                <w:rFonts w:eastAsia="Calibri"/>
                <w:sz w:val="20"/>
                <w:lang w:val="fr-CA"/>
              </w:rPr>
            </w:pPr>
            <w:r w:rsidRPr="00B32C06">
              <w:rPr>
                <w:rFonts w:eastAsia="Calibri"/>
                <w:sz w:val="20"/>
                <w:lang w:val="fr-CA"/>
              </w:rPr>
              <w:t>17 août 2011</w:t>
            </w:r>
          </w:p>
          <w:p w:rsidR="00CD0650" w:rsidRPr="00B32C06" w:rsidRDefault="00CD0650" w:rsidP="00CD0650">
            <w:pPr>
              <w:jc w:val="both"/>
              <w:rPr>
                <w:rFonts w:eastAsia="Calibri"/>
                <w:sz w:val="20"/>
                <w:lang w:val="fr-CA"/>
              </w:rPr>
            </w:pPr>
            <w:r w:rsidRPr="00B32C06">
              <w:rPr>
                <w:rFonts w:eastAsia="Calibri"/>
                <w:sz w:val="20"/>
                <w:lang w:val="fr-CA"/>
              </w:rPr>
              <w:t>Cour suprême du Canada</w:t>
            </w:r>
          </w:p>
          <w:p w:rsidR="00CD0650" w:rsidRPr="00B32C06" w:rsidRDefault="00CD0650" w:rsidP="00CD0650">
            <w:pPr>
              <w:jc w:val="both"/>
              <w:rPr>
                <w:rFonts w:eastAsia="Calibri"/>
                <w:sz w:val="20"/>
                <w:lang w:val="fr-CA"/>
              </w:rPr>
            </w:pPr>
          </w:p>
        </w:tc>
        <w:tc>
          <w:tcPr>
            <w:tcW w:w="243" w:type="pct"/>
          </w:tcPr>
          <w:p w:rsidR="00CD0650" w:rsidRPr="00B32C06" w:rsidRDefault="00CD0650" w:rsidP="00CD0650">
            <w:pPr>
              <w:jc w:val="both"/>
              <w:rPr>
                <w:rFonts w:eastAsia="Calibri"/>
                <w:sz w:val="20"/>
                <w:lang w:val="fr-CA"/>
              </w:rPr>
            </w:pPr>
          </w:p>
        </w:tc>
        <w:tc>
          <w:tcPr>
            <w:tcW w:w="2330" w:type="pct"/>
          </w:tcPr>
          <w:p w:rsidR="00CD0650" w:rsidRPr="00B32C06" w:rsidRDefault="00CD0650" w:rsidP="00CD0650">
            <w:pPr>
              <w:jc w:val="both"/>
              <w:rPr>
                <w:rFonts w:eastAsia="Calibri"/>
                <w:sz w:val="20"/>
                <w:lang w:val="fr-CA"/>
              </w:rPr>
            </w:pPr>
            <w:r w:rsidRPr="00B32C06">
              <w:rPr>
                <w:rFonts w:eastAsia="Calibri"/>
                <w:sz w:val="20"/>
                <w:lang w:val="fr-CA"/>
              </w:rPr>
              <w:t>Demande d’autorisation de pourvoi déposée par le Canada.</w:t>
            </w:r>
          </w:p>
          <w:p w:rsidR="00CD0650" w:rsidRPr="00B32C06" w:rsidRDefault="00CD0650" w:rsidP="00CD0650">
            <w:pPr>
              <w:jc w:val="both"/>
              <w:rPr>
                <w:rFonts w:eastAsia="Calibri"/>
                <w:sz w:val="20"/>
                <w:lang w:val="fr-CA"/>
              </w:rPr>
            </w:pPr>
            <w:r w:rsidRPr="00B32C06">
              <w:rPr>
                <w:rFonts w:eastAsia="Calibri"/>
                <w:sz w:val="20"/>
                <w:lang w:val="fr-CA"/>
              </w:rPr>
              <w:t xml:space="preserve"> </w:t>
            </w:r>
          </w:p>
        </w:tc>
      </w:tr>
      <w:tr w:rsidR="00CD0650" w:rsidRPr="002D3F55" w:rsidTr="00CD0650">
        <w:trPr>
          <w:trHeight w:val="1045"/>
        </w:trPr>
        <w:tc>
          <w:tcPr>
            <w:tcW w:w="2427" w:type="pct"/>
          </w:tcPr>
          <w:p w:rsidR="00CD0650" w:rsidRPr="00B32C06" w:rsidRDefault="00CD0650" w:rsidP="00CD0650">
            <w:pPr>
              <w:jc w:val="both"/>
              <w:rPr>
                <w:rFonts w:eastAsia="Calibri"/>
                <w:sz w:val="20"/>
                <w:lang w:val="fr-CA"/>
              </w:rPr>
            </w:pPr>
            <w:r w:rsidRPr="00B32C06">
              <w:rPr>
                <w:rFonts w:eastAsia="Calibri"/>
                <w:sz w:val="20"/>
                <w:lang w:val="fr-CA"/>
              </w:rPr>
              <w:t>31 octobre 2011</w:t>
            </w:r>
          </w:p>
          <w:p w:rsidR="00CD0650" w:rsidRPr="00B32C06" w:rsidRDefault="00CD0650" w:rsidP="00CD0650">
            <w:pPr>
              <w:jc w:val="both"/>
              <w:rPr>
                <w:rFonts w:eastAsia="Calibri"/>
                <w:sz w:val="20"/>
                <w:lang w:val="fr-CA"/>
              </w:rPr>
            </w:pPr>
            <w:r w:rsidRPr="00B32C06">
              <w:rPr>
                <w:rFonts w:eastAsia="Calibri"/>
                <w:sz w:val="20"/>
                <w:lang w:val="fr-CA"/>
              </w:rPr>
              <w:t xml:space="preserve">Cour d’appel de la </w:t>
            </w:r>
            <w:proofErr w:type="spellStart"/>
            <w:r w:rsidRPr="00B32C06">
              <w:rPr>
                <w:rFonts w:eastAsia="Calibri"/>
                <w:sz w:val="20"/>
                <w:lang w:val="fr-CA"/>
              </w:rPr>
              <w:t>Colombie</w:t>
            </w:r>
            <w:r w:rsidRPr="00B32C06">
              <w:rPr>
                <w:rFonts w:eastAsia="Calibri"/>
                <w:sz w:val="20"/>
                <w:lang w:val="fr-CA"/>
              </w:rPr>
              <w:noBreakHyphen/>
              <w:t>Britannique</w:t>
            </w:r>
            <w:proofErr w:type="spellEnd"/>
          </w:p>
          <w:p w:rsidR="00CD0650" w:rsidRPr="00B32C06" w:rsidRDefault="00CD0650" w:rsidP="00CD0650">
            <w:pPr>
              <w:jc w:val="both"/>
              <w:rPr>
                <w:rFonts w:eastAsia="Calibri"/>
                <w:sz w:val="20"/>
                <w:lang w:val="fr-CA"/>
              </w:rPr>
            </w:pPr>
            <w:r w:rsidRPr="00B32C06">
              <w:rPr>
                <w:rFonts w:eastAsia="Calibri"/>
                <w:sz w:val="20"/>
                <w:lang w:val="fr-CA"/>
              </w:rPr>
              <w:t>(Vancouver)</w:t>
            </w:r>
          </w:p>
          <w:p w:rsidR="00CD0650" w:rsidRPr="00B32C06" w:rsidRDefault="00CD0650" w:rsidP="00CD0650">
            <w:pPr>
              <w:jc w:val="both"/>
              <w:rPr>
                <w:rFonts w:eastAsia="Calibri"/>
                <w:sz w:val="20"/>
                <w:lang w:val="fr-CA"/>
              </w:rPr>
            </w:pPr>
            <w:r w:rsidRPr="00B32C06">
              <w:rPr>
                <w:rFonts w:eastAsia="Calibri"/>
                <w:sz w:val="20"/>
                <w:lang w:val="fr-CA"/>
              </w:rPr>
              <w:t xml:space="preserve">(Les juges Hall, Chiasson et </w:t>
            </w:r>
            <w:proofErr w:type="spellStart"/>
            <w:r w:rsidRPr="00B32C06">
              <w:rPr>
                <w:rFonts w:eastAsia="Calibri"/>
                <w:sz w:val="20"/>
                <w:lang w:val="fr-CA"/>
              </w:rPr>
              <w:t>Neilson</w:t>
            </w:r>
            <w:proofErr w:type="spellEnd"/>
            <w:r w:rsidRPr="00B32C06">
              <w:rPr>
                <w:rFonts w:eastAsia="Calibri"/>
                <w:sz w:val="20"/>
                <w:lang w:val="fr-CA"/>
              </w:rPr>
              <w:t>)</w:t>
            </w:r>
          </w:p>
          <w:p w:rsidR="00CD0650" w:rsidRPr="00B32C06" w:rsidRDefault="00CD0650" w:rsidP="00CD0650">
            <w:pPr>
              <w:jc w:val="both"/>
              <w:rPr>
                <w:rFonts w:eastAsia="Calibri"/>
                <w:sz w:val="20"/>
                <w:lang w:val="fr-CA"/>
              </w:rPr>
            </w:pPr>
          </w:p>
        </w:tc>
        <w:tc>
          <w:tcPr>
            <w:tcW w:w="243" w:type="pct"/>
          </w:tcPr>
          <w:p w:rsidR="00CD0650" w:rsidRPr="00B32C06" w:rsidRDefault="00CD0650" w:rsidP="00CD0650">
            <w:pPr>
              <w:jc w:val="both"/>
              <w:rPr>
                <w:rFonts w:eastAsia="Calibri"/>
                <w:sz w:val="20"/>
                <w:lang w:val="fr-CA"/>
              </w:rPr>
            </w:pPr>
          </w:p>
        </w:tc>
        <w:tc>
          <w:tcPr>
            <w:tcW w:w="2330" w:type="pct"/>
          </w:tcPr>
          <w:p w:rsidR="00CD0650" w:rsidRPr="00B32C06" w:rsidRDefault="00CD0650" w:rsidP="00CD0650">
            <w:pPr>
              <w:jc w:val="both"/>
              <w:rPr>
                <w:rFonts w:eastAsia="Calibri"/>
                <w:sz w:val="20"/>
                <w:lang w:val="fr-CA"/>
              </w:rPr>
            </w:pPr>
            <w:r w:rsidRPr="00B32C06">
              <w:rPr>
                <w:rFonts w:eastAsia="Calibri"/>
                <w:sz w:val="20"/>
                <w:lang w:val="fr-CA"/>
              </w:rPr>
              <w:t xml:space="preserve">Ordonnance et motifs de jugement supplémentaires quant aux dépens de l’instruction, annulant la décision de première instance d’accorder des dépens spéciaux. </w:t>
            </w:r>
          </w:p>
          <w:p w:rsidR="00CD0650" w:rsidRPr="00B32C06" w:rsidRDefault="00CD0650" w:rsidP="00CD0650">
            <w:pPr>
              <w:jc w:val="both"/>
              <w:rPr>
                <w:rFonts w:eastAsia="Calibri"/>
                <w:sz w:val="20"/>
                <w:lang w:val="fr-CA"/>
              </w:rPr>
            </w:pPr>
          </w:p>
        </w:tc>
      </w:tr>
      <w:tr w:rsidR="00CD0650" w:rsidRPr="002D3F55" w:rsidTr="00CD0650">
        <w:trPr>
          <w:trHeight w:val="20"/>
        </w:trPr>
        <w:tc>
          <w:tcPr>
            <w:tcW w:w="2427" w:type="pct"/>
          </w:tcPr>
          <w:p w:rsidR="00CD0650" w:rsidRPr="00B32C06" w:rsidRDefault="00CD0650" w:rsidP="00CD0650">
            <w:pPr>
              <w:jc w:val="both"/>
              <w:rPr>
                <w:rFonts w:eastAsia="Calibri"/>
                <w:sz w:val="20"/>
                <w:lang w:val="fr-CA"/>
              </w:rPr>
            </w:pPr>
            <w:r w:rsidRPr="00B32C06">
              <w:rPr>
                <w:rFonts w:eastAsia="Calibri"/>
                <w:sz w:val="20"/>
                <w:lang w:val="fr-CA"/>
              </w:rPr>
              <w:t>21 novembre 2011</w:t>
            </w:r>
          </w:p>
          <w:p w:rsidR="00CD0650" w:rsidRPr="00B32C06" w:rsidRDefault="00CD0650" w:rsidP="00CD0650">
            <w:pPr>
              <w:jc w:val="both"/>
              <w:rPr>
                <w:rFonts w:eastAsia="Calibri"/>
                <w:sz w:val="20"/>
                <w:lang w:val="fr-CA"/>
              </w:rPr>
            </w:pPr>
            <w:r w:rsidRPr="00B32C06">
              <w:rPr>
                <w:rFonts w:eastAsia="Calibri"/>
                <w:sz w:val="20"/>
                <w:lang w:val="fr-CA"/>
              </w:rPr>
              <w:t>Cour suprême du Canada</w:t>
            </w:r>
          </w:p>
        </w:tc>
        <w:tc>
          <w:tcPr>
            <w:tcW w:w="243" w:type="pct"/>
          </w:tcPr>
          <w:p w:rsidR="00CD0650" w:rsidRPr="00B32C06" w:rsidRDefault="00CD0650" w:rsidP="00CD0650">
            <w:pPr>
              <w:jc w:val="both"/>
              <w:rPr>
                <w:rFonts w:eastAsia="Calibri"/>
                <w:sz w:val="20"/>
                <w:lang w:val="fr-CA"/>
              </w:rPr>
            </w:pPr>
          </w:p>
        </w:tc>
        <w:tc>
          <w:tcPr>
            <w:tcW w:w="2330" w:type="pct"/>
          </w:tcPr>
          <w:p w:rsidR="00CD0650" w:rsidRPr="00B32C06" w:rsidRDefault="00CD0650" w:rsidP="00CD0650">
            <w:pPr>
              <w:jc w:val="both"/>
              <w:rPr>
                <w:rFonts w:eastAsia="Calibri"/>
                <w:sz w:val="20"/>
                <w:lang w:val="fr-CA"/>
              </w:rPr>
            </w:pPr>
            <w:r w:rsidRPr="00B32C06">
              <w:rPr>
                <w:rFonts w:eastAsia="Calibri"/>
                <w:sz w:val="20"/>
                <w:lang w:val="fr-CA"/>
              </w:rPr>
              <w:t>Demande conditionnelle d’autorisation de pourvoi incident déposée par les intimées contre l’ordonnance supplémentaire rendue par la Cour d’appel quant aux dépens de l’instruction, y compris une requête en prorogation du délai fixé pour le dépôt de la demande de pourvoi incident.</w:t>
            </w:r>
          </w:p>
        </w:tc>
      </w:tr>
    </w:tbl>
    <w:p w:rsidR="00C64AFA" w:rsidRPr="00132A6E" w:rsidRDefault="00C64AFA" w:rsidP="00C64AFA">
      <w:pPr>
        <w:rPr>
          <w:sz w:val="20"/>
          <w:szCs w:val="20"/>
          <w:lang w:val="fr-CA"/>
        </w:rPr>
      </w:pPr>
    </w:p>
    <w:p w:rsidR="00C64AFA" w:rsidRDefault="007505E6" w:rsidP="00C64AFA">
      <w:pPr>
        <w:rPr>
          <w:sz w:val="20"/>
          <w:szCs w:val="20"/>
        </w:rPr>
      </w:pPr>
      <w:r w:rsidRPr="007505E6">
        <w:rPr>
          <w:sz w:val="20"/>
          <w:szCs w:val="20"/>
          <w:lang w:val="fr-CA"/>
        </w:rPr>
        <w:pict>
          <v:rect id="_x0000_i1046"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6529" w:rsidRPr="00A54F27" w:rsidTr="000A4857">
        <w:trPr>
          <w:cantSplit/>
        </w:trPr>
        <w:tc>
          <w:tcPr>
            <w:tcW w:w="1458" w:type="dxa"/>
          </w:tcPr>
          <w:p w:rsidR="00176529" w:rsidRPr="00A54F27" w:rsidRDefault="00176529" w:rsidP="000A4857">
            <w:pPr>
              <w:rPr>
                <w:sz w:val="20"/>
                <w:szCs w:val="20"/>
              </w:rPr>
            </w:pPr>
            <w:r w:rsidRPr="00A54F27">
              <w:rPr>
                <w:rStyle w:val="SCCFileNumberChar"/>
                <w:sz w:val="20"/>
                <w:szCs w:val="20"/>
              </w:rPr>
              <w:t>34402</w:t>
            </w:r>
          </w:p>
          <w:p w:rsidR="00176529" w:rsidRPr="00A54F27" w:rsidRDefault="00176529" w:rsidP="000A4857">
            <w:pPr>
              <w:rPr>
                <w:b/>
                <w:sz w:val="20"/>
                <w:szCs w:val="20"/>
                <w:lang w:val="fr-CA"/>
              </w:rPr>
            </w:pPr>
          </w:p>
        </w:tc>
        <w:tc>
          <w:tcPr>
            <w:tcW w:w="8118" w:type="dxa"/>
          </w:tcPr>
          <w:p w:rsidR="00176529" w:rsidRPr="00A54F27" w:rsidRDefault="00176529" w:rsidP="000A4857">
            <w:pPr>
              <w:rPr>
                <w:sz w:val="20"/>
                <w:szCs w:val="20"/>
              </w:rPr>
            </w:pPr>
            <w:r w:rsidRPr="00176529">
              <w:rPr>
                <w:rStyle w:val="SCCLsocChar"/>
                <w:sz w:val="20"/>
                <w:szCs w:val="20"/>
                <w:lang w:val="en-CA"/>
              </w:rPr>
              <w:t xml:space="preserve">Minister of Foreign Affairs v. Amir </w:t>
            </w:r>
            <w:proofErr w:type="spellStart"/>
            <w:r w:rsidRPr="00176529">
              <w:rPr>
                <w:rStyle w:val="SCCLsocChar"/>
                <w:sz w:val="20"/>
                <w:szCs w:val="20"/>
                <w:lang w:val="en-CA"/>
              </w:rPr>
              <w:t>Attaran</w:t>
            </w:r>
            <w:proofErr w:type="spellEnd"/>
            <w:r w:rsidRPr="00A54F27">
              <w:rPr>
                <w:sz w:val="20"/>
                <w:szCs w:val="20"/>
              </w:rPr>
              <w:t xml:space="preserve"> (F.C.) (Civil) (By Leave)</w:t>
            </w:r>
          </w:p>
          <w:p w:rsidR="00176529" w:rsidRPr="00A54F27" w:rsidRDefault="00176529" w:rsidP="000A4857">
            <w:pPr>
              <w:rPr>
                <w:sz w:val="20"/>
                <w:szCs w:val="20"/>
              </w:rPr>
            </w:pPr>
          </w:p>
        </w:tc>
      </w:tr>
      <w:tr w:rsidR="00176529" w:rsidRPr="00A54F27" w:rsidTr="000A4857">
        <w:trPr>
          <w:cantSplit/>
        </w:trPr>
        <w:tc>
          <w:tcPr>
            <w:tcW w:w="1458" w:type="dxa"/>
          </w:tcPr>
          <w:p w:rsidR="00176529" w:rsidRPr="00A54F27" w:rsidRDefault="00176529" w:rsidP="000A4857">
            <w:pPr>
              <w:rPr>
                <w:sz w:val="20"/>
                <w:szCs w:val="20"/>
              </w:rPr>
            </w:pPr>
            <w:r w:rsidRPr="00A54F27">
              <w:rPr>
                <w:sz w:val="20"/>
                <w:szCs w:val="20"/>
              </w:rPr>
              <w:t>Coram :</w:t>
            </w:r>
          </w:p>
        </w:tc>
        <w:tc>
          <w:tcPr>
            <w:tcW w:w="8118" w:type="dxa"/>
          </w:tcPr>
          <w:p w:rsidR="00176529" w:rsidRPr="00A54F27" w:rsidRDefault="00176529" w:rsidP="000A4857">
            <w:pPr>
              <w:rPr>
                <w:sz w:val="20"/>
                <w:szCs w:val="20"/>
              </w:rPr>
            </w:pPr>
            <w:proofErr w:type="spellStart"/>
            <w:r w:rsidRPr="00176529">
              <w:rPr>
                <w:rStyle w:val="SCCCoramChar"/>
                <w:sz w:val="20"/>
                <w:szCs w:val="20"/>
                <w:lang w:val="en-CA"/>
              </w:rPr>
              <w:t>McLachlin</w:t>
            </w:r>
            <w:proofErr w:type="spellEnd"/>
            <w:r w:rsidRPr="00176529">
              <w:rPr>
                <w:rStyle w:val="SCCCoramChar"/>
                <w:sz w:val="20"/>
                <w:szCs w:val="20"/>
                <w:lang w:val="en-CA"/>
              </w:rPr>
              <w:t xml:space="preserve"> C.J. and Rothstein and </w:t>
            </w:r>
            <w:proofErr w:type="spellStart"/>
            <w:r w:rsidRPr="00176529">
              <w:rPr>
                <w:rStyle w:val="SCCCoramChar"/>
                <w:sz w:val="20"/>
                <w:szCs w:val="20"/>
                <w:lang w:val="en-CA"/>
              </w:rPr>
              <w:t>Moldaver</w:t>
            </w:r>
            <w:proofErr w:type="spellEnd"/>
            <w:r w:rsidRPr="00176529">
              <w:rPr>
                <w:rStyle w:val="SCCCoramChar"/>
                <w:sz w:val="20"/>
                <w:szCs w:val="20"/>
                <w:lang w:val="en-CA"/>
              </w:rPr>
              <w:t> JJ.</w:t>
            </w:r>
          </w:p>
          <w:p w:rsidR="00176529" w:rsidRPr="00A54F27" w:rsidRDefault="00176529" w:rsidP="000A4857">
            <w:pPr>
              <w:rPr>
                <w:sz w:val="20"/>
                <w:szCs w:val="20"/>
                <w:u w:val="single"/>
              </w:rPr>
            </w:pPr>
          </w:p>
        </w:tc>
      </w:tr>
      <w:tr w:rsidR="00176529" w:rsidRPr="002D3F55" w:rsidTr="000A4857">
        <w:trPr>
          <w:cantSplit/>
        </w:trPr>
        <w:tc>
          <w:tcPr>
            <w:tcW w:w="9576" w:type="dxa"/>
            <w:gridSpan w:val="2"/>
          </w:tcPr>
          <w:p w:rsidR="00176529" w:rsidRPr="00A54F27" w:rsidRDefault="00176529" w:rsidP="000A4857">
            <w:pPr>
              <w:pStyle w:val="SCCShortJudgment"/>
              <w:rPr>
                <w:szCs w:val="20"/>
              </w:rPr>
            </w:pPr>
            <w:r w:rsidRPr="00A54F27">
              <w:rPr>
                <w:szCs w:val="20"/>
              </w:rPr>
              <w:t>The application for leave to appeal from the judgment of the Federal Court of Appeal, Number A-198-09, 2011 FCA 182, dated May 27, 2011, is dismissed with costs.</w:t>
            </w:r>
          </w:p>
          <w:p w:rsidR="00176529" w:rsidRPr="00A54F27" w:rsidRDefault="00176529" w:rsidP="000A4857">
            <w:pPr>
              <w:pStyle w:val="SCCShortJudgment"/>
              <w:ind w:firstLine="0"/>
              <w:rPr>
                <w:szCs w:val="20"/>
              </w:rPr>
            </w:pPr>
          </w:p>
          <w:p w:rsidR="00176529" w:rsidRPr="00A54F27" w:rsidRDefault="00176529" w:rsidP="000A4857">
            <w:pPr>
              <w:pStyle w:val="SCCShortJudgment"/>
              <w:rPr>
                <w:szCs w:val="20"/>
                <w:lang w:val="fr-CA"/>
              </w:rPr>
            </w:pPr>
            <w:r w:rsidRPr="00A54F27">
              <w:rPr>
                <w:szCs w:val="20"/>
                <w:lang w:val="fr-CA"/>
              </w:rPr>
              <w:t>La demande d’autorisation d’appel de l’arrêt de la Cour d’appel fédérale, numéro A-198-09, 2011 CAF 182, daté du 27 mai 2011, est rejetée avec dépens.</w:t>
            </w:r>
          </w:p>
        </w:tc>
      </w:tr>
    </w:tbl>
    <w:p w:rsidR="00C64AFA" w:rsidRPr="00176529"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13EF" w:rsidRPr="00B32C06" w:rsidTr="00C54A8E">
        <w:tc>
          <w:tcPr>
            <w:tcW w:w="5000" w:type="pct"/>
            <w:gridSpan w:val="3"/>
          </w:tcPr>
          <w:p w:rsidR="002813EF" w:rsidRPr="00B32C06" w:rsidRDefault="002813EF" w:rsidP="00C54A8E">
            <w:pPr>
              <w:jc w:val="both"/>
              <w:rPr>
                <w:sz w:val="20"/>
              </w:rPr>
            </w:pPr>
            <w:r w:rsidRPr="00B32C06">
              <w:rPr>
                <w:sz w:val="20"/>
              </w:rPr>
              <w:t>Access to Information ― Exemptions ― Burden of proof ― Exercise of discretion ― Whether the decision of the Federal Court of Appeal with respect to the decision-</w:t>
            </w:r>
            <w:proofErr w:type="spellStart"/>
            <w:r w:rsidRPr="00B32C06">
              <w:rPr>
                <w:sz w:val="20"/>
              </w:rPr>
              <w:t>maker’s</w:t>
            </w:r>
            <w:proofErr w:type="spellEnd"/>
            <w:r w:rsidRPr="00B32C06">
              <w:rPr>
                <w:sz w:val="20"/>
              </w:rPr>
              <w:t xml:space="preserve"> burden of proof in proving the reasonableness of discretionary decisions not to release information that is exempted from disclosure under the </w:t>
            </w:r>
            <w:r w:rsidRPr="00B32C06">
              <w:rPr>
                <w:i/>
                <w:sz w:val="20"/>
              </w:rPr>
              <w:t xml:space="preserve">ATIA </w:t>
            </w:r>
            <w:r w:rsidRPr="00B32C06">
              <w:rPr>
                <w:sz w:val="20"/>
              </w:rPr>
              <w:t xml:space="preserve">raises an issue of public importance in that it fails to reconcile previous inconsistent decisions of the Federal Court of Appeal and the Supreme Court of Canada ― Whether the decision of the Federal Court of Appeal raises an issue of public importance in that the practical effect of the decision is to alter the evidentiary burden placed on the federal Crown in </w:t>
            </w:r>
            <w:r w:rsidRPr="00B32C06">
              <w:rPr>
                <w:i/>
                <w:sz w:val="20"/>
              </w:rPr>
              <w:t>ATIA</w:t>
            </w:r>
            <w:r w:rsidRPr="00B32C06">
              <w:rPr>
                <w:sz w:val="20"/>
              </w:rPr>
              <w:t xml:space="preserve"> matters ― </w:t>
            </w:r>
            <w:r w:rsidRPr="00B32C06">
              <w:rPr>
                <w:i/>
                <w:sz w:val="20"/>
              </w:rPr>
              <w:t>Access to Information Act</w:t>
            </w:r>
            <w:r w:rsidRPr="00B32C06">
              <w:rPr>
                <w:sz w:val="20"/>
              </w:rPr>
              <w:t>, R.S.C. 1985, c. A-1.</w:t>
            </w:r>
          </w:p>
          <w:p w:rsidR="002813EF" w:rsidRPr="00B32C06" w:rsidRDefault="002813EF" w:rsidP="00C54A8E">
            <w:pPr>
              <w:jc w:val="both"/>
              <w:rPr>
                <w:sz w:val="20"/>
              </w:rPr>
            </w:pPr>
          </w:p>
        </w:tc>
      </w:tr>
      <w:tr w:rsidR="002813EF" w:rsidRPr="00B32C06" w:rsidTr="00C54A8E">
        <w:tc>
          <w:tcPr>
            <w:tcW w:w="5000" w:type="pct"/>
            <w:gridSpan w:val="3"/>
          </w:tcPr>
          <w:p w:rsidR="002813EF" w:rsidRPr="00B32C06" w:rsidRDefault="002813EF" w:rsidP="00C54A8E">
            <w:pPr>
              <w:pStyle w:val="loose"/>
              <w:spacing w:before="0"/>
              <w:jc w:val="both"/>
              <w:rPr>
                <w:color w:val="000000"/>
                <w:sz w:val="20"/>
                <w:szCs w:val="20"/>
              </w:rPr>
            </w:pPr>
            <w:r w:rsidRPr="00B32C06">
              <w:rPr>
                <w:color w:val="000000"/>
                <w:sz w:val="20"/>
                <w:szCs w:val="20"/>
              </w:rPr>
              <w:t xml:space="preserve">The respondent, Professor Amir </w:t>
            </w:r>
            <w:proofErr w:type="spellStart"/>
            <w:r w:rsidRPr="00B32C06">
              <w:rPr>
                <w:color w:val="000000"/>
                <w:sz w:val="20"/>
                <w:szCs w:val="20"/>
              </w:rPr>
              <w:t>Attaran</w:t>
            </w:r>
            <w:proofErr w:type="spellEnd"/>
            <w:r w:rsidRPr="00B32C06">
              <w:rPr>
                <w:color w:val="000000"/>
                <w:sz w:val="20"/>
                <w:szCs w:val="20"/>
              </w:rPr>
              <w:t xml:space="preserve"> asked the Department of Foreign Affairs and International Trade (DFAIT) to give him copies of its annual human rights report concerning Afghanistan for the years from 2001 to 2006. In response, Professor </w:t>
            </w:r>
            <w:proofErr w:type="spellStart"/>
            <w:r w:rsidRPr="00B32C06">
              <w:rPr>
                <w:color w:val="000000"/>
                <w:sz w:val="20"/>
                <w:szCs w:val="20"/>
              </w:rPr>
              <w:t>Attaran</w:t>
            </w:r>
            <w:proofErr w:type="spellEnd"/>
            <w:r w:rsidRPr="00B32C06">
              <w:rPr>
                <w:color w:val="000000"/>
                <w:sz w:val="20"/>
                <w:szCs w:val="20"/>
              </w:rPr>
              <w:t xml:space="preserve"> was told that no report existed for 2001. He was given redacted reports for the years from 2002 to 2006. Professor </w:t>
            </w:r>
            <w:proofErr w:type="spellStart"/>
            <w:r w:rsidRPr="00B32C06">
              <w:rPr>
                <w:color w:val="000000"/>
                <w:sz w:val="20"/>
                <w:szCs w:val="20"/>
              </w:rPr>
              <w:t>Attaran</w:t>
            </w:r>
            <w:proofErr w:type="spellEnd"/>
            <w:r w:rsidRPr="00B32C06">
              <w:rPr>
                <w:color w:val="000000"/>
                <w:sz w:val="20"/>
                <w:szCs w:val="20"/>
              </w:rPr>
              <w:t xml:space="preserve"> then complained to the Information Commissioner under the </w:t>
            </w:r>
            <w:r w:rsidRPr="00B32C06">
              <w:rPr>
                <w:rStyle w:val="italic1"/>
                <w:color w:val="000000"/>
                <w:sz w:val="20"/>
              </w:rPr>
              <w:t>Access to Information Act</w:t>
            </w:r>
            <w:r w:rsidRPr="00B32C06">
              <w:rPr>
                <w:color w:val="000000"/>
                <w:sz w:val="20"/>
                <w:szCs w:val="20"/>
              </w:rPr>
              <w:t xml:space="preserve">, R.S.C. 1985, c. A-1 (ATIA) that the redactions to the reports were excessive. Later, he received less redacted versions of the reports from DFAIT. Professor </w:t>
            </w:r>
            <w:proofErr w:type="spellStart"/>
            <w:r w:rsidRPr="00B32C06">
              <w:rPr>
                <w:color w:val="000000"/>
                <w:sz w:val="20"/>
                <w:szCs w:val="20"/>
              </w:rPr>
              <w:t>Attaran</w:t>
            </w:r>
            <w:proofErr w:type="spellEnd"/>
            <w:r w:rsidRPr="00B32C06">
              <w:rPr>
                <w:color w:val="000000"/>
                <w:sz w:val="20"/>
                <w:szCs w:val="20"/>
              </w:rPr>
              <w:t xml:space="preserve"> brought an application in the Federal Court for judicial review of DFAIT’s decision to redact portions of the reports.</w:t>
            </w:r>
          </w:p>
          <w:p w:rsidR="002813EF" w:rsidRPr="00B32C06" w:rsidRDefault="002813EF" w:rsidP="00C54A8E">
            <w:pPr>
              <w:pStyle w:val="loose"/>
              <w:spacing w:before="0"/>
              <w:jc w:val="both"/>
              <w:rPr>
                <w:color w:val="000000"/>
                <w:sz w:val="20"/>
                <w:szCs w:val="20"/>
              </w:rPr>
            </w:pPr>
          </w:p>
          <w:p w:rsidR="002813EF" w:rsidRPr="00B32C06" w:rsidRDefault="002813EF" w:rsidP="00C54A8E">
            <w:pPr>
              <w:pStyle w:val="loose"/>
              <w:spacing w:before="0"/>
              <w:jc w:val="both"/>
              <w:rPr>
                <w:color w:val="000000"/>
                <w:sz w:val="20"/>
                <w:szCs w:val="20"/>
              </w:rPr>
            </w:pPr>
            <w:r w:rsidRPr="00B32C06">
              <w:rPr>
                <w:color w:val="000000"/>
                <w:sz w:val="20"/>
                <w:szCs w:val="20"/>
              </w:rPr>
              <w:t>The Federal Court dismissed the application for judicial review; however, it ordered the disclosure of two portions of the reports because the excerpts had been previously publicly reported.  The Federal Court of Appeal allowed the appeal, set aside the Federal Court judgment (except for the ordered disclosures) and the matter was remitted to the Minister.</w:t>
            </w:r>
          </w:p>
          <w:p w:rsidR="002813EF" w:rsidRPr="00B32C06" w:rsidRDefault="002813EF" w:rsidP="00C54A8E">
            <w:pPr>
              <w:pStyle w:val="loose"/>
              <w:spacing w:before="0"/>
              <w:jc w:val="both"/>
              <w:rPr>
                <w:color w:val="000000"/>
                <w:sz w:val="20"/>
                <w:szCs w:val="20"/>
              </w:rPr>
            </w:pPr>
          </w:p>
        </w:tc>
      </w:tr>
      <w:tr w:rsidR="002813EF" w:rsidRPr="00B32C06" w:rsidTr="00C54A8E">
        <w:tc>
          <w:tcPr>
            <w:tcW w:w="2427" w:type="pct"/>
          </w:tcPr>
          <w:p w:rsidR="002813EF" w:rsidRPr="00B32C06" w:rsidRDefault="002813EF" w:rsidP="00C54A8E">
            <w:pPr>
              <w:rPr>
                <w:sz w:val="20"/>
              </w:rPr>
            </w:pPr>
            <w:r w:rsidRPr="00B32C06">
              <w:rPr>
                <w:sz w:val="20"/>
              </w:rPr>
              <w:t>April 2, 2009</w:t>
            </w:r>
          </w:p>
          <w:p w:rsidR="002813EF" w:rsidRPr="00B32C06" w:rsidRDefault="002813EF" w:rsidP="00C54A8E">
            <w:pPr>
              <w:rPr>
                <w:sz w:val="20"/>
              </w:rPr>
            </w:pPr>
            <w:r w:rsidRPr="00B32C06">
              <w:rPr>
                <w:sz w:val="20"/>
              </w:rPr>
              <w:t>Federal Court</w:t>
            </w:r>
          </w:p>
          <w:p w:rsidR="002813EF" w:rsidRPr="00B32C06" w:rsidRDefault="002813EF" w:rsidP="00C54A8E">
            <w:pPr>
              <w:rPr>
                <w:sz w:val="20"/>
              </w:rPr>
            </w:pPr>
            <w:r w:rsidRPr="00B32C06">
              <w:rPr>
                <w:sz w:val="20"/>
              </w:rPr>
              <w:t>(</w:t>
            </w:r>
            <w:proofErr w:type="spellStart"/>
            <w:r w:rsidRPr="00B32C06">
              <w:rPr>
                <w:sz w:val="20"/>
              </w:rPr>
              <w:t>Kelen</w:t>
            </w:r>
            <w:proofErr w:type="spellEnd"/>
            <w:r w:rsidRPr="00B32C06">
              <w:rPr>
                <w:sz w:val="20"/>
              </w:rPr>
              <w:t xml:space="preserve"> J.)</w:t>
            </w:r>
          </w:p>
          <w:p w:rsidR="002813EF" w:rsidRPr="00B32C06" w:rsidRDefault="002813EF" w:rsidP="00C54A8E">
            <w:pPr>
              <w:rPr>
                <w:sz w:val="20"/>
              </w:rPr>
            </w:pPr>
            <w:r w:rsidRPr="00B32C06">
              <w:rPr>
                <w:sz w:val="20"/>
              </w:rPr>
              <w:t>2009 FC 339</w:t>
            </w:r>
          </w:p>
          <w:p w:rsidR="002813EF" w:rsidRPr="00B32C06" w:rsidRDefault="002813EF" w:rsidP="00C54A8E">
            <w:pPr>
              <w:rPr>
                <w:sz w:val="20"/>
              </w:rPr>
            </w:pPr>
          </w:p>
        </w:tc>
        <w:tc>
          <w:tcPr>
            <w:tcW w:w="243" w:type="pct"/>
          </w:tcPr>
          <w:p w:rsidR="002813EF" w:rsidRPr="00B32C06" w:rsidRDefault="002813EF" w:rsidP="00C54A8E">
            <w:pPr>
              <w:rPr>
                <w:sz w:val="20"/>
              </w:rPr>
            </w:pPr>
          </w:p>
        </w:tc>
        <w:tc>
          <w:tcPr>
            <w:tcW w:w="2330" w:type="pct"/>
          </w:tcPr>
          <w:p w:rsidR="002813EF" w:rsidRPr="00B32C06" w:rsidRDefault="002813EF" w:rsidP="00C54A8E">
            <w:pPr>
              <w:jc w:val="both"/>
              <w:rPr>
                <w:sz w:val="20"/>
              </w:rPr>
            </w:pPr>
            <w:r w:rsidRPr="00B32C06">
              <w:rPr>
                <w:sz w:val="20"/>
              </w:rPr>
              <w:t>Application for judicial review dismissed except for order allowing disclosure of two redacted portions of reports previously publicly disclosed.</w:t>
            </w:r>
          </w:p>
          <w:p w:rsidR="002813EF" w:rsidRPr="00B32C06" w:rsidRDefault="002813EF" w:rsidP="00C54A8E">
            <w:pPr>
              <w:jc w:val="both"/>
              <w:rPr>
                <w:sz w:val="20"/>
              </w:rPr>
            </w:pPr>
          </w:p>
        </w:tc>
      </w:tr>
      <w:tr w:rsidR="002813EF" w:rsidRPr="00B32C06" w:rsidTr="00C54A8E">
        <w:tc>
          <w:tcPr>
            <w:tcW w:w="2427" w:type="pct"/>
          </w:tcPr>
          <w:p w:rsidR="002813EF" w:rsidRPr="00B32C06" w:rsidRDefault="002813EF" w:rsidP="00C54A8E">
            <w:pPr>
              <w:rPr>
                <w:sz w:val="20"/>
              </w:rPr>
            </w:pPr>
            <w:r w:rsidRPr="00B32C06">
              <w:rPr>
                <w:sz w:val="20"/>
              </w:rPr>
              <w:t>May 27, 2011</w:t>
            </w:r>
          </w:p>
          <w:p w:rsidR="002813EF" w:rsidRPr="00B32C06" w:rsidRDefault="002813EF" w:rsidP="00C54A8E">
            <w:pPr>
              <w:rPr>
                <w:sz w:val="20"/>
              </w:rPr>
            </w:pPr>
            <w:r w:rsidRPr="00B32C06">
              <w:rPr>
                <w:sz w:val="20"/>
              </w:rPr>
              <w:t>Federal Court of Appeal</w:t>
            </w:r>
          </w:p>
          <w:p w:rsidR="002813EF" w:rsidRPr="00B32C06" w:rsidRDefault="002813EF" w:rsidP="00C54A8E">
            <w:pPr>
              <w:rPr>
                <w:sz w:val="20"/>
              </w:rPr>
            </w:pPr>
            <w:r w:rsidRPr="00B32C06">
              <w:rPr>
                <w:sz w:val="20"/>
              </w:rPr>
              <w:t>(</w:t>
            </w:r>
            <w:proofErr w:type="spellStart"/>
            <w:r w:rsidRPr="00B32C06">
              <w:rPr>
                <w:sz w:val="20"/>
              </w:rPr>
              <w:t>Blais</w:t>
            </w:r>
            <w:proofErr w:type="spellEnd"/>
            <w:r w:rsidRPr="00B32C06">
              <w:rPr>
                <w:sz w:val="20"/>
              </w:rPr>
              <w:t xml:space="preserve"> C.J. and Dawson and </w:t>
            </w:r>
            <w:proofErr w:type="spellStart"/>
            <w:r w:rsidRPr="00B32C06">
              <w:rPr>
                <w:sz w:val="20"/>
              </w:rPr>
              <w:t>Trudel</w:t>
            </w:r>
            <w:proofErr w:type="spellEnd"/>
            <w:r w:rsidRPr="00B32C06">
              <w:rPr>
                <w:sz w:val="20"/>
              </w:rPr>
              <w:t xml:space="preserve"> JJ.A.)</w:t>
            </w:r>
          </w:p>
          <w:p w:rsidR="002813EF" w:rsidRPr="00B32C06" w:rsidRDefault="002813EF" w:rsidP="00C54A8E">
            <w:pPr>
              <w:rPr>
                <w:sz w:val="20"/>
              </w:rPr>
            </w:pPr>
          </w:p>
        </w:tc>
        <w:tc>
          <w:tcPr>
            <w:tcW w:w="243" w:type="pct"/>
          </w:tcPr>
          <w:p w:rsidR="002813EF" w:rsidRPr="00B32C06" w:rsidRDefault="002813EF" w:rsidP="00C54A8E">
            <w:pPr>
              <w:rPr>
                <w:sz w:val="20"/>
              </w:rPr>
            </w:pPr>
          </w:p>
        </w:tc>
        <w:tc>
          <w:tcPr>
            <w:tcW w:w="2330" w:type="pct"/>
          </w:tcPr>
          <w:p w:rsidR="002813EF" w:rsidRPr="00B32C06" w:rsidRDefault="002813EF" w:rsidP="00C54A8E">
            <w:pPr>
              <w:jc w:val="both"/>
              <w:rPr>
                <w:sz w:val="20"/>
              </w:rPr>
            </w:pPr>
            <w:r w:rsidRPr="00B32C06">
              <w:rPr>
                <w:sz w:val="20"/>
              </w:rPr>
              <w:t>Appeal allowed; Federal Court judgment set aside (except for disclosures ordered by Federal Court) and matter remitted to Minister.</w:t>
            </w:r>
          </w:p>
        </w:tc>
      </w:tr>
      <w:tr w:rsidR="002813EF" w:rsidRPr="00B32C06" w:rsidTr="00C54A8E">
        <w:tc>
          <w:tcPr>
            <w:tcW w:w="2427" w:type="pct"/>
          </w:tcPr>
          <w:p w:rsidR="002813EF" w:rsidRPr="00B32C06" w:rsidRDefault="002813EF" w:rsidP="00C54A8E">
            <w:pPr>
              <w:rPr>
                <w:sz w:val="20"/>
              </w:rPr>
            </w:pPr>
            <w:r w:rsidRPr="00B32C06">
              <w:rPr>
                <w:sz w:val="20"/>
              </w:rPr>
              <w:t>August 26, 2011</w:t>
            </w:r>
          </w:p>
          <w:p w:rsidR="002813EF" w:rsidRPr="00B32C06" w:rsidRDefault="002813EF" w:rsidP="002813EF">
            <w:pPr>
              <w:rPr>
                <w:sz w:val="20"/>
              </w:rPr>
            </w:pPr>
            <w:r w:rsidRPr="00B32C06">
              <w:rPr>
                <w:sz w:val="20"/>
              </w:rPr>
              <w:t>Supreme Court of Canada</w:t>
            </w:r>
          </w:p>
        </w:tc>
        <w:tc>
          <w:tcPr>
            <w:tcW w:w="243" w:type="pct"/>
          </w:tcPr>
          <w:p w:rsidR="002813EF" w:rsidRPr="00B32C06" w:rsidRDefault="002813EF" w:rsidP="00C54A8E">
            <w:pPr>
              <w:rPr>
                <w:sz w:val="20"/>
              </w:rPr>
            </w:pPr>
          </w:p>
        </w:tc>
        <w:tc>
          <w:tcPr>
            <w:tcW w:w="2330" w:type="pct"/>
          </w:tcPr>
          <w:p w:rsidR="002813EF" w:rsidRPr="00B32C06" w:rsidRDefault="002813EF" w:rsidP="00C54A8E">
            <w:pPr>
              <w:jc w:val="both"/>
              <w:rPr>
                <w:sz w:val="20"/>
              </w:rPr>
            </w:pPr>
            <w:r w:rsidRPr="00B32C06">
              <w:rPr>
                <w:sz w:val="20"/>
              </w:rPr>
              <w:t>Application for leave to appeal filed</w:t>
            </w:r>
          </w:p>
          <w:p w:rsidR="002813EF" w:rsidRPr="00B32C06" w:rsidRDefault="002813EF" w:rsidP="00C54A8E">
            <w:pPr>
              <w:jc w:val="both"/>
              <w:rPr>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47" style="width:2in;height:1pt" o:hrpct="0" o:hralign="center" o:hrstd="t" o:hrnoshade="t" o:hr="t" fillcolor="black [3213]" stroked="f"/>
        </w:pict>
      </w:r>
    </w:p>
    <w:p w:rsidR="00C64AFA" w:rsidRDefault="00C64AFA" w:rsidP="00C64AFA">
      <w:pPr>
        <w:rPr>
          <w:sz w:val="20"/>
          <w:szCs w:val="20"/>
        </w:rPr>
      </w:pPr>
    </w:p>
    <w:p w:rsidR="00344ED3" w:rsidRDefault="00344ED3">
      <w:pPr>
        <w:rPr>
          <w:sz w:val="20"/>
          <w:szCs w:val="20"/>
          <w:u w:val="single"/>
          <w:lang w:val="fr-CA"/>
        </w:rPr>
      </w:pPr>
      <w:r>
        <w:rPr>
          <w:sz w:val="20"/>
          <w:szCs w:val="20"/>
          <w:u w:val="single"/>
          <w:lang w:val="fr-CA"/>
        </w:rPr>
        <w:br w:type="page"/>
      </w:r>
    </w:p>
    <w:p w:rsidR="00C64AFA" w:rsidRPr="001B157C" w:rsidRDefault="00C64AFA" w:rsidP="00C64AFA">
      <w:pPr>
        <w:rPr>
          <w:sz w:val="20"/>
          <w:szCs w:val="20"/>
          <w:u w:val="single"/>
          <w:lang w:val="fr-CA"/>
        </w:rPr>
      </w:pPr>
      <w:r w:rsidRPr="001B157C">
        <w:rPr>
          <w:sz w:val="20"/>
          <w:szCs w:val="20"/>
          <w:u w:val="single"/>
          <w:lang w:val="fr-CA"/>
        </w:rPr>
        <w:lastRenderedPageBreak/>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13EF" w:rsidRPr="00630D26" w:rsidTr="00C54A8E">
        <w:tc>
          <w:tcPr>
            <w:tcW w:w="5000" w:type="pct"/>
            <w:gridSpan w:val="3"/>
          </w:tcPr>
          <w:p w:rsidR="002813EF" w:rsidRPr="00B32C06" w:rsidRDefault="002813EF" w:rsidP="00C54A8E">
            <w:pPr>
              <w:jc w:val="both"/>
              <w:rPr>
                <w:rFonts w:eastAsia="Calibri"/>
                <w:sz w:val="20"/>
                <w:lang w:val="fr-CA"/>
              </w:rPr>
            </w:pPr>
            <w:r w:rsidRPr="00B32C06">
              <w:rPr>
                <w:rFonts w:eastAsia="Calibri"/>
                <w:sz w:val="20"/>
                <w:lang w:val="fr-CA"/>
              </w:rPr>
              <w:t xml:space="preserve">Accès à l’information ― Exceptions ― Fardeau de la preuve ― Exercice du pouvoir discrétionnaire ― L’arrêt rendu par la Cour d’appel fédérale relativement au fardeau de la preuve incombant au décideur appelé à prouver le caractère raisonnable de décisions discrétionnaires refusant la communication de renseignements soustraits à la communication en vertu de la </w:t>
            </w:r>
            <w:r w:rsidRPr="00B32C06">
              <w:rPr>
                <w:rFonts w:eastAsia="Calibri"/>
                <w:i/>
                <w:sz w:val="20"/>
                <w:lang w:val="fr-CA"/>
              </w:rPr>
              <w:t>Loi sur l’accès à l’information</w:t>
            </w:r>
            <w:r w:rsidRPr="00B32C06">
              <w:rPr>
                <w:rFonts w:eastAsia="Calibri"/>
                <w:sz w:val="20"/>
                <w:lang w:val="fr-CA"/>
              </w:rPr>
              <w:t xml:space="preserve"> (la « </w:t>
            </w:r>
            <w:r w:rsidRPr="00B32C06">
              <w:rPr>
                <w:rFonts w:eastAsia="Calibri"/>
                <w:i/>
                <w:sz w:val="20"/>
                <w:lang w:val="fr-CA"/>
              </w:rPr>
              <w:t>LAI </w:t>
            </w:r>
            <w:r w:rsidRPr="00B32C06">
              <w:rPr>
                <w:rFonts w:eastAsia="Calibri"/>
                <w:sz w:val="20"/>
                <w:lang w:val="fr-CA"/>
              </w:rPr>
              <w:t xml:space="preserve">») </w:t>
            </w:r>
            <w:proofErr w:type="spellStart"/>
            <w:r w:rsidRPr="00B32C06">
              <w:rPr>
                <w:rFonts w:eastAsia="Calibri"/>
                <w:sz w:val="20"/>
                <w:lang w:val="fr-CA"/>
              </w:rPr>
              <w:t>soulève</w:t>
            </w:r>
            <w:r w:rsidRPr="00B32C06">
              <w:rPr>
                <w:rFonts w:eastAsia="Calibri"/>
                <w:sz w:val="20"/>
                <w:lang w:val="fr-CA"/>
              </w:rPr>
              <w:noBreakHyphen/>
              <w:t>t</w:t>
            </w:r>
            <w:r w:rsidRPr="00B32C06">
              <w:rPr>
                <w:rFonts w:eastAsia="Calibri"/>
                <w:sz w:val="20"/>
                <w:lang w:val="fr-CA"/>
              </w:rPr>
              <w:noBreakHyphen/>
              <w:t>il</w:t>
            </w:r>
            <w:proofErr w:type="spellEnd"/>
            <w:r w:rsidRPr="00B32C06">
              <w:rPr>
                <w:rFonts w:eastAsia="Calibri"/>
                <w:sz w:val="20"/>
                <w:lang w:val="fr-CA"/>
              </w:rPr>
              <w:t xml:space="preserve"> une question d’importance pour le public en ce qu’il omet de concilier des décisions contradictoires antérieures de la Cour d’appel fédérale et de la Cour suprême du Canada? ― L’arrêt de la Cour d’appel fédérale </w:t>
            </w:r>
            <w:proofErr w:type="spellStart"/>
            <w:r w:rsidRPr="00B32C06">
              <w:rPr>
                <w:rFonts w:eastAsia="Calibri"/>
                <w:sz w:val="20"/>
                <w:lang w:val="fr-CA"/>
              </w:rPr>
              <w:t>soulève</w:t>
            </w:r>
            <w:r w:rsidRPr="00B32C06">
              <w:rPr>
                <w:rFonts w:eastAsia="Calibri"/>
                <w:sz w:val="20"/>
                <w:lang w:val="fr-CA"/>
              </w:rPr>
              <w:noBreakHyphen/>
              <w:t>t</w:t>
            </w:r>
            <w:r w:rsidRPr="00B32C06">
              <w:rPr>
                <w:rFonts w:eastAsia="Calibri"/>
                <w:sz w:val="20"/>
                <w:lang w:val="fr-CA"/>
              </w:rPr>
              <w:noBreakHyphen/>
              <w:t>il</w:t>
            </w:r>
            <w:proofErr w:type="spellEnd"/>
            <w:r w:rsidRPr="00B32C06">
              <w:rPr>
                <w:rFonts w:eastAsia="Calibri"/>
                <w:sz w:val="20"/>
                <w:lang w:val="fr-CA"/>
              </w:rPr>
              <w:t xml:space="preserve"> une question d’importance pour le public en ce qu’il modifie en pratique le fardeau de la preuve imposé à la Couronne fédérale dans les affaires touchant la </w:t>
            </w:r>
            <w:r w:rsidRPr="00B32C06">
              <w:rPr>
                <w:rFonts w:eastAsia="Calibri"/>
                <w:i/>
                <w:sz w:val="20"/>
                <w:lang w:val="fr-CA"/>
              </w:rPr>
              <w:t>LAI?</w:t>
            </w:r>
            <w:r w:rsidRPr="00B32C06">
              <w:rPr>
                <w:rFonts w:eastAsia="Calibri"/>
                <w:sz w:val="20"/>
                <w:lang w:val="fr-CA"/>
              </w:rPr>
              <w:t xml:space="preserve"> ― </w:t>
            </w:r>
            <w:r w:rsidRPr="00B32C06">
              <w:rPr>
                <w:rFonts w:eastAsia="Calibri"/>
                <w:i/>
                <w:sz w:val="20"/>
                <w:lang w:val="fr-CA"/>
              </w:rPr>
              <w:t>Loi sur l’accès à l’information</w:t>
            </w:r>
            <w:r w:rsidRPr="00B32C06">
              <w:rPr>
                <w:rFonts w:eastAsia="Calibri"/>
                <w:sz w:val="20"/>
                <w:lang w:val="fr-CA"/>
              </w:rPr>
              <w:t>, L.R.C. 1985, ch. A</w:t>
            </w:r>
            <w:r w:rsidRPr="00B32C06">
              <w:rPr>
                <w:rFonts w:eastAsia="Calibri"/>
                <w:sz w:val="20"/>
                <w:lang w:val="fr-CA"/>
              </w:rPr>
              <w:noBreakHyphen/>
              <w:t>1.</w:t>
            </w:r>
          </w:p>
          <w:p w:rsidR="002813EF" w:rsidRPr="00B32C06" w:rsidRDefault="002813EF" w:rsidP="00C54A8E">
            <w:pPr>
              <w:jc w:val="both"/>
              <w:rPr>
                <w:rFonts w:eastAsia="Calibri"/>
                <w:sz w:val="20"/>
                <w:lang w:val="fr-CA"/>
              </w:rPr>
            </w:pPr>
          </w:p>
        </w:tc>
      </w:tr>
      <w:tr w:rsidR="002813EF" w:rsidRPr="002D3F55" w:rsidTr="00C54A8E">
        <w:tc>
          <w:tcPr>
            <w:tcW w:w="5000" w:type="pct"/>
            <w:gridSpan w:val="3"/>
          </w:tcPr>
          <w:p w:rsidR="002813EF" w:rsidRPr="00B32C06" w:rsidRDefault="002813EF" w:rsidP="00C54A8E">
            <w:pPr>
              <w:jc w:val="both"/>
              <w:rPr>
                <w:color w:val="000000"/>
                <w:sz w:val="20"/>
                <w:lang w:val="fr-CA"/>
              </w:rPr>
            </w:pPr>
            <w:r w:rsidRPr="00B32C06">
              <w:rPr>
                <w:color w:val="000000"/>
                <w:sz w:val="20"/>
                <w:lang w:val="fr-CA"/>
              </w:rPr>
              <w:t xml:space="preserve">L’intimé, le professeur Amir </w:t>
            </w:r>
            <w:proofErr w:type="spellStart"/>
            <w:r w:rsidRPr="00B32C06">
              <w:rPr>
                <w:color w:val="000000"/>
                <w:sz w:val="20"/>
                <w:lang w:val="fr-CA"/>
              </w:rPr>
              <w:t>Attaran</w:t>
            </w:r>
            <w:proofErr w:type="spellEnd"/>
            <w:r w:rsidRPr="00B32C06">
              <w:rPr>
                <w:color w:val="000000"/>
                <w:sz w:val="20"/>
                <w:lang w:val="fr-CA"/>
              </w:rPr>
              <w:t xml:space="preserve">, a demandé au ministère des Affaires étrangères et du Commerce international (le « MAECI ») de lui donner des copies de ses rapports annuels sur la situation des droits de la personne en Afghanistan pour les années 2001 à 2006.  On lui a répondu qu’il n’existait aucun rapport pour 2001.  Il a reçu des rapports expurgés pour les années 2002 à 2006.  Il a alors déposé auprès du Commissaire à l’information, en vertu de la </w:t>
            </w:r>
            <w:r w:rsidRPr="00B32C06">
              <w:rPr>
                <w:i/>
                <w:iCs/>
                <w:color w:val="000000"/>
                <w:sz w:val="20"/>
                <w:lang w:val="fr-CA"/>
              </w:rPr>
              <w:t>Loi sur l’accès à l’information</w:t>
            </w:r>
            <w:r w:rsidRPr="00B32C06">
              <w:rPr>
                <w:color w:val="000000"/>
                <w:sz w:val="20"/>
                <w:lang w:val="fr-CA"/>
              </w:rPr>
              <w:t xml:space="preserve">, une plainte portant que les expurgations des rapports </w:t>
            </w:r>
            <w:proofErr w:type="gramStart"/>
            <w:r w:rsidRPr="00B32C06">
              <w:rPr>
                <w:color w:val="000000"/>
                <w:sz w:val="20"/>
                <w:lang w:val="fr-CA"/>
              </w:rPr>
              <w:t>étaient</w:t>
            </w:r>
            <w:proofErr w:type="gramEnd"/>
            <w:r w:rsidRPr="00B32C06">
              <w:rPr>
                <w:color w:val="000000"/>
                <w:sz w:val="20"/>
                <w:lang w:val="fr-CA"/>
              </w:rPr>
              <w:t xml:space="preserve"> excessives.  Il </w:t>
            </w:r>
            <w:proofErr w:type="gramStart"/>
            <w:r w:rsidRPr="00B32C06">
              <w:rPr>
                <w:color w:val="000000"/>
                <w:sz w:val="20"/>
                <w:lang w:val="fr-CA"/>
              </w:rPr>
              <w:t>a</w:t>
            </w:r>
            <w:proofErr w:type="gramEnd"/>
            <w:r w:rsidRPr="00B32C06">
              <w:rPr>
                <w:color w:val="000000"/>
                <w:sz w:val="20"/>
                <w:lang w:val="fr-CA"/>
              </w:rPr>
              <w:t xml:space="preserve"> plus tard reçu du MAECI des versions moins expurgées des rapports.  Le professeur </w:t>
            </w:r>
            <w:proofErr w:type="spellStart"/>
            <w:r w:rsidRPr="00B32C06">
              <w:rPr>
                <w:color w:val="000000"/>
                <w:sz w:val="20"/>
                <w:lang w:val="fr-CA"/>
              </w:rPr>
              <w:t>Attaran</w:t>
            </w:r>
            <w:proofErr w:type="spellEnd"/>
            <w:r w:rsidRPr="00B32C06">
              <w:rPr>
                <w:color w:val="000000"/>
                <w:sz w:val="20"/>
                <w:lang w:val="fr-CA"/>
              </w:rPr>
              <w:t xml:space="preserve"> a présenté à la Cour fédérale une demande de contrôle judiciaire de la décision du MAECI d’expurger des parties des rapports.</w:t>
            </w:r>
          </w:p>
          <w:p w:rsidR="002813EF" w:rsidRPr="00B32C06" w:rsidRDefault="002813EF" w:rsidP="00C54A8E">
            <w:pPr>
              <w:spacing w:before="210"/>
              <w:ind w:right="225"/>
              <w:jc w:val="both"/>
              <w:rPr>
                <w:color w:val="000000"/>
                <w:sz w:val="20"/>
                <w:lang w:val="fr-CA"/>
              </w:rPr>
            </w:pPr>
            <w:r w:rsidRPr="00B32C06">
              <w:rPr>
                <w:color w:val="000000"/>
                <w:sz w:val="20"/>
                <w:lang w:val="fr-CA"/>
              </w:rPr>
              <w:t>La Cour fédérale a rejeté la demande de contrôle judiciaire, ordonnant toutefois la communication de deux parties des rapports au motif que ces extraits avaient déjà été rendus publics.  La Cour d’appel fédérale a fait droit à l’appel, annulé le jugement de la Cour fédérale (sauf à l’égard des communications ordonnées) et renvoyé l’affaire au ministre.</w:t>
            </w:r>
          </w:p>
          <w:p w:rsidR="002813EF" w:rsidRPr="00B32C06" w:rsidRDefault="002813EF" w:rsidP="00C54A8E">
            <w:pPr>
              <w:ind w:right="230"/>
              <w:jc w:val="both"/>
              <w:rPr>
                <w:color w:val="000000"/>
                <w:sz w:val="20"/>
                <w:lang w:val="fr-CA"/>
              </w:rPr>
            </w:pPr>
          </w:p>
        </w:tc>
      </w:tr>
      <w:tr w:rsidR="002813EF" w:rsidRPr="002D3F55" w:rsidTr="00C54A8E">
        <w:tc>
          <w:tcPr>
            <w:tcW w:w="2427" w:type="pct"/>
          </w:tcPr>
          <w:p w:rsidR="002813EF" w:rsidRPr="00B32C06" w:rsidRDefault="002813EF" w:rsidP="00C54A8E">
            <w:pPr>
              <w:jc w:val="both"/>
              <w:rPr>
                <w:rFonts w:eastAsia="Calibri"/>
                <w:sz w:val="20"/>
                <w:lang w:val="fr-CA"/>
              </w:rPr>
            </w:pPr>
            <w:r w:rsidRPr="00B32C06">
              <w:rPr>
                <w:rFonts w:eastAsia="Calibri"/>
                <w:sz w:val="20"/>
                <w:lang w:val="fr-CA"/>
              </w:rPr>
              <w:t>2 avril 2009</w:t>
            </w:r>
          </w:p>
          <w:p w:rsidR="002813EF" w:rsidRPr="00B32C06" w:rsidRDefault="002813EF" w:rsidP="00C54A8E">
            <w:pPr>
              <w:jc w:val="both"/>
              <w:rPr>
                <w:rFonts w:eastAsia="Calibri"/>
                <w:sz w:val="20"/>
                <w:lang w:val="fr-CA"/>
              </w:rPr>
            </w:pPr>
            <w:r w:rsidRPr="00B32C06">
              <w:rPr>
                <w:rFonts w:eastAsia="Calibri"/>
                <w:sz w:val="20"/>
                <w:lang w:val="fr-CA"/>
              </w:rPr>
              <w:t>Cour fédérale</w:t>
            </w:r>
          </w:p>
          <w:p w:rsidR="002813EF" w:rsidRPr="00B32C06" w:rsidRDefault="002813EF" w:rsidP="00C54A8E">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Kelen</w:t>
            </w:r>
            <w:proofErr w:type="spellEnd"/>
            <w:r w:rsidRPr="00B32C06">
              <w:rPr>
                <w:rFonts w:eastAsia="Calibri"/>
                <w:sz w:val="20"/>
                <w:lang w:val="fr-CA"/>
              </w:rPr>
              <w:t>)</w:t>
            </w:r>
          </w:p>
          <w:p w:rsidR="002813EF" w:rsidRPr="00B32C06" w:rsidRDefault="002813EF" w:rsidP="00C54A8E">
            <w:pPr>
              <w:jc w:val="both"/>
              <w:rPr>
                <w:rFonts w:eastAsia="Calibri"/>
                <w:sz w:val="20"/>
                <w:lang w:val="fr-CA"/>
              </w:rPr>
            </w:pPr>
            <w:r w:rsidRPr="00B32C06">
              <w:rPr>
                <w:rFonts w:eastAsia="Calibri"/>
                <w:sz w:val="20"/>
                <w:lang w:val="fr-CA"/>
              </w:rPr>
              <w:t>2009 CF 339</w:t>
            </w:r>
          </w:p>
        </w:tc>
        <w:tc>
          <w:tcPr>
            <w:tcW w:w="243" w:type="pct"/>
          </w:tcPr>
          <w:p w:rsidR="002813EF" w:rsidRPr="00B32C06" w:rsidRDefault="002813EF" w:rsidP="00C54A8E">
            <w:pPr>
              <w:jc w:val="both"/>
              <w:rPr>
                <w:rFonts w:eastAsia="Calibri"/>
                <w:sz w:val="20"/>
                <w:lang w:val="fr-CA"/>
              </w:rPr>
            </w:pPr>
          </w:p>
        </w:tc>
        <w:tc>
          <w:tcPr>
            <w:tcW w:w="2330" w:type="pct"/>
          </w:tcPr>
          <w:p w:rsidR="002813EF" w:rsidRPr="00B32C06" w:rsidRDefault="002813EF" w:rsidP="00C54A8E">
            <w:pPr>
              <w:jc w:val="both"/>
              <w:rPr>
                <w:rFonts w:eastAsia="Calibri"/>
                <w:sz w:val="20"/>
                <w:lang w:val="fr-CA"/>
              </w:rPr>
            </w:pPr>
            <w:r w:rsidRPr="00B32C06">
              <w:rPr>
                <w:rFonts w:eastAsia="Calibri"/>
                <w:sz w:val="20"/>
                <w:lang w:val="fr-CA"/>
              </w:rPr>
              <w:t>Demande de contrôle judiciaire rejetée sauf pour l’ordonnance autorisant que deux parties expurgées des rapports soient communiquées parce que déjà publiques.</w:t>
            </w:r>
          </w:p>
          <w:p w:rsidR="002813EF" w:rsidRPr="00B32C06" w:rsidRDefault="002813EF" w:rsidP="00C54A8E">
            <w:pPr>
              <w:jc w:val="both"/>
              <w:rPr>
                <w:rFonts w:eastAsia="Calibri"/>
                <w:sz w:val="20"/>
                <w:lang w:val="fr-CA"/>
              </w:rPr>
            </w:pPr>
          </w:p>
        </w:tc>
      </w:tr>
      <w:tr w:rsidR="002813EF" w:rsidRPr="002D3F55" w:rsidTr="00C54A8E">
        <w:tc>
          <w:tcPr>
            <w:tcW w:w="2427" w:type="pct"/>
          </w:tcPr>
          <w:p w:rsidR="002813EF" w:rsidRPr="00B32C06" w:rsidRDefault="002813EF" w:rsidP="00C54A8E">
            <w:pPr>
              <w:jc w:val="both"/>
              <w:rPr>
                <w:rFonts w:eastAsia="Calibri"/>
                <w:sz w:val="20"/>
                <w:lang w:val="fr-CA"/>
              </w:rPr>
            </w:pPr>
            <w:r w:rsidRPr="00B32C06">
              <w:rPr>
                <w:rFonts w:eastAsia="Calibri"/>
                <w:sz w:val="20"/>
                <w:lang w:val="fr-CA"/>
              </w:rPr>
              <w:t>27 mai 2011</w:t>
            </w:r>
          </w:p>
          <w:p w:rsidR="002813EF" w:rsidRPr="00B32C06" w:rsidRDefault="002813EF" w:rsidP="00C54A8E">
            <w:pPr>
              <w:jc w:val="both"/>
              <w:rPr>
                <w:rFonts w:eastAsia="Calibri"/>
                <w:sz w:val="20"/>
                <w:lang w:val="fr-CA"/>
              </w:rPr>
            </w:pPr>
            <w:r w:rsidRPr="00B32C06">
              <w:rPr>
                <w:rFonts w:eastAsia="Calibri"/>
                <w:sz w:val="20"/>
                <w:lang w:val="fr-CA"/>
              </w:rPr>
              <w:t>Cour d’appel fédérale</w:t>
            </w:r>
          </w:p>
          <w:p w:rsidR="002813EF" w:rsidRPr="00B32C06" w:rsidRDefault="002813EF" w:rsidP="00C54A8E">
            <w:pPr>
              <w:jc w:val="both"/>
              <w:rPr>
                <w:rFonts w:eastAsia="Calibri"/>
                <w:sz w:val="20"/>
                <w:lang w:val="fr-CA"/>
              </w:rPr>
            </w:pPr>
            <w:r w:rsidRPr="00B32C06">
              <w:rPr>
                <w:rFonts w:eastAsia="Calibri"/>
                <w:sz w:val="20"/>
                <w:lang w:val="fr-CA"/>
              </w:rPr>
              <w:t>(Juge en chef Blais et juges Dawson et Trudel)</w:t>
            </w:r>
          </w:p>
          <w:p w:rsidR="002813EF" w:rsidRPr="00B32C06" w:rsidRDefault="002813EF" w:rsidP="00C54A8E">
            <w:pPr>
              <w:jc w:val="both"/>
              <w:rPr>
                <w:rFonts w:eastAsia="Calibri"/>
                <w:sz w:val="20"/>
                <w:lang w:val="fr-CA"/>
              </w:rPr>
            </w:pPr>
          </w:p>
        </w:tc>
        <w:tc>
          <w:tcPr>
            <w:tcW w:w="243" w:type="pct"/>
          </w:tcPr>
          <w:p w:rsidR="002813EF" w:rsidRPr="00B32C06" w:rsidRDefault="002813EF" w:rsidP="00C54A8E">
            <w:pPr>
              <w:jc w:val="both"/>
              <w:rPr>
                <w:rFonts w:eastAsia="Calibri"/>
                <w:sz w:val="20"/>
                <w:lang w:val="fr-CA"/>
              </w:rPr>
            </w:pPr>
          </w:p>
        </w:tc>
        <w:tc>
          <w:tcPr>
            <w:tcW w:w="2330" w:type="pct"/>
          </w:tcPr>
          <w:p w:rsidR="002813EF" w:rsidRPr="00B32C06" w:rsidRDefault="002813EF" w:rsidP="00C54A8E">
            <w:pPr>
              <w:jc w:val="both"/>
              <w:rPr>
                <w:rFonts w:eastAsia="Calibri"/>
                <w:sz w:val="20"/>
                <w:lang w:val="fr-CA"/>
              </w:rPr>
            </w:pPr>
            <w:r w:rsidRPr="00B32C06">
              <w:rPr>
                <w:rFonts w:eastAsia="Calibri"/>
                <w:sz w:val="20"/>
                <w:lang w:val="fr-CA"/>
              </w:rPr>
              <w:t>Appel accueilli; jugement de la Cour fédérale annulé (sauf pour l’ordonnance de communication) et affaire renvoyée au ministre.</w:t>
            </w:r>
          </w:p>
          <w:p w:rsidR="002813EF" w:rsidRPr="00B32C06" w:rsidRDefault="002813EF" w:rsidP="00C54A8E">
            <w:pPr>
              <w:jc w:val="both"/>
              <w:rPr>
                <w:rFonts w:eastAsia="Calibri"/>
                <w:sz w:val="20"/>
                <w:lang w:val="fr-CA"/>
              </w:rPr>
            </w:pPr>
          </w:p>
        </w:tc>
      </w:tr>
      <w:tr w:rsidR="002813EF" w:rsidRPr="002D3F55" w:rsidTr="00C54A8E">
        <w:tc>
          <w:tcPr>
            <w:tcW w:w="2427" w:type="pct"/>
          </w:tcPr>
          <w:p w:rsidR="002813EF" w:rsidRPr="00B32C06" w:rsidRDefault="002813EF" w:rsidP="00C54A8E">
            <w:pPr>
              <w:jc w:val="both"/>
              <w:rPr>
                <w:rFonts w:eastAsia="Calibri"/>
                <w:sz w:val="20"/>
                <w:lang w:val="fr-CA"/>
              </w:rPr>
            </w:pPr>
            <w:r w:rsidRPr="00B32C06">
              <w:rPr>
                <w:rFonts w:eastAsia="Calibri"/>
                <w:sz w:val="20"/>
                <w:lang w:val="fr-CA"/>
              </w:rPr>
              <w:t>26 août 2011</w:t>
            </w:r>
          </w:p>
          <w:p w:rsidR="002813EF" w:rsidRPr="00B32C06" w:rsidRDefault="002813EF" w:rsidP="002813EF">
            <w:pPr>
              <w:jc w:val="both"/>
              <w:rPr>
                <w:rFonts w:eastAsia="Calibri"/>
                <w:sz w:val="20"/>
                <w:lang w:val="fr-CA"/>
              </w:rPr>
            </w:pPr>
            <w:r w:rsidRPr="00B32C06">
              <w:rPr>
                <w:rFonts w:eastAsia="Calibri"/>
                <w:sz w:val="20"/>
                <w:lang w:val="fr-CA"/>
              </w:rPr>
              <w:t>Cour suprême du Canada</w:t>
            </w:r>
          </w:p>
        </w:tc>
        <w:tc>
          <w:tcPr>
            <w:tcW w:w="243" w:type="pct"/>
          </w:tcPr>
          <w:p w:rsidR="002813EF" w:rsidRPr="00B32C06" w:rsidRDefault="002813EF" w:rsidP="00C54A8E">
            <w:pPr>
              <w:jc w:val="both"/>
              <w:rPr>
                <w:rFonts w:eastAsia="Calibri"/>
                <w:sz w:val="20"/>
                <w:lang w:val="fr-CA"/>
              </w:rPr>
            </w:pPr>
          </w:p>
        </w:tc>
        <w:tc>
          <w:tcPr>
            <w:tcW w:w="2330" w:type="pct"/>
          </w:tcPr>
          <w:p w:rsidR="002813EF" w:rsidRPr="00B32C06" w:rsidRDefault="002813EF" w:rsidP="00C54A8E">
            <w:pPr>
              <w:jc w:val="both"/>
              <w:rPr>
                <w:rFonts w:eastAsia="Calibri"/>
                <w:sz w:val="20"/>
                <w:lang w:val="fr-CA"/>
              </w:rPr>
            </w:pPr>
            <w:r w:rsidRPr="00B32C06">
              <w:rPr>
                <w:rFonts w:eastAsia="Calibri"/>
                <w:sz w:val="20"/>
                <w:lang w:val="fr-CA"/>
              </w:rPr>
              <w:t>Demande d’autorisation de pourvoi déposée.</w:t>
            </w:r>
          </w:p>
          <w:p w:rsidR="002813EF" w:rsidRPr="00B32C06" w:rsidRDefault="002813EF" w:rsidP="00C54A8E">
            <w:pPr>
              <w:jc w:val="both"/>
              <w:rPr>
                <w:rFonts w:eastAsia="Calibri"/>
                <w:sz w:val="20"/>
                <w:lang w:val="fr-CA"/>
              </w:rPr>
            </w:pPr>
          </w:p>
        </w:tc>
      </w:tr>
    </w:tbl>
    <w:p w:rsidR="00C64AFA" w:rsidRPr="007A36D8" w:rsidRDefault="00C64AFA" w:rsidP="00C64AFA">
      <w:pPr>
        <w:rPr>
          <w:sz w:val="20"/>
          <w:szCs w:val="20"/>
          <w:lang w:val="fr-CA"/>
        </w:rPr>
      </w:pPr>
    </w:p>
    <w:p w:rsidR="00C64AFA" w:rsidRDefault="007505E6" w:rsidP="00C64AFA">
      <w:pPr>
        <w:rPr>
          <w:sz w:val="20"/>
          <w:szCs w:val="20"/>
        </w:rPr>
      </w:pPr>
      <w:r w:rsidRPr="007505E6">
        <w:rPr>
          <w:sz w:val="20"/>
          <w:szCs w:val="20"/>
          <w:lang w:val="fr-CA"/>
        </w:rPr>
        <w:pict>
          <v:rect id="_x0000_i1048"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A54F27" w:rsidTr="000A4857">
        <w:trPr>
          <w:cantSplit/>
        </w:trPr>
        <w:tc>
          <w:tcPr>
            <w:tcW w:w="1458" w:type="dxa"/>
          </w:tcPr>
          <w:p w:rsidR="000A4857" w:rsidRPr="00A54F27" w:rsidRDefault="000A4857" w:rsidP="000A4857">
            <w:pPr>
              <w:rPr>
                <w:sz w:val="20"/>
                <w:szCs w:val="20"/>
              </w:rPr>
            </w:pPr>
            <w:r w:rsidRPr="00A54F27">
              <w:rPr>
                <w:rStyle w:val="SCCFileNumberChar"/>
                <w:sz w:val="20"/>
                <w:szCs w:val="20"/>
              </w:rPr>
              <w:t>34415</w:t>
            </w:r>
          </w:p>
          <w:p w:rsidR="000A4857" w:rsidRPr="00A54F27" w:rsidRDefault="000A4857" w:rsidP="000A4857">
            <w:pPr>
              <w:rPr>
                <w:b/>
                <w:sz w:val="20"/>
                <w:szCs w:val="20"/>
                <w:lang w:val="fr-CA"/>
              </w:rPr>
            </w:pPr>
          </w:p>
        </w:tc>
        <w:tc>
          <w:tcPr>
            <w:tcW w:w="8118" w:type="dxa"/>
          </w:tcPr>
          <w:p w:rsidR="000A4857" w:rsidRPr="00A54F27" w:rsidRDefault="000A4857" w:rsidP="000A4857">
            <w:pPr>
              <w:jc w:val="both"/>
              <w:rPr>
                <w:sz w:val="20"/>
                <w:szCs w:val="20"/>
              </w:rPr>
            </w:pPr>
            <w:r w:rsidRPr="000A4857">
              <w:rPr>
                <w:rStyle w:val="SCCLsocChar"/>
                <w:sz w:val="20"/>
                <w:szCs w:val="20"/>
                <w:lang w:val="en-CA"/>
              </w:rPr>
              <w:t>3058354 Nova Scotia Company (on its own behalf and in a representative capacity on behalf of On*Site Equipment Partnership), 3217443 Nova Scotia Company, Aaron Silverman and On*Site Equipment (Partnership) v. On*Site Equipment Ltd., 1269863 Alberta Ltd., Robert Smith, and Heather Marshall</w:t>
            </w:r>
            <w:r w:rsidRPr="00A54F27">
              <w:rPr>
                <w:sz w:val="20"/>
                <w:szCs w:val="20"/>
              </w:rPr>
              <w:t xml:space="preserve"> (Alta.) (Civil) (By Leave)</w:t>
            </w:r>
          </w:p>
          <w:p w:rsidR="000A4857" w:rsidRPr="00A54F27" w:rsidRDefault="000A4857" w:rsidP="000A4857">
            <w:pPr>
              <w:rPr>
                <w:sz w:val="20"/>
                <w:szCs w:val="20"/>
              </w:rPr>
            </w:pPr>
          </w:p>
        </w:tc>
      </w:tr>
      <w:tr w:rsidR="000A4857" w:rsidRPr="00A54F27"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rPr>
            </w:pPr>
            <w:proofErr w:type="spellStart"/>
            <w:r w:rsidRPr="000A4857">
              <w:rPr>
                <w:rStyle w:val="SCCCoramChar"/>
                <w:sz w:val="20"/>
                <w:szCs w:val="20"/>
                <w:lang w:val="en-CA"/>
              </w:rPr>
              <w:t>McLachlin</w:t>
            </w:r>
            <w:proofErr w:type="spellEnd"/>
            <w:r w:rsidRPr="000A4857">
              <w:rPr>
                <w:rStyle w:val="SCCCoramChar"/>
                <w:sz w:val="20"/>
                <w:szCs w:val="20"/>
                <w:lang w:val="en-CA"/>
              </w:rPr>
              <w:t xml:space="preserve"> C.J. and Rothstein and </w:t>
            </w:r>
            <w:proofErr w:type="spellStart"/>
            <w:r w:rsidRPr="000A4857">
              <w:rPr>
                <w:rStyle w:val="SCCCoramChar"/>
                <w:sz w:val="20"/>
                <w:szCs w:val="20"/>
                <w:lang w:val="en-CA"/>
              </w:rPr>
              <w:t>Moldaver</w:t>
            </w:r>
            <w:proofErr w:type="spellEnd"/>
            <w:r w:rsidRPr="000A4857">
              <w:rPr>
                <w:rStyle w:val="SCCCoramChar"/>
                <w:sz w:val="20"/>
                <w:szCs w:val="20"/>
                <w:lang w:val="en-CA"/>
              </w:rPr>
              <w:t> JJ.</w:t>
            </w:r>
          </w:p>
          <w:p w:rsidR="000A4857" w:rsidRPr="00A54F27" w:rsidRDefault="000A4857" w:rsidP="000A4857">
            <w:pPr>
              <w:rPr>
                <w:sz w:val="20"/>
                <w:szCs w:val="20"/>
                <w:u w:val="single"/>
              </w:rPr>
            </w:pPr>
          </w:p>
        </w:tc>
      </w:tr>
      <w:tr w:rsidR="000A4857" w:rsidRPr="002D3F55" w:rsidTr="000A4857">
        <w:trPr>
          <w:cantSplit/>
        </w:trPr>
        <w:tc>
          <w:tcPr>
            <w:tcW w:w="9576" w:type="dxa"/>
            <w:gridSpan w:val="2"/>
          </w:tcPr>
          <w:p w:rsidR="000A4857" w:rsidRPr="00A54F27" w:rsidRDefault="000A4857" w:rsidP="000A4857">
            <w:pPr>
              <w:pStyle w:val="SCCShortJudgment"/>
              <w:rPr>
                <w:szCs w:val="20"/>
              </w:rPr>
            </w:pPr>
            <w:r w:rsidRPr="00A54F27">
              <w:rPr>
                <w:szCs w:val="20"/>
              </w:rPr>
              <w:t>The application for leave to appeal from the judgment of the Court of Appeal of Alberta (Calgary), Number 1001-0093-AC, 2011 ABCA 168, dated June 2, 2011, is  dismissed with costs.</w:t>
            </w:r>
          </w:p>
          <w:p w:rsidR="000A4857" w:rsidRPr="00A54F27" w:rsidRDefault="000A4857" w:rsidP="000A4857">
            <w:pPr>
              <w:pStyle w:val="SCCShortJudgment"/>
              <w:ind w:firstLine="0"/>
              <w:rPr>
                <w:szCs w:val="20"/>
              </w:rPr>
            </w:pPr>
          </w:p>
          <w:p w:rsidR="000A4857" w:rsidRPr="00A54F27" w:rsidRDefault="000A4857" w:rsidP="000A4857">
            <w:pPr>
              <w:pStyle w:val="SCCShortJudgment"/>
              <w:rPr>
                <w:szCs w:val="20"/>
                <w:lang w:val="fr-CA"/>
              </w:rPr>
            </w:pPr>
            <w:r w:rsidRPr="00A54F27">
              <w:rPr>
                <w:szCs w:val="20"/>
                <w:lang w:val="fr-CA"/>
              </w:rPr>
              <w:t>La demande d’autorisation d’appel de l’arrêt de la Cour d'appel de l’Alberta (Calgary), numéro 1001-0093-AC, 2011 ABCA 168, daté du 2 juin 2011, est rejetée avec dépens.</w:t>
            </w:r>
          </w:p>
        </w:tc>
      </w:tr>
    </w:tbl>
    <w:p w:rsidR="00C64AFA" w:rsidRPr="000A4857"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lastRenderedPageBreak/>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1AB5" w:rsidRPr="00B32C06" w:rsidTr="00C54A8E">
        <w:tc>
          <w:tcPr>
            <w:tcW w:w="5000" w:type="pct"/>
            <w:gridSpan w:val="3"/>
          </w:tcPr>
          <w:p w:rsidR="00761AB5" w:rsidRPr="00B32C06" w:rsidRDefault="00761AB5" w:rsidP="00C54A8E">
            <w:pPr>
              <w:jc w:val="both"/>
              <w:rPr>
                <w:rFonts w:eastAsia="Calibri"/>
                <w:sz w:val="20"/>
              </w:rPr>
            </w:pPr>
            <w:r w:rsidRPr="00B32C06">
              <w:rPr>
                <w:rFonts w:eastAsia="Calibri"/>
                <w:sz w:val="20"/>
              </w:rPr>
              <w:t>Commercial law – Partnerships – Fiduciary duty – Constructive trust – Damages – Punitive damages – Trial fairness – Whether the trustees of a business held on constructive trust due to breaches of fiduciary and partnership duties were entitled to damages caused to the business – Whether the trial judge was entitled to find that an interlocutory injunction had been improperly obtained and to award punitive damages based on a theory of liability not raised at trial, in pleadings, or in argument, without notice or an opportunity to respond – Whether punitive damages could be awarded even if the test for such damages was not made out where the claim for punitive damages was based on an undertaking to pay damages given in respect of an injunction.</w:t>
            </w:r>
          </w:p>
          <w:p w:rsidR="00761AB5" w:rsidRPr="00B32C06" w:rsidRDefault="00761AB5" w:rsidP="00C54A8E">
            <w:pPr>
              <w:jc w:val="both"/>
              <w:rPr>
                <w:rFonts w:eastAsia="Calibri"/>
                <w:sz w:val="20"/>
              </w:rPr>
            </w:pPr>
          </w:p>
        </w:tc>
      </w:tr>
      <w:tr w:rsidR="00761AB5" w:rsidRPr="00B32C06" w:rsidTr="00C54A8E">
        <w:tc>
          <w:tcPr>
            <w:tcW w:w="5000" w:type="pct"/>
            <w:gridSpan w:val="3"/>
          </w:tcPr>
          <w:p w:rsidR="00761AB5" w:rsidRPr="00B32C06" w:rsidRDefault="00761AB5" w:rsidP="00C54A8E">
            <w:pPr>
              <w:jc w:val="both"/>
              <w:rPr>
                <w:rFonts w:eastAsia="Calibri"/>
                <w:sz w:val="20"/>
              </w:rPr>
            </w:pPr>
            <w:r w:rsidRPr="00B32C06">
              <w:rPr>
                <w:rFonts w:eastAsia="Calibri"/>
                <w:sz w:val="20"/>
              </w:rPr>
              <w:t>In the course of the dissolution of a successful partnership, a principal of one partner (Smith) informed the principal of the other (Silverman) that he intended to open an office outside the area specified in the partnership’s non-competition agreement on his own. The partnership had decided not to open an office in that area and Silverman did not object. However, Smith used names similar to the partnership name and used partnership equipment. Silverman, in seeking to enjoin Smith’s new business from continuing, made an affidavit he knew or should have known to be false. He also gave an undertaking to pay damages flowing from the injunction if it was found to be wrongly granted. In preparation for trial, Silverman also provided information to the valuator which was either not proven, or inconsistent with other evidence at trial.</w:t>
            </w:r>
          </w:p>
          <w:p w:rsidR="00761AB5" w:rsidRPr="00B32C06" w:rsidRDefault="00761AB5" w:rsidP="00C54A8E">
            <w:pPr>
              <w:jc w:val="both"/>
              <w:rPr>
                <w:rFonts w:eastAsia="Calibri"/>
                <w:sz w:val="20"/>
              </w:rPr>
            </w:pPr>
          </w:p>
          <w:p w:rsidR="00761AB5" w:rsidRPr="00B32C06" w:rsidRDefault="00761AB5" w:rsidP="00C54A8E">
            <w:pPr>
              <w:jc w:val="both"/>
              <w:rPr>
                <w:rFonts w:eastAsia="Calibri"/>
                <w:sz w:val="20"/>
              </w:rPr>
            </w:pPr>
            <w:r w:rsidRPr="00B32C06">
              <w:rPr>
                <w:rFonts w:eastAsia="Calibri"/>
                <w:sz w:val="20"/>
              </w:rPr>
              <w:t>The trial judge, whose decision primarily concerned the valuation of the partnership, found that Smith had violated his fiduciary duties and that Silverman had repeatedly abused the court process with the intention of doing damage to Smith. He ordered Smith’s new company to account to the partnership for the profits derived in breach of Smith’s fiduciary duty, but also awarded punitive damages and costs in light of Silverman’s misconduct. An appeal was dismissed.</w:t>
            </w:r>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rPr>
            </w:pPr>
            <w:r w:rsidRPr="00B32C06">
              <w:rPr>
                <w:rFonts w:eastAsia="Calibri"/>
                <w:sz w:val="20"/>
              </w:rPr>
              <w:t>December 15, 2009</w:t>
            </w:r>
          </w:p>
          <w:p w:rsidR="00761AB5" w:rsidRPr="00B32C06" w:rsidRDefault="00761AB5" w:rsidP="00C54A8E">
            <w:pPr>
              <w:jc w:val="both"/>
              <w:rPr>
                <w:rFonts w:eastAsia="Calibri"/>
                <w:sz w:val="20"/>
              </w:rPr>
            </w:pPr>
            <w:r w:rsidRPr="00B32C06">
              <w:rPr>
                <w:rFonts w:eastAsia="Calibri"/>
                <w:sz w:val="20"/>
              </w:rPr>
              <w:t>Court of Queen’s Bench of Alberta</w:t>
            </w:r>
          </w:p>
          <w:p w:rsidR="00761AB5" w:rsidRPr="00B32C06" w:rsidRDefault="00761AB5" w:rsidP="00C54A8E">
            <w:pPr>
              <w:jc w:val="both"/>
              <w:rPr>
                <w:rFonts w:eastAsia="Calibri"/>
                <w:sz w:val="20"/>
              </w:rPr>
            </w:pPr>
            <w:r w:rsidRPr="00B32C06">
              <w:rPr>
                <w:rFonts w:eastAsia="Calibri"/>
                <w:sz w:val="20"/>
              </w:rPr>
              <w:t>(</w:t>
            </w:r>
            <w:proofErr w:type="spellStart"/>
            <w:r w:rsidRPr="00B32C06">
              <w:rPr>
                <w:rFonts w:eastAsia="Calibri"/>
                <w:sz w:val="20"/>
              </w:rPr>
              <w:t>Sulatycky</w:t>
            </w:r>
            <w:proofErr w:type="spellEnd"/>
            <w:r w:rsidRPr="00B32C06">
              <w:rPr>
                <w:rFonts w:eastAsia="Calibri"/>
                <w:sz w:val="20"/>
              </w:rPr>
              <w:t xml:space="preserve"> J.)</w:t>
            </w:r>
          </w:p>
          <w:p w:rsidR="00761AB5" w:rsidRPr="00B32C06" w:rsidRDefault="00761AB5" w:rsidP="00C54A8E">
            <w:pPr>
              <w:jc w:val="both"/>
              <w:rPr>
                <w:rFonts w:eastAsia="Calibri"/>
                <w:sz w:val="20"/>
              </w:rPr>
            </w:pPr>
            <w:r w:rsidRPr="00B32C06">
              <w:rPr>
                <w:rFonts w:eastAsia="Calibri"/>
                <w:sz w:val="20"/>
              </w:rPr>
              <w:t>Neutral citation: 2009 ABQB 741</w:t>
            </w:r>
          </w:p>
        </w:tc>
        <w:tc>
          <w:tcPr>
            <w:tcW w:w="243" w:type="pct"/>
          </w:tcPr>
          <w:p w:rsidR="00761AB5" w:rsidRPr="00B32C06" w:rsidRDefault="00761AB5" w:rsidP="00C54A8E">
            <w:pPr>
              <w:jc w:val="both"/>
              <w:rPr>
                <w:rFonts w:eastAsia="Calibri"/>
                <w:sz w:val="20"/>
              </w:rPr>
            </w:pPr>
          </w:p>
        </w:tc>
        <w:tc>
          <w:tcPr>
            <w:tcW w:w="2330" w:type="pct"/>
          </w:tcPr>
          <w:p w:rsidR="00761AB5" w:rsidRPr="00B32C06" w:rsidRDefault="00761AB5" w:rsidP="00C54A8E">
            <w:pPr>
              <w:jc w:val="both"/>
              <w:rPr>
                <w:rFonts w:eastAsia="Calibri"/>
                <w:sz w:val="20"/>
              </w:rPr>
            </w:pPr>
            <w:r w:rsidRPr="00B32C06">
              <w:rPr>
                <w:rFonts w:eastAsia="Calibri"/>
                <w:i/>
                <w:sz w:val="20"/>
              </w:rPr>
              <w:t>Inter alia</w:t>
            </w:r>
            <w:r w:rsidRPr="00B32C06">
              <w:rPr>
                <w:rFonts w:eastAsia="Calibri"/>
                <w:sz w:val="20"/>
              </w:rPr>
              <w:t>, motion for non-suit granted with specified costs; partnership valued; accounting for profits and damages ordered; punitive damages awarded; various other claims dismissed.</w:t>
            </w:r>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rPr>
            </w:pPr>
            <w:r w:rsidRPr="00B32C06">
              <w:rPr>
                <w:rFonts w:eastAsia="Calibri"/>
                <w:sz w:val="20"/>
              </w:rPr>
              <w:t>June 2, 2011</w:t>
            </w:r>
          </w:p>
          <w:p w:rsidR="00761AB5" w:rsidRPr="00B32C06" w:rsidRDefault="00761AB5" w:rsidP="00C54A8E">
            <w:pPr>
              <w:jc w:val="both"/>
              <w:rPr>
                <w:rFonts w:eastAsia="Calibri"/>
                <w:sz w:val="20"/>
              </w:rPr>
            </w:pPr>
            <w:r w:rsidRPr="00B32C06">
              <w:rPr>
                <w:rFonts w:eastAsia="Calibri"/>
                <w:sz w:val="20"/>
              </w:rPr>
              <w:t>Court of Appeal of Alberta (Calgary)</w:t>
            </w:r>
          </w:p>
          <w:p w:rsidR="00761AB5" w:rsidRPr="00B32C06" w:rsidRDefault="00761AB5" w:rsidP="00C54A8E">
            <w:pPr>
              <w:jc w:val="both"/>
              <w:rPr>
                <w:rFonts w:eastAsia="Calibri"/>
                <w:sz w:val="20"/>
              </w:rPr>
            </w:pPr>
            <w:r w:rsidRPr="00B32C06">
              <w:rPr>
                <w:rFonts w:eastAsia="Calibri"/>
                <w:sz w:val="20"/>
              </w:rPr>
              <w:t xml:space="preserve">(McFadyen, Berger, </w:t>
            </w:r>
            <w:proofErr w:type="spellStart"/>
            <w:r w:rsidRPr="00B32C06">
              <w:rPr>
                <w:rFonts w:eastAsia="Calibri"/>
                <w:sz w:val="20"/>
              </w:rPr>
              <w:t>Bielby</w:t>
            </w:r>
            <w:proofErr w:type="spellEnd"/>
            <w:r w:rsidRPr="00B32C06">
              <w:rPr>
                <w:rFonts w:eastAsia="Calibri"/>
                <w:sz w:val="20"/>
              </w:rPr>
              <w:t xml:space="preserve"> JJ.A.)</w:t>
            </w:r>
          </w:p>
          <w:p w:rsidR="00761AB5" w:rsidRPr="00B32C06" w:rsidRDefault="00761AB5" w:rsidP="00C54A8E">
            <w:pPr>
              <w:jc w:val="both"/>
              <w:rPr>
                <w:rFonts w:eastAsia="Calibri"/>
                <w:sz w:val="20"/>
              </w:rPr>
            </w:pPr>
            <w:r w:rsidRPr="00B32C06">
              <w:rPr>
                <w:rFonts w:eastAsia="Calibri"/>
                <w:sz w:val="20"/>
              </w:rPr>
              <w:t>Neutral citation: 2011 ABCA 168</w:t>
            </w:r>
          </w:p>
          <w:p w:rsidR="00761AB5" w:rsidRPr="00B32C06" w:rsidRDefault="00761AB5" w:rsidP="00C54A8E">
            <w:pPr>
              <w:jc w:val="both"/>
              <w:rPr>
                <w:rFonts w:eastAsia="Calibri"/>
                <w:sz w:val="20"/>
              </w:rPr>
            </w:pPr>
          </w:p>
        </w:tc>
        <w:tc>
          <w:tcPr>
            <w:tcW w:w="243" w:type="pct"/>
          </w:tcPr>
          <w:p w:rsidR="00761AB5" w:rsidRPr="00B32C06" w:rsidRDefault="00761AB5" w:rsidP="00C54A8E">
            <w:pPr>
              <w:jc w:val="both"/>
              <w:rPr>
                <w:rFonts w:eastAsia="Calibri"/>
                <w:sz w:val="20"/>
              </w:rPr>
            </w:pPr>
          </w:p>
        </w:tc>
        <w:tc>
          <w:tcPr>
            <w:tcW w:w="2330" w:type="pct"/>
          </w:tcPr>
          <w:p w:rsidR="00761AB5" w:rsidRPr="00B32C06" w:rsidRDefault="00761AB5" w:rsidP="00C54A8E">
            <w:pPr>
              <w:jc w:val="both"/>
              <w:rPr>
                <w:rFonts w:eastAsia="Calibri"/>
                <w:sz w:val="20"/>
              </w:rPr>
            </w:pPr>
            <w:r w:rsidRPr="00B32C06">
              <w:rPr>
                <w:rFonts w:eastAsia="Calibri"/>
                <w:sz w:val="20"/>
              </w:rPr>
              <w:t>Appeal dismissed</w:t>
            </w:r>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rPr>
            </w:pPr>
            <w:r w:rsidRPr="00B32C06">
              <w:rPr>
                <w:rFonts w:eastAsia="Calibri"/>
                <w:sz w:val="20"/>
              </w:rPr>
              <w:t>September 1, 2011</w:t>
            </w:r>
          </w:p>
          <w:p w:rsidR="00761AB5" w:rsidRPr="00B32C06" w:rsidRDefault="00761AB5" w:rsidP="00C54A8E">
            <w:pPr>
              <w:jc w:val="both"/>
              <w:rPr>
                <w:rFonts w:eastAsia="Calibri"/>
                <w:sz w:val="20"/>
              </w:rPr>
            </w:pPr>
            <w:r w:rsidRPr="00B32C06">
              <w:rPr>
                <w:rFonts w:eastAsia="Calibri"/>
                <w:sz w:val="20"/>
              </w:rPr>
              <w:t>Supreme Court of Canada</w:t>
            </w:r>
          </w:p>
        </w:tc>
        <w:tc>
          <w:tcPr>
            <w:tcW w:w="243" w:type="pct"/>
          </w:tcPr>
          <w:p w:rsidR="00761AB5" w:rsidRPr="00B32C06" w:rsidRDefault="00761AB5" w:rsidP="00C54A8E">
            <w:pPr>
              <w:jc w:val="both"/>
              <w:rPr>
                <w:rFonts w:eastAsia="Calibri"/>
                <w:sz w:val="20"/>
              </w:rPr>
            </w:pPr>
          </w:p>
        </w:tc>
        <w:tc>
          <w:tcPr>
            <w:tcW w:w="2330" w:type="pct"/>
          </w:tcPr>
          <w:p w:rsidR="00761AB5" w:rsidRPr="00B32C06" w:rsidRDefault="00761AB5" w:rsidP="00C54A8E">
            <w:pPr>
              <w:jc w:val="both"/>
              <w:rPr>
                <w:rFonts w:eastAsia="Calibri"/>
                <w:sz w:val="20"/>
              </w:rPr>
            </w:pPr>
            <w:r w:rsidRPr="00B32C06">
              <w:rPr>
                <w:rFonts w:eastAsia="Calibri"/>
                <w:sz w:val="20"/>
              </w:rPr>
              <w:t>Application for leave to appeal filed</w:t>
            </w:r>
          </w:p>
          <w:p w:rsidR="00761AB5" w:rsidRPr="00B32C06" w:rsidRDefault="00761AB5" w:rsidP="00C54A8E">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49"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1AB5" w:rsidRPr="002D3F55" w:rsidTr="00C54A8E">
        <w:tc>
          <w:tcPr>
            <w:tcW w:w="5000" w:type="pct"/>
            <w:gridSpan w:val="3"/>
          </w:tcPr>
          <w:p w:rsidR="00761AB5" w:rsidRPr="00B32C06" w:rsidRDefault="00761AB5" w:rsidP="00C54A8E">
            <w:pPr>
              <w:jc w:val="both"/>
              <w:rPr>
                <w:rFonts w:eastAsia="Calibri"/>
                <w:sz w:val="20"/>
                <w:lang w:val="fr-FR"/>
              </w:rPr>
            </w:pPr>
            <w:r w:rsidRPr="00B32C06">
              <w:rPr>
                <w:rFonts w:eastAsia="Calibri"/>
                <w:sz w:val="20"/>
                <w:lang w:val="fr-FR"/>
              </w:rPr>
              <w:t xml:space="preserve">Droit commercial – Sociétés de personnes – Obligation fiduciaire – Fiducie par interprétation </w:t>
            </w:r>
            <w:r w:rsidRPr="00B32C06">
              <w:rPr>
                <w:rFonts w:eastAsia="Calibri"/>
                <w:sz w:val="20"/>
                <w:lang w:val="fr-FR"/>
              </w:rPr>
              <w:noBreakHyphen/>
            </w:r>
            <w:r w:rsidRPr="00B32C06">
              <w:rPr>
                <w:rFonts w:eastAsia="Calibri"/>
                <w:sz w:val="20"/>
                <w:lang w:val="fr-FR"/>
              </w:rPr>
              <w:noBreakHyphen/>
              <w:t xml:space="preserve">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punitifs – Procès équitable – Les fiduciaires d’une entreprise détenue en fiducie par interprétation en raison de manquements à des obligations fiduciaires et à des obligations d’une société de personnes </w:t>
            </w:r>
            <w:proofErr w:type="spellStart"/>
            <w:r w:rsidRPr="00B32C06">
              <w:rPr>
                <w:rFonts w:eastAsia="Calibri"/>
                <w:sz w:val="20"/>
                <w:lang w:val="fr-FR"/>
              </w:rPr>
              <w:t>avaient</w:t>
            </w:r>
            <w:r w:rsidRPr="00B32C06">
              <w:rPr>
                <w:rFonts w:eastAsia="Calibri"/>
                <w:sz w:val="20"/>
                <w:lang w:val="fr-FR"/>
              </w:rPr>
              <w:noBreakHyphen/>
              <w:t>ils</w:t>
            </w:r>
            <w:proofErr w:type="spellEnd"/>
            <w:r w:rsidRPr="00B32C06">
              <w:rPr>
                <w:rFonts w:eastAsia="Calibri"/>
                <w:sz w:val="20"/>
                <w:lang w:val="fr-FR"/>
              </w:rPr>
              <w:t xml:space="preserve"> droit à des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pour le préjudice causé à l’entreprise? – Le juge du procès </w:t>
            </w:r>
            <w:proofErr w:type="spellStart"/>
            <w:r w:rsidRPr="00B32C06">
              <w:rPr>
                <w:rFonts w:eastAsia="Calibri"/>
                <w:sz w:val="20"/>
                <w:lang w:val="fr-FR"/>
              </w:rPr>
              <w:t>pouvait</w:t>
            </w:r>
            <w:r w:rsidRPr="00B32C06">
              <w:rPr>
                <w:rFonts w:eastAsia="Calibri"/>
                <w:sz w:val="20"/>
                <w:lang w:val="fr-FR"/>
              </w:rPr>
              <w:noBreakHyphen/>
              <w:t>il</w:t>
            </w:r>
            <w:proofErr w:type="spellEnd"/>
            <w:r w:rsidRPr="00B32C06">
              <w:rPr>
                <w:rFonts w:eastAsia="Calibri"/>
                <w:sz w:val="20"/>
                <w:lang w:val="fr-FR"/>
              </w:rPr>
              <w:t xml:space="preserve"> conclure à l’obtention irrégulière d’une injonction interlocutoire et octroyer des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punitifs en se fondant sur une thèse de la responsabilité qui n’a pas été invoquée au procès ni dans les actes de procédure ou dans les plaidoiries, et ce, sans avoir donné préavis de son intention de le faire ni fourni d’occasion d’y répondre? – </w:t>
            </w:r>
            <w:proofErr w:type="spellStart"/>
            <w:r w:rsidRPr="00B32C06">
              <w:rPr>
                <w:rFonts w:eastAsia="Calibri"/>
                <w:sz w:val="20"/>
                <w:lang w:val="fr-FR"/>
              </w:rPr>
              <w:t>Était</w:t>
            </w:r>
            <w:r w:rsidRPr="00B32C06">
              <w:rPr>
                <w:rFonts w:eastAsia="Calibri"/>
                <w:sz w:val="20"/>
                <w:lang w:val="fr-FR"/>
              </w:rPr>
              <w:noBreakHyphen/>
              <w:t>il</w:t>
            </w:r>
            <w:proofErr w:type="spellEnd"/>
            <w:r w:rsidRPr="00B32C06">
              <w:rPr>
                <w:rFonts w:eastAsia="Calibri"/>
                <w:sz w:val="20"/>
                <w:lang w:val="fr-FR"/>
              </w:rPr>
              <w:t xml:space="preserve"> possible d’octroyer des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punitifs même si on n’a pas répondu au critère qui s’appliquait à eux dans un cas où la demande de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punitifs reposait sur l’engagement de payer les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accordés relativement à une injonction? </w:t>
            </w:r>
          </w:p>
        </w:tc>
      </w:tr>
      <w:tr w:rsidR="00761AB5" w:rsidRPr="002D3F55" w:rsidTr="00C54A8E">
        <w:tc>
          <w:tcPr>
            <w:tcW w:w="5000" w:type="pct"/>
            <w:gridSpan w:val="3"/>
          </w:tcPr>
          <w:p w:rsidR="00761AB5" w:rsidRPr="00B32C06" w:rsidRDefault="00761AB5" w:rsidP="00C54A8E">
            <w:pPr>
              <w:jc w:val="both"/>
              <w:rPr>
                <w:rFonts w:eastAsia="Calibri"/>
                <w:sz w:val="20"/>
                <w:lang w:val="fr-FR"/>
              </w:rPr>
            </w:pPr>
          </w:p>
        </w:tc>
      </w:tr>
      <w:tr w:rsidR="00761AB5" w:rsidRPr="00B32C06" w:rsidTr="00C54A8E">
        <w:tc>
          <w:tcPr>
            <w:tcW w:w="5000" w:type="pct"/>
            <w:gridSpan w:val="3"/>
          </w:tcPr>
          <w:p w:rsidR="00761AB5" w:rsidRPr="00B32C06" w:rsidRDefault="00761AB5" w:rsidP="00C54A8E">
            <w:pPr>
              <w:jc w:val="both"/>
              <w:rPr>
                <w:rFonts w:eastAsia="Calibri"/>
                <w:sz w:val="20"/>
                <w:lang w:val="fr-FR"/>
              </w:rPr>
            </w:pPr>
            <w:r w:rsidRPr="00B32C06">
              <w:rPr>
                <w:rFonts w:eastAsia="Calibri"/>
                <w:sz w:val="20"/>
                <w:lang w:val="fr-FR"/>
              </w:rPr>
              <w:t>Lors de la dissolution d’une société de personnes connaissant du succès, le mandant d’un associé (M. Smith) a informé celui de l’autre associé (M. </w:t>
            </w:r>
            <w:proofErr w:type="spellStart"/>
            <w:r w:rsidRPr="00B32C06">
              <w:rPr>
                <w:rFonts w:eastAsia="Calibri"/>
                <w:sz w:val="20"/>
                <w:lang w:val="fr-FR"/>
              </w:rPr>
              <w:t>Silverman</w:t>
            </w:r>
            <w:proofErr w:type="spellEnd"/>
            <w:r w:rsidRPr="00B32C06">
              <w:rPr>
                <w:rFonts w:eastAsia="Calibri"/>
                <w:sz w:val="20"/>
                <w:lang w:val="fr-FR"/>
              </w:rPr>
              <w:t xml:space="preserve">) de son intention d’ouvrir pour son propre compte un bureau à l’extérieur de la zone délimitée dans l’accord de </w:t>
            </w:r>
            <w:proofErr w:type="spellStart"/>
            <w:r w:rsidRPr="00B32C06">
              <w:rPr>
                <w:rFonts w:eastAsia="Calibri"/>
                <w:sz w:val="20"/>
                <w:lang w:val="fr-FR"/>
              </w:rPr>
              <w:t>non</w:t>
            </w:r>
            <w:r w:rsidRPr="00B32C06">
              <w:rPr>
                <w:rFonts w:eastAsia="Calibri"/>
                <w:sz w:val="20"/>
                <w:lang w:val="fr-FR"/>
              </w:rPr>
              <w:noBreakHyphen/>
              <w:t>concurrence</w:t>
            </w:r>
            <w:proofErr w:type="spellEnd"/>
            <w:r w:rsidRPr="00B32C06">
              <w:rPr>
                <w:rFonts w:eastAsia="Calibri"/>
                <w:sz w:val="20"/>
                <w:lang w:val="fr-FR"/>
              </w:rPr>
              <w:t xml:space="preserve">. La société de personnes avait décidé de ne pas ouvrir de bureau dans cette région, mais M. </w:t>
            </w:r>
            <w:proofErr w:type="spellStart"/>
            <w:r w:rsidRPr="00B32C06">
              <w:rPr>
                <w:rFonts w:eastAsia="Calibri"/>
                <w:sz w:val="20"/>
                <w:lang w:val="fr-FR"/>
              </w:rPr>
              <w:t>Silverman</w:t>
            </w:r>
            <w:proofErr w:type="spellEnd"/>
            <w:r w:rsidRPr="00B32C06">
              <w:rPr>
                <w:rFonts w:eastAsia="Calibri"/>
                <w:sz w:val="20"/>
                <w:lang w:val="fr-FR"/>
              </w:rPr>
              <w:t xml:space="preserve"> ne s’y est pas opposé. Par contre, M. Smith s’est servi de noms semblables à celui de la société de personnes et a utilisé l’équipement de cette dernière.  En tentant d’interdire à la nouvelle entreprise de M. Smith de poursuivre ses activités, M. </w:t>
            </w:r>
            <w:proofErr w:type="spellStart"/>
            <w:r w:rsidRPr="00B32C06">
              <w:rPr>
                <w:rFonts w:eastAsia="Calibri"/>
                <w:sz w:val="20"/>
                <w:lang w:val="fr-FR"/>
              </w:rPr>
              <w:t>Silverman</w:t>
            </w:r>
            <w:proofErr w:type="spellEnd"/>
            <w:r w:rsidRPr="00B32C06">
              <w:rPr>
                <w:rFonts w:eastAsia="Calibri"/>
                <w:sz w:val="20"/>
                <w:lang w:val="fr-FR"/>
              </w:rPr>
              <w:t xml:space="preserve"> a établi un affidavit qu’il savait ou aurait dû savoir être faux. Il s’est aussi engagé à payer les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découlant de l’injonction si l’on concluait qu’elle avait été accordée à tort. Lors de la préparation du procès, M. </w:t>
            </w:r>
            <w:proofErr w:type="spellStart"/>
            <w:r w:rsidRPr="00B32C06">
              <w:rPr>
                <w:rFonts w:eastAsia="Calibri"/>
                <w:sz w:val="20"/>
                <w:lang w:val="fr-FR"/>
              </w:rPr>
              <w:t>Silverman</w:t>
            </w:r>
            <w:proofErr w:type="spellEnd"/>
            <w:r w:rsidRPr="00B32C06">
              <w:rPr>
                <w:rFonts w:eastAsia="Calibri"/>
                <w:sz w:val="20"/>
                <w:lang w:val="fr-FR"/>
              </w:rPr>
              <w:t xml:space="preserve"> a également fourni à l’évaluateur des renseignements dont l’exactitude n’avait pas établie ou qui étaient incompatibles avec d’autres éléments de preuve produits au procès. </w:t>
            </w:r>
          </w:p>
          <w:p w:rsidR="00761AB5" w:rsidRPr="00B32C06" w:rsidRDefault="00761AB5" w:rsidP="00C54A8E">
            <w:pPr>
              <w:jc w:val="both"/>
              <w:rPr>
                <w:rFonts w:eastAsia="Calibri"/>
                <w:sz w:val="20"/>
                <w:lang w:val="fr-FR"/>
              </w:rPr>
            </w:pPr>
          </w:p>
          <w:p w:rsidR="00761AB5" w:rsidRPr="00B32C06" w:rsidRDefault="00761AB5" w:rsidP="00C54A8E">
            <w:pPr>
              <w:jc w:val="both"/>
              <w:rPr>
                <w:rFonts w:eastAsia="Calibri"/>
                <w:sz w:val="20"/>
                <w:lang w:val="fr-FR"/>
              </w:rPr>
            </w:pPr>
            <w:r w:rsidRPr="00B32C06">
              <w:rPr>
                <w:rFonts w:eastAsia="Calibri"/>
                <w:sz w:val="20"/>
                <w:lang w:val="fr-FR"/>
              </w:rPr>
              <w:t xml:space="preserve">Le juge du procès, dont la décision porte principalement sur l’évaluation de la valeur de l’actif de la société de personnes, a estimé que M. Smith avait manqué à ses obligations fiduciaires et que M. </w:t>
            </w:r>
            <w:proofErr w:type="spellStart"/>
            <w:r w:rsidRPr="00B32C06">
              <w:rPr>
                <w:rFonts w:eastAsia="Calibri"/>
                <w:sz w:val="20"/>
                <w:lang w:val="fr-FR"/>
              </w:rPr>
              <w:t>Silverman</w:t>
            </w:r>
            <w:proofErr w:type="spellEnd"/>
            <w:r w:rsidRPr="00B32C06">
              <w:rPr>
                <w:rFonts w:eastAsia="Calibri"/>
                <w:sz w:val="20"/>
                <w:lang w:val="fr-FR"/>
              </w:rPr>
              <w:t xml:space="preserve"> avait abusé à maintes reprises de la procédure judiciaire dans le but de causer du tort à M. Smith. Le juge a ordonné à la nouvelle entreprise de M. Smith de rendre compte à la société de personnes des bénéfices enregistrés en violation de l’obligation fiduciaire de M. Smith, mais il a aussi accordé des </w:t>
            </w:r>
            <w:proofErr w:type="spellStart"/>
            <w:r w:rsidRPr="00B32C06">
              <w:rPr>
                <w:rFonts w:eastAsia="Calibri"/>
                <w:sz w:val="20"/>
                <w:lang w:val="fr-FR"/>
              </w:rPr>
              <w:t>dommages</w:t>
            </w:r>
            <w:r w:rsidRPr="00B32C06">
              <w:rPr>
                <w:rFonts w:eastAsia="Calibri"/>
                <w:sz w:val="20"/>
                <w:lang w:val="fr-FR"/>
              </w:rPr>
              <w:noBreakHyphen/>
              <w:t>intérêts</w:t>
            </w:r>
            <w:proofErr w:type="spellEnd"/>
            <w:r w:rsidRPr="00B32C06">
              <w:rPr>
                <w:rFonts w:eastAsia="Calibri"/>
                <w:sz w:val="20"/>
                <w:lang w:val="fr-FR"/>
              </w:rPr>
              <w:t xml:space="preserve"> punitifs et les dépens compte tenu de l’inconduite de M. </w:t>
            </w:r>
            <w:proofErr w:type="spellStart"/>
            <w:r w:rsidRPr="00B32C06">
              <w:rPr>
                <w:rFonts w:eastAsia="Calibri"/>
                <w:sz w:val="20"/>
                <w:lang w:val="fr-FR"/>
              </w:rPr>
              <w:t>Silverman</w:t>
            </w:r>
            <w:proofErr w:type="spellEnd"/>
            <w:r w:rsidRPr="00B32C06">
              <w:rPr>
                <w:rFonts w:eastAsia="Calibri"/>
                <w:sz w:val="20"/>
                <w:lang w:val="fr-FR"/>
              </w:rPr>
              <w:t>. Un appel a été rejeté.</w:t>
            </w:r>
          </w:p>
          <w:p w:rsidR="00761AB5" w:rsidRPr="00B32C06" w:rsidRDefault="00761AB5" w:rsidP="00C54A8E">
            <w:pPr>
              <w:jc w:val="both"/>
              <w:rPr>
                <w:rFonts w:eastAsia="Calibri"/>
                <w:sz w:val="20"/>
                <w:lang w:val="fr-FR"/>
              </w:rPr>
            </w:pPr>
          </w:p>
        </w:tc>
      </w:tr>
      <w:tr w:rsidR="00761AB5" w:rsidRPr="002D3F55" w:rsidTr="00C54A8E">
        <w:tc>
          <w:tcPr>
            <w:tcW w:w="2427" w:type="pct"/>
          </w:tcPr>
          <w:p w:rsidR="00761AB5" w:rsidRPr="00B32C06" w:rsidRDefault="00761AB5" w:rsidP="00C54A8E">
            <w:pPr>
              <w:jc w:val="both"/>
              <w:rPr>
                <w:rFonts w:eastAsia="Calibri"/>
                <w:sz w:val="20"/>
                <w:lang w:val="fr-FR"/>
              </w:rPr>
            </w:pPr>
            <w:r w:rsidRPr="00B32C06">
              <w:rPr>
                <w:rFonts w:eastAsia="Calibri"/>
                <w:sz w:val="20"/>
                <w:lang w:val="fr-FR"/>
              </w:rPr>
              <w:t>15 décembre 2009</w:t>
            </w:r>
          </w:p>
          <w:p w:rsidR="00761AB5" w:rsidRPr="00B32C06" w:rsidRDefault="00761AB5" w:rsidP="00C54A8E">
            <w:pPr>
              <w:jc w:val="both"/>
              <w:rPr>
                <w:rFonts w:eastAsia="Calibri"/>
                <w:sz w:val="20"/>
                <w:lang w:val="fr-FR"/>
              </w:rPr>
            </w:pPr>
            <w:r w:rsidRPr="00B32C06">
              <w:rPr>
                <w:rFonts w:eastAsia="Calibri"/>
                <w:sz w:val="20"/>
                <w:lang w:val="fr-FR"/>
              </w:rPr>
              <w:t>Cour du Banc de la Reine de l’Alberta</w:t>
            </w:r>
          </w:p>
          <w:p w:rsidR="00761AB5" w:rsidRPr="00B32C06" w:rsidRDefault="00761AB5" w:rsidP="00C54A8E">
            <w:pPr>
              <w:jc w:val="both"/>
              <w:rPr>
                <w:rFonts w:eastAsia="Calibri"/>
                <w:sz w:val="20"/>
                <w:lang w:val="fr-FR"/>
              </w:rPr>
            </w:pPr>
            <w:r w:rsidRPr="00B32C06">
              <w:rPr>
                <w:rFonts w:eastAsia="Calibri"/>
                <w:sz w:val="20"/>
                <w:lang w:val="fr-FR"/>
              </w:rPr>
              <w:t xml:space="preserve">(Juge </w:t>
            </w:r>
            <w:proofErr w:type="spellStart"/>
            <w:r w:rsidRPr="00B32C06">
              <w:rPr>
                <w:rFonts w:eastAsia="Calibri"/>
                <w:sz w:val="20"/>
                <w:lang w:val="fr-FR"/>
              </w:rPr>
              <w:t>Sulatycky</w:t>
            </w:r>
            <w:proofErr w:type="spellEnd"/>
            <w:r w:rsidRPr="00B32C06">
              <w:rPr>
                <w:rFonts w:eastAsia="Calibri"/>
                <w:sz w:val="20"/>
                <w:lang w:val="fr-FR"/>
              </w:rPr>
              <w:t>)</w:t>
            </w:r>
          </w:p>
          <w:p w:rsidR="00761AB5" w:rsidRPr="00B32C06" w:rsidRDefault="00761AB5" w:rsidP="00C54A8E">
            <w:pPr>
              <w:jc w:val="both"/>
              <w:rPr>
                <w:rFonts w:eastAsia="Calibri"/>
                <w:sz w:val="20"/>
                <w:lang w:val="fr-FR"/>
              </w:rPr>
            </w:pPr>
            <w:r w:rsidRPr="00B32C06">
              <w:rPr>
                <w:rFonts w:eastAsia="Calibri"/>
                <w:sz w:val="20"/>
                <w:lang w:val="fr-FR"/>
              </w:rPr>
              <w:t>Référence neutre : 2009 ABQB 741</w:t>
            </w:r>
          </w:p>
        </w:tc>
        <w:tc>
          <w:tcPr>
            <w:tcW w:w="243" w:type="pct"/>
          </w:tcPr>
          <w:p w:rsidR="00761AB5" w:rsidRPr="00B32C06" w:rsidRDefault="00761AB5" w:rsidP="00C54A8E">
            <w:pPr>
              <w:jc w:val="both"/>
              <w:rPr>
                <w:rFonts w:eastAsia="Calibri"/>
                <w:sz w:val="20"/>
                <w:lang w:val="fr-FR"/>
              </w:rPr>
            </w:pPr>
          </w:p>
        </w:tc>
        <w:tc>
          <w:tcPr>
            <w:tcW w:w="2330" w:type="pct"/>
          </w:tcPr>
          <w:p w:rsidR="00761AB5" w:rsidRPr="00B32C06" w:rsidRDefault="00761AB5" w:rsidP="00C54A8E">
            <w:pPr>
              <w:jc w:val="both"/>
              <w:rPr>
                <w:rFonts w:eastAsia="Calibri"/>
                <w:sz w:val="20"/>
                <w:lang w:val="fr-FR"/>
              </w:rPr>
            </w:pPr>
            <w:r w:rsidRPr="00B32C06">
              <w:rPr>
                <w:rFonts w:eastAsia="Calibri"/>
                <w:sz w:val="20"/>
                <w:lang w:val="fr-FR"/>
              </w:rPr>
              <w:t xml:space="preserve">Entre autres choses, requête en </w:t>
            </w:r>
            <w:proofErr w:type="spellStart"/>
            <w:r w:rsidRPr="00B32C06">
              <w:rPr>
                <w:rFonts w:eastAsia="Calibri"/>
                <w:sz w:val="20"/>
                <w:lang w:val="fr-FR"/>
              </w:rPr>
              <w:t>non</w:t>
            </w:r>
            <w:r w:rsidRPr="00B32C06">
              <w:rPr>
                <w:rFonts w:eastAsia="Calibri"/>
                <w:sz w:val="20"/>
                <w:lang w:val="fr-FR"/>
              </w:rPr>
              <w:noBreakHyphen/>
              <w:t>lieu</w:t>
            </w:r>
            <w:proofErr w:type="spellEnd"/>
            <w:r w:rsidRPr="00B32C06">
              <w:rPr>
                <w:rFonts w:eastAsia="Calibri"/>
                <w:sz w:val="20"/>
                <w:lang w:val="fr-FR"/>
              </w:rPr>
              <w:t xml:space="preserve"> accueillie avec dépens d’un montant précisé; valeur de l’actif de la société de personnes évaluée; comptabilisation des bénéfices et des dommages ordonnée; dommages-intérêts punitifs adjugés; plusieurs autres demandes rejetées.</w:t>
            </w:r>
          </w:p>
          <w:p w:rsidR="00761AB5" w:rsidRPr="00B32C06" w:rsidRDefault="00761AB5" w:rsidP="00C54A8E">
            <w:pPr>
              <w:jc w:val="both"/>
              <w:rPr>
                <w:rFonts w:eastAsia="Calibri"/>
                <w:sz w:val="20"/>
                <w:lang w:val="fr-FR"/>
              </w:rPr>
            </w:pPr>
          </w:p>
        </w:tc>
      </w:tr>
      <w:tr w:rsidR="00761AB5" w:rsidRPr="00B32C06" w:rsidTr="00C54A8E">
        <w:tc>
          <w:tcPr>
            <w:tcW w:w="2427" w:type="pct"/>
          </w:tcPr>
          <w:p w:rsidR="00761AB5" w:rsidRPr="00B32C06" w:rsidRDefault="00761AB5" w:rsidP="00C54A8E">
            <w:pPr>
              <w:jc w:val="both"/>
              <w:rPr>
                <w:rFonts w:eastAsia="Calibri"/>
                <w:sz w:val="20"/>
                <w:lang w:val="fr-FR"/>
              </w:rPr>
            </w:pPr>
            <w:r w:rsidRPr="00B32C06">
              <w:rPr>
                <w:rFonts w:eastAsia="Calibri"/>
                <w:sz w:val="20"/>
                <w:lang w:val="fr-FR"/>
              </w:rPr>
              <w:t>2 juin 2011</w:t>
            </w:r>
          </w:p>
          <w:p w:rsidR="00761AB5" w:rsidRPr="00B32C06" w:rsidRDefault="00761AB5" w:rsidP="00C54A8E">
            <w:pPr>
              <w:jc w:val="both"/>
              <w:rPr>
                <w:rFonts w:eastAsia="Calibri"/>
                <w:sz w:val="20"/>
                <w:lang w:val="fr-FR"/>
              </w:rPr>
            </w:pPr>
            <w:r w:rsidRPr="00B32C06">
              <w:rPr>
                <w:rFonts w:eastAsia="Calibri"/>
                <w:sz w:val="20"/>
                <w:lang w:val="fr-FR"/>
              </w:rPr>
              <w:t>Cour d’appel de l’Alberta (Calgary)</w:t>
            </w:r>
          </w:p>
          <w:p w:rsidR="00761AB5" w:rsidRPr="00B32C06" w:rsidRDefault="00761AB5" w:rsidP="00C54A8E">
            <w:pPr>
              <w:jc w:val="both"/>
              <w:rPr>
                <w:rFonts w:eastAsia="Calibri"/>
                <w:sz w:val="20"/>
                <w:lang w:val="fr-FR"/>
              </w:rPr>
            </w:pPr>
            <w:r w:rsidRPr="00B32C06">
              <w:rPr>
                <w:rFonts w:eastAsia="Calibri"/>
                <w:sz w:val="20"/>
                <w:lang w:val="fr-FR"/>
              </w:rPr>
              <w:t xml:space="preserve">(Juges McFadyen, Berger et </w:t>
            </w:r>
            <w:proofErr w:type="spellStart"/>
            <w:r w:rsidRPr="00B32C06">
              <w:rPr>
                <w:rFonts w:eastAsia="Calibri"/>
                <w:sz w:val="20"/>
                <w:lang w:val="fr-FR"/>
              </w:rPr>
              <w:t>Bielby</w:t>
            </w:r>
            <w:proofErr w:type="spellEnd"/>
            <w:r w:rsidRPr="00B32C06">
              <w:rPr>
                <w:rFonts w:eastAsia="Calibri"/>
                <w:sz w:val="20"/>
                <w:lang w:val="fr-FR"/>
              </w:rPr>
              <w:t>)</w:t>
            </w:r>
          </w:p>
          <w:p w:rsidR="00761AB5" w:rsidRPr="00B32C06" w:rsidRDefault="00761AB5" w:rsidP="00C54A8E">
            <w:pPr>
              <w:jc w:val="both"/>
              <w:rPr>
                <w:rFonts w:eastAsia="Calibri"/>
                <w:sz w:val="20"/>
                <w:lang w:val="fr-FR"/>
              </w:rPr>
            </w:pPr>
            <w:r w:rsidRPr="00B32C06">
              <w:rPr>
                <w:rFonts w:eastAsia="Calibri"/>
                <w:sz w:val="20"/>
                <w:lang w:val="fr-FR"/>
              </w:rPr>
              <w:t>Référence neutre : 2011 ABCA 168</w:t>
            </w:r>
          </w:p>
          <w:p w:rsidR="00761AB5" w:rsidRPr="00B32C06" w:rsidRDefault="00761AB5" w:rsidP="00C54A8E">
            <w:pPr>
              <w:jc w:val="both"/>
              <w:rPr>
                <w:rFonts w:eastAsia="Calibri"/>
                <w:sz w:val="20"/>
                <w:lang w:val="fr-FR"/>
              </w:rPr>
            </w:pPr>
          </w:p>
        </w:tc>
        <w:tc>
          <w:tcPr>
            <w:tcW w:w="243" w:type="pct"/>
          </w:tcPr>
          <w:p w:rsidR="00761AB5" w:rsidRPr="00B32C06" w:rsidRDefault="00761AB5" w:rsidP="00C54A8E">
            <w:pPr>
              <w:jc w:val="both"/>
              <w:rPr>
                <w:rFonts w:eastAsia="Calibri"/>
                <w:sz w:val="20"/>
                <w:lang w:val="fr-FR"/>
              </w:rPr>
            </w:pPr>
          </w:p>
        </w:tc>
        <w:tc>
          <w:tcPr>
            <w:tcW w:w="2330" w:type="pct"/>
          </w:tcPr>
          <w:p w:rsidR="00761AB5" w:rsidRPr="00B32C06" w:rsidRDefault="00761AB5" w:rsidP="00C54A8E">
            <w:pPr>
              <w:jc w:val="both"/>
              <w:rPr>
                <w:rFonts w:eastAsia="Calibri"/>
                <w:sz w:val="20"/>
              </w:rPr>
            </w:pPr>
            <w:proofErr w:type="spellStart"/>
            <w:r w:rsidRPr="00B32C06">
              <w:rPr>
                <w:rFonts w:eastAsia="Calibri"/>
                <w:sz w:val="20"/>
              </w:rPr>
              <w:t>Appel</w:t>
            </w:r>
            <w:proofErr w:type="spellEnd"/>
            <w:r w:rsidRPr="00B32C06">
              <w:rPr>
                <w:rFonts w:eastAsia="Calibri"/>
                <w:sz w:val="20"/>
              </w:rPr>
              <w:t xml:space="preserve"> </w:t>
            </w:r>
            <w:proofErr w:type="spellStart"/>
            <w:r w:rsidRPr="00B32C06">
              <w:rPr>
                <w:rFonts w:eastAsia="Calibri"/>
                <w:sz w:val="20"/>
              </w:rPr>
              <w:t>rejeté</w:t>
            </w:r>
            <w:proofErr w:type="spellEnd"/>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lang w:val="fr-FR"/>
              </w:rPr>
            </w:pPr>
            <w:r w:rsidRPr="00B32C06">
              <w:rPr>
                <w:rFonts w:eastAsia="Calibri"/>
                <w:sz w:val="20"/>
                <w:lang w:val="fr-FR"/>
              </w:rPr>
              <w:t>1</w:t>
            </w:r>
            <w:r w:rsidRPr="00B32C06">
              <w:rPr>
                <w:rFonts w:eastAsia="Calibri"/>
                <w:sz w:val="20"/>
                <w:vertAlign w:val="superscript"/>
                <w:lang w:val="fr-FR"/>
              </w:rPr>
              <w:t>er</w:t>
            </w:r>
            <w:r w:rsidRPr="00B32C06">
              <w:rPr>
                <w:rFonts w:eastAsia="Calibri"/>
                <w:sz w:val="20"/>
                <w:lang w:val="fr-FR"/>
              </w:rPr>
              <w:t xml:space="preserve"> septembre 2011</w:t>
            </w:r>
          </w:p>
          <w:p w:rsidR="00761AB5" w:rsidRPr="00B32C06" w:rsidRDefault="00761AB5" w:rsidP="00C54A8E">
            <w:pPr>
              <w:jc w:val="both"/>
              <w:rPr>
                <w:rFonts w:eastAsia="Calibri"/>
                <w:sz w:val="20"/>
                <w:lang w:val="fr-FR"/>
              </w:rPr>
            </w:pPr>
            <w:r w:rsidRPr="00B32C06">
              <w:rPr>
                <w:rFonts w:eastAsia="Calibri"/>
                <w:sz w:val="20"/>
                <w:lang w:val="fr-FR"/>
              </w:rPr>
              <w:t>Cour suprême du Canada</w:t>
            </w:r>
          </w:p>
        </w:tc>
        <w:tc>
          <w:tcPr>
            <w:tcW w:w="243" w:type="pct"/>
          </w:tcPr>
          <w:p w:rsidR="00761AB5" w:rsidRPr="00B32C06" w:rsidRDefault="00761AB5" w:rsidP="00C54A8E">
            <w:pPr>
              <w:jc w:val="both"/>
              <w:rPr>
                <w:rFonts w:eastAsia="Calibri"/>
                <w:sz w:val="20"/>
                <w:lang w:val="fr-FR"/>
              </w:rPr>
            </w:pPr>
          </w:p>
        </w:tc>
        <w:tc>
          <w:tcPr>
            <w:tcW w:w="2330" w:type="pct"/>
          </w:tcPr>
          <w:p w:rsidR="00761AB5" w:rsidRPr="00B32C06" w:rsidRDefault="00761AB5" w:rsidP="00C54A8E">
            <w:pPr>
              <w:jc w:val="both"/>
              <w:rPr>
                <w:rFonts w:eastAsia="Calibri"/>
                <w:sz w:val="20"/>
              </w:rPr>
            </w:pPr>
            <w:proofErr w:type="spellStart"/>
            <w:r w:rsidRPr="00B32C06">
              <w:rPr>
                <w:rFonts w:eastAsia="Calibri"/>
                <w:sz w:val="20"/>
              </w:rPr>
              <w:t>Demande</w:t>
            </w:r>
            <w:proofErr w:type="spellEnd"/>
            <w:r w:rsidRPr="00B32C06">
              <w:rPr>
                <w:rFonts w:eastAsia="Calibri"/>
                <w:sz w:val="20"/>
              </w:rPr>
              <w:t xml:space="preserve"> </w:t>
            </w:r>
            <w:proofErr w:type="spellStart"/>
            <w:r w:rsidRPr="00B32C06">
              <w:rPr>
                <w:rFonts w:eastAsia="Calibri"/>
                <w:sz w:val="20"/>
              </w:rPr>
              <w:t>d’autorisation</w:t>
            </w:r>
            <w:proofErr w:type="spellEnd"/>
            <w:r w:rsidRPr="00B32C06">
              <w:rPr>
                <w:rFonts w:eastAsia="Calibri"/>
                <w:sz w:val="20"/>
              </w:rPr>
              <w:t xml:space="preserve"> </w:t>
            </w:r>
            <w:proofErr w:type="spellStart"/>
            <w:r w:rsidRPr="00B32C06">
              <w:rPr>
                <w:rFonts w:eastAsia="Calibri"/>
                <w:sz w:val="20"/>
              </w:rPr>
              <w:t>d’appel</w:t>
            </w:r>
            <w:proofErr w:type="spellEnd"/>
            <w:r w:rsidRPr="00B32C06">
              <w:rPr>
                <w:rFonts w:eastAsia="Calibri"/>
                <w:sz w:val="20"/>
              </w:rPr>
              <w:t xml:space="preserve"> </w:t>
            </w:r>
            <w:proofErr w:type="spellStart"/>
            <w:r w:rsidRPr="00B32C06">
              <w:rPr>
                <w:rFonts w:eastAsia="Calibri"/>
                <w:sz w:val="20"/>
              </w:rPr>
              <w:t>déposée</w:t>
            </w:r>
            <w:proofErr w:type="spellEnd"/>
            <w:r w:rsidRPr="00B32C06">
              <w:rPr>
                <w:rFonts w:eastAsia="Calibri"/>
                <w:sz w:val="20"/>
              </w:rPr>
              <w:t xml:space="preserve"> </w:t>
            </w:r>
          </w:p>
          <w:p w:rsidR="00761AB5" w:rsidRPr="00B32C06" w:rsidRDefault="00761AB5" w:rsidP="00C54A8E">
            <w:pPr>
              <w:jc w:val="both"/>
              <w:rPr>
                <w:rFonts w:eastAsia="Calibri"/>
                <w:sz w:val="20"/>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50"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A54F27" w:rsidTr="000A4857">
        <w:trPr>
          <w:cantSplit/>
        </w:trPr>
        <w:tc>
          <w:tcPr>
            <w:tcW w:w="1458" w:type="dxa"/>
          </w:tcPr>
          <w:p w:rsidR="000A4857" w:rsidRPr="00A54F27" w:rsidRDefault="000A4857" w:rsidP="000A4857">
            <w:pPr>
              <w:rPr>
                <w:sz w:val="20"/>
                <w:szCs w:val="20"/>
              </w:rPr>
            </w:pPr>
            <w:r w:rsidRPr="00A54F27">
              <w:rPr>
                <w:rStyle w:val="SCCFileNumberChar"/>
                <w:sz w:val="20"/>
                <w:szCs w:val="20"/>
              </w:rPr>
              <w:t>34425</w:t>
            </w:r>
          </w:p>
          <w:p w:rsidR="000A4857" w:rsidRPr="00A54F27" w:rsidRDefault="000A4857" w:rsidP="000A4857">
            <w:pPr>
              <w:rPr>
                <w:b/>
                <w:sz w:val="20"/>
                <w:szCs w:val="20"/>
                <w:lang w:val="fr-CA"/>
              </w:rPr>
            </w:pPr>
          </w:p>
        </w:tc>
        <w:tc>
          <w:tcPr>
            <w:tcW w:w="8118" w:type="dxa"/>
          </w:tcPr>
          <w:p w:rsidR="000A4857" w:rsidRPr="00A54F27" w:rsidRDefault="000A4857" w:rsidP="000A4857">
            <w:pPr>
              <w:rPr>
                <w:sz w:val="20"/>
                <w:szCs w:val="20"/>
              </w:rPr>
            </w:pPr>
            <w:proofErr w:type="spellStart"/>
            <w:r w:rsidRPr="000A4857">
              <w:rPr>
                <w:rStyle w:val="SCCLsocChar"/>
                <w:sz w:val="20"/>
                <w:szCs w:val="20"/>
                <w:lang w:val="en-CA"/>
              </w:rPr>
              <w:t>Lubov</w:t>
            </w:r>
            <w:proofErr w:type="spellEnd"/>
            <w:r w:rsidRPr="000A4857">
              <w:rPr>
                <w:rStyle w:val="SCCLsocChar"/>
                <w:sz w:val="20"/>
                <w:szCs w:val="20"/>
                <w:lang w:val="en-CA"/>
              </w:rPr>
              <w:t xml:space="preserve"> </w:t>
            </w:r>
            <w:proofErr w:type="spellStart"/>
            <w:r w:rsidRPr="000A4857">
              <w:rPr>
                <w:rStyle w:val="SCCLsocChar"/>
                <w:sz w:val="20"/>
                <w:szCs w:val="20"/>
                <w:lang w:val="en-CA"/>
              </w:rPr>
              <w:t>Volnyansky</w:t>
            </w:r>
            <w:proofErr w:type="spellEnd"/>
            <w:r w:rsidRPr="000A4857">
              <w:rPr>
                <w:rStyle w:val="SCCLsocChar"/>
                <w:sz w:val="20"/>
                <w:szCs w:val="20"/>
                <w:lang w:val="en-CA"/>
              </w:rPr>
              <w:t xml:space="preserve"> v. Regional Municipality of Peel</w:t>
            </w:r>
            <w:r w:rsidRPr="00A54F27">
              <w:rPr>
                <w:sz w:val="20"/>
                <w:szCs w:val="20"/>
              </w:rPr>
              <w:t xml:space="preserve"> (Ont.) (Civil) (By Leave)</w:t>
            </w:r>
          </w:p>
          <w:p w:rsidR="000A4857" w:rsidRPr="00A54F27" w:rsidRDefault="000A4857" w:rsidP="000A4857">
            <w:pPr>
              <w:rPr>
                <w:sz w:val="20"/>
                <w:szCs w:val="20"/>
              </w:rPr>
            </w:pPr>
          </w:p>
        </w:tc>
      </w:tr>
      <w:tr w:rsidR="000A4857" w:rsidRPr="00A54F27"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rPr>
            </w:pPr>
            <w:proofErr w:type="spellStart"/>
            <w:r w:rsidRPr="000A4857">
              <w:rPr>
                <w:rStyle w:val="SCCCoramChar"/>
                <w:sz w:val="20"/>
                <w:szCs w:val="20"/>
                <w:lang w:val="en-CA"/>
              </w:rPr>
              <w:t>Deschamps</w:t>
            </w:r>
            <w:proofErr w:type="spellEnd"/>
            <w:r w:rsidRPr="000A4857">
              <w:rPr>
                <w:rStyle w:val="SCCCoramChar"/>
                <w:sz w:val="20"/>
                <w:szCs w:val="20"/>
                <w:lang w:val="en-CA"/>
              </w:rPr>
              <w:t xml:space="preserve">, Fish and </w:t>
            </w:r>
            <w:proofErr w:type="spellStart"/>
            <w:r w:rsidRPr="000A4857">
              <w:rPr>
                <w:rStyle w:val="SCCCoramChar"/>
                <w:sz w:val="20"/>
                <w:szCs w:val="20"/>
                <w:lang w:val="en-CA"/>
              </w:rPr>
              <w:t>Karakatsanis</w:t>
            </w:r>
            <w:proofErr w:type="spellEnd"/>
            <w:r w:rsidRPr="000A4857">
              <w:rPr>
                <w:rStyle w:val="SCCCoramChar"/>
                <w:sz w:val="20"/>
                <w:szCs w:val="20"/>
                <w:lang w:val="en-CA"/>
              </w:rPr>
              <w:t> JJ.</w:t>
            </w:r>
          </w:p>
          <w:p w:rsidR="000A4857" w:rsidRPr="00A54F27" w:rsidRDefault="000A4857" w:rsidP="000A4857">
            <w:pPr>
              <w:rPr>
                <w:sz w:val="20"/>
                <w:szCs w:val="20"/>
                <w:u w:val="single"/>
              </w:rPr>
            </w:pPr>
          </w:p>
        </w:tc>
      </w:tr>
      <w:tr w:rsidR="000A4857" w:rsidRPr="002D3F55" w:rsidTr="000A4857">
        <w:trPr>
          <w:cantSplit/>
        </w:trPr>
        <w:tc>
          <w:tcPr>
            <w:tcW w:w="9576" w:type="dxa"/>
            <w:gridSpan w:val="2"/>
          </w:tcPr>
          <w:p w:rsidR="000A4857" w:rsidRPr="00A54F27" w:rsidRDefault="000A4857" w:rsidP="000A4857">
            <w:pPr>
              <w:pStyle w:val="SCCShortJudgment"/>
              <w:rPr>
                <w:szCs w:val="20"/>
              </w:rPr>
            </w:pPr>
            <w:r w:rsidRPr="00A54F27">
              <w:rPr>
                <w:szCs w:val="20"/>
              </w:rPr>
              <w:t>The application for leave to appeal from the judgment of the Court of Appeal for Ontario, Numbers C53384 and C53392,  2011 ONCA 434, dated June 3, 2011, is dismissed without costs.</w:t>
            </w:r>
          </w:p>
          <w:p w:rsidR="000A4857" w:rsidRPr="00A54F27" w:rsidRDefault="000A4857" w:rsidP="000A4857">
            <w:pPr>
              <w:pStyle w:val="SCCShortJudgment"/>
              <w:ind w:firstLine="0"/>
              <w:rPr>
                <w:szCs w:val="20"/>
              </w:rPr>
            </w:pPr>
          </w:p>
          <w:p w:rsidR="000A4857" w:rsidRPr="00A54F27" w:rsidRDefault="000A4857" w:rsidP="000A4857">
            <w:pPr>
              <w:pStyle w:val="SCCShortJudgment"/>
              <w:rPr>
                <w:szCs w:val="20"/>
                <w:lang w:val="fr-CA"/>
              </w:rPr>
            </w:pPr>
            <w:r w:rsidRPr="00A54F27">
              <w:rPr>
                <w:szCs w:val="20"/>
                <w:lang w:val="fr-CA"/>
              </w:rPr>
              <w:t>La demande d’autorisation d’appel de l’arrêt de la Cour d’appel de l’Ontario, numéros C53384 et C53392, 2011 ONCA 434, daté du 3 juin 2011, est rejetée sans dépens.</w:t>
            </w:r>
          </w:p>
        </w:tc>
      </w:tr>
    </w:tbl>
    <w:p w:rsidR="00C64AFA" w:rsidRPr="000A4857"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1AB5" w:rsidRPr="00B32C06" w:rsidTr="00C54A8E">
        <w:tc>
          <w:tcPr>
            <w:tcW w:w="5000" w:type="pct"/>
            <w:gridSpan w:val="3"/>
          </w:tcPr>
          <w:p w:rsidR="00761AB5" w:rsidRPr="00B32C06" w:rsidRDefault="00761AB5" w:rsidP="00C54A8E">
            <w:pPr>
              <w:jc w:val="both"/>
              <w:rPr>
                <w:rFonts w:eastAsia="Calibri"/>
                <w:sz w:val="20"/>
              </w:rPr>
            </w:pPr>
            <w:r w:rsidRPr="00B32C06">
              <w:rPr>
                <w:rFonts w:eastAsia="Calibri"/>
                <w:i/>
                <w:sz w:val="20"/>
              </w:rPr>
              <w:t>Charter of Rights</w:t>
            </w:r>
            <w:r w:rsidRPr="00B32C06">
              <w:rPr>
                <w:rFonts w:eastAsia="Calibri"/>
                <w:sz w:val="20"/>
              </w:rPr>
              <w:t xml:space="preserve"> – Equality rights – Finding by Social Benefits Tribunal that Applicant received overpayments of social benefits – Whether Social Benefits Tribunal violated Supreme Court of Canada order by declining to exercise jurisdiction under the </w:t>
            </w:r>
            <w:r w:rsidRPr="00B32C06">
              <w:rPr>
                <w:rFonts w:eastAsia="Calibri"/>
                <w:i/>
                <w:sz w:val="20"/>
              </w:rPr>
              <w:t>Ontario Human Rights Code</w:t>
            </w:r>
            <w:r w:rsidRPr="00B32C06">
              <w:rPr>
                <w:rFonts w:eastAsia="Calibri"/>
                <w:sz w:val="20"/>
              </w:rPr>
              <w:t xml:space="preserve"> – Whether Court of Appeal erred in law – Whether there has been </w:t>
            </w:r>
            <w:r w:rsidRPr="00B32C06">
              <w:rPr>
                <w:rFonts w:eastAsia="Calibri"/>
                <w:sz w:val="20"/>
              </w:rPr>
              <w:lastRenderedPageBreak/>
              <w:t>a miscarriage of justice.</w:t>
            </w:r>
          </w:p>
        </w:tc>
      </w:tr>
      <w:tr w:rsidR="00761AB5" w:rsidRPr="00B32C06" w:rsidTr="00C54A8E">
        <w:tc>
          <w:tcPr>
            <w:tcW w:w="5000" w:type="pct"/>
            <w:gridSpan w:val="3"/>
          </w:tcPr>
          <w:p w:rsidR="00761AB5" w:rsidRPr="00B32C06" w:rsidRDefault="00761AB5" w:rsidP="00C54A8E">
            <w:pPr>
              <w:jc w:val="both"/>
              <w:rPr>
                <w:rFonts w:eastAsia="Calibri"/>
                <w:sz w:val="20"/>
              </w:rPr>
            </w:pPr>
          </w:p>
        </w:tc>
      </w:tr>
      <w:tr w:rsidR="00761AB5" w:rsidRPr="00B32C06" w:rsidTr="00C54A8E">
        <w:tc>
          <w:tcPr>
            <w:tcW w:w="5000" w:type="pct"/>
            <w:gridSpan w:val="3"/>
          </w:tcPr>
          <w:p w:rsidR="00761AB5" w:rsidRPr="00B32C06" w:rsidRDefault="00761AB5" w:rsidP="00C54A8E">
            <w:pPr>
              <w:jc w:val="both"/>
              <w:rPr>
                <w:rFonts w:eastAsia="Calibri"/>
                <w:sz w:val="20"/>
              </w:rPr>
            </w:pPr>
            <w:r w:rsidRPr="00B32C06">
              <w:rPr>
                <w:rFonts w:eastAsia="Calibri"/>
                <w:sz w:val="20"/>
              </w:rPr>
              <w:t xml:space="preserve">Ms. </w:t>
            </w:r>
            <w:proofErr w:type="spellStart"/>
            <w:r w:rsidRPr="00B32C06">
              <w:rPr>
                <w:rFonts w:eastAsia="Calibri"/>
                <w:sz w:val="20"/>
              </w:rPr>
              <w:t>Volnyansky</w:t>
            </w:r>
            <w:proofErr w:type="spellEnd"/>
            <w:r w:rsidRPr="00B32C06">
              <w:rPr>
                <w:rFonts w:eastAsia="Calibri"/>
                <w:sz w:val="20"/>
              </w:rPr>
              <w:t xml:space="preserve"> appealed a decision of the Statutory Benefits Tribunal requiring her to repay the sum of $1,314 in benefits she received under the </w:t>
            </w:r>
            <w:r w:rsidRPr="00B32C06">
              <w:rPr>
                <w:rFonts w:eastAsia="Calibri"/>
                <w:i/>
                <w:sz w:val="20"/>
              </w:rPr>
              <w:t>Ontario Works Act, 1997</w:t>
            </w:r>
            <w:r w:rsidRPr="00B32C06">
              <w:rPr>
                <w:rFonts w:eastAsia="Calibri"/>
                <w:sz w:val="20"/>
              </w:rPr>
              <w:t>, S.O. 1997, c. 25. She sought damages of $8.2 million and $100,000 in her actions against the respondents.  The respondents brought a motion to dismiss her actions.</w:t>
            </w:r>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rPr>
            </w:pPr>
            <w:r w:rsidRPr="00B32C06">
              <w:rPr>
                <w:rFonts w:eastAsia="Calibri"/>
                <w:sz w:val="20"/>
              </w:rPr>
              <w:t>May 26, 2010</w:t>
            </w:r>
          </w:p>
          <w:p w:rsidR="00761AB5" w:rsidRPr="00B32C06" w:rsidRDefault="00761AB5" w:rsidP="00C54A8E">
            <w:pPr>
              <w:jc w:val="both"/>
              <w:rPr>
                <w:rFonts w:eastAsia="Calibri"/>
                <w:sz w:val="20"/>
              </w:rPr>
            </w:pPr>
            <w:r w:rsidRPr="00B32C06">
              <w:rPr>
                <w:rFonts w:eastAsia="Calibri"/>
                <w:sz w:val="20"/>
              </w:rPr>
              <w:t>Ontario Superior Court of Justice</w:t>
            </w:r>
          </w:p>
          <w:p w:rsidR="00761AB5" w:rsidRPr="00B32C06" w:rsidRDefault="00761AB5" w:rsidP="00C54A8E">
            <w:pPr>
              <w:jc w:val="both"/>
              <w:rPr>
                <w:rFonts w:eastAsia="Calibri"/>
                <w:sz w:val="20"/>
              </w:rPr>
            </w:pPr>
            <w:r w:rsidRPr="00B32C06">
              <w:rPr>
                <w:rFonts w:eastAsia="Calibri"/>
                <w:sz w:val="20"/>
              </w:rPr>
              <w:t>(Gray J.)</w:t>
            </w:r>
          </w:p>
          <w:p w:rsidR="00761AB5" w:rsidRPr="00B32C06" w:rsidRDefault="00761AB5" w:rsidP="00C54A8E">
            <w:pPr>
              <w:jc w:val="both"/>
              <w:rPr>
                <w:rFonts w:eastAsia="Calibri"/>
                <w:sz w:val="20"/>
              </w:rPr>
            </w:pPr>
            <w:r w:rsidRPr="00B32C06">
              <w:rPr>
                <w:rFonts w:eastAsia="Calibri"/>
                <w:sz w:val="20"/>
              </w:rPr>
              <w:t>2010 ONSC 3084</w:t>
            </w:r>
          </w:p>
          <w:p w:rsidR="00761AB5" w:rsidRPr="00B32C06" w:rsidRDefault="00761AB5" w:rsidP="00C54A8E">
            <w:pPr>
              <w:jc w:val="both"/>
              <w:rPr>
                <w:rFonts w:eastAsia="Calibri"/>
                <w:sz w:val="20"/>
              </w:rPr>
            </w:pPr>
          </w:p>
        </w:tc>
        <w:tc>
          <w:tcPr>
            <w:tcW w:w="243" w:type="pct"/>
          </w:tcPr>
          <w:p w:rsidR="00761AB5" w:rsidRPr="00B32C06" w:rsidRDefault="00761AB5" w:rsidP="00C54A8E">
            <w:pPr>
              <w:jc w:val="both"/>
              <w:rPr>
                <w:rFonts w:eastAsia="Calibri"/>
                <w:sz w:val="20"/>
              </w:rPr>
            </w:pPr>
          </w:p>
        </w:tc>
        <w:tc>
          <w:tcPr>
            <w:tcW w:w="2330" w:type="pct"/>
          </w:tcPr>
          <w:p w:rsidR="00761AB5" w:rsidRPr="00B32C06" w:rsidRDefault="00761AB5" w:rsidP="00C54A8E">
            <w:pPr>
              <w:jc w:val="both"/>
              <w:rPr>
                <w:rFonts w:eastAsia="Calibri"/>
                <w:sz w:val="20"/>
              </w:rPr>
            </w:pPr>
            <w:r w:rsidRPr="00B32C06">
              <w:rPr>
                <w:rFonts w:eastAsia="Calibri"/>
                <w:sz w:val="20"/>
              </w:rPr>
              <w:t>Respondents’ motion to have applicant’s actions dismissed for want of jurisdiction granted</w:t>
            </w:r>
          </w:p>
          <w:p w:rsidR="00761AB5" w:rsidRPr="00B32C06" w:rsidRDefault="00761AB5" w:rsidP="00C54A8E">
            <w:pPr>
              <w:jc w:val="both"/>
              <w:rPr>
                <w:rFonts w:eastAsia="Calibri"/>
                <w:sz w:val="20"/>
              </w:rPr>
            </w:pPr>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rPr>
            </w:pPr>
            <w:r w:rsidRPr="00B32C06">
              <w:rPr>
                <w:rFonts w:eastAsia="Calibri"/>
                <w:sz w:val="20"/>
              </w:rPr>
              <w:t>November 3, 2010</w:t>
            </w:r>
          </w:p>
          <w:p w:rsidR="00761AB5" w:rsidRPr="00B32C06" w:rsidRDefault="00761AB5" w:rsidP="00C54A8E">
            <w:pPr>
              <w:jc w:val="both"/>
              <w:rPr>
                <w:rFonts w:eastAsia="Calibri"/>
                <w:sz w:val="20"/>
              </w:rPr>
            </w:pPr>
            <w:r w:rsidRPr="00B32C06">
              <w:rPr>
                <w:rFonts w:eastAsia="Calibri"/>
                <w:sz w:val="20"/>
              </w:rPr>
              <w:t>Ontario Superior Court of Justice</w:t>
            </w:r>
          </w:p>
          <w:p w:rsidR="00761AB5" w:rsidRPr="00B32C06" w:rsidRDefault="00761AB5" w:rsidP="00C54A8E">
            <w:pPr>
              <w:jc w:val="both"/>
              <w:rPr>
                <w:rFonts w:eastAsia="Calibri"/>
                <w:sz w:val="20"/>
              </w:rPr>
            </w:pPr>
            <w:r w:rsidRPr="00B32C06">
              <w:rPr>
                <w:rFonts w:eastAsia="Calibri"/>
                <w:sz w:val="20"/>
              </w:rPr>
              <w:t>(</w:t>
            </w:r>
            <w:proofErr w:type="spellStart"/>
            <w:r w:rsidRPr="00B32C06">
              <w:rPr>
                <w:rFonts w:eastAsia="Calibri"/>
                <w:sz w:val="20"/>
              </w:rPr>
              <w:t>Hackland</w:t>
            </w:r>
            <w:proofErr w:type="spellEnd"/>
            <w:r w:rsidRPr="00B32C06">
              <w:rPr>
                <w:rFonts w:eastAsia="Calibri"/>
                <w:sz w:val="20"/>
              </w:rPr>
              <w:t xml:space="preserve">, </w:t>
            </w:r>
            <w:proofErr w:type="spellStart"/>
            <w:r w:rsidRPr="00B32C06">
              <w:rPr>
                <w:rFonts w:eastAsia="Calibri"/>
                <w:sz w:val="20"/>
              </w:rPr>
              <w:t>Harvison</w:t>
            </w:r>
            <w:proofErr w:type="spellEnd"/>
            <w:r w:rsidRPr="00B32C06">
              <w:rPr>
                <w:rFonts w:eastAsia="Calibri"/>
                <w:sz w:val="20"/>
              </w:rPr>
              <w:t>-Young and Whitaker JJ.)</w:t>
            </w:r>
          </w:p>
          <w:p w:rsidR="00761AB5" w:rsidRPr="00B32C06" w:rsidRDefault="00761AB5" w:rsidP="00C54A8E">
            <w:pPr>
              <w:jc w:val="both"/>
              <w:rPr>
                <w:rFonts w:eastAsia="Calibri"/>
                <w:sz w:val="20"/>
              </w:rPr>
            </w:pPr>
            <w:r w:rsidRPr="00B32C06">
              <w:rPr>
                <w:rFonts w:eastAsia="Calibri"/>
                <w:sz w:val="20"/>
              </w:rPr>
              <w:t>2010 ONSC 6013</w:t>
            </w:r>
          </w:p>
          <w:p w:rsidR="00761AB5" w:rsidRPr="00B32C06" w:rsidRDefault="00761AB5" w:rsidP="00C54A8E">
            <w:pPr>
              <w:jc w:val="both"/>
              <w:rPr>
                <w:rFonts w:eastAsia="Calibri"/>
                <w:sz w:val="20"/>
              </w:rPr>
            </w:pPr>
          </w:p>
        </w:tc>
        <w:tc>
          <w:tcPr>
            <w:tcW w:w="243" w:type="pct"/>
          </w:tcPr>
          <w:p w:rsidR="00761AB5" w:rsidRPr="00B32C06" w:rsidRDefault="00761AB5" w:rsidP="00C54A8E">
            <w:pPr>
              <w:jc w:val="both"/>
              <w:rPr>
                <w:rFonts w:eastAsia="Calibri"/>
                <w:sz w:val="20"/>
              </w:rPr>
            </w:pPr>
          </w:p>
        </w:tc>
        <w:tc>
          <w:tcPr>
            <w:tcW w:w="2330" w:type="pct"/>
          </w:tcPr>
          <w:p w:rsidR="00761AB5" w:rsidRPr="00B32C06" w:rsidRDefault="00761AB5" w:rsidP="00C54A8E">
            <w:pPr>
              <w:jc w:val="both"/>
              <w:rPr>
                <w:rFonts w:eastAsia="Calibri"/>
                <w:sz w:val="20"/>
              </w:rPr>
            </w:pPr>
            <w:r w:rsidRPr="00B32C06">
              <w:rPr>
                <w:rFonts w:eastAsia="Calibri"/>
                <w:sz w:val="20"/>
              </w:rPr>
              <w:t>Applicant’s appeals transferred to court of appeal.</w:t>
            </w:r>
          </w:p>
          <w:p w:rsidR="00761AB5" w:rsidRPr="00B32C06" w:rsidRDefault="00761AB5" w:rsidP="00C54A8E">
            <w:pPr>
              <w:jc w:val="both"/>
              <w:rPr>
                <w:rFonts w:eastAsia="Calibri"/>
                <w:sz w:val="20"/>
              </w:rPr>
            </w:pPr>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rPr>
            </w:pPr>
            <w:r w:rsidRPr="00B32C06">
              <w:rPr>
                <w:rFonts w:eastAsia="Calibri"/>
                <w:sz w:val="20"/>
              </w:rPr>
              <w:t>June 3, 2011</w:t>
            </w:r>
          </w:p>
          <w:p w:rsidR="00761AB5" w:rsidRPr="00B32C06" w:rsidRDefault="00761AB5" w:rsidP="00C54A8E">
            <w:pPr>
              <w:jc w:val="both"/>
              <w:rPr>
                <w:rFonts w:eastAsia="Calibri"/>
                <w:sz w:val="20"/>
              </w:rPr>
            </w:pPr>
            <w:r w:rsidRPr="00B32C06">
              <w:rPr>
                <w:rFonts w:eastAsia="Calibri"/>
                <w:sz w:val="20"/>
              </w:rPr>
              <w:t>Court of Appeal for Ontario</w:t>
            </w:r>
          </w:p>
          <w:p w:rsidR="00761AB5" w:rsidRPr="00B32C06" w:rsidRDefault="00761AB5" w:rsidP="00C54A8E">
            <w:pPr>
              <w:jc w:val="both"/>
              <w:rPr>
                <w:rFonts w:eastAsia="Calibri"/>
                <w:sz w:val="20"/>
              </w:rPr>
            </w:pPr>
            <w:r w:rsidRPr="00B32C06">
              <w:rPr>
                <w:rFonts w:eastAsia="Calibri"/>
                <w:sz w:val="20"/>
              </w:rPr>
              <w:t>(Watt, Epstein and Blair JJ)</w:t>
            </w:r>
          </w:p>
          <w:p w:rsidR="00761AB5" w:rsidRPr="00B32C06" w:rsidRDefault="00761AB5" w:rsidP="00C54A8E">
            <w:pPr>
              <w:jc w:val="both"/>
              <w:rPr>
                <w:rFonts w:eastAsia="Calibri"/>
                <w:sz w:val="20"/>
              </w:rPr>
            </w:pPr>
            <w:r w:rsidRPr="00B32C06">
              <w:rPr>
                <w:rFonts w:eastAsia="Calibri"/>
                <w:sz w:val="20"/>
              </w:rPr>
              <w:t>2011 ONCA 434</w:t>
            </w:r>
          </w:p>
          <w:p w:rsidR="00761AB5" w:rsidRPr="00B32C06" w:rsidRDefault="00761AB5" w:rsidP="00C54A8E">
            <w:pPr>
              <w:jc w:val="both"/>
              <w:rPr>
                <w:rFonts w:eastAsia="Calibri"/>
                <w:sz w:val="20"/>
              </w:rPr>
            </w:pPr>
          </w:p>
        </w:tc>
        <w:tc>
          <w:tcPr>
            <w:tcW w:w="243" w:type="pct"/>
          </w:tcPr>
          <w:p w:rsidR="00761AB5" w:rsidRPr="00B32C06" w:rsidRDefault="00761AB5" w:rsidP="00C54A8E">
            <w:pPr>
              <w:jc w:val="both"/>
              <w:rPr>
                <w:rFonts w:eastAsia="Calibri"/>
                <w:sz w:val="20"/>
              </w:rPr>
            </w:pPr>
          </w:p>
        </w:tc>
        <w:tc>
          <w:tcPr>
            <w:tcW w:w="2330" w:type="pct"/>
          </w:tcPr>
          <w:p w:rsidR="00761AB5" w:rsidRPr="00B32C06" w:rsidRDefault="00761AB5" w:rsidP="00C54A8E">
            <w:pPr>
              <w:jc w:val="both"/>
              <w:rPr>
                <w:rFonts w:eastAsia="Calibri"/>
                <w:sz w:val="20"/>
              </w:rPr>
            </w:pPr>
            <w:r w:rsidRPr="00B32C06">
              <w:rPr>
                <w:rFonts w:eastAsia="Calibri"/>
                <w:sz w:val="20"/>
              </w:rPr>
              <w:t>Applicant’s appeals dismissed</w:t>
            </w:r>
          </w:p>
          <w:p w:rsidR="00761AB5" w:rsidRPr="00B32C06" w:rsidRDefault="00761AB5" w:rsidP="00C54A8E">
            <w:pPr>
              <w:jc w:val="both"/>
              <w:rPr>
                <w:rFonts w:eastAsia="Calibri"/>
                <w:sz w:val="20"/>
              </w:rPr>
            </w:pPr>
          </w:p>
          <w:p w:rsidR="00761AB5" w:rsidRPr="00B32C06" w:rsidRDefault="00761AB5" w:rsidP="00C54A8E">
            <w:pPr>
              <w:jc w:val="both"/>
              <w:rPr>
                <w:rFonts w:eastAsia="Calibri"/>
                <w:sz w:val="20"/>
              </w:rPr>
            </w:pPr>
          </w:p>
        </w:tc>
      </w:tr>
      <w:tr w:rsidR="00761AB5" w:rsidRPr="00B32C06" w:rsidTr="00C54A8E">
        <w:tc>
          <w:tcPr>
            <w:tcW w:w="2427" w:type="pct"/>
          </w:tcPr>
          <w:p w:rsidR="00761AB5" w:rsidRPr="00B32C06" w:rsidRDefault="00761AB5" w:rsidP="00C54A8E">
            <w:pPr>
              <w:jc w:val="both"/>
              <w:rPr>
                <w:rFonts w:eastAsia="Calibri"/>
                <w:sz w:val="20"/>
              </w:rPr>
            </w:pPr>
            <w:r w:rsidRPr="00B32C06">
              <w:rPr>
                <w:rFonts w:eastAsia="Calibri"/>
                <w:sz w:val="20"/>
              </w:rPr>
              <w:t>August 26, 2011</w:t>
            </w:r>
          </w:p>
          <w:p w:rsidR="00761AB5" w:rsidRPr="00B32C06" w:rsidRDefault="00761AB5" w:rsidP="00761AB5">
            <w:pPr>
              <w:jc w:val="both"/>
              <w:rPr>
                <w:rFonts w:eastAsia="Calibri"/>
                <w:sz w:val="20"/>
              </w:rPr>
            </w:pPr>
            <w:r w:rsidRPr="00B32C06">
              <w:rPr>
                <w:rFonts w:eastAsia="Calibri"/>
                <w:sz w:val="20"/>
              </w:rPr>
              <w:t>Supreme Court of Canada</w:t>
            </w:r>
          </w:p>
        </w:tc>
        <w:tc>
          <w:tcPr>
            <w:tcW w:w="243" w:type="pct"/>
          </w:tcPr>
          <w:p w:rsidR="00761AB5" w:rsidRPr="00B32C06" w:rsidRDefault="00761AB5" w:rsidP="00C54A8E">
            <w:pPr>
              <w:jc w:val="both"/>
              <w:rPr>
                <w:rFonts w:eastAsia="Calibri"/>
                <w:sz w:val="20"/>
              </w:rPr>
            </w:pPr>
          </w:p>
        </w:tc>
        <w:tc>
          <w:tcPr>
            <w:tcW w:w="2330" w:type="pct"/>
          </w:tcPr>
          <w:p w:rsidR="00761AB5" w:rsidRPr="00B32C06" w:rsidRDefault="00761AB5" w:rsidP="00C54A8E">
            <w:pPr>
              <w:jc w:val="both"/>
              <w:rPr>
                <w:rFonts w:eastAsia="Calibri"/>
                <w:sz w:val="20"/>
              </w:rPr>
            </w:pPr>
            <w:r w:rsidRPr="00B32C06">
              <w:rPr>
                <w:rFonts w:eastAsia="Calibri"/>
                <w:sz w:val="20"/>
              </w:rPr>
              <w:t>Application for leave to appeal filed</w:t>
            </w:r>
          </w:p>
          <w:p w:rsidR="00761AB5" w:rsidRPr="00B32C06" w:rsidRDefault="00761AB5" w:rsidP="00C54A8E">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51"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1AB5" w:rsidRPr="002D3F55" w:rsidTr="00C54A8E">
        <w:tc>
          <w:tcPr>
            <w:tcW w:w="5000" w:type="pct"/>
            <w:gridSpan w:val="3"/>
          </w:tcPr>
          <w:p w:rsidR="00761AB5" w:rsidRPr="00B32C06" w:rsidRDefault="00761AB5" w:rsidP="00C54A8E">
            <w:pPr>
              <w:jc w:val="both"/>
              <w:rPr>
                <w:sz w:val="20"/>
                <w:lang w:val="fr-FR"/>
              </w:rPr>
            </w:pPr>
            <w:r w:rsidRPr="00B32C06">
              <w:rPr>
                <w:i/>
                <w:sz w:val="20"/>
                <w:lang w:val="fr-FR"/>
              </w:rPr>
              <w:t>Charte des droits</w:t>
            </w:r>
            <w:r w:rsidRPr="00B32C06">
              <w:rPr>
                <w:sz w:val="20"/>
                <w:lang w:val="fr-FR"/>
              </w:rPr>
              <w:t xml:space="preserve"> – Droit à l’égalité – Le Tribunal de l’aide sociale a conclu que la demanderesse avait reçu un excédent d’aide sociale – Le Tribunal de l’aide sociale a-t-il contrevenu à une ordonnance de la Cour suprême du Canada en refusant de s’estimer compétent pour trancher une question en vertu du </w:t>
            </w:r>
            <w:r w:rsidRPr="00B32C06">
              <w:rPr>
                <w:i/>
                <w:sz w:val="20"/>
                <w:lang w:val="fr-FR"/>
              </w:rPr>
              <w:t>Code des droits de la personne</w:t>
            </w:r>
            <w:r w:rsidRPr="00B32C06">
              <w:rPr>
                <w:sz w:val="20"/>
                <w:lang w:val="fr-FR"/>
              </w:rPr>
              <w:t xml:space="preserve"> de l’Ontario ? – La Cour d’appel a-t-elle commis une erreur de droit ?  Y a-t-il eu déni de justice ?</w:t>
            </w:r>
          </w:p>
          <w:p w:rsidR="00761AB5" w:rsidRPr="00B32C06" w:rsidRDefault="00761AB5" w:rsidP="00C54A8E">
            <w:pPr>
              <w:jc w:val="both"/>
              <w:rPr>
                <w:sz w:val="20"/>
                <w:lang w:val="fr-FR"/>
              </w:rPr>
            </w:pPr>
          </w:p>
          <w:p w:rsidR="00761AB5" w:rsidRPr="00B32C06" w:rsidRDefault="00761AB5" w:rsidP="00C54A8E">
            <w:pPr>
              <w:jc w:val="both"/>
              <w:rPr>
                <w:sz w:val="20"/>
                <w:lang w:val="fr-FR"/>
              </w:rPr>
            </w:pPr>
            <w:r w:rsidRPr="00B32C06">
              <w:rPr>
                <w:sz w:val="20"/>
                <w:lang w:val="fr-FR"/>
              </w:rPr>
              <w:t xml:space="preserve">Mme </w:t>
            </w:r>
            <w:proofErr w:type="spellStart"/>
            <w:r w:rsidRPr="00B32C06">
              <w:rPr>
                <w:sz w:val="20"/>
                <w:lang w:val="fr-FR"/>
              </w:rPr>
              <w:t>Volnyansky</w:t>
            </w:r>
            <w:proofErr w:type="spellEnd"/>
            <w:r w:rsidRPr="00B32C06">
              <w:rPr>
                <w:sz w:val="20"/>
                <w:lang w:val="fr-FR"/>
              </w:rPr>
              <w:t xml:space="preserve"> a interjeté appel d’une décision du Tribunal de l’aide sociale qui lui intimait de rembourser la somme de 1 314 $ de prestations qu’elle avait reçues en application de la </w:t>
            </w:r>
            <w:r w:rsidRPr="00B32C06">
              <w:rPr>
                <w:i/>
                <w:sz w:val="20"/>
                <w:lang w:val="fr-FR"/>
              </w:rPr>
              <w:t>Loi de 1997 sur le Programme Ontario au travail</w:t>
            </w:r>
            <w:r w:rsidRPr="00B32C06">
              <w:rPr>
                <w:sz w:val="20"/>
                <w:lang w:val="fr-FR"/>
              </w:rPr>
              <w:t>, LO 1997, ch. 25.  Elle a intenté un recours par lequel elle réclamait que les intimés soient condamnés à lui verser 8,2 millions $ ainsi que 100 000 $ à titre de dommages-intérêts.  Les intimés ont présenté une motion en vue de faire rejeter les recours intentés par Mme </w:t>
            </w:r>
            <w:proofErr w:type="spellStart"/>
            <w:r w:rsidRPr="00B32C06">
              <w:rPr>
                <w:sz w:val="20"/>
                <w:lang w:val="fr-FR"/>
              </w:rPr>
              <w:t>Volnyansky</w:t>
            </w:r>
            <w:proofErr w:type="spellEnd"/>
            <w:r w:rsidRPr="00B32C06">
              <w:rPr>
                <w:sz w:val="20"/>
                <w:lang w:val="fr-FR"/>
              </w:rPr>
              <w:t xml:space="preserve">. </w:t>
            </w:r>
          </w:p>
        </w:tc>
      </w:tr>
      <w:tr w:rsidR="00761AB5" w:rsidRPr="002D3F55" w:rsidTr="00C54A8E">
        <w:tc>
          <w:tcPr>
            <w:tcW w:w="5000" w:type="pct"/>
            <w:gridSpan w:val="3"/>
          </w:tcPr>
          <w:p w:rsidR="00761AB5" w:rsidRPr="00B32C06" w:rsidRDefault="00761AB5" w:rsidP="00C54A8E">
            <w:pPr>
              <w:rPr>
                <w:sz w:val="20"/>
                <w:lang w:val="fr-FR"/>
              </w:rPr>
            </w:pPr>
          </w:p>
        </w:tc>
      </w:tr>
      <w:tr w:rsidR="00761AB5" w:rsidRPr="002D3F55" w:rsidTr="00C54A8E">
        <w:tc>
          <w:tcPr>
            <w:tcW w:w="2427" w:type="pct"/>
          </w:tcPr>
          <w:p w:rsidR="00761AB5" w:rsidRPr="00B32C06" w:rsidRDefault="00761AB5" w:rsidP="00C54A8E">
            <w:pPr>
              <w:rPr>
                <w:sz w:val="20"/>
                <w:lang w:val="fr-FR"/>
              </w:rPr>
            </w:pPr>
            <w:r w:rsidRPr="00B32C06">
              <w:rPr>
                <w:sz w:val="20"/>
                <w:lang w:val="fr-FR"/>
              </w:rPr>
              <w:t>26 mai 2010</w:t>
            </w:r>
          </w:p>
          <w:p w:rsidR="00761AB5" w:rsidRPr="00B32C06" w:rsidRDefault="00761AB5" w:rsidP="00C54A8E">
            <w:pPr>
              <w:rPr>
                <w:sz w:val="20"/>
                <w:lang w:val="fr-FR"/>
              </w:rPr>
            </w:pPr>
            <w:r w:rsidRPr="00B32C06">
              <w:rPr>
                <w:sz w:val="20"/>
                <w:lang w:val="fr-FR"/>
              </w:rPr>
              <w:t xml:space="preserve">Cour supérieure de justice de l’Ontario </w:t>
            </w:r>
          </w:p>
          <w:p w:rsidR="00761AB5" w:rsidRPr="00B32C06" w:rsidRDefault="00761AB5" w:rsidP="00C54A8E">
            <w:pPr>
              <w:rPr>
                <w:sz w:val="20"/>
                <w:lang w:val="fr-FR"/>
              </w:rPr>
            </w:pPr>
            <w:r w:rsidRPr="00B32C06">
              <w:rPr>
                <w:sz w:val="20"/>
              </w:rPr>
              <w:t>(</w:t>
            </w:r>
            <w:proofErr w:type="spellStart"/>
            <w:r w:rsidRPr="00B32C06">
              <w:rPr>
                <w:sz w:val="20"/>
              </w:rPr>
              <w:t>Juge</w:t>
            </w:r>
            <w:proofErr w:type="spellEnd"/>
            <w:r w:rsidRPr="00B32C06">
              <w:rPr>
                <w:sz w:val="20"/>
              </w:rPr>
              <w:t xml:space="preserve"> Gray)</w:t>
            </w:r>
          </w:p>
          <w:p w:rsidR="00761AB5" w:rsidRPr="00B32C06" w:rsidRDefault="00761AB5" w:rsidP="00C54A8E">
            <w:pPr>
              <w:rPr>
                <w:sz w:val="20"/>
                <w:lang w:val="fr-FR"/>
              </w:rPr>
            </w:pPr>
            <w:r w:rsidRPr="00B32C06">
              <w:rPr>
                <w:sz w:val="20"/>
                <w:lang w:val="fr-FR"/>
              </w:rPr>
              <w:t>2010 ONSC 3084</w:t>
            </w:r>
          </w:p>
          <w:p w:rsidR="00761AB5" w:rsidRPr="00B32C06" w:rsidRDefault="00761AB5" w:rsidP="00C54A8E">
            <w:pPr>
              <w:rPr>
                <w:sz w:val="20"/>
                <w:lang w:val="fr-FR"/>
              </w:rPr>
            </w:pPr>
          </w:p>
        </w:tc>
        <w:tc>
          <w:tcPr>
            <w:tcW w:w="243" w:type="pct"/>
          </w:tcPr>
          <w:p w:rsidR="00761AB5" w:rsidRPr="00B32C06" w:rsidRDefault="00761AB5" w:rsidP="00C54A8E">
            <w:pPr>
              <w:rPr>
                <w:sz w:val="20"/>
                <w:lang w:val="fr-FR"/>
              </w:rPr>
            </w:pPr>
          </w:p>
        </w:tc>
        <w:tc>
          <w:tcPr>
            <w:tcW w:w="2330" w:type="pct"/>
          </w:tcPr>
          <w:p w:rsidR="00761AB5" w:rsidRPr="00B32C06" w:rsidRDefault="00761AB5" w:rsidP="00C54A8E">
            <w:pPr>
              <w:jc w:val="both"/>
              <w:rPr>
                <w:sz w:val="20"/>
                <w:lang w:val="fr-FR"/>
              </w:rPr>
            </w:pPr>
            <w:r w:rsidRPr="00B32C06">
              <w:rPr>
                <w:sz w:val="20"/>
                <w:lang w:val="fr-FR"/>
              </w:rPr>
              <w:t xml:space="preserve">Motion des intimés en rejet des recours de la demanderesse pour absence de compétence accueillie </w:t>
            </w:r>
          </w:p>
          <w:p w:rsidR="00761AB5" w:rsidRPr="00B32C06" w:rsidRDefault="00761AB5" w:rsidP="00C54A8E">
            <w:pPr>
              <w:jc w:val="both"/>
              <w:rPr>
                <w:sz w:val="20"/>
                <w:lang w:val="fr-FR"/>
              </w:rPr>
            </w:pPr>
          </w:p>
          <w:p w:rsidR="00761AB5" w:rsidRPr="00B32C06" w:rsidRDefault="00761AB5" w:rsidP="00C54A8E">
            <w:pPr>
              <w:jc w:val="both"/>
              <w:rPr>
                <w:sz w:val="20"/>
                <w:lang w:val="fr-FR"/>
              </w:rPr>
            </w:pPr>
          </w:p>
        </w:tc>
      </w:tr>
      <w:tr w:rsidR="00761AB5" w:rsidRPr="002D3F55" w:rsidTr="00C54A8E">
        <w:tc>
          <w:tcPr>
            <w:tcW w:w="2427" w:type="pct"/>
          </w:tcPr>
          <w:p w:rsidR="00761AB5" w:rsidRPr="00B32C06" w:rsidRDefault="00761AB5" w:rsidP="00C54A8E">
            <w:pPr>
              <w:rPr>
                <w:sz w:val="20"/>
                <w:lang w:val="fr-FR"/>
              </w:rPr>
            </w:pPr>
            <w:r w:rsidRPr="00B32C06">
              <w:rPr>
                <w:sz w:val="20"/>
                <w:lang w:val="fr-FR"/>
              </w:rPr>
              <w:t>3 novembre 2010</w:t>
            </w:r>
          </w:p>
          <w:p w:rsidR="00761AB5" w:rsidRPr="00B32C06" w:rsidRDefault="00761AB5" w:rsidP="00C54A8E">
            <w:pPr>
              <w:rPr>
                <w:sz w:val="20"/>
                <w:lang w:val="fr-FR"/>
              </w:rPr>
            </w:pPr>
            <w:r w:rsidRPr="00B32C06">
              <w:rPr>
                <w:sz w:val="20"/>
                <w:lang w:val="fr-FR"/>
              </w:rPr>
              <w:t xml:space="preserve">Cour supérieure de justice de l’Ontario </w:t>
            </w:r>
          </w:p>
          <w:p w:rsidR="00761AB5" w:rsidRPr="00B32C06" w:rsidRDefault="00761AB5" w:rsidP="00C54A8E">
            <w:pPr>
              <w:rPr>
                <w:sz w:val="20"/>
              </w:rPr>
            </w:pPr>
            <w:r w:rsidRPr="00B32C06">
              <w:rPr>
                <w:sz w:val="20"/>
                <w:lang w:val="fr-CA"/>
              </w:rPr>
              <w:t xml:space="preserve"> </w:t>
            </w:r>
            <w:r w:rsidRPr="00B32C06">
              <w:rPr>
                <w:sz w:val="20"/>
              </w:rPr>
              <w:t>(</w:t>
            </w:r>
            <w:proofErr w:type="spellStart"/>
            <w:r w:rsidRPr="00B32C06">
              <w:rPr>
                <w:sz w:val="20"/>
              </w:rPr>
              <w:t>Juges</w:t>
            </w:r>
            <w:proofErr w:type="spellEnd"/>
            <w:r w:rsidRPr="00B32C06">
              <w:rPr>
                <w:sz w:val="20"/>
              </w:rPr>
              <w:t xml:space="preserve"> </w:t>
            </w:r>
            <w:proofErr w:type="spellStart"/>
            <w:r w:rsidRPr="00B32C06">
              <w:rPr>
                <w:sz w:val="20"/>
              </w:rPr>
              <w:t>Hackland</w:t>
            </w:r>
            <w:proofErr w:type="spellEnd"/>
            <w:r w:rsidRPr="00B32C06">
              <w:rPr>
                <w:sz w:val="20"/>
              </w:rPr>
              <w:t xml:space="preserve">, </w:t>
            </w:r>
            <w:proofErr w:type="spellStart"/>
            <w:r w:rsidRPr="00B32C06">
              <w:rPr>
                <w:sz w:val="20"/>
              </w:rPr>
              <w:t>Harvison</w:t>
            </w:r>
            <w:proofErr w:type="spellEnd"/>
            <w:r w:rsidRPr="00B32C06">
              <w:rPr>
                <w:sz w:val="20"/>
              </w:rPr>
              <w:t>-Young et Whitaker)</w:t>
            </w:r>
          </w:p>
          <w:p w:rsidR="00761AB5" w:rsidRPr="00B32C06" w:rsidRDefault="00761AB5" w:rsidP="00C54A8E">
            <w:pPr>
              <w:rPr>
                <w:sz w:val="20"/>
              </w:rPr>
            </w:pPr>
            <w:r w:rsidRPr="00B32C06">
              <w:rPr>
                <w:sz w:val="20"/>
              </w:rPr>
              <w:t>2010 ONSC 6013</w:t>
            </w:r>
          </w:p>
          <w:p w:rsidR="00761AB5" w:rsidRPr="00B32C06" w:rsidRDefault="00761AB5" w:rsidP="00C54A8E">
            <w:pPr>
              <w:rPr>
                <w:sz w:val="20"/>
              </w:rPr>
            </w:pPr>
          </w:p>
        </w:tc>
        <w:tc>
          <w:tcPr>
            <w:tcW w:w="243" w:type="pct"/>
          </w:tcPr>
          <w:p w:rsidR="00761AB5" w:rsidRPr="00B32C06" w:rsidRDefault="00761AB5" w:rsidP="00C54A8E">
            <w:pPr>
              <w:rPr>
                <w:sz w:val="20"/>
              </w:rPr>
            </w:pPr>
          </w:p>
        </w:tc>
        <w:tc>
          <w:tcPr>
            <w:tcW w:w="2330" w:type="pct"/>
          </w:tcPr>
          <w:p w:rsidR="00761AB5" w:rsidRPr="00B32C06" w:rsidRDefault="00761AB5" w:rsidP="00C54A8E">
            <w:pPr>
              <w:jc w:val="both"/>
              <w:rPr>
                <w:sz w:val="20"/>
                <w:lang w:val="fr-FR"/>
              </w:rPr>
            </w:pPr>
            <w:r w:rsidRPr="00B32C06">
              <w:rPr>
                <w:sz w:val="20"/>
                <w:lang w:val="fr-FR"/>
              </w:rPr>
              <w:t>Appels de la demanderesse tran</w:t>
            </w:r>
            <w:r w:rsidR="00D51CC5">
              <w:rPr>
                <w:sz w:val="20"/>
                <w:lang w:val="fr-FR"/>
              </w:rPr>
              <w:t>s</w:t>
            </w:r>
            <w:r w:rsidRPr="00B32C06">
              <w:rPr>
                <w:sz w:val="20"/>
                <w:lang w:val="fr-FR"/>
              </w:rPr>
              <w:t>férés à la Cour d’appel</w:t>
            </w:r>
          </w:p>
          <w:p w:rsidR="00761AB5" w:rsidRPr="00B32C06" w:rsidRDefault="00761AB5" w:rsidP="00C54A8E">
            <w:pPr>
              <w:jc w:val="both"/>
              <w:rPr>
                <w:sz w:val="20"/>
                <w:lang w:val="fr-FR"/>
              </w:rPr>
            </w:pPr>
          </w:p>
          <w:p w:rsidR="00761AB5" w:rsidRPr="00B32C06" w:rsidRDefault="00761AB5" w:rsidP="00C54A8E">
            <w:pPr>
              <w:jc w:val="both"/>
              <w:rPr>
                <w:sz w:val="20"/>
                <w:lang w:val="fr-FR"/>
              </w:rPr>
            </w:pPr>
          </w:p>
        </w:tc>
      </w:tr>
      <w:tr w:rsidR="00761AB5" w:rsidRPr="00B32C06" w:rsidTr="00DA20EC">
        <w:trPr>
          <w:cantSplit/>
        </w:trPr>
        <w:tc>
          <w:tcPr>
            <w:tcW w:w="2427" w:type="pct"/>
          </w:tcPr>
          <w:p w:rsidR="00761AB5" w:rsidRPr="00B32C06" w:rsidRDefault="00761AB5" w:rsidP="00C54A8E">
            <w:pPr>
              <w:rPr>
                <w:sz w:val="20"/>
                <w:lang w:val="fr-FR"/>
              </w:rPr>
            </w:pPr>
            <w:r w:rsidRPr="00B32C06">
              <w:rPr>
                <w:sz w:val="20"/>
                <w:lang w:val="fr-FR"/>
              </w:rPr>
              <w:lastRenderedPageBreak/>
              <w:t>3 juin 2011</w:t>
            </w:r>
          </w:p>
          <w:p w:rsidR="00761AB5" w:rsidRPr="00B32C06" w:rsidRDefault="00761AB5" w:rsidP="00C54A8E">
            <w:pPr>
              <w:rPr>
                <w:sz w:val="20"/>
                <w:lang w:val="fr-FR"/>
              </w:rPr>
            </w:pPr>
            <w:r w:rsidRPr="00B32C06">
              <w:rPr>
                <w:sz w:val="20"/>
                <w:lang w:val="fr-FR"/>
              </w:rPr>
              <w:t>Cour d’appel de l’Ontario</w:t>
            </w:r>
          </w:p>
          <w:p w:rsidR="00761AB5" w:rsidRPr="00B32C06" w:rsidRDefault="00761AB5" w:rsidP="00C54A8E">
            <w:pPr>
              <w:rPr>
                <w:sz w:val="20"/>
                <w:lang w:val="fr-FR"/>
              </w:rPr>
            </w:pPr>
            <w:r w:rsidRPr="00B32C06">
              <w:rPr>
                <w:sz w:val="20"/>
                <w:lang w:val="fr-FR"/>
              </w:rPr>
              <w:t>(Juges Watt, Epstein et Blair)</w:t>
            </w:r>
          </w:p>
          <w:p w:rsidR="00761AB5" w:rsidRPr="00B32C06" w:rsidRDefault="00761AB5" w:rsidP="00C54A8E">
            <w:pPr>
              <w:rPr>
                <w:sz w:val="20"/>
              </w:rPr>
            </w:pPr>
            <w:r w:rsidRPr="00B32C06">
              <w:rPr>
                <w:sz w:val="20"/>
              </w:rPr>
              <w:t>2011 ONCA 434</w:t>
            </w:r>
          </w:p>
          <w:p w:rsidR="00761AB5" w:rsidRPr="00B32C06" w:rsidRDefault="00761AB5" w:rsidP="00C54A8E">
            <w:pPr>
              <w:rPr>
                <w:sz w:val="20"/>
              </w:rPr>
            </w:pPr>
          </w:p>
        </w:tc>
        <w:tc>
          <w:tcPr>
            <w:tcW w:w="243" w:type="pct"/>
          </w:tcPr>
          <w:p w:rsidR="00761AB5" w:rsidRPr="00B32C06" w:rsidRDefault="00761AB5" w:rsidP="00C54A8E">
            <w:pPr>
              <w:rPr>
                <w:sz w:val="20"/>
              </w:rPr>
            </w:pPr>
          </w:p>
        </w:tc>
        <w:tc>
          <w:tcPr>
            <w:tcW w:w="2330" w:type="pct"/>
          </w:tcPr>
          <w:p w:rsidR="00761AB5" w:rsidRPr="00B32C06" w:rsidRDefault="00761AB5" w:rsidP="00C54A8E">
            <w:pPr>
              <w:jc w:val="both"/>
              <w:rPr>
                <w:sz w:val="20"/>
              </w:rPr>
            </w:pPr>
            <w:proofErr w:type="spellStart"/>
            <w:r w:rsidRPr="00B32C06">
              <w:rPr>
                <w:sz w:val="20"/>
              </w:rPr>
              <w:t>Appels</w:t>
            </w:r>
            <w:proofErr w:type="spellEnd"/>
            <w:r w:rsidRPr="00B32C06">
              <w:rPr>
                <w:sz w:val="20"/>
              </w:rPr>
              <w:t xml:space="preserve"> de la </w:t>
            </w:r>
            <w:proofErr w:type="spellStart"/>
            <w:r w:rsidRPr="00B32C06">
              <w:rPr>
                <w:sz w:val="20"/>
              </w:rPr>
              <w:t>demanderesse</w:t>
            </w:r>
            <w:proofErr w:type="spellEnd"/>
            <w:r w:rsidRPr="00B32C06">
              <w:rPr>
                <w:sz w:val="20"/>
              </w:rPr>
              <w:t xml:space="preserve"> </w:t>
            </w:r>
            <w:proofErr w:type="spellStart"/>
            <w:r w:rsidRPr="00B32C06">
              <w:rPr>
                <w:sz w:val="20"/>
              </w:rPr>
              <w:t>rejetés</w:t>
            </w:r>
            <w:proofErr w:type="spellEnd"/>
          </w:p>
          <w:p w:rsidR="00761AB5" w:rsidRPr="00B32C06" w:rsidRDefault="00761AB5" w:rsidP="00C54A8E">
            <w:pPr>
              <w:jc w:val="both"/>
              <w:rPr>
                <w:sz w:val="20"/>
              </w:rPr>
            </w:pPr>
          </w:p>
          <w:p w:rsidR="00761AB5" w:rsidRPr="00B32C06" w:rsidRDefault="00761AB5" w:rsidP="00C54A8E">
            <w:pPr>
              <w:jc w:val="both"/>
              <w:rPr>
                <w:sz w:val="20"/>
              </w:rPr>
            </w:pPr>
          </w:p>
        </w:tc>
      </w:tr>
      <w:tr w:rsidR="00761AB5" w:rsidRPr="00B32C06" w:rsidTr="00DA20EC">
        <w:trPr>
          <w:cantSplit/>
        </w:trPr>
        <w:tc>
          <w:tcPr>
            <w:tcW w:w="2427" w:type="pct"/>
          </w:tcPr>
          <w:p w:rsidR="00761AB5" w:rsidRPr="00DA20EC" w:rsidRDefault="00761AB5" w:rsidP="00C54A8E">
            <w:pPr>
              <w:rPr>
                <w:sz w:val="20"/>
                <w:lang w:val="fr-CA"/>
              </w:rPr>
            </w:pPr>
            <w:r w:rsidRPr="00DA20EC">
              <w:rPr>
                <w:sz w:val="20"/>
                <w:lang w:val="fr-CA"/>
              </w:rPr>
              <w:t>26 août 2011</w:t>
            </w:r>
          </w:p>
          <w:p w:rsidR="00761AB5" w:rsidRPr="00DA20EC" w:rsidRDefault="00761AB5" w:rsidP="00761AB5">
            <w:pPr>
              <w:rPr>
                <w:sz w:val="20"/>
                <w:lang w:val="fr-CA"/>
              </w:rPr>
            </w:pPr>
            <w:r w:rsidRPr="00DA20EC">
              <w:rPr>
                <w:sz w:val="20"/>
                <w:lang w:val="fr-CA"/>
              </w:rPr>
              <w:t>Cour suprême du Canada</w:t>
            </w:r>
          </w:p>
        </w:tc>
        <w:tc>
          <w:tcPr>
            <w:tcW w:w="243" w:type="pct"/>
          </w:tcPr>
          <w:p w:rsidR="00761AB5" w:rsidRPr="00DA20EC" w:rsidRDefault="00761AB5" w:rsidP="00C54A8E">
            <w:pPr>
              <w:rPr>
                <w:sz w:val="20"/>
                <w:lang w:val="fr-CA"/>
              </w:rPr>
            </w:pPr>
          </w:p>
        </w:tc>
        <w:tc>
          <w:tcPr>
            <w:tcW w:w="2330" w:type="pct"/>
          </w:tcPr>
          <w:p w:rsidR="00761AB5" w:rsidRPr="00B32C06" w:rsidRDefault="00761AB5" w:rsidP="00C54A8E">
            <w:pPr>
              <w:jc w:val="both"/>
              <w:rPr>
                <w:sz w:val="20"/>
              </w:rPr>
            </w:pPr>
            <w:proofErr w:type="spellStart"/>
            <w:r w:rsidRPr="00B32C06">
              <w:rPr>
                <w:sz w:val="20"/>
              </w:rPr>
              <w:t>Demande</w:t>
            </w:r>
            <w:proofErr w:type="spellEnd"/>
            <w:r w:rsidRPr="00B32C06">
              <w:rPr>
                <w:sz w:val="20"/>
              </w:rPr>
              <w:t xml:space="preserve"> </w:t>
            </w:r>
            <w:proofErr w:type="spellStart"/>
            <w:r w:rsidRPr="00B32C06">
              <w:rPr>
                <w:sz w:val="20"/>
              </w:rPr>
              <w:t>d’autorisation</w:t>
            </w:r>
            <w:proofErr w:type="spellEnd"/>
            <w:r w:rsidRPr="00B32C06">
              <w:rPr>
                <w:sz w:val="20"/>
              </w:rPr>
              <w:t xml:space="preserve"> </w:t>
            </w:r>
            <w:proofErr w:type="spellStart"/>
            <w:r w:rsidRPr="00B32C06">
              <w:rPr>
                <w:sz w:val="20"/>
              </w:rPr>
              <w:t>d’appel</w:t>
            </w:r>
            <w:proofErr w:type="spellEnd"/>
            <w:r w:rsidRPr="00B32C06">
              <w:rPr>
                <w:sz w:val="20"/>
              </w:rPr>
              <w:t xml:space="preserve"> </w:t>
            </w:r>
            <w:proofErr w:type="spellStart"/>
            <w:r w:rsidRPr="00B32C06">
              <w:rPr>
                <w:sz w:val="20"/>
              </w:rPr>
              <w:t>déposée</w:t>
            </w:r>
            <w:proofErr w:type="spellEnd"/>
          </w:p>
          <w:p w:rsidR="00761AB5" w:rsidRPr="00B32C06" w:rsidRDefault="00761AB5" w:rsidP="00C54A8E">
            <w:pPr>
              <w:rPr>
                <w:sz w:val="20"/>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52"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2D3F55" w:rsidTr="000A4857">
        <w:trPr>
          <w:cantSplit/>
        </w:trPr>
        <w:tc>
          <w:tcPr>
            <w:tcW w:w="1458" w:type="dxa"/>
          </w:tcPr>
          <w:p w:rsidR="000A4857" w:rsidRPr="00A54F27" w:rsidRDefault="000A4857" w:rsidP="000A4857">
            <w:pPr>
              <w:rPr>
                <w:sz w:val="20"/>
                <w:szCs w:val="20"/>
              </w:rPr>
            </w:pPr>
            <w:r w:rsidRPr="00A54F27">
              <w:rPr>
                <w:rStyle w:val="SCCFileNumberChar"/>
                <w:sz w:val="20"/>
                <w:szCs w:val="20"/>
              </w:rPr>
              <w:t>34444</w:t>
            </w:r>
          </w:p>
          <w:p w:rsidR="000A4857" w:rsidRPr="00A54F27" w:rsidRDefault="000A4857" w:rsidP="000A4857">
            <w:pPr>
              <w:rPr>
                <w:b/>
                <w:sz w:val="20"/>
                <w:szCs w:val="20"/>
                <w:lang w:val="fr-CA"/>
              </w:rPr>
            </w:pPr>
          </w:p>
        </w:tc>
        <w:tc>
          <w:tcPr>
            <w:tcW w:w="8118" w:type="dxa"/>
          </w:tcPr>
          <w:p w:rsidR="000A4857" w:rsidRPr="00A54F27" w:rsidRDefault="000A4857" w:rsidP="000A4857">
            <w:pPr>
              <w:rPr>
                <w:sz w:val="20"/>
                <w:szCs w:val="20"/>
                <w:lang w:val="fr-CA"/>
              </w:rPr>
            </w:pPr>
            <w:r w:rsidRPr="00A54F27">
              <w:rPr>
                <w:rStyle w:val="SCCLsocChar"/>
                <w:sz w:val="20"/>
                <w:szCs w:val="20"/>
              </w:rPr>
              <w:t>Cathie Gauthier c. Sa Majesté la Reine</w:t>
            </w:r>
            <w:r w:rsidRPr="00A54F27">
              <w:rPr>
                <w:sz w:val="20"/>
                <w:szCs w:val="20"/>
                <w:lang w:val="fr-CA"/>
              </w:rPr>
              <w:t xml:space="preserve"> (</w:t>
            </w:r>
            <w:proofErr w:type="spellStart"/>
            <w:r w:rsidRPr="00A54F27">
              <w:rPr>
                <w:sz w:val="20"/>
                <w:szCs w:val="20"/>
                <w:lang w:val="fr-CA"/>
              </w:rPr>
              <w:t>Qc</w:t>
            </w:r>
            <w:proofErr w:type="spellEnd"/>
            <w:r w:rsidRPr="00A54F27">
              <w:rPr>
                <w:sz w:val="20"/>
                <w:szCs w:val="20"/>
                <w:lang w:val="fr-CA"/>
              </w:rPr>
              <w:t>) (Criminelle) (Autorisation)</w:t>
            </w:r>
          </w:p>
          <w:p w:rsidR="000A4857" w:rsidRPr="00A54F27" w:rsidRDefault="000A4857" w:rsidP="000A4857">
            <w:pPr>
              <w:rPr>
                <w:sz w:val="20"/>
                <w:szCs w:val="20"/>
                <w:lang w:val="fr-CA"/>
              </w:rPr>
            </w:pPr>
          </w:p>
        </w:tc>
      </w:tr>
      <w:tr w:rsidR="000A4857" w:rsidRPr="002D3F55"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lang w:val="fr-CA"/>
              </w:rPr>
            </w:pPr>
            <w:r w:rsidRPr="00A54F27">
              <w:rPr>
                <w:rStyle w:val="SCCCoramChar"/>
                <w:sz w:val="20"/>
                <w:szCs w:val="20"/>
              </w:rPr>
              <w:t xml:space="preserve">Les juges Deschamps, Fish et </w:t>
            </w:r>
            <w:proofErr w:type="spellStart"/>
            <w:r w:rsidRPr="00A54F27">
              <w:rPr>
                <w:rStyle w:val="SCCCoramChar"/>
                <w:sz w:val="20"/>
                <w:szCs w:val="20"/>
              </w:rPr>
              <w:t>Karakatsanis</w:t>
            </w:r>
            <w:proofErr w:type="spellEnd"/>
          </w:p>
          <w:p w:rsidR="000A4857" w:rsidRPr="00A54F27" w:rsidRDefault="000A4857" w:rsidP="000A4857">
            <w:pPr>
              <w:rPr>
                <w:sz w:val="20"/>
                <w:szCs w:val="20"/>
                <w:u w:val="single"/>
                <w:lang w:val="fr-CA"/>
              </w:rPr>
            </w:pPr>
          </w:p>
        </w:tc>
      </w:tr>
      <w:tr w:rsidR="000A4857" w:rsidRPr="00A54F27" w:rsidTr="000A4857">
        <w:trPr>
          <w:cantSplit/>
        </w:trPr>
        <w:tc>
          <w:tcPr>
            <w:tcW w:w="9576" w:type="dxa"/>
            <w:gridSpan w:val="2"/>
          </w:tcPr>
          <w:p w:rsidR="000A4857" w:rsidRPr="00A54F27" w:rsidRDefault="000A4857" w:rsidP="000A4857">
            <w:pPr>
              <w:pStyle w:val="SCCShortJudgment"/>
              <w:rPr>
                <w:szCs w:val="20"/>
                <w:lang w:val="fr-CA"/>
              </w:rPr>
            </w:pPr>
            <w:r w:rsidRPr="00A54F27">
              <w:rPr>
                <w:szCs w:val="20"/>
                <w:lang w:val="fr-CA"/>
              </w:rPr>
              <w:t>La demande d’autorisation d’appel de l’arrêt de la Cour d’appel du Québec (Québec), numéro 200-10-002454-093, 2011 QCCA 1395, daté du 26 juillet 2011, est accueillie sans dépens.</w:t>
            </w:r>
          </w:p>
          <w:p w:rsidR="000A4857" w:rsidRPr="00A54F27" w:rsidRDefault="000A4857" w:rsidP="000A4857">
            <w:pPr>
              <w:pStyle w:val="SCCShortJudgment"/>
              <w:ind w:firstLine="0"/>
              <w:rPr>
                <w:szCs w:val="20"/>
                <w:lang w:val="fr-CA"/>
              </w:rPr>
            </w:pPr>
          </w:p>
          <w:p w:rsidR="000A4857" w:rsidRPr="00A54F27" w:rsidRDefault="000A4857" w:rsidP="000A4857">
            <w:pPr>
              <w:pStyle w:val="SCCShortJudgment"/>
              <w:rPr>
                <w:szCs w:val="20"/>
              </w:rPr>
            </w:pPr>
            <w:r w:rsidRPr="00A54F27">
              <w:rPr>
                <w:szCs w:val="20"/>
              </w:rPr>
              <w:t>The application for leave to appeal from the judgment of the Court of Appeal of Quebec (Québec), Number 200-10-002454-093, 2011 QCCA 1395, dated July 26, 2011, is granted without costs.</w:t>
            </w:r>
          </w:p>
        </w:tc>
      </w:tr>
    </w:tbl>
    <w:p w:rsidR="00C64AFA" w:rsidRDefault="00C64AFA" w:rsidP="00C64AFA">
      <w:pPr>
        <w:rPr>
          <w:sz w:val="20"/>
          <w:szCs w:val="20"/>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50EED" w:rsidRPr="00B32C06" w:rsidTr="00C54A8E">
        <w:tc>
          <w:tcPr>
            <w:tcW w:w="5000" w:type="pct"/>
            <w:gridSpan w:val="3"/>
          </w:tcPr>
          <w:p w:rsidR="00350EED" w:rsidRPr="00B32C06" w:rsidRDefault="00350EED" w:rsidP="00C54A8E">
            <w:pPr>
              <w:jc w:val="both"/>
              <w:rPr>
                <w:rFonts w:eastAsia="Calibri"/>
                <w:sz w:val="20"/>
              </w:rPr>
            </w:pPr>
            <w:r w:rsidRPr="00B32C06">
              <w:rPr>
                <w:rFonts w:eastAsia="Calibri"/>
                <w:sz w:val="20"/>
              </w:rPr>
              <w:t xml:space="preserve">Criminal law – Jury charge – Defence of abandonment – Whether Court of Appeal erred in holding that trial judge had been right not to put defence of abandonment to jury – Whether Court of Appeal erred in upholding guilty verdicts against accused on ground that she should have prevented children from drinking beverages prepared by her spouse – </w:t>
            </w:r>
            <w:r w:rsidRPr="00B32C06">
              <w:rPr>
                <w:rFonts w:eastAsia="Calibri"/>
                <w:i/>
                <w:sz w:val="20"/>
              </w:rPr>
              <w:t xml:space="preserve">R. v. </w:t>
            </w:r>
            <w:proofErr w:type="spellStart"/>
            <w:r w:rsidRPr="00B32C06">
              <w:rPr>
                <w:rFonts w:eastAsia="Calibri"/>
                <w:i/>
                <w:sz w:val="20"/>
              </w:rPr>
              <w:t>Cinous</w:t>
            </w:r>
            <w:proofErr w:type="spellEnd"/>
            <w:r w:rsidRPr="00B32C06">
              <w:rPr>
                <w:rFonts w:eastAsia="Calibri"/>
                <w:sz w:val="20"/>
              </w:rPr>
              <w:t>, [2002] 2 S.C.R. 3.</w:t>
            </w:r>
          </w:p>
        </w:tc>
      </w:tr>
      <w:tr w:rsidR="00350EED" w:rsidRPr="00B32C06" w:rsidTr="00C54A8E">
        <w:tc>
          <w:tcPr>
            <w:tcW w:w="5000" w:type="pct"/>
            <w:gridSpan w:val="3"/>
          </w:tcPr>
          <w:p w:rsidR="00350EED" w:rsidRPr="00B32C06" w:rsidRDefault="00350EED" w:rsidP="00C54A8E">
            <w:pPr>
              <w:jc w:val="both"/>
              <w:rPr>
                <w:rFonts w:eastAsia="Calibri"/>
                <w:sz w:val="20"/>
              </w:rPr>
            </w:pPr>
          </w:p>
        </w:tc>
      </w:tr>
      <w:tr w:rsidR="00350EED" w:rsidRPr="00B32C06" w:rsidTr="00C54A8E">
        <w:tc>
          <w:tcPr>
            <w:tcW w:w="5000" w:type="pct"/>
            <w:gridSpan w:val="3"/>
          </w:tcPr>
          <w:p w:rsidR="00350EED" w:rsidRPr="00B32C06" w:rsidRDefault="00350EED" w:rsidP="00C54A8E">
            <w:pPr>
              <w:jc w:val="both"/>
              <w:rPr>
                <w:rFonts w:eastAsia="Calibri"/>
                <w:sz w:val="20"/>
              </w:rPr>
            </w:pPr>
            <w:r w:rsidRPr="00B32C06">
              <w:rPr>
                <w:rFonts w:eastAsia="Calibri"/>
                <w:sz w:val="20"/>
              </w:rPr>
              <w:t>On January 1, 2009 at 11:56 p.m., the applicant Cathie Gauthier dialled 9</w:t>
            </w:r>
            <w:r w:rsidRPr="00B32C06">
              <w:rPr>
                <w:rFonts w:eastAsia="Calibri"/>
                <w:sz w:val="20"/>
              </w:rPr>
              <w:noBreakHyphen/>
              <w:t>1</w:t>
            </w:r>
            <w:r w:rsidRPr="00B32C06">
              <w:rPr>
                <w:rFonts w:eastAsia="Calibri"/>
                <w:sz w:val="20"/>
              </w:rPr>
              <w:noBreakHyphen/>
              <w:t>1 from her home.  In a weak voice broken by sobs, she requested an ambulance.  The operator asked her what the problem was.  She told the operator that her wrist was cut.  The operator asked whether it was a suicide attempt, and Ms. Gauthier answered: [</w:t>
            </w:r>
            <w:r w:rsidRPr="00B32C06">
              <w:rPr>
                <w:rFonts w:eastAsia="Calibri"/>
                <w:smallCaps/>
                <w:sz w:val="20"/>
              </w:rPr>
              <w:t>translation</w:t>
            </w:r>
            <w:r w:rsidRPr="00B32C06">
              <w:rPr>
                <w:rFonts w:eastAsia="Calibri"/>
                <w:sz w:val="20"/>
              </w:rPr>
              <w:t>] “it was a pact; my husband killed our three children”.  She later stated: [</w:t>
            </w:r>
            <w:r w:rsidRPr="00B32C06">
              <w:rPr>
                <w:rFonts w:eastAsia="Calibri"/>
                <w:smallCaps/>
                <w:sz w:val="20"/>
              </w:rPr>
              <w:t>translation</w:t>
            </w:r>
            <w:r w:rsidRPr="00B32C06">
              <w:rPr>
                <w:rFonts w:eastAsia="Calibri"/>
                <w:sz w:val="20"/>
              </w:rPr>
              <w:t>] “we said that we wouldn’t start 2009, but. . . .”</w:t>
            </w:r>
          </w:p>
          <w:p w:rsidR="00350EED" w:rsidRPr="00B32C06" w:rsidRDefault="00350EED" w:rsidP="00C54A8E">
            <w:pPr>
              <w:jc w:val="both"/>
              <w:rPr>
                <w:rFonts w:eastAsia="Calibri"/>
                <w:sz w:val="20"/>
              </w:rPr>
            </w:pPr>
          </w:p>
          <w:p w:rsidR="00350EED" w:rsidRPr="00B32C06" w:rsidRDefault="00350EED" w:rsidP="00C54A8E">
            <w:pPr>
              <w:jc w:val="both"/>
              <w:rPr>
                <w:rFonts w:eastAsia="Calibri"/>
                <w:sz w:val="20"/>
              </w:rPr>
            </w:pPr>
            <w:r w:rsidRPr="00B32C06">
              <w:rPr>
                <w:rFonts w:eastAsia="Calibri"/>
                <w:sz w:val="20"/>
              </w:rPr>
              <w:t>During the telephone call, which lasted about 12 minutes, Ms. Gauthier also said that she had woken up lying in her bed with her three children.  Her wrist was slit and her husband was lying on the bedroom floor.  She shook the children, but they did not respond.  She stated that her spouse had cut her wrist and drugged everyone with sleeping pills.  She had dragged herself to the kitchen to call for help.  She had the impression that these events had taken place 24 hours earlier.</w:t>
            </w:r>
          </w:p>
          <w:p w:rsidR="00350EED" w:rsidRPr="00B32C06" w:rsidRDefault="00350EED" w:rsidP="00C54A8E">
            <w:pPr>
              <w:jc w:val="both"/>
              <w:rPr>
                <w:rFonts w:eastAsia="Calibri"/>
                <w:sz w:val="20"/>
              </w:rPr>
            </w:pPr>
          </w:p>
        </w:tc>
      </w:tr>
      <w:tr w:rsidR="00350EED" w:rsidRPr="00B32C06" w:rsidTr="00C54A8E">
        <w:tc>
          <w:tcPr>
            <w:tcW w:w="2427" w:type="pct"/>
          </w:tcPr>
          <w:p w:rsidR="00350EED" w:rsidRPr="00B32C06" w:rsidRDefault="00350EED" w:rsidP="00C54A8E">
            <w:pPr>
              <w:jc w:val="both"/>
              <w:rPr>
                <w:rFonts w:eastAsia="Calibri"/>
                <w:sz w:val="20"/>
              </w:rPr>
            </w:pPr>
            <w:r w:rsidRPr="00B32C06">
              <w:rPr>
                <w:rFonts w:eastAsia="Calibri"/>
                <w:sz w:val="20"/>
              </w:rPr>
              <w:t>October 24, 2009</w:t>
            </w:r>
          </w:p>
          <w:p w:rsidR="00350EED" w:rsidRPr="00B32C06" w:rsidRDefault="00350EED" w:rsidP="00C54A8E">
            <w:pPr>
              <w:jc w:val="both"/>
              <w:rPr>
                <w:rFonts w:eastAsia="Calibri"/>
                <w:sz w:val="20"/>
              </w:rPr>
            </w:pPr>
            <w:r w:rsidRPr="00B32C06">
              <w:rPr>
                <w:rFonts w:eastAsia="Calibri"/>
                <w:sz w:val="20"/>
              </w:rPr>
              <w:t>Quebec Superior Court</w:t>
            </w:r>
          </w:p>
          <w:p w:rsidR="00350EED" w:rsidRPr="00B32C06" w:rsidRDefault="00350EED" w:rsidP="00C54A8E">
            <w:pPr>
              <w:jc w:val="both"/>
              <w:rPr>
                <w:rFonts w:eastAsia="Calibri"/>
                <w:sz w:val="20"/>
              </w:rPr>
            </w:pPr>
            <w:r w:rsidRPr="00B32C06">
              <w:rPr>
                <w:rFonts w:eastAsia="Calibri"/>
                <w:sz w:val="20"/>
              </w:rPr>
              <w:t>(Beaulieu J.)</w:t>
            </w:r>
          </w:p>
          <w:p w:rsidR="00350EED" w:rsidRPr="00B32C06" w:rsidRDefault="00350EED" w:rsidP="00C54A8E">
            <w:pPr>
              <w:jc w:val="both"/>
              <w:rPr>
                <w:rFonts w:eastAsia="Calibri"/>
                <w:sz w:val="20"/>
              </w:rPr>
            </w:pPr>
          </w:p>
        </w:tc>
        <w:tc>
          <w:tcPr>
            <w:tcW w:w="243" w:type="pct"/>
          </w:tcPr>
          <w:p w:rsidR="00350EED" w:rsidRPr="00B32C06" w:rsidRDefault="00350EED" w:rsidP="00C54A8E">
            <w:pPr>
              <w:jc w:val="both"/>
              <w:rPr>
                <w:rFonts w:eastAsia="Calibri"/>
                <w:sz w:val="20"/>
              </w:rPr>
            </w:pPr>
          </w:p>
        </w:tc>
        <w:tc>
          <w:tcPr>
            <w:tcW w:w="2330" w:type="pct"/>
          </w:tcPr>
          <w:p w:rsidR="00350EED" w:rsidRPr="00B32C06" w:rsidRDefault="00350EED" w:rsidP="00C54A8E">
            <w:pPr>
              <w:jc w:val="both"/>
              <w:rPr>
                <w:rFonts w:eastAsia="Calibri"/>
                <w:sz w:val="20"/>
              </w:rPr>
            </w:pPr>
            <w:r w:rsidRPr="00B32C06">
              <w:rPr>
                <w:rFonts w:eastAsia="Calibri"/>
                <w:sz w:val="20"/>
              </w:rPr>
              <w:t>Verdicts of guilty of first degree murder returned by jury</w:t>
            </w:r>
          </w:p>
          <w:p w:rsidR="00350EED" w:rsidRPr="00B32C06" w:rsidRDefault="00350EED" w:rsidP="00C54A8E">
            <w:pPr>
              <w:jc w:val="both"/>
              <w:rPr>
                <w:rFonts w:eastAsia="Calibri"/>
                <w:sz w:val="20"/>
              </w:rPr>
            </w:pPr>
          </w:p>
        </w:tc>
      </w:tr>
      <w:tr w:rsidR="00350EED" w:rsidRPr="00B32C06" w:rsidTr="00C54A8E">
        <w:tc>
          <w:tcPr>
            <w:tcW w:w="2427" w:type="pct"/>
          </w:tcPr>
          <w:p w:rsidR="00350EED" w:rsidRPr="00B32C06" w:rsidRDefault="00350EED" w:rsidP="00C54A8E">
            <w:pPr>
              <w:jc w:val="both"/>
              <w:rPr>
                <w:rFonts w:eastAsia="Calibri"/>
                <w:sz w:val="20"/>
              </w:rPr>
            </w:pPr>
            <w:r w:rsidRPr="00B32C06">
              <w:rPr>
                <w:rFonts w:eastAsia="Calibri"/>
                <w:sz w:val="20"/>
              </w:rPr>
              <w:t>July 26, 2011</w:t>
            </w:r>
          </w:p>
          <w:p w:rsidR="00350EED" w:rsidRPr="00B32C06" w:rsidRDefault="00350EED" w:rsidP="00C54A8E">
            <w:pPr>
              <w:jc w:val="both"/>
              <w:rPr>
                <w:rFonts w:eastAsia="Calibri"/>
                <w:sz w:val="20"/>
              </w:rPr>
            </w:pPr>
            <w:r w:rsidRPr="00B32C06">
              <w:rPr>
                <w:rFonts w:eastAsia="Calibri"/>
                <w:sz w:val="20"/>
              </w:rPr>
              <w:t>Quebec Court of Appeal (Québec)</w:t>
            </w:r>
          </w:p>
          <w:p w:rsidR="00350EED" w:rsidRDefault="00350EED" w:rsidP="00DA20EC">
            <w:pPr>
              <w:jc w:val="both"/>
              <w:rPr>
                <w:rFonts w:eastAsia="Calibri"/>
                <w:sz w:val="20"/>
              </w:rPr>
            </w:pPr>
            <w:r w:rsidRPr="00B32C06">
              <w:rPr>
                <w:rFonts w:eastAsia="Calibri"/>
                <w:sz w:val="20"/>
              </w:rPr>
              <w:t>(</w:t>
            </w:r>
            <w:proofErr w:type="spellStart"/>
            <w:r w:rsidRPr="00B32C06">
              <w:rPr>
                <w:rFonts w:eastAsia="Calibri"/>
                <w:sz w:val="20"/>
              </w:rPr>
              <w:t>Rochette</w:t>
            </w:r>
            <w:proofErr w:type="spellEnd"/>
            <w:r w:rsidRPr="00B32C06">
              <w:rPr>
                <w:rFonts w:eastAsia="Calibri"/>
                <w:sz w:val="20"/>
              </w:rPr>
              <w:t>, Morin and Bouchard JJ.A.)</w:t>
            </w:r>
          </w:p>
          <w:p w:rsidR="00DA20EC" w:rsidRPr="00B32C06" w:rsidRDefault="00DA20EC" w:rsidP="00DA20EC">
            <w:pPr>
              <w:jc w:val="both"/>
              <w:rPr>
                <w:rFonts w:eastAsia="Calibri"/>
                <w:sz w:val="20"/>
              </w:rPr>
            </w:pPr>
          </w:p>
        </w:tc>
        <w:tc>
          <w:tcPr>
            <w:tcW w:w="243" w:type="pct"/>
          </w:tcPr>
          <w:p w:rsidR="00350EED" w:rsidRPr="00B32C06" w:rsidRDefault="00350EED" w:rsidP="00C54A8E">
            <w:pPr>
              <w:jc w:val="both"/>
              <w:rPr>
                <w:rFonts w:eastAsia="Calibri"/>
                <w:sz w:val="20"/>
              </w:rPr>
            </w:pPr>
          </w:p>
        </w:tc>
        <w:tc>
          <w:tcPr>
            <w:tcW w:w="2330" w:type="pct"/>
          </w:tcPr>
          <w:p w:rsidR="00350EED" w:rsidRPr="00B32C06" w:rsidRDefault="00350EED" w:rsidP="00C54A8E">
            <w:pPr>
              <w:jc w:val="both"/>
              <w:rPr>
                <w:rFonts w:eastAsia="Calibri"/>
                <w:sz w:val="20"/>
              </w:rPr>
            </w:pPr>
            <w:r w:rsidRPr="00B32C06">
              <w:rPr>
                <w:rFonts w:eastAsia="Calibri"/>
                <w:sz w:val="20"/>
              </w:rPr>
              <w:t>Appeal dismissed</w:t>
            </w:r>
          </w:p>
          <w:p w:rsidR="00350EED" w:rsidRPr="00B32C06" w:rsidRDefault="00350EED" w:rsidP="00C54A8E">
            <w:pPr>
              <w:jc w:val="both"/>
              <w:rPr>
                <w:rFonts w:eastAsia="Calibri"/>
                <w:sz w:val="20"/>
              </w:rPr>
            </w:pPr>
          </w:p>
        </w:tc>
      </w:tr>
    </w:tbl>
    <w:p w:rsidR="00DA20EC" w:rsidRDefault="00DA20EC">
      <w:r>
        <w:br w:type="page"/>
      </w:r>
    </w:p>
    <w:tbl>
      <w:tblPr>
        <w:tblW w:w="4952" w:type="pct"/>
        <w:tblLayout w:type="fixed"/>
        <w:tblCellMar>
          <w:left w:w="0" w:type="dxa"/>
          <w:bottom w:w="99" w:type="dxa"/>
          <w:right w:w="0" w:type="dxa"/>
        </w:tblCellMar>
        <w:tblLook w:val="04A0"/>
      </w:tblPr>
      <w:tblGrid>
        <w:gridCol w:w="4624"/>
        <w:gridCol w:w="463"/>
        <w:gridCol w:w="4440"/>
      </w:tblGrid>
      <w:tr w:rsidR="00350EED" w:rsidRPr="00B32C06" w:rsidTr="00DA20EC">
        <w:trPr>
          <w:cantSplit/>
        </w:trPr>
        <w:tc>
          <w:tcPr>
            <w:tcW w:w="2427" w:type="pct"/>
          </w:tcPr>
          <w:p w:rsidR="00350EED" w:rsidRPr="00B32C06" w:rsidRDefault="00350EED" w:rsidP="00C54A8E">
            <w:pPr>
              <w:jc w:val="both"/>
              <w:rPr>
                <w:rFonts w:eastAsia="Calibri"/>
                <w:sz w:val="20"/>
              </w:rPr>
            </w:pPr>
            <w:r w:rsidRPr="00B32C06">
              <w:rPr>
                <w:rFonts w:eastAsia="Calibri"/>
                <w:sz w:val="20"/>
              </w:rPr>
              <w:lastRenderedPageBreak/>
              <w:t>September 23, 2011</w:t>
            </w:r>
          </w:p>
          <w:p w:rsidR="00350EED" w:rsidRPr="00B32C06" w:rsidRDefault="00350EED" w:rsidP="00350EED">
            <w:pPr>
              <w:jc w:val="both"/>
              <w:rPr>
                <w:rFonts w:eastAsia="Calibri"/>
                <w:sz w:val="20"/>
              </w:rPr>
            </w:pPr>
            <w:r w:rsidRPr="00B32C06">
              <w:rPr>
                <w:rFonts w:eastAsia="Calibri"/>
                <w:sz w:val="20"/>
              </w:rPr>
              <w:t>Supreme Court of Canada</w:t>
            </w:r>
          </w:p>
        </w:tc>
        <w:tc>
          <w:tcPr>
            <w:tcW w:w="243" w:type="pct"/>
          </w:tcPr>
          <w:p w:rsidR="00350EED" w:rsidRPr="00B32C06" w:rsidRDefault="00350EED" w:rsidP="00C54A8E">
            <w:pPr>
              <w:jc w:val="both"/>
              <w:rPr>
                <w:rFonts w:eastAsia="Calibri"/>
                <w:sz w:val="20"/>
              </w:rPr>
            </w:pPr>
          </w:p>
        </w:tc>
        <w:tc>
          <w:tcPr>
            <w:tcW w:w="2330" w:type="pct"/>
          </w:tcPr>
          <w:p w:rsidR="00350EED" w:rsidRPr="00B32C06" w:rsidRDefault="00350EED" w:rsidP="00C54A8E">
            <w:pPr>
              <w:jc w:val="both"/>
              <w:rPr>
                <w:rFonts w:eastAsia="Calibri"/>
                <w:sz w:val="20"/>
              </w:rPr>
            </w:pPr>
            <w:r w:rsidRPr="00B32C06">
              <w:rPr>
                <w:rFonts w:eastAsia="Calibri"/>
                <w:sz w:val="20"/>
              </w:rPr>
              <w:t>Application for leave to appeal filed</w:t>
            </w:r>
          </w:p>
          <w:p w:rsidR="00350EED" w:rsidRPr="00B32C06" w:rsidRDefault="00350EED" w:rsidP="00C54A8E">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53"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50EED" w:rsidRPr="002D3F55" w:rsidTr="00C54A8E">
        <w:tc>
          <w:tcPr>
            <w:tcW w:w="5000" w:type="pct"/>
            <w:gridSpan w:val="3"/>
          </w:tcPr>
          <w:p w:rsidR="00350EED" w:rsidRPr="00B32C06" w:rsidRDefault="00350EED" w:rsidP="00C54A8E">
            <w:pPr>
              <w:jc w:val="both"/>
              <w:rPr>
                <w:rFonts w:eastAsia="Calibri"/>
                <w:sz w:val="20"/>
                <w:lang w:val="fr-CA"/>
              </w:rPr>
            </w:pPr>
            <w:r w:rsidRPr="00B32C06">
              <w:rPr>
                <w:rFonts w:eastAsia="Calibri"/>
                <w:sz w:val="20"/>
                <w:lang w:val="fr-CA"/>
              </w:rPr>
              <w:t xml:space="preserve">Droit criminel – Directives au jury – Moyen de défense de désistement – La Cour d’appel a-t-elle commis une erreur en décidant que le juge de première instance avait eu raison de ne pas soumettre la défense de désistement au jury? – La Cour d’appel a-t-elle commis une erreur en maintenant les verdicts de culpabilité envers l’accusée au motif qu’elle aurait dû empêcher les enfants de boire les boissons préparées par son conjoint? – </w:t>
            </w:r>
            <w:r w:rsidRPr="00B32C06">
              <w:rPr>
                <w:rFonts w:eastAsia="Calibri"/>
                <w:i/>
                <w:sz w:val="20"/>
                <w:lang w:val="fr-CA"/>
              </w:rPr>
              <w:t xml:space="preserve">R. c. </w:t>
            </w:r>
            <w:proofErr w:type="spellStart"/>
            <w:r w:rsidRPr="00B32C06">
              <w:rPr>
                <w:rFonts w:eastAsia="Calibri"/>
                <w:i/>
                <w:sz w:val="20"/>
                <w:lang w:val="fr-CA"/>
              </w:rPr>
              <w:t>Cinous</w:t>
            </w:r>
            <w:proofErr w:type="spellEnd"/>
            <w:r w:rsidRPr="00B32C06">
              <w:rPr>
                <w:rFonts w:eastAsia="Calibri"/>
                <w:sz w:val="20"/>
                <w:lang w:val="fr-CA"/>
              </w:rPr>
              <w:t>, [2002] 2 R.C.S. 3.</w:t>
            </w:r>
          </w:p>
        </w:tc>
      </w:tr>
      <w:tr w:rsidR="00350EED" w:rsidRPr="002D3F55" w:rsidTr="00C54A8E">
        <w:tc>
          <w:tcPr>
            <w:tcW w:w="5000" w:type="pct"/>
            <w:gridSpan w:val="3"/>
          </w:tcPr>
          <w:p w:rsidR="00350EED" w:rsidRPr="00B32C06" w:rsidRDefault="00350EED" w:rsidP="00C54A8E">
            <w:pPr>
              <w:jc w:val="both"/>
              <w:rPr>
                <w:rFonts w:eastAsia="Calibri"/>
                <w:sz w:val="20"/>
                <w:lang w:val="fr-CA"/>
              </w:rPr>
            </w:pPr>
          </w:p>
        </w:tc>
      </w:tr>
      <w:tr w:rsidR="00350EED" w:rsidRPr="002D3F55" w:rsidTr="00C54A8E">
        <w:tc>
          <w:tcPr>
            <w:tcW w:w="5000" w:type="pct"/>
            <w:gridSpan w:val="3"/>
          </w:tcPr>
          <w:p w:rsidR="00350EED" w:rsidRPr="00B32C06" w:rsidRDefault="00350EED" w:rsidP="00C54A8E">
            <w:pPr>
              <w:jc w:val="both"/>
              <w:rPr>
                <w:rFonts w:eastAsia="Calibri"/>
                <w:sz w:val="20"/>
                <w:lang w:val="fr-CA"/>
              </w:rPr>
            </w:pPr>
            <w:r w:rsidRPr="00B32C06">
              <w:rPr>
                <w:rFonts w:eastAsia="Calibri"/>
                <w:sz w:val="20"/>
                <w:lang w:val="fr-CA"/>
              </w:rPr>
              <w:t>Le 1</w:t>
            </w:r>
            <w:r w:rsidRPr="00B32C06">
              <w:rPr>
                <w:rFonts w:eastAsia="Calibri"/>
                <w:sz w:val="20"/>
                <w:vertAlign w:val="superscript"/>
                <w:lang w:val="fr-CA"/>
              </w:rPr>
              <w:t>er</w:t>
            </w:r>
            <w:r w:rsidRPr="00B32C06">
              <w:rPr>
                <w:rFonts w:eastAsia="Calibri"/>
                <w:sz w:val="20"/>
                <w:lang w:val="fr-CA"/>
              </w:rPr>
              <w:t xml:space="preserve"> janvier 2009, à 23h56, madame Cathie Gauthier, demanderesse, compose le 9-1-1 à partir de son domicile.  D’une voix faible et entrecoupée de sanglots, elle demande une ambulance.  La standardiste lui demande quel est le problème.  Elle lui mentionne qu’elle a le poignet ouvert.  À la question suivante, « c’est une tentative de suicide? », elle répond : « c’était un pacte, mon mari a tué nos trois enfants ».  Plus tard, elle dira : « on se l’était dit qu’on commencerait pas l’année 2009 </w:t>
            </w:r>
            <w:proofErr w:type="gramStart"/>
            <w:r w:rsidRPr="00B32C06">
              <w:rPr>
                <w:rFonts w:eastAsia="Calibri"/>
                <w:sz w:val="20"/>
                <w:lang w:val="fr-CA"/>
              </w:rPr>
              <w:t>mais .</w:t>
            </w:r>
            <w:proofErr w:type="gramEnd"/>
            <w:r w:rsidRPr="00B32C06">
              <w:rPr>
                <w:rFonts w:eastAsia="Calibri"/>
                <w:sz w:val="20"/>
                <w:lang w:val="fr-CA"/>
              </w:rPr>
              <w:t> . . ».</w:t>
            </w:r>
          </w:p>
          <w:p w:rsidR="00350EED" w:rsidRPr="00B32C06" w:rsidRDefault="00350EED" w:rsidP="00C54A8E">
            <w:pPr>
              <w:jc w:val="both"/>
              <w:rPr>
                <w:rFonts w:eastAsia="Calibri"/>
                <w:sz w:val="20"/>
                <w:lang w:val="fr-CA"/>
              </w:rPr>
            </w:pPr>
          </w:p>
          <w:p w:rsidR="00350EED" w:rsidRPr="00B32C06" w:rsidRDefault="00350EED" w:rsidP="00C54A8E">
            <w:pPr>
              <w:jc w:val="both"/>
              <w:rPr>
                <w:rFonts w:eastAsia="Calibri"/>
                <w:sz w:val="20"/>
                <w:lang w:val="fr-CA"/>
              </w:rPr>
            </w:pPr>
            <w:r w:rsidRPr="00B32C06">
              <w:rPr>
                <w:rFonts w:eastAsia="Calibri"/>
                <w:sz w:val="20"/>
                <w:lang w:val="fr-CA"/>
              </w:rPr>
              <w:t>Lors de cet appel téléphonique d’une durée d’environ douze minutes, madame Gauthier mentionne également qu’elle s’est réveillée dans son lit, couchée avec ses trois enfants, le poignet tranché, son mari gisant par terre dans la chambre à coucher.  Elle a alors secoué les enfants, mais n’a obtenu aucune réaction de leur part.  Elle affirme que c’est son conjoint qui lui a coupé le poignet et qui les a tous drogués avec des somnifères.  Elle s’est traînée jusqu’à la cuisine pour téléphoner et demander de l’aide.  Elle a l’impression que ces événements sont survenus il y a vingt-quatre heures.</w:t>
            </w:r>
          </w:p>
          <w:p w:rsidR="00350EED" w:rsidRPr="00B32C06" w:rsidRDefault="00350EED" w:rsidP="00C54A8E">
            <w:pPr>
              <w:jc w:val="both"/>
              <w:rPr>
                <w:rFonts w:eastAsia="Calibri"/>
                <w:sz w:val="20"/>
                <w:lang w:val="fr-CA"/>
              </w:rPr>
            </w:pPr>
          </w:p>
        </w:tc>
      </w:tr>
      <w:tr w:rsidR="00350EED" w:rsidRPr="002D3F55" w:rsidTr="00C54A8E">
        <w:tc>
          <w:tcPr>
            <w:tcW w:w="2427" w:type="pct"/>
          </w:tcPr>
          <w:p w:rsidR="00350EED" w:rsidRPr="00B32C06" w:rsidRDefault="00350EED" w:rsidP="00C54A8E">
            <w:pPr>
              <w:jc w:val="both"/>
              <w:rPr>
                <w:rFonts w:eastAsia="Calibri"/>
                <w:sz w:val="20"/>
                <w:lang w:val="fr-CA"/>
              </w:rPr>
            </w:pPr>
            <w:r w:rsidRPr="00B32C06">
              <w:rPr>
                <w:rFonts w:eastAsia="Calibri"/>
                <w:sz w:val="20"/>
                <w:lang w:val="fr-CA"/>
              </w:rPr>
              <w:t>Le 24 octobre 2009</w:t>
            </w:r>
          </w:p>
          <w:p w:rsidR="00350EED" w:rsidRPr="00B32C06" w:rsidRDefault="00350EED" w:rsidP="00C54A8E">
            <w:pPr>
              <w:jc w:val="both"/>
              <w:rPr>
                <w:rFonts w:eastAsia="Calibri"/>
                <w:sz w:val="20"/>
                <w:lang w:val="fr-CA"/>
              </w:rPr>
            </w:pPr>
            <w:r w:rsidRPr="00B32C06">
              <w:rPr>
                <w:rFonts w:eastAsia="Calibri"/>
                <w:sz w:val="20"/>
                <w:lang w:val="fr-CA"/>
              </w:rPr>
              <w:t>Cour supérieure du Québec</w:t>
            </w:r>
          </w:p>
          <w:p w:rsidR="00350EED" w:rsidRPr="00B32C06" w:rsidRDefault="00350EED" w:rsidP="00C54A8E">
            <w:pPr>
              <w:jc w:val="both"/>
              <w:rPr>
                <w:rFonts w:eastAsia="Calibri"/>
                <w:sz w:val="20"/>
                <w:lang w:val="fr-CA"/>
              </w:rPr>
            </w:pPr>
            <w:r w:rsidRPr="00B32C06">
              <w:rPr>
                <w:rFonts w:eastAsia="Calibri"/>
                <w:sz w:val="20"/>
                <w:lang w:val="fr-CA"/>
              </w:rPr>
              <w:t>(Le juge Beaulieu)</w:t>
            </w:r>
          </w:p>
          <w:p w:rsidR="00350EED" w:rsidRPr="00B32C06" w:rsidRDefault="00350EED" w:rsidP="00C54A8E">
            <w:pPr>
              <w:jc w:val="both"/>
              <w:rPr>
                <w:rFonts w:eastAsia="Calibri"/>
                <w:sz w:val="20"/>
                <w:lang w:val="fr-CA"/>
              </w:rPr>
            </w:pPr>
          </w:p>
        </w:tc>
        <w:tc>
          <w:tcPr>
            <w:tcW w:w="243" w:type="pct"/>
          </w:tcPr>
          <w:p w:rsidR="00350EED" w:rsidRPr="00B32C06" w:rsidRDefault="00350EED" w:rsidP="00C54A8E">
            <w:pPr>
              <w:jc w:val="both"/>
              <w:rPr>
                <w:rFonts w:eastAsia="Calibri"/>
                <w:sz w:val="20"/>
                <w:lang w:val="fr-CA"/>
              </w:rPr>
            </w:pPr>
          </w:p>
        </w:tc>
        <w:tc>
          <w:tcPr>
            <w:tcW w:w="2330" w:type="pct"/>
          </w:tcPr>
          <w:p w:rsidR="00350EED" w:rsidRPr="00B32C06" w:rsidRDefault="00350EED" w:rsidP="00C54A8E">
            <w:pPr>
              <w:jc w:val="both"/>
              <w:rPr>
                <w:rFonts w:eastAsia="Calibri"/>
                <w:sz w:val="20"/>
                <w:lang w:val="fr-CA"/>
              </w:rPr>
            </w:pPr>
            <w:r w:rsidRPr="00B32C06">
              <w:rPr>
                <w:rFonts w:eastAsia="Calibri"/>
                <w:sz w:val="20"/>
                <w:lang w:val="fr-CA"/>
              </w:rPr>
              <w:t>Verdicts de culpabilité de meurtre au premier degré rendu par un jury.</w:t>
            </w:r>
          </w:p>
          <w:p w:rsidR="00350EED" w:rsidRPr="00B32C06" w:rsidRDefault="00350EED" w:rsidP="00C54A8E">
            <w:pPr>
              <w:jc w:val="both"/>
              <w:rPr>
                <w:rFonts w:eastAsia="Calibri"/>
                <w:sz w:val="20"/>
                <w:lang w:val="fr-CA"/>
              </w:rPr>
            </w:pPr>
          </w:p>
        </w:tc>
      </w:tr>
      <w:tr w:rsidR="00350EED" w:rsidRPr="00B32C06" w:rsidTr="00C54A8E">
        <w:tc>
          <w:tcPr>
            <w:tcW w:w="2427" w:type="pct"/>
          </w:tcPr>
          <w:p w:rsidR="00350EED" w:rsidRPr="00B32C06" w:rsidRDefault="00350EED" w:rsidP="00C54A8E">
            <w:pPr>
              <w:jc w:val="both"/>
              <w:rPr>
                <w:rFonts w:eastAsia="Calibri"/>
                <w:sz w:val="20"/>
                <w:lang w:val="fr-CA"/>
              </w:rPr>
            </w:pPr>
            <w:r w:rsidRPr="00B32C06">
              <w:rPr>
                <w:rFonts w:eastAsia="Calibri"/>
                <w:sz w:val="20"/>
                <w:lang w:val="fr-CA"/>
              </w:rPr>
              <w:t>Le 26 juillet 2011</w:t>
            </w:r>
          </w:p>
          <w:p w:rsidR="00350EED" w:rsidRPr="00B32C06" w:rsidRDefault="00350EED" w:rsidP="00C54A8E">
            <w:pPr>
              <w:jc w:val="both"/>
              <w:rPr>
                <w:rFonts w:eastAsia="Calibri"/>
                <w:sz w:val="20"/>
                <w:lang w:val="fr-CA"/>
              </w:rPr>
            </w:pPr>
            <w:r w:rsidRPr="00B32C06">
              <w:rPr>
                <w:rFonts w:eastAsia="Calibri"/>
                <w:sz w:val="20"/>
                <w:lang w:val="fr-CA"/>
              </w:rPr>
              <w:t>Cour d’appel du Québec (Québec)</w:t>
            </w:r>
          </w:p>
          <w:p w:rsidR="00350EED" w:rsidRPr="00B32C06" w:rsidRDefault="00350EED" w:rsidP="00C54A8E">
            <w:pPr>
              <w:jc w:val="both"/>
              <w:rPr>
                <w:rFonts w:eastAsia="Calibri"/>
                <w:sz w:val="20"/>
                <w:lang w:val="fr-CA"/>
              </w:rPr>
            </w:pPr>
            <w:r w:rsidRPr="00B32C06">
              <w:rPr>
                <w:rFonts w:eastAsia="Calibri"/>
                <w:sz w:val="20"/>
                <w:lang w:val="fr-CA"/>
              </w:rPr>
              <w:t>(Les juges Rochette, Morin et Bouchard)</w:t>
            </w:r>
          </w:p>
          <w:p w:rsidR="00350EED" w:rsidRPr="00B32C06" w:rsidRDefault="00350EED" w:rsidP="00C54A8E">
            <w:pPr>
              <w:jc w:val="both"/>
              <w:rPr>
                <w:rFonts w:eastAsia="Calibri"/>
                <w:sz w:val="20"/>
                <w:lang w:val="fr-CA"/>
              </w:rPr>
            </w:pPr>
          </w:p>
        </w:tc>
        <w:tc>
          <w:tcPr>
            <w:tcW w:w="243" w:type="pct"/>
          </w:tcPr>
          <w:p w:rsidR="00350EED" w:rsidRPr="00B32C06" w:rsidRDefault="00350EED" w:rsidP="00C54A8E">
            <w:pPr>
              <w:jc w:val="both"/>
              <w:rPr>
                <w:rFonts w:eastAsia="Calibri"/>
                <w:sz w:val="20"/>
                <w:lang w:val="fr-CA"/>
              </w:rPr>
            </w:pPr>
          </w:p>
        </w:tc>
        <w:tc>
          <w:tcPr>
            <w:tcW w:w="2330" w:type="pct"/>
          </w:tcPr>
          <w:p w:rsidR="00350EED" w:rsidRPr="00B32C06" w:rsidRDefault="00350EED" w:rsidP="00C54A8E">
            <w:pPr>
              <w:jc w:val="both"/>
              <w:rPr>
                <w:rFonts w:eastAsia="Calibri"/>
                <w:sz w:val="20"/>
                <w:lang w:val="fr-CA"/>
              </w:rPr>
            </w:pPr>
            <w:r w:rsidRPr="00B32C06">
              <w:rPr>
                <w:rFonts w:eastAsia="Calibri"/>
                <w:sz w:val="20"/>
                <w:lang w:val="fr-CA"/>
              </w:rPr>
              <w:t>Appel rejeté.</w:t>
            </w:r>
          </w:p>
          <w:p w:rsidR="00350EED" w:rsidRPr="00B32C06" w:rsidRDefault="00350EED" w:rsidP="00C54A8E">
            <w:pPr>
              <w:jc w:val="both"/>
              <w:rPr>
                <w:rFonts w:eastAsia="Calibri"/>
                <w:sz w:val="20"/>
                <w:lang w:val="fr-CA"/>
              </w:rPr>
            </w:pPr>
          </w:p>
        </w:tc>
      </w:tr>
      <w:tr w:rsidR="00350EED" w:rsidRPr="00B32C06" w:rsidTr="00C54A8E">
        <w:tc>
          <w:tcPr>
            <w:tcW w:w="2427" w:type="pct"/>
          </w:tcPr>
          <w:p w:rsidR="00350EED" w:rsidRPr="00B32C06" w:rsidRDefault="00350EED" w:rsidP="00C54A8E">
            <w:pPr>
              <w:jc w:val="both"/>
              <w:rPr>
                <w:rFonts w:eastAsia="Calibri"/>
                <w:sz w:val="20"/>
                <w:lang w:val="fr-CA"/>
              </w:rPr>
            </w:pPr>
            <w:r w:rsidRPr="00B32C06">
              <w:rPr>
                <w:rFonts w:eastAsia="Calibri"/>
                <w:sz w:val="20"/>
                <w:lang w:val="fr-CA"/>
              </w:rPr>
              <w:t>Le 23 septembre 2011</w:t>
            </w:r>
          </w:p>
          <w:p w:rsidR="00350EED" w:rsidRPr="00B32C06" w:rsidRDefault="00350EED" w:rsidP="00350EED">
            <w:pPr>
              <w:jc w:val="both"/>
              <w:rPr>
                <w:rFonts w:eastAsia="Calibri"/>
                <w:sz w:val="20"/>
                <w:lang w:val="fr-CA"/>
              </w:rPr>
            </w:pPr>
            <w:r w:rsidRPr="00B32C06">
              <w:rPr>
                <w:rFonts w:eastAsia="Calibri"/>
                <w:sz w:val="20"/>
                <w:lang w:val="fr-CA"/>
              </w:rPr>
              <w:t>Cour suprême du Canada</w:t>
            </w:r>
          </w:p>
        </w:tc>
        <w:tc>
          <w:tcPr>
            <w:tcW w:w="243" w:type="pct"/>
          </w:tcPr>
          <w:p w:rsidR="00350EED" w:rsidRPr="00B32C06" w:rsidRDefault="00350EED" w:rsidP="00C54A8E">
            <w:pPr>
              <w:jc w:val="both"/>
              <w:rPr>
                <w:rFonts w:eastAsia="Calibri"/>
                <w:sz w:val="20"/>
                <w:lang w:val="fr-CA"/>
              </w:rPr>
            </w:pPr>
          </w:p>
        </w:tc>
        <w:tc>
          <w:tcPr>
            <w:tcW w:w="2330" w:type="pct"/>
          </w:tcPr>
          <w:p w:rsidR="00350EED" w:rsidRPr="00B32C06" w:rsidRDefault="00350EED" w:rsidP="00C54A8E">
            <w:pPr>
              <w:jc w:val="both"/>
              <w:rPr>
                <w:rFonts w:eastAsia="Calibri"/>
                <w:sz w:val="20"/>
                <w:lang w:val="fr-CA"/>
              </w:rPr>
            </w:pPr>
            <w:r w:rsidRPr="00B32C06">
              <w:rPr>
                <w:rFonts w:eastAsia="Calibri"/>
                <w:sz w:val="20"/>
                <w:lang w:val="fr-CA"/>
              </w:rPr>
              <w:t>Demande d'autorisation d'appel déposée.</w:t>
            </w:r>
          </w:p>
          <w:p w:rsidR="00350EED" w:rsidRPr="00B32C06" w:rsidRDefault="00350EED" w:rsidP="00C54A8E">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54"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2D3F55" w:rsidTr="000A4857">
        <w:trPr>
          <w:cantSplit/>
        </w:trPr>
        <w:tc>
          <w:tcPr>
            <w:tcW w:w="1458" w:type="dxa"/>
          </w:tcPr>
          <w:p w:rsidR="000A4857" w:rsidRPr="00A54F27" w:rsidRDefault="000A4857" w:rsidP="000A4857">
            <w:pPr>
              <w:rPr>
                <w:sz w:val="20"/>
                <w:szCs w:val="20"/>
              </w:rPr>
            </w:pPr>
            <w:r w:rsidRPr="00A54F27">
              <w:rPr>
                <w:rStyle w:val="SCCFileNumberChar"/>
                <w:sz w:val="20"/>
                <w:szCs w:val="20"/>
              </w:rPr>
              <w:t>34448</w:t>
            </w:r>
          </w:p>
          <w:p w:rsidR="000A4857" w:rsidRPr="00A54F27" w:rsidRDefault="000A4857" w:rsidP="000A4857">
            <w:pPr>
              <w:rPr>
                <w:b/>
                <w:sz w:val="20"/>
                <w:szCs w:val="20"/>
                <w:lang w:val="fr-CA"/>
              </w:rPr>
            </w:pPr>
          </w:p>
        </w:tc>
        <w:tc>
          <w:tcPr>
            <w:tcW w:w="8118" w:type="dxa"/>
          </w:tcPr>
          <w:p w:rsidR="000A4857" w:rsidRPr="00A54F27" w:rsidRDefault="000A4857" w:rsidP="000A4857">
            <w:pPr>
              <w:jc w:val="both"/>
              <w:rPr>
                <w:sz w:val="20"/>
                <w:szCs w:val="20"/>
                <w:lang w:val="fr-CA"/>
              </w:rPr>
            </w:pPr>
            <w:r w:rsidRPr="00A54F27">
              <w:rPr>
                <w:rStyle w:val="SCCLsocChar"/>
                <w:sz w:val="20"/>
                <w:szCs w:val="20"/>
              </w:rPr>
              <w:t xml:space="preserve">Excavations Payette </w:t>
            </w:r>
            <w:proofErr w:type="spellStart"/>
            <w:r w:rsidRPr="00A54F27">
              <w:rPr>
                <w:rStyle w:val="SCCLsocChar"/>
                <w:sz w:val="20"/>
                <w:szCs w:val="20"/>
              </w:rPr>
              <w:t>Ltée</w:t>
            </w:r>
            <w:proofErr w:type="spellEnd"/>
            <w:r w:rsidRPr="00A54F27">
              <w:rPr>
                <w:rStyle w:val="SCCLsocChar"/>
                <w:sz w:val="20"/>
                <w:szCs w:val="20"/>
              </w:rPr>
              <w:t xml:space="preserve"> et Transport H. Cordeau Inc. c. Ville de Montréal</w:t>
            </w:r>
            <w:r w:rsidRPr="00A54F27">
              <w:rPr>
                <w:sz w:val="20"/>
                <w:szCs w:val="20"/>
                <w:lang w:val="fr-CA"/>
              </w:rPr>
              <w:t xml:space="preserve"> (</w:t>
            </w:r>
            <w:proofErr w:type="spellStart"/>
            <w:r w:rsidRPr="00A54F27">
              <w:rPr>
                <w:sz w:val="20"/>
                <w:szCs w:val="20"/>
                <w:lang w:val="fr-CA"/>
              </w:rPr>
              <w:t>Qc</w:t>
            </w:r>
            <w:proofErr w:type="spellEnd"/>
            <w:r w:rsidRPr="00A54F27">
              <w:rPr>
                <w:sz w:val="20"/>
                <w:szCs w:val="20"/>
                <w:lang w:val="fr-CA"/>
              </w:rPr>
              <w:t>) (Civile) (Autorisation)</w:t>
            </w:r>
          </w:p>
          <w:p w:rsidR="000A4857" w:rsidRPr="00A54F27" w:rsidRDefault="000A4857" w:rsidP="000A4857">
            <w:pPr>
              <w:jc w:val="both"/>
              <w:rPr>
                <w:sz w:val="20"/>
                <w:szCs w:val="20"/>
                <w:lang w:val="fr-CA"/>
              </w:rPr>
            </w:pPr>
          </w:p>
        </w:tc>
      </w:tr>
      <w:tr w:rsidR="000A4857" w:rsidRPr="002D3F55"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lang w:val="fr-CA"/>
              </w:rPr>
            </w:pPr>
            <w:r w:rsidRPr="00A54F27">
              <w:rPr>
                <w:rStyle w:val="SCCCoramChar"/>
                <w:sz w:val="20"/>
                <w:szCs w:val="20"/>
              </w:rPr>
              <w:t xml:space="preserve">Les juges Deschamps, Fish et </w:t>
            </w:r>
            <w:proofErr w:type="spellStart"/>
            <w:r w:rsidRPr="00A54F27">
              <w:rPr>
                <w:rStyle w:val="SCCCoramChar"/>
                <w:sz w:val="20"/>
                <w:szCs w:val="20"/>
              </w:rPr>
              <w:t>Karakatsanis</w:t>
            </w:r>
            <w:proofErr w:type="spellEnd"/>
          </w:p>
          <w:p w:rsidR="000A4857" w:rsidRPr="00A54F27" w:rsidRDefault="000A4857" w:rsidP="000A4857">
            <w:pPr>
              <w:rPr>
                <w:sz w:val="20"/>
                <w:szCs w:val="20"/>
                <w:u w:val="single"/>
                <w:lang w:val="fr-CA"/>
              </w:rPr>
            </w:pPr>
          </w:p>
        </w:tc>
      </w:tr>
      <w:tr w:rsidR="000A4857" w:rsidRPr="00A54F27" w:rsidTr="000A4857">
        <w:trPr>
          <w:cantSplit/>
        </w:trPr>
        <w:tc>
          <w:tcPr>
            <w:tcW w:w="9576" w:type="dxa"/>
            <w:gridSpan w:val="2"/>
          </w:tcPr>
          <w:p w:rsidR="000A4857" w:rsidRPr="00A54F27" w:rsidRDefault="000A4857" w:rsidP="000A4857">
            <w:pPr>
              <w:pStyle w:val="SCCShortJudgment"/>
              <w:rPr>
                <w:szCs w:val="20"/>
                <w:lang w:val="fr-CA"/>
              </w:rPr>
            </w:pPr>
            <w:r w:rsidRPr="00A54F27">
              <w:rPr>
                <w:szCs w:val="20"/>
                <w:lang w:val="fr-CA"/>
              </w:rPr>
              <w:t>La demande d’autorisation d’appel de l’arrêt de la Cour d’appel du Québec (Montréal), numéro 500-09-020018-099, 2011 QCCA 1252, daté du 5 juillet 2011, est rejetée avec dépens.</w:t>
            </w:r>
          </w:p>
          <w:p w:rsidR="000A4857" w:rsidRPr="00A54F27" w:rsidRDefault="000A4857" w:rsidP="000A4857">
            <w:pPr>
              <w:pStyle w:val="SCCShortJudgment"/>
              <w:ind w:firstLine="0"/>
              <w:rPr>
                <w:szCs w:val="20"/>
                <w:lang w:val="fr-CA"/>
              </w:rPr>
            </w:pPr>
          </w:p>
          <w:p w:rsidR="000A4857" w:rsidRPr="00A54F27" w:rsidRDefault="000A4857" w:rsidP="000A4857">
            <w:pPr>
              <w:pStyle w:val="SCCShortJudgment"/>
              <w:rPr>
                <w:szCs w:val="20"/>
              </w:rPr>
            </w:pPr>
            <w:r w:rsidRPr="00A54F27">
              <w:rPr>
                <w:szCs w:val="20"/>
              </w:rPr>
              <w:t>The application for leave to appeal from the judgment of the Court of Appeal of Quebec (Montréal), Number 500-09-020018-099, 2011 QCCA 1252, dated July 5, 2011, is dismissed with costs.</w:t>
            </w:r>
          </w:p>
        </w:tc>
      </w:tr>
    </w:tbl>
    <w:p w:rsidR="00C64AFA" w:rsidRDefault="00C64AFA" w:rsidP="00C64AFA">
      <w:pPr>
        <w:rPr>
          <w:sz w:val="20"/>
          <w:szCs w:val="20"/>
        </w:rPr>
      </w:pPr>
    </w:p>
    <w:p w:rsidR="00DA20EC" w:rsidRDefault="00DA20EC">
      <w:pPr>
        <w:rPr>
          <w:sz w:val="20"/>
          <w:szCs w:val="20"/>
          <w:u w:val="single"/>
        </w:rPr>
      </w:pPr>
      <w:r>
        <w:rPr>
          <w:sz w:val="20"/>
          <w:szCs w:val="20"/>
          <w:u w:val="single"/>
        </w:rPr>
        <w:br w:type="page"/>
      </w:r>
    </w:p>
    <w:p w:rsidR="00C64AFA" w:rsidRPr="001B157C" w:rsidRDefault="00C64AFA" w:rsidP="00C64AFA">
      <w:pPr>
        <w:rPr>
          <w:sz w:val="20"/>
          <w:szCs w:val="20"/>
          <w:u w:val="single"/>
        </w:rPr>
      </w:pPr>
      <w:r w:rsidRPr="001B157C">
        <w:rPr>
          <w:sz w:val="20"/>
          <w:szCs w:val="20"/>
          <w:u w:val="single"/>
        </w:rPr>
        <w:lastRenderedPageBreak/>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54A8E" w:rsidRPr="00B32C06" w:rsidTr="00C54A8E">
        <w:tc>
          <w:tcPr>
            <w:tcW w:w="5000" w:type="pct"/>
            <w:gridSpan w:val="3"/>
          </w:tcPr>
          <w:p w:rsidR="00C54A8E" w:rsidRPr="00B32C06" w:rsidRDefault="00C54A8E" w:rsidP="00C54A8E">
            <w:pPr>
              <w:jc w:val="both"/>
              <w:rPr>
                <w:rFonts w:eastAsia="Calibri"/>
                <w:sz w:val="20"/>
              </w:rPr>
            </w:pPr>
            <w:r w:rsidRPr="00B32C06">
              <w:rPr>
                <w:rFonts w:eastAsia="Calibri"/>
                <w:sz w:val="20"/>
              </w:rPr>
              <w:t>Contracts – Contract of enterprise or for services – Interpretation – Usage – Whether Court of Appeal erred in concluding that contract between parties was clear and unambiguous and thus that there was no need to interpret it – Whether interpretation of contract of adhesion was contrary to parties’ history, common intention and reasonable expectation and to usage – Whether City abused its power.</w:t>
            </w:r>
          </w:p>
        </w:tc>
      </w:tr>
      <w:tr w:rsidR="00C54A8E" w:rsidRPr="00B32C06" w:rsidTr="00C54A8E">
        <w:tc>
          <w:tcPr>
            <w:tcW w:w="5000" w:type="pct"/>
            <w:gridSpan w:val="3"/>
          </w:tcPr>
          <w:p w:rsidR="00C54A8E" w:rsidRPr="00B32C06" w:rsidRDefault="00C54A8E" w:rsidP="00C54A8E">
            <w:pPr>
              <w:jc w:val="both"/>
              <w:rPr>
                <w:rFonts w:eastAsia="Calibri"/>
                <w:sz w:val="20"/>
              </w:rPr>
            </w:pPr>
          </w:p>
        </w:tc>
      </w:tr>
      <w:tr w:rsidR="00C54A8E" w:rsidRPr="00B32C06" w:rsidTr="00C54A8E">
        <w:tc>
          <w:tcPr>
            <w:tcW w:w="5000" w:type="pct"/>
            <w:gridSpan w:val="3"/>
          </w:tcPr>
          <w:p w:rsidR="00C54A8E" w:rsidRPr="00B32C06" w:rsidRDefault="00C54A8E" w:rsidP="00C54A8E">
            <w:pPr>
              <w:jc w:val="both"/>
              <w:rPr>
                <w:rFonts w:eastAsia="Calibri"/>
                <w:sz w:val="20"/>
              </w:rPr>
            </w:pPr>
            <w:r w:rsidRPr="00B32C06">
              <w:rPr>
                <w:rFonts w:eastAsia="Calibri"/>
                <w:sz w:val="20"/>
              </w:rPr>
              <w:t xml:space="preserve">The applicants sued the respondent City of Montréal on the basis of </w:t>
            </w:r>
            <w:proofErr w:type="spellStart"/>
            <w:r w:rsidRPr="00B32C06">
              <w:rPr>
                <w:rFonts w:eastAsia="Calibri"/>
                <w:sz w:val="20"/>
              </w:rPr>
              <w:t>five</w:t>
            </w:r>
            <w:r w:rsidRPr="00B32C06">
              <w:rPr>
                <w:rFonts w:eastAsia="Calibri"/>
                <w:sz w:val="20"/>
              </w:rPr>
              <w:noBreakHyphen/>
              <w:t>year</w:t>
            </w:r>
            <w:proofErr w:type="spellEnd"/>
            <w:r w:rsidRPr="00B32C06">
              <w:rPr>
                <w:rFonts w:eastAsia="Calibri"/>
                <w:sz w:val="20"/>
              </w:rPr>
              <w:t xml:space="preserve"> snow removal contracts entered into with the City in 2000 following a tendering process.  They alleged that the City had unlawfully changed the method for calculating remuneration as set out in the contracts for the 2003</w:t>
            </w:r>
            <w:r w:rsidRPr="00B32C06">
              <w:rPr>
                <w:rFonts w:eastAsia="Calibri"/>
                <w:sz w:val="20"/>
              </w:rPr>
              <w:noBreakHyphen/>
              <w:t>2004 season.  Under the contract, the rate of remuneration was based on the measurement of precipitation between November 15 and March 15 of each winter.  In November 2003, the City, which was no longer able to reach an agreement to subcontract the operation of snowfall stations on its territory, notified the snow removal companies that it was ceasing to use the measurements provided by those stations and that, from then on, it would use the official measurements in Environment Canada’s monthly summaries, in accordance with clause 9.6 of the contract.  In their action, the applicants alleged that the precipitation measurements were inaccurate, that the City had to continue operating the stations and that it had acted in bad faith by applying clause 9.6.  They alleged that, because of past usage, the City had an implicit obligation to keep a dedicated observer at the Dorval Airport to take qualitative measurements every hour, even if the City decided to use the monthly summaries produced by Environment Canada.</w:t>
            </w:r>
          </w:p>
          <w:p w:rsidR="00C54A8E" w:rsidRPr="00B32C06" w:rsidRDefault="00C54A8E" w:rsidP="00C54A8E">
            <w:pPr>
              <w:jc w:val="both"/>
              <w:rPr>
                <w:rFonts w:eastAsia="Calibri"/>
                <w:sz w:val="20"/>
              </w:rPr>
            </w:pPr>
          </w:p>
          <w:p w:rsidR="00C54A8E" w:rsidRPr="00B32C06" w:rsidRDefault="00C54A8E" w:rsidP="00C54A8E">
            <w:pPr>
              <w:jc w:val="both"/>
              <w:rPr>
                <w:rFonts w:eastAsia="Calibri"/>
                <w:sz w:val="20"/>
              </w:rPr>
            </w:pPr>
            <w:r w:rsidRPr="00B32C06">
              <w:rPr>
                <w:rFonts w:eastAsia="Calibri"/>
                <w:sz w:val="20"/>
              </w:rPr>
              <w:t>The Superior Court allowed the action in part, but the Court of Appeal set aside the decision.  The Court of Appeal found that clause 9.6 was clear and that the trial judge could not add to it [</w:t>
            </w:r>
            <w:r w:rsidRPr="00B32C06">
              <w:rPr>
                <w:rFonts w:eastAsia="Calibri"/>
                <w:smallCaps/>
                <w:sz w:val="20"/>
              </w:rPr>
              <w:t>translation</w:t>
            </w:r>
            <w:r w:rsidRPr="00B32C06">
              <w:rPr>
                <w:rFonts w:eastAsia="Calibri"/>
                <w:sz w:val="20"/>
              </w:rPr>
              <w:t>] “by applying what she improperly described as usage, namely the contractors’ wish to have a dedicated observer remain at the Dorval station even after [the stations] were abolished” (</w:t>
            </w:r>
            <w:proofErr w:type="spellStart"/>
            <w:r w:rsidRPr="00B32C06">
              <w:rPr>
                <w:rFonts w:eastAsia="Calibri"/>
                <w:sz w:val="20"/>
              </w:rPr>
              <w:t>para</w:t>
            </w:r>
            <w:proofErr w:type="spellEnd"/>
            <w:r w:rsidRPr="00B32C06">
              <w:rPr>
                <w:rFonts w:eastAsia="Calibri"/>
                <w:sz w:val="20"/>
              </w:rPr>
              <w:t>. 54).</w:t>
            </w:r>
          </w:p>
          <w:p w:rsidR="00C54A8E" w:rsidRPr="00B32C06" w:rsidRDefault="00C54A8E" w:rsidP="00C54A8E">
            <w:pPr>
              <w:jc w:val="both"/>
              <w:rPr>
                <w:rFonts w:eastAsia="Calibri"/>
                <w:sz w:val="20"/>
              </w:rPr>
            </w:pPr>
          </w:p>
        </w:tc>
      </w:tr>
      <w:tr w:rsidR="00C54A8E" w:rsidRPr="00B32C06" w:rsidTr="00C54A8E">
        <w:tc>
          <w:tcPr>
            <w:tcW w:w="2427" w:type="pct"/>
          </w:tcPr>
          <w:p w:rsidR="00C54A8E" w:rsidRPr="00B32C06" w:rsidRDefault="00C54A8E" w:rsidP="00C54A8E">
            <w:pPr>
              <w:jc w:val="both"/>
              <w:rPr>
                <w:rFonts w:eastAsia="Calibri"/>
                <w:sz w:val="20"/>
              </w:rPr>
            </w:pPr>
            <w:r w:rsidRPr="00B32C06">
              <w:rPr>
                <w:rFonts w:eastAsia="Calibri"/>
                <w:sz w:val="20"/>
              </w:rPr>
              <w:t>August 25, 2009</w:t>
            </w:r>
          </w:p>
          <w:p w:rsidR="00C54A8E" w:rsidRPr="00B32C06" w:rsidRDefault="00C54A8E" w:rsidP="00C54A8E">
            <w:pPr>
              <w:jc w:val="both"/>
              <w:rPr>
                <w:rFonts w:eastAsia="Calibri"/>
                <w:sz w:val="20"/>
              </w:rPr>
            </w:pPr>
            <w:r w:rsidRPr="00B32C06">
              <w:rPr>
                <w:rFonts w:eastAsia="Calibri"/>
                <w:sz w:val="20"/>
              </w:rPr>
              <w:t>Quebec Superior Court</w:t>
            </w:r>
          </w:p>
          <w:p w:rsidR="00C54A8E" w:rsidRPr="00B32C06" w:rsidRDefault="00C54A8E" w:rsidP="00C54A8E">
            <w:pPr>
              <w:jc w:val="both"/>
              <w:rPr>
                <w:rFonts w:eastAsia="Calibri"/>
                <w:sz w:val="20"/>
              </w:rPr>
            </w:pPr>
            <w:r w:rsidRPr="00B32C06">
              <w:rPr>
                <w:rFonts w:eastAsia="Calibri"/>
                <w:sz w:val="20"/>
              </w:rPr>
              <w:t>(</w:t>
            </w:r>
            <w:proofErr w:type="spellStart"/>
            <w:r w:rsidRPr="00B32C06">
              <w:rPr>
                <w:rFonts w:eastAsia="Calibri"/>
                <w:sz w:val="20"/>
              </w:rPr>
              <w:t>Marcelin</w:t>
            </w:r>
            <w:proofErr w:type="spellEnd"/>
            <w:r w:rsidRPr="00B32C06">
              <w:rPr>
                <w:rFonts w:eastAsia="Calibri"/>
                <w:sz w:val="20"/>
              </w:rPr>
              <w:t xml:space="preserve"> J.)</w:t>
            </w:r>
          </w:p>
          <w:p w:rsidR="00C54A8E" w:rsidRPr="00B32C06" w:rsidRDefault="00C54A8E" w:rsidP="00C54A8E">
            <w:pPr>
              <w:jc w:val="both"/>
              <w:rPr>
                <w:rFonts w:eastAsia="Calibri"/>
                <w:sz w:val="20"/>
              </w:rPr>
            </w:pPr>
            <w:r w:rsidRPr="00B32C06">
              <w:rPr>
                <w:rFonts w:eastAsia="Calibri"/>
                <w:sz w:val="20"/>
              </w:rPr>
              <w:t>2009 QCCS 3837</w:t>
            </w:r>
          </w:p>
          <w:p w:rsidR="00C54A8E" w:rsidRPr="00B32C06" w:rsidRDefault="00C54A8E" w:rsidP="00C54A8E">
            <w:pPr>
              <w:jc w:val="both"/>
              <w:rPr>
                <w:rFonts w:eastAsia="Calibri"/>
                <w:sz w:val="20"/>
              </w:rPr>
            </w:pPr>
          </w:p>
        </w:tc>
        <w:tc>
          <w:tcPr>
            <w:tcW w:w="243" w:type="pct"/>
          </w:tcPr>
          <w:p w:rsidR="00C54A8E" w:rsidRPr="00B32C06" w:rsidRDefault="00C54A8E" w:rsidP="00C54A8E">
            <w:pPr>
              <w:jc w:val="both"/>
              <w:rPr>
                <w:rFonts w:eastAsia="Calibri"/>
                <w:sz w:val="20"/>
              </w:rPr>
            </w:pPr>
          </w:p>
        </w:tc>
        <w:tc>
          <w:tcPr>
            <w:tcW w:w="2330" w:type="pct"/>
          </w:tcPr>
          <w:p w:rsidR="00C54A8E" w:rsidRPr="00B32C06" w:rsidRDefault="00C54A8E" w:rsidP="00C54A8E">
            <w:pPr>
              <w:jc w:val="both"/>
              <w:rPr>
                <w:rFonts w:eastAsia="Calibri"/>
                <w:sz w:val="20"/>
              </w:rPr>
            </w:pPr>
            <w:r w:rsidRPr="00B32C06">
              <w:rPr>
                <w:rFonts w:eastAsia="Calibri"/>
                <w:sz w:val="20"/>
              </w:rPr>
              <w:t>Motion to institute proceedings allowed in part; respondent City ordered to pay damages</w:t>
            </w:r>
          </w:p>
          <w:p w:rsidR="00C54A8E" w:rsidRPr="00B32C06" w:rsidRDefault="00C54A8E" w:rsidP="00C54A8E">
            <w:pPr>
              <w:jc w:val="both"/>
              <w:rPr>
                <w:rFonts w:eastAsia="Calibri"/>
                <w:sz w:val="20"/>
              </w:rPr>
            </w:pPr>
          </w:p>
        </w:tc>
      </w:tr>
      <w:tr w:rsidR="00C54A8E" w:rsidRPr="00B32C06" w:rsidTr="00C54A8E">
        <w:tc>
          <w:tcPr>
            <w:tcW w:w="2427" w:type="pct"/>
          </w:tcPr>
          <w:p w:rsidR="00C54A8E" w:rsidRPr="00B32C06" w:rsidRDefault="00C54A8E" w:rsidP="00C54A8E">
            <w:pPr>
              <w:jc w:val="both"/>
              <w:rPr>
                <w:rFonts w:eastAsia="Calibri"/>
                <w:sz w:val="20"/>
              </w:rPr>
            </w:pPr>
            <w:r w:rsidRPr="00B32C06">
              <w:rPr>
                <w:rFonts w:eastAsia="Calibri"/>
                <w:sz w:val="20"/>
              </w:rPr>
              <w:t>July 5, 2011</w:t>
            </w:r>
          </w:p>
          <w:p w:rsidR="00C54A8E" w:rsidRPr="00B32C06" w:rsidRDefault="00C54A8E" w:rsidP="00C54A8E">
            <w:pPr>
              <w:jc w:val="both"/>
              <w:rPr>
                <w:rFonts w:eastAsia="Calibri"/>
                <w:sz w:val="20"/>
              </w:rPr>
            </w:pPr>
            <w:r w:rsidRPr="00B32C06">
              <w:rPr>
                <w:rFonts w:eastAsia="Calibri"/>
                <w:sz w:val="20"/>
              </w:rPr>
              <w:t>Quebec Court of Appeal (Montréal)</w:t>
            </w:r>
          </w:p>
          <w:p w:rsidR="00C54A8E" w:rsidRPr="00B32C06" w:rsidRDefault="00C54A8E" w:rsidP="00C54A8E">
            <w:pPr>
              <w:jc w:val="both"/>
              <w:rPr>
                <w:rFonts w:eastAsia="Calibri"/>
                <w:sz w:val="20"/>
              </w:rPr>
            </w:pPr>
            <w:r w:rsidRPr="00B32C06">
              <w:rPr>
                <w:rFonts w:eastAsia="Calibri"/>
                <w:sz w:val="20"/>
              </w:rPr>
              <w:t>(</w:t>
            </w:r>
            <w:proofErr w:type="spellStart"/>
            <w:r w:rsidRPr="00B32C06">
              <w:rPr>
                <w:rFonts w:eastAsia="Calibri"/>
                <w:sz w:val="20"/>
              </w:rPr>
              <w:t>Morissette</w:t>
            </w:r>
            <w:proofErr w:type="spellEnd"/>
            <w:r w:rsidRPr="00B32C06">
              <w:rPr>
                <w:rFonts w:eastAsia="Calibri"/>
                <w:sz w:val="20"/>
              </w:rPr>
              <w:t>, Hilton and Jacques JJ.A.)</w:t>
            </w:r>
          </w:p>
          <w:p w:rsidR="00C54A8E" w:rsidRPr="00B32C06" w:rsidRDefault="00C54A8E" w:rsidP="00C54A8E">
            <w:pPr>
              <w:jc w:val="both"/>
              <w:rPr>
                <w:rFonts w:eastAsia="Calibri"/>
                <w:sz w:val="20"/>
              </w:rPr>
            </w:pPr>
            <w:r w:rsidRPr="00B32C06">
              <w:rPr>
                <w:rFonts w:eastAsia="Calibri"/>
                <w:sz w:val="20"/>
              </w:rPr>
              <w:t>2011 QCCA 1252</w:t>
            </w:r>
          </w:p>
          <w:p w:rsidR="00C54A8E" w:rsidRPr="00B32C06" w:rsidRDefault="00C54A8E" w:rsidP="00C54A8E">
            <w:pPr>
              <w:jc w:val="both"/>
              <w:rPr>
                <w:rFonts w:eastAsia="Calibri"/>
                <w:sz w:val="20"/>
              </w:rPr>
            </w:pPr>
          </w:p>
        </w:tc>
        <w:tc>
          <w:tcPr>
            <w:tcW w:w="243" w:type="pct"/>
          </w:tcPr>
          <w:p w:rsidR="00C54A8E" w:rsidRPr="00B32C06" w:rsidRDefault="00C54A8E" w:rsidP="00C54A8E">
            <w:pPr>
              <w:jc w:val="both"/>
              <w:rPr>
                <w:rFonts w:eastAsia="Calibri"/>
                <w:sz w:val="20"/>
              </w:rPr>
            </w:pPr>
          </w:p>
        </w:tc>
        <w:tc>
          <w:tcPr>
            <w:tcW w:w="2330" w:type="pct"/>
          </w:tcPr>
          <w:p w:rsidR="00C54A8E" w:rsidRPr="00B32C06" w:rsidRDefault="00C54A8E" w:rsidP="00C54A8E">
            <w:pPr>
              <w:jc w:val="both"/>
              <w:rPr>
                <w:rFonts w:eastAsia="Calibri"/>
                <w:sz w:val="20"/>
              </w:rPr>
            </w:pPr>
            <w:r w:rsidRPr="00B32C06">
              <w:rPr>
                <w:rFonts w:eastAsia="Calibri"/>
                <w:sz w:val="20"/>
              </w:rPr>
              <w:t>Appeal allowed; motion to institute proceedings dismissed</w:t>
            </w:r>
          </w:p>
          <w:p w:rsidR="00C54A8E" w:rsidRPr="00B32C06" w:rsidRDefault="00C54A8E" w:rsidP="00C54A8E">
            <w:pPr>
              <w:jc w:val="both"/>
              <w:rPr>
                <w:rFonts w:eastAsia="Calibri"/>
                <w:sz w:val="20"/>
              </w:rPr>
            </w:pPr>
          </w:p>
        </w:tc>
      </w:tr>
      <w:tr w:rsidR="00C54A8E" w:rsidRPr="00B32C06" w:rsidTr="00C54A8E">
        <w:tc>
          <w:tcPr>
            <w:tcW w:w="2427" w:type="pct"/>
          </w:tcPr>
          <w:p w:rsidR="00C54A8E" w:rsidRPr="00B32C06" w:rsidRDefault="00C54A8E" w:rsidP="00C54A8E">
            <w:pPr>
              <w:jc w:val="both"/>
              <w:rPr>
                <w:rFonts w:eastAsia="Calibri"/>
                <w:sz w:val="20"/>
              </w:rPr>
            </w:pPr>
            <w:r w:rsidRPr="00B32C06">
              <w:rPr>
                <w:rFonts w:eastAsia="Calibri"/>
                <w:sz w:val="20"/>
              </w:rPr>
              <w:t>September 26, 2011</w:t>
            </w:r>
          </w:p>
          <w:p w:rsidR="00C54A8E" w:rsidRPr="00B32C06" w:rsidRDefault="00C54A8E" w:rsidP="00C54A8E">
            <w:pPr>
              <w:jc w:val="both"/>
              <w:rPr>
                <w:rFonts w:eastAsia="Calibri"/>
                <w:sz w:val="20"/>
              </w:rPr>
            </w:pPr>
            <w:r w:rsidRPr="00B32C06">
              <w:rPr>
                <w:rFonts w:eastAsia="Calibri"/>
                <w:sz w:val="20"/>
              </w:rPr>
              <w:t>Supreme Court of Canada</w:t>
            </w:r>
          </w:p>
        </w:tc>
        <w:tc>
          <w:tcPr>
            <w:tcW w:w="243" w:type="pct"/>
          </w:tcPr>
          <w:p w:rsidR="00C54A8E" w:rsidRPr="00B32C06" w:rsidRDefault="00C54A8E" w:rsidP="00C54A8E">
            <w:pPr>
              <w:jc w:val="both"/>
              <w:rPr>
                <w:rFonts w:eastAsia="Calibri"/>
                <w:sz w:val="20"/>
              </w:rPr>
            </w:pPr>
          </w:p>
        </w:tc>
        <w:tc>
          <w:tcPr>
            <w:tcW w:w="2330" w:type="pct"/>
          </w:tcPr>
          <w:p w:rsidR="00C54A8E" w:rsidRPr="00B32C06" w:rsidRDefault="00C54A8E" w:rsidP="00C54A8E">
            <w:pPr>
              <w:jc w:val="both"/>
              <w:rPr>
                <w:rFonts w:eastAsia="Calibri"/>
                <w:sz w:val="20"/>
              </w:rPr>
            </w:pPr>
            <w:r w:rsidRPr="00B32C06">
              <w:rPr>
                <w:rFonts w:eastAsia="Calibri"/>
                <w:sz w:val="20"/>
              </w:rPr>
              <w:t>Application for leave to appeal filed</w:t>
            </w: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55"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54A8E" w:rsidRPr="002D3F55" w:rsidTr="00C54A8E">
        <w:tc>
          <w:tcPr>
            <w:tcW w:w="5000" w:type="pct"/>
            <w:gridSpan w:val="3"/>
          </w:tcPr>
          <w:p w:rsidR="00C54A8E" w:rsidRPr="00B32C06" w:rsidRDefault="00C54A8E" w:rsidP="00C54A8E">
            <w:pPr>
              <w:jc w:val="both"/>
              <w:rPr>
                <w:rFonts w:eastAsia="Calibri"/>
                <w:sz w:val="20"/>
                <w:lang w:val="fr-CA"/>
              </w:rPr>
            </w:pPr>
            <w:r w:rsidRPr="00B32C06">
              <w:rPr>
                <w:rFonts w:eastAsia="Calibri"/>
                <w:sz w:val="20"/>
                <w:lang w:val="fr-CA"/>
              </w:rPr>
              <w:t>Contrats – Contrat d’entreprise ou de service – Interprétation – Usages – La Cour d’appel a-t-elle erré en concluant que le contrat entre les parties était clair et sans ambiguïté et qu’en conséquence, il n’y avait pas lieu de l’interpréter? – L’interprétation du contrat, d’adhésion, est-elle contraire à l’historique entre les parties, à leur commune intention, à leur « expectative raisonnable » et à l’usage? – La Ville a-t-elle abusé de son pouvoir?</w:t>
            </w:r>
          </w:p>
        </w:tc>
      </w:tr>
      <w:tr w:rsidR="00C54A8E" w:rsidRPr="002D3F55" w:rsidTr="00C54A8E">
        <w:tc>
          <w:tcPr>
            <w:tcW w:w="5000" w:type="pct"/>
            <w:gridSpan w:val="3"/>
          </w:tcPr>
          <w:p w:rsidR="00C54A8E" w:rsidRPr="00B32C06" w:rsidRDefault="00C54A8E" w:rsidP="00C54A8E">
            <w:pPr>
              <w:jc w:val="both"/>
              <w:rPr>
                <w:rFonts w:eastAsia="Calibri"/>
                <w:sz w:val="20"/>
                <w:lang w:val="fr-CA"/>
              </w:rPr>
            </w:pPr>
          </w:p>
        </w:tc>
      </w:tr>
      <w:tr w:rsidR="00C54A8E" w:rsidRPr="002D3F55" w:rsidTr="00C54A8E">
        <w:tc>
          <w:tcPr>
            <w:tcW w:w="5000" w:type="pct"/>
            <w:gridSpan w:val="3"/>
          </w:tcPr>
          <w:p w:rsidR="00C54A8E" w:rsidRPr="00B32C06" w:rsidRDefault="00C54A8E" w:rsidP="00C54A8E">
            <w:pPr>
              <w:jc w:val="both"/>
              <w:rPr>
                <w:rFonts w:eastAsia="Calibri"/>
                <w:sz w:val="20"/>
                <w:lang w:val="fr-CA"/>
              </w:rPr>
            </w:pPr>
            <w:r w:rsidRPr="00B32C06">
              <w:rPr>
                <w:rFonts w:eastAsia="Calibri"/>
                <w:sz w:val="20"/>
                <w:lang w:val="fr-CA"/>
              </w:rPr>
              <w:t xml:space="preserve">Les </w:t>
            </w:r>
            <w:proofErr w:type="spellStart"/>
            <w:r w:rsidRPr="00B32C06">
              <w:rPr>
                <w:rFonts w:eastAsia="Calibri"/>
                <w:sz w:val="20"/>
                <w:lang w:val="fr-CA"/>
              </w:rPr>
              <w:t>demanderesses</w:t>
            </w:r>
            <w:proofErr w:type="spellEnd"/>
            <w:r w:rsidRPr="00B32C06">
              <w:rPr>
                <w:rFonts w:eastAsia="Calibri"/>
                <w:sz w:val="20"/>
                <w:lang w:val="fr-CA"/>
              </w:rPr>
              <w:t xml:space="preserve"> poursuivent la Ville de Montréal intimée sur la base de contrats de déneigement d’une durée de cinq ans conclus avec elle en 2000 au terme d’un processus d’appel d’offres. Elles allèguent que la Ville a illégalement changé la méthode de calcul de la rémunération prévue aux contrats pour la saison 2003-2004. Aux </w:t>
            </w:r>
            <w:r w:rsidRPr="00B32C06">
              <w:rPr>
                <w:rFonts w:eastAsia="Calibri"/>
                <w:sz w:val="20"/>
                <w:lang w:val="fr-CA"/>
              </w:rPr>
              <w:lastRenderedPageBreak/>
              <w:t xml:space="preserve">termes du contrat le taux de rémunération est fonction de la mesure des précipitations entre le 15 novembre et le 15 mars de chaque hiver. En novembre 2003, la Ville, qui n’arrive plus à conclure d’entente de sous-traitance pour l’exploitation de stations de </w:t>
            </w:r>
            <w:proofErr w:type="spellStart"/>
            <w:r w:rsidRPr="00B32C06">
              <w:rPr>
                <w:rFonts w:eastAsia="Calibri"/>
                <w:sz w:val="20"/>
                <w:lang w:val="fr-CA"/>
              </w:rPr>
              <w:t>nivométrie</w:t>
            </w:r>
            <w:proofErr w:type="spellEnd"/>
            <w:r w:rsidRPr="00B32C06">
              <w:rPr>
                <w:rFonts w:eastAsia="Calibri"/>
                <w:sz w:val="20"/>
                <w:lang w:val="fr-CA"/>
              </w:rPr>
              <w:t xml:space="preserve"> installées sur son territoire, avise les entreprises de déneigement qu’elle cesse d’utiliser les mesures fournies par ces stations et qu’elle utilisera désormais les mesures officielles inscrites aux sommaires mensuels d’Environnement Canada, en application de la clause 9.6 du contrat. Dans leur action, les </w:t>
            </w:r>
            <w:proofErr w:type="spellStart"/>
            <w:r w:rsidRPr="00B32C06">
              <w:rPr>
                <w:rFonts w:eastAsia="Calibri"/>
                <w:sz w:val="20"/>
                <w:lang w:val="fr-CA"/>
              </w:rPr>
              <w:t>demanderesses</w:t>
            </w:r>
            <w:proofErr w:type="spellEnd"/>
            <w:r w:rsidRPr="00B32C06">
              <w:rPr>
                <w:rFonts w:eastAsia="Calibri"/>
                <w:sz w:val="20"/>
                <w:lang w:val="fr-CA"/>
              </w:rPr>
              <w:t xml:space="preserve"> allèguent que les mesures des précipitations sont inexactes, que la Ville devait poursuivre l’opération des stations et qu’elle a agi de mauvaise foi en appliquant la clause 9.6. Elles allèguent que, vu l’usage passé, la Ville avait l’obligation implicite de maintenir un « observateur dédié » à l’aéroport de Dorval qui prenait des mesures qualitatives, à toutes les heures, et ce, même si elle décidait de se servir des sommaires mensuels produits par Environnement Canada.</w:t>
            </w:r>
          </w:p>
          <w:p w:rsidR="00C54A8E" w:rsidRPr="00B32C06" w:rsidRDefault="00C54A8E" w:rsidP="00C54A8E">
            <w:pPr>
              <w:jc w:val="both"/>
              <w:rPr>
                <w:rFonts w:eastAsia="Calibri"/>
                <w:sz w:val="20"/>
                <w:lang w:val="fr-CA"/>
              </w:rPr>
            </w:pPr>
          </w:p>
          <w:p w:rsidR="00C54A8E" w:rsidRPr="00B32C06" w:rsidRDefault="00C54A8E" w:rsidP="00C54A8E">
            <w:pPr>
              <w:jc w:val="both"/>
              <w:rPr>
                <w:rFonts w:eastAsia="Calibri"/>
                <w:sz w:val="20"/>
                <w:lang w:val="fr-CA"/>
              </w:rPr>
            </w:pPr>
            <w:r w:rsidRPr="00B32C06">
              <w:rPr>
                <w:rFonts w:eastAsia="Calibri"/>
                <w:sz w:val="20"/>
                <w:lang w:val="fr-CA"/>
              </w:rPr>
              <w:t>La Cour supérieure accueille en partie le recours, mais la Cour d’appel infirme la décision. Elle estime que la clause 9.6 est claire et que la juge de première instance ne pouvait y ajouter « en appliquant ce qu’elle qualifie indûment d’usage, soit le souhait des entrepreneurs de voir l’observateur dédié demeurer en poste à la station de Dorval, même après l’abolition [des stations] » (par. 54)</w:t>
            </w:r>
          </w:p>
          <w:p w:rsidR="00C54A8E" w:rsidRPr="00B32C06" w:rsidRDefault="00C54A8E" w:rsidP="00C54A8E">
            <w:pPr>
              <w:jc w:val="both"/>
              <w:rPr>
                <w:rFonts w:eastAsia="Calibri"/>
                <w:sz w:val="20"/>
                <w:lang w:val="fr-CA"/>
              </w:rPr>
            </w:pPr>
          </w:p>
        </w:tc>
      </w:tr>
      <w:tr w:rsidR="00C54A8E" w:rsidRPr="002D3F55" w:rsidTr="00C54A8E">
        <w:tc>
          <w:tcPr>
            <w:tcW w:w="2427" w:type="pct"/>
          </w:tcPr>
          <w:p w:rsidR="00C54A8E" w:rsidRPr="00B32C06" w:rsidRDefault="00C54A8E" w:rsidP="00C54A8E">
            <w:pPr>
              <w:jc w:val="both"/>
              <w:rPr>
                <w:rFonts w:eastAsia="Calibri"/>
                <w:sz w:val="20"/>
                <w:lang w:val="fr-CA"/>
              </w:rPr>
            </w:pPr>
            <w:r w:rsidRPr="00B32C06">
              <w:rPr>
                <w:rFonts w:eastAsia="Calibri"/>
                <w:sz w:val="20"/>
                <w:lang w:val="fr-CA"/>
              </w:rPr>
              <w:lastRenderedPageBreak/>
              <w:t>Le 25 août 2009</w:t>
            </w:r>
          </w:p>
          <w:p w:rsidR="00C54A8E" w:rsidRPr="00B32C06" w:rsidRDefault="00C54A8E" w:rsidP="00C54A8E">
            <w:pPr>
              <w:jc w:val="both"/>
              <w:rPr>
                <w:rFonts w:eastAsia="Calibri"/>
                <w:sz w:val="20"/>
                <w:lang w:val="fr-CA"/>
              </w:rPr>
            </w:pPr>
            <w:r w:rsidRPr="00B32C06">
              <w:rPr>
                <w:rFonts w:eastAsia="Calibri"/>
                <w:sz w:val="20"/>
                <w:lang w:val="fr-CA"/>
              </w:rPr>
              <w:t>Cour supérieure du Québec</w:t>
            </w:r>
          </w:p>
          <w:p w:rsidR="00C54A8E" w:rsidRPr="00B32C06" w:rsidRDefault="00C54A8E" w:rsidP="00C54A8E">
            <w:pPr>
              <w:jc w:val="both"/>
              <w:rPr>
                <w:rFonts w:eastAsia="Calibri"/>
                <w:sz w:val="20"/>
                <w:lang w:val="fr-CA"/>
              </w:rPr>
            </w:pPr>
            <w:r w:rsidRPr="00B32C06">
              <w:rPr>
                <w:rFonts w:eastAsia="Calibri"/>
                <w:sz w:val="20"/>
                <w:lang w:val="fr-CA"/>
              </w:rPr>
              <w:t>(La juge Marcelin)</w:t>
            </w:r>
          </w:p>
          <w:p w:rsidR="00C54A8E" w:rsidRPr="00B32C06" w:rsidRDefault="00C54A8E" w:rsidP="00C54A8E">
            <w:pPr>
              <w:jc w:val="both"/>
              <w:rPr>
                <w:rFonts w:eastAsia="Calibri"/>
                <w:sz w:val="20"/>
                <w:lang w:val="fr-CA"/>
              </w:rPr>
            </w:pPr>
            <w:r w:rsidRPr="00B32C06">
              <w:rPr>
                <w:rFonts w:eastAsia="Calibri"/>
                <w:sz w:val="20"/>
                <w:lang w:val="fr-CA"/>
              </w:rPr>
              <w:t>2009 QCCS 3837</w:t>
            </w:r>
          </w:p>
          <w:p w:rsidR="00C54A8E" w:rsidRPr="00B32C06" w:rsidRDefault="00C54A8E" w:rsidP="00C54A8E">
            <w:pPr>
              <w:jc w:val="both"/>
              <w:rPr>
                <w:rFonts w:eastAsia="Calibri"/>
                <w:sz w:val="20"/>
              </w:rPr>
            </w:pPr>
          </w:p>
        </w:tc>
        <w:tc>
          <w:tcPr>
            <w:tcW w:w="243" w:type="pct"/>
          </w:tcPr>
          <w:p w:rsidR="00C54A8E" w:rsidRPr="00B32C06" w:rsidRDefault="00C54A8E" w:rsidP="00C54A8E">
            <w:pPr>
              <w:jc w:val="both"/>
              <w:rPr>
                <w:rFonts w:eastAsia="Calibri"/>
                <w:sz w:val="20"/>
              </w:rPr>
            </w:pPr>
          </w:p>
        </w:tc>
        <w:tc>
          <w:tcPr>
            <w:tcW w:w="2330" w:type="pct"/>
          </w:tcPr>
          <w:p w:rsidR="00C54A8E" w:rsidRPr="00B32C06" w:rsidRDefault="00C54A8E" w:rsidP="00C54A8E">
            <w:pPr>
              <w:jc w:val="both"/>
              <w:rPr>
                <w:rFonts w:eastAsia="Calibri"/>
                <w:sz w:val="20"/>
                <w:lang w:val="fr-CA"/>
              </w:rPr>
            </w:pPr>
            <w:r w:rsidRPr="00B32C06">
              <w:rPr>
                <w:rFonts w:eastAsia="Calibri"/>
                <w:sz w:val="20"/>
                <w:lang w:val="fr-CA"/>
              </w:rPr>
              <w:t>Requête introductive d’instance accueillie en partie; Ville intimée condamnée au paiement de dommages-intérêts</w:t>
            </w:r>
          </w:p>
          <w:p w:rsidR="00C54A8E" w:rsidRPr="00B32C06" w:rsidRDefault="00C54A8E" w:rsidP="00C54A8E">
            <w:pPr>
              <w:jc w:val="both"/>
              <w:rPr>
                <w:rFonts w:eastAsia="Calibri"/>
                <w:sz w:val="20"/>
                <w:lang w:val="fr-CA"/>
              </w:rPr>
            </w:pPr>
          </w:p>
        </w:tc>
      </w:tr>
      <w:tr w:rsidR="00C54A8E" w:rsidRPr="002D3F55" w:rsidTr="00C54A8E">
        <w:tc>
          <w:tcPr>
            <w:tcW w:w="2427" w:type="pct"/>
          </w:tcPr>
          <w:p w:rsidR="00C54A8E" w:rsidRPr="00B32C06" w:rsidRDefault="00C54A8E" w:rsidP="00C54A8E">
            <w:pPr>
              <w:jc w:val="both"/>
              <w:rPr>
                <w:rFonts w:eastAsia="Calibri"/>
                <w:sz w:val="20"/>
                <w:lang w:val="fr-CA"/>
              </w:rPr>
            </w:pPr>
            <w:r w:rsidRPr="00B32C06">
              <w:rPr>
                <w:rFonts w:eastAsia="Calibri"/>
                <w:sz w:val="20"/>
                <w:lang w:val="fr-CA"/>
              </w:rPr>
              <w:t>Le 5 juillet 2011</w:t>
            </w:r>
          </w:p>
          <w:p w:rsidR="00C54A8E" w:rsidRPr="00B32C06" w:rsidRDefault="00C54A8E" w:rsidP="00C54A8E">
            <w:pPr>
              <w:jc w:val="both"/>
              <w:rPr>
                <w:rFonts w:eastAsia="Calibri"/>
                <w:sz w:val="20"/>
                <w:lang w:val="fr-CA"/>
              </w:rPr>
            </w:pPr>
            <w:r w:rsidRPr="00B32C06">
              <w:rPr>
                <w:rFonts w:eastAsia="Calibri"/>
                <w:sz w:val="20"/>
                <w:lang w:val="fr-CA"/>
              </w:rPr>
              <w:t>Cour d’appel du Québec (Montréal)</w:t>
            </w:r>
          </w:p>
          <w:p w:rsidR="00C54A8E" w:rsidRPr="00B32C06" w:rsidRDefault="00C54A8E" w:rsidP="00C54A8E">
            <w:pPr>
              <w:jc w:val="both"/>
              <w:rPr>
                <w:rFonts w:eastAsia="Calibri"/>
                <w:sz w:val="20"/>
                <w:lang w:val="fr-CA"/>
              </w:rPr>
            </w:pPr>
            <w:r w:rsidRPr="00B32C06">
              <w:rPr>
                <w:rFonts w:eastAsia="Calibri"/>
                <w:sz w:val="20"/>
                <w:lang w:val="fr-CA"/>
              </w:rPr>
              <w:t>(Les juges Morissette, Hilton et Jacques)</w:t>
            </w:r>
          </w:p>
          <w:p w:rsidR="00C54A8E" w:rsidRPr="00B32C06" w:rsidRDefault="00C54A8E" w:rsidP="00C54A8E">
            <w:pPr>
              <w:jc w:val="both"/>
              <w:rPr>
                <w:rFonts w:eastAsia="Calibri"/>
                <w:sz w:val="20"/>
                <w:lang w:val="fr-CA"/>
              </w:rPr>
            </w:pPr>
            <w:r w:rsidRPr="00B32C06">
              <w:rPr>
                <w:rFonts w:eastAsia="Calibri"/>
                <w:sz w:val="20"/>
                <w:lang w:val="fr-CA"/>
              </w:rPr>
              <w:t>2011 QCCA 1252</w:t>
            </w:r>
          </w:p>
          <w:p w:rsidR="00C54A8E" w:rsidRPr="00B32C06" w:rsidRDefault="00C54A8E" w:rsidP="00C54A8E">
            <w:pPr>
              <w:jc w:val="both"/>
              <w:rPr>
                <w:rFonts w:eastAsia="Calibri"/>
                <w:sz w:val="20"/>
                <w:lang w:val="fr-CA"/>
              </w:rPr>
            </w:pPr>
          </w:p>
        </w:tc>
        <w:tc>
          <w:tcPr>
            <w:tcW w:w="243" w:type="pct"/>
          </w:tcPr>
          <w:p w:rsidR="00C54A8E" w:rsidRPr="00B32C06" w:rsidRDefault="00C54A8E" w:rsidP="00C54A8E">
            <w:pPr>
              <w:jc w:val="both"/>
              <w:rPr>
                <w:rFonts w:eastAsia="Calibri"/>
                <w:sz w:val="20"/>
                <w:lang w:val="fr-CA"/>
              </w:rPr>
            </w:pPr>
          </w:p>
        </w:tc>
        <w:tc>
          <w:tcPr>
            <w:tcW w:w="2330" w:type="pct"/>
          </w:tcPr>
          <w:p w:rsidR="00C54A8E" w:rsidRPr="00B32C06" w:rsidRDefault="00C54A8E" w:rsidP="00C54A8E">
            <w:pPr>
              <w:jc w:val="both"/>
              <w:rPr>
                <w:rFonts w:eastAsia="Calibri"/>
                <w:sz w:val="20"/>
                <w:lang w:val="fr-CA"/>
              </w:rPr>
            </w:pPr>
            <w:r w:rsidRPr="00B32C06">
              <w:rPr>
                <w:rFonts w:eastAsia="Calibri"/>
                <w:sz w:val="20"/>
                <w:lang w:val="fr-CA"/>
              </w:rPr>
              <w:t>Appel accueilli; requête introductive d’instance rejetée</w:t>
            </w:r>
          </w:p>
          <w:p w:rsidR="00C54A8E" w:rsidRPr="00B32C06" w:rsidRDefault="00C54A8E" w:rsidP="00C54A8E">
            <w:pPr>
              <w:jc w:val="both"/>
              <w:rPr>
                <w:rFonts w:eastAsia="Calibri"/>
                <w:sz w:val="20"/>
                <w:lang w:val="fr-CA"/>
              </w:rPr>
            </w:pPr>
          </w:p>
        </w:tc>
      </w:tr>
      <w:tr w:rsidR="00C54A8E" w:rsidRPr="00B32C06" w:rsidTr="00C54A8E">
        <w:tc>
          <w:tcPr>
            <w:tcW w:w="2427" w:type="pct"/>
          </w:tcPr>
          <w:p w:rsidR="00C54A8E" w:rsidRPr="00B32C06" w:rsidRDefault="00C54A8E" w:rsidP="00C54A8E">
            <w:pPr>
              <w:jc w:val="both"/>
              <w:rPr>
                <w:rFonts w:eastAsia="Calibri"/>
                <w:sz w:val="20"/>
                <w:lang w:val="fr-CA"/>
              </w:rPr>
            </w:pPr>
            <w:r w:rsidRPr="00B32C06">
              <w:rPr>
                <w:rFonts w:eastAsia="Calibri"/>
                <w:sz w:val="20"/>
                <w:lang w:val="fr-CA"/>
              </w:rPr>
              <w:t>Le 26 septembre 2011</w:t>
            </w:r>
          </w:p>
          <w:p w:rsidR="00C54A8E" w:rsidRPr="00B32C06" w:rsidRDefault="00C54A8E" w:rsidP="00C54A8E">
            <w:pPr>
              <w:jc w:val="both"/>
              <w:rPr>
                <w:rFonts w:eastAsia="Calibri"/>
                <w:sz w:val="20"/>
                <w:lang w:val="fr-CA"/>
              </w:rPr>
            </w:pPr>
            <w:r w:rsidRPr="00B32C06">
              <w:rPr>
                <w:rFonts w:eastAsia="Calibri"/>
                <w:sz w:val="20"/>
                <w:lang w:val="fr-CA"/>
              </w:rPr>
              <w:t>Cour suprême du Canada</w:t>
            </w:r>
          </w:p>
        </w:tc>
        <w:tc>
          <w:tcPr>
            <w:tcW w:w="243" w:type="pct"/>
          </w:tcPr>
          <w:p w:rsidR="00C54A8E" w:rsidRPr="00B32C06" w:rsidRDefault="00C54A8E" w:rsidP="00C54A8E">
            <w:pPr>
              <w:jc w:val="both"/>
              <w:rPr>
                <w:rFonts w:eastAsia="Calibri"/>
                <w:sz w:val="20"/>
                <w:lang w:val="fr-CA"/>
              </w:rPr>
            </w:pPr>
          </w:p>
        </w:tc>
        <w:tc>
          <w:tcPr>
            <w:tcW w:w="2330" w:type="pct"/>
          </w:tcPr>
          <w:p w:rsidR="00C54A8E" w:rsidRPr="00B32C06" w:rsidRDefault="00C54A8E" w:rsidP="00C54A8E">
            <w:pPr>
              <w:jc w:val="both"/>
              <w:rPr>
                <w:rFonts w:eastAsia="Calibri"/>
                <w:sz w:val="20"/>
                <w:lang w:val="fr-CA"/>
              </w:rPr>
            </w:pPr>
            <w:r w:rsidRPr="00B32C06">
              <w:rPr>
                <w:rFonts w:eastAsia="Calibri"/>
                <w:sz w:val="20"/>
                <w:lang w:val="fr-CA"/>
              </w:rPr>
              <w:t>Demande d'autorisation d'appel déposée</w:t>
            </w:r>
          </w:p>
          <w:p w:rsidR="00C54A8E" w:rsidRPr="00B32C06" w:rsidRDefault="00C54A8E" w:rsidP="00C54A8E">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56"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2D3F55" w:rsidTr="000A4857">
        <w:trPr>
          <w:cantSplit/>
        </w:trPr>
        <w:tc>
          <w:tcPr>
            <w:tcW w:w="1458" w:type="dxa"/>
          </w:tcPr>
          <w:p w:rsidR="000A4857" w:rsidRPr="00A54F27" w:rsidRDefault="000A4857" w:rsidP="000A4857">
            <w:pPr>
              <w:rPr>
                <w:sz w:val="20"/>
                <w:szCs w:val="20"/>
              </w:rPr>
            </w:pPr>
            <w:r w:rsidRPr="00A54F27">
              <w:rPr>
                <w:rStyle w:val="SCCFileNumberChar"/>
                <w:sz w:val="20"/>
                <w:szCs w:val="20"/>
              </w:rPr>
              <w:t>34452</w:t>
            </w:r>
          </w:p>
          <w:p w:rsidR="000A4857" w:rsidRPr="00A54F27" w:rsidRDefault="000A4857" w:rsidP="000A4857">
            <w:pPr>
              <w:rPr>
                <w:b/>
                <w:sz w:val="20"/>
                <w:szCs w:val="20"/>
                <w:lang w:val="fr-CA"/>
              </w:rPr>
            </w:pPr>
          </w:p>
        </w:tc>
        <w:tc>
          <w:tcPr>
            <w:tcW w:w="8118" w:type="dxa"/>
          </w:tcPr>
          <w:p w:rsidR="000A4857" w:rsidRPr="00A54F27" w:rsidRDefault="000A4857" w:rsidP="000A4857">
            <w:pPr>
              <w:jc w:val="both"/>
              <w:rPr>
                <w:sz w:val="20"/>
                <w:szCs w:val="20"/>
                <w:lang w:val="fr-CA"/>
              </w:rPr>
            </w:pPr>
            <w:r w:rsidRPr="00A54F27">
              <w:rPr>
                <w:rStyle w:val="SCCLsocChar"/>
                <w:sz w:val="20"/>
                <w:szCs w:val="20"/>
              </w:rPr>
              <w:t xml:space="preserve">Environnement Routier NRJ Inc., Entreprises </w:t>
            </w:r>
            <w:proofErr w:type="spellStart"/>
            <w:r w:rsidRPr="00A54F27">
              <w:rPr>
                <w:rStyle w:val="SCCLsocChar"/>
                <w:sz w:val="20"/>
                <w:szCs w:val="20"/>
              </w:rPr>
              <w:t>Michaudville</w:t>
            </w:r>
            <w:proofErr w:type="spellEnd"/>
            <w:r w:rsidRPr="00A54F27">
              <w:rPr>
                <w:rStyle w:val="SCCLsocChar"/>
                <w:sz w:val="20"/>
                <w:szCs w:val="20"/>
              </w:rPr>
              <w:t xml:space="preserve"> Inc., A&amp;O Gendron Inc., Transport Gilbert Hamelin Inc., Excavations Payette </w:t>
            </w:r>
            <w:proofErr w:type="spellStart"/>
            <w:r w:rsidRPr="00A54F27">
              <w:rPr>
                <w:rStyle w:val="SCCLsocChar"/>
                <w:sz w:val="20"/>
                <w:szCs w:val="20"/>
              </w:rPr>
              <w:t>Ltée</w:t>
            </w:r>
            <w:proofErr w:type="spellEnd"/>
            <w:r w:rsidRPr="00A54F27">
              <w:rPr>
                <w:rStyle w:val="SCCLsocChar"/>
                <w:sz w:val="20"/>
                <w:szCs w:val="20"/>
              </w:rPr>
              <w:t xml:space="preserve">, C.M.S. Entrepreneurs Généraux Inc., </w:t>
            </w:r>
            <w:proofErr w:type="spellStart"/>
            <w:r w:rsidRPr="00A54F27">
              <w:rPr>
                <w:rStyle w:val="SCCLsocChar"/>
                <w:sz w:val="20"/>
                <w:szCs w:val="20"/>
              </w:rPr>
              <w:t>Lagacé</w:t>
            </w:r>
            <w:proofErr w:type="spellEnd"/>
            <w:r w:rsidRPr="00A54F27">
              <w:rPr>
                <w:rStyle w:val="SCCLsocChar"/>
                <w:sz w:val="20"/>
                <w:szCs w:val="20"/>
              </w:rPr>
              <w:t xml:space="preserve"> Transport Inc., Transport </w:t>
            </w:r>
            <w:proofErr w:type="spellStart"/>
            <w:r w:rsidRPr="00A54F27">
              <w:rPr>
                <w:rStyle w:val="SCCLsocChar"/>
                <w:sz w:val="20"/>
                <w:szCs w:val="20"/>
              </w:rPr>
              <w:t>Rosemont</w:t>
            </w:r>
            <w:proofErr w:type="spellEnd"/>
            <w:r w:rsidRPr="00A54F27">
              <w:rPr>
                <w:rStyle w:val="SCCLsocChar"/>
                <w:sz w:val="20"/>
                <w:szCs w:val="20"/>
              </w:rPr>
              <w:t xml:space="preserve"> Inc., Pavage J.L. Leclerc Inc., Entreprises T.G.R. Inc., J.L. Michon Transports Inc., Transport H. Cordeau Inc., Déneigement </w:t>
            </w:r>
            <w:proofErr w:type="spellStart"/>
            <w:r w:rsidRPr="00A54F27">
              <w:rPr>
                <w:rStyle w:val="SCCLsocChar"/>
                <w:sz w:val="20"/>
                <w:szCs w:val="20"/>
              </w:rPr>
              <w:t>Nordic</w:t>
            </w:r>
            <w:proofErr w:type="spellEnd"/>
            <w:r w:rsidRPr="00A54F27">
              <w:rPr>
                <w:rStyle w:val="SCCLsocChar"/>
                <w:sz w:val="20"/>
                <w:szCs w:val="20"/>
              </w:rPr>
              <w:t xml:space="preserve"> (2000) Inc. et Jean-Paul </w:t>
            </w:r>
            <w:proofErr w:type="spellStart"/>
            <w:r w:rsidRPr="00A54F27">
              <w:rPr>
                <w:rStyle w:val="SCCLsocChar"/>
                <w:sz w:val="20"/>
                <w:szCs w:val="20"/>
              </w:rPr>
              <w:t>Trahan</w:t>
            </w:r>
            <w:proofErr w:type="spellEnd"/>
            <w:r w:rsidRPr="00A54F27">
              <w:rPr>
                <w:rStyle w:val="SCCLsocChar"/>
                <w:sz w:val="20"/>
                <w:szCs w:val="20"/>
              </w:rPr>
              <w:t xml:space="preserve"> (1980) Inc. c. Ville de Montréal</w:t>
            </w:r>
            <w:r w:rsidRPr="00A54F27">
              <w:rPr>
                <w:sz w:val="20"/>
                <w:szCs w:val="20"/>
                <w:lang w:val="fr-CA"/>
              </w:rPr>
              <w:t xml:space="preserve"> (</w:t>
            </w:r>
            <w:proofErr w:type="spellStart"/>
            <w:r w:rsidRPr="00A54F27">
              <w:rPr>
                <w:sz w:val="20"/>
                <w:szCs w:val="20"/>
                <w:lang w:val="fr-CA"/>
              </w:rPr>
              <w:t>Qc</w:t>
            </w:r>
            <w:proofErr w:type="spellEnd"/>
            <w:r w:rsidRPr="00A54F27">
              <w:rPr>
                <w:sz w:val="20"/>
                <w:szCs w:val="20"/>
                <w:lang w:val="fr-CA"/>
              </w:rPr>
              <w:t>) (Civile) (Autorisation)</w:t>
            </w:r>
          </w:p>
          <w:p w:rsidR="000A4857" w:rsidRPr="00A54F27" w:rsidRDefault="000A4857" w:rsidP="000A4857">
            <w:pPr>
              <w:rPr>
                <w:sz w:val="20"/>
                <w:szCs w:val="20"/>
                <w:lang w:val="fr-CA"/>
              </w:rPr>
            </w:pPr>
          </w:p>
        </w:tc>
      </w:tr>
      <w:tr w:rsidR="000A4857" w:rsidRPr="002D3F55"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lang w:val="fr-CA"/>
              </w:rPr>
            </w:pPr>
            <w:r w:rsidRPr="00A54F27">
              <w:rPr>
                <w:rStyle w:val="SCCCoramChar"/>
                <w:sz w:val="20"/>
                <w:szCs w:val="20"/>
              </w:rPr>
              <w:t xml:space="preserve">Les juges Deschamps, Fish et </w:t>
            </w:r>
            <w:proofErr w:type="spellStart"/>
            <w:r w:rsidRPr="00A54F27">
              <w:rPr>
                <w:rStyle w:val="SCCCoramChar"/>
                <w:sz w:val="20"/>
                <w:szCs w:val="20"/>
              </w:rPr>
              <w:t>Karakatsanis</w:t>
            </w:r>
            <w:proofErr w:type="spellEnd"/>
          </w:p>
          <w:p w:rsidR="000A4857" w:rsidRPr="00A54F27" w:rsidRDefault="000A4857" w:rsidP="000A4857">
            <w:pPr>
              <w:rPr>
                <w:sz w:val="20"/>
                <w:szCs w:val="20"/>
                <w:u w:val="single"/>
                <w:lang w:val="fr-CA"/>
              </w:rPr>
            </w:pPr>
          </w:p>
        </w:tc>
      </w:tr>
      <w:tr w:rsidR="000A4857" w:rsidRPr="00A54F27" w:rsidTr="000A4857">
        <w:trPr>
          <w:cantSplit/>
        </w:trPr>
        <w:tc>
          <w:tcPr>
            <w:tcW w:w="9576" w:type="dxa"/>
            <w:gridSpan w:val="2"/>
          </w:tcPr>
          <w:p w:rsidR="000A4857" w:rsidRPr="00A54F27" w:rsidRDefault="000A4857" w:rsidP="000A4857">
            <w:pPr>
              <w:pStyle w:val="SCCShortJudgment"/>
              <w:rPr>
                <w:szCs w:val="20"/>
                <w:lang w:val="fr-CA"/>
              </w:rPr>
            </w:pPr>
            <w:r w:rsidRPr="00A54F27">
              <w:rPr>
                <w:szCs w:val="20"/>
                <w:lang w:val="fr-CA"/>
              </w:rPr>
              <w:t>La demande d’autorisation d’appel de l’arrêt de la Cour d’appel du Québec (Montréal), numéro 500-09-020017-091, 2011 QCCA 1251, daté du 5 juillet 2011, est rejetée avec dépens.</w:t>
            </w:r>
          </w:p>
          <w:p w:rsidR="000A4857" w:rsidRPr="00A54F27" w:rsidRDefault="000A4857" w:rsidP="000A4857">
            <w:pPr>
              <w:pStyle w:val="SCCShortJudgment"/>
              <w:ind w:firstLine="0"/>
              <w:rPr>
                <w:szCs w:val="20"/>
                <w:lang w:val="fr-CA"/>
              </w:rPr>
            </w:pPr>
          </w:p>
          <w:p w:rsidR="000A4857" w:rsidRPr="00A54F27" w:rsidRDefault="000A4857" w:rsidP="000A4857">
            <w:pPr>
              <w:pStyle w:val="SCCShortJudgment"/>
              <w:rPr>
                <w:szCs w:val="20"/>
              </w:rPr>
            </w:pPr>
            <w:r w:rsidRPr="00A54F27">
              <w:rPr>
                <w:szCs w:val="20"/>
              </w:rPr>
              <w:t>The application for leave to appeal from the judgment of the Court of Appeal of Quebec (Montréal), Number 500-09-020017-091, 2011 QCCA 1251, dated July 5, 2011, is dismissed with costs.</w:t>
            </w:r>
          </w:p>
        </w:tc>
      </w:tr>
    </w:tbl>
    <w:p w:rsidR="00C64AFA" w:rsidRDefault="00C64AFA" w:rsidP="00C64AFA">
      <w:pPr>
        <w:rPr>
          <w:sz w:val="20"/>
          <w:szCs w:val="20"/>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03B9C" w:rsidRPr="00B32C06" w:rsidTr="00352439">
        <w:tc>
          <w:tcPr>
            <w:tcW w:w="5000" w:type="pct"/>
            <w:gridSpan w:val="3"/>
          </w:tcPr>
          <w:p w:rsidR="00F03B9C" w:rsidRPr="00B32C06" w:rsidRDefault="00F03B9C" w:rsidP="00352439">
            <w:pPr>
              <w:jc w:val="both"/>
              <w:rPr>
                <w:rFonts w:eastAsia="Calibri"/>
                <w:sz w:val="20"/>
              </w:rPr>
            </w:pPr>
            <w:r w:rsidRPr="00B32C06">
              <w:rPr>
                <w:rFonts w:eastAsia="Calibri"/>
                <w:sz w:val="20"/>
              </w:rPr>
              <w:t>Contracts – Contract of enterprise or for services – Interpretation – Usage – Whether Court of Appeal erred in concluding that contract between parties was clear and unambiguous and thus that there was no need to interpret it – Whether interpretation of contract of adhesion was contrary to parties’ history, common intention and reasonable expectation and to usage – Whether City abused its power.</w:t>
            </w:r>
          </w:p>
        </w:tc>
      </w:tr>
      <w:tr w:rsidR="00F03B9C" w:rsidRPr="00B32C06" w:rsidTr="00352439">
        <w:tc>
          <w:tcPr>
            <w:tcW w:w="5000" w:type="pct"/>
            <w:gridSpan w:val="3"/>
          </w:tcPr>
          <w:p w:rsidR="00F03B9C" w:rsidRPr="00B32C06" w:rsidRDefault="00F03B9C" w:rsidP="00352439">
            <w:pPr>
              <w:jc w:val="both"/>
              <w:rPr>
                <w:rFonts w:eastAsia="Calibri"/>
                <w:sz w:val="20"/>
              </w:rPr>
            </w:pPr>
          </w:p>
        </w:tc>
      </w:tr>
      <w:tr w:rsidR="00F03B9C" w:rsidRPr="00B32C06" w:rsidTr="00352439">
        <w:tc>
          <w:tcPr>
            <w:tcW w:w="5000" w:type="pct"/>
            <w:gridSpan w:val="3"/>
          </w:tcPr>
          <w:p w:rsidR="00F03B9C" w:rsidRPr="00B32C06" w:rsidRDefault="00F03B9C" w:rsidP="00352439">
            <w:pPr>
              <w:jc w:val="both"/>
              <w:rPr>
                <w:rFonts w:eastAsia="Calibri"/>
                <w:sz w:val="20"/>
              </w:rPr>
            </w:pPr>
            <w:r w:rsidRPr="00B32C06">
              <w:rPr>
                <w:rFonts w:eastAsia="Calibri"/>
                <w:sz w:val="20"/>
              </w:rPr>
              <w:t xml:space="preserve">The applicants sued the respondent City of Montréal on the basis of </w:t>
            </w:r>
            <w:proofErr w:type="spellStart"/>
            <w:r w:rsidRPr="00B32C06">
              <w:rPr>
                <w:rFonts w:eastAsia="Calibri"/>
                <w:sz w:val="20"/>
              </w:rPr>
              <w:t>five</w:t>
            </w:r>
            <w:r w:rsidRPr="00B32C06">
              <w:rPr>
                <w:rFonts w:eastAsia="Calibri"/>
                <w:sz w:val="20"/>
              </w:rPr>
              <w:noBreakHyphen/>
              <w:t>year</w:t>
            </w:r>
            <w:proofErr w:type="spellEnd"/>
            <w:r w:rsidRPr="00B32C06">
              <w:rPr>
                <w:rFonts w:eastAsia="Calibri"/>
                <w:sz w:val="20"/>
              </w:rPr>
              <w:t xml:space="preserve"> snow removal contracts entered into with the City in 2000 following a tendering process.  They alleged that the City had unlawfully changed the method for calculating remuneration as set out in the contracts for the 2003</w:t>
            </w:r>
            <w:r w:rsidRPr="00B32C06">
              <w:rPr>
                <w:rFonts w:eastAsia="Calibri"/>
                <w:sz w:val="20"/>
              </w:rPr>
              <w:noBreakHyphen/>
              <w:t>2004 season.  Under the contract, the rate of remuneration was based on the measurement of precipitation between November 15 and March 15 of each winter.  In November 2003, the City, which was no longer able to reach an agreement to subcontract the operation of snowfall stations on its territory, notified the snow removal companies that it was ceasing to use the measurements provided by those stations and that, from then on, it would use the official measurements in Environment Canada’s monthly summaries, in accordance with clause 9.6 of the contract.  In their action, the applicants alleged that the precipitation measurements were inaccurate, that the City had to continue operating the stations and that it had acted in bad faith by applying clause 9.6.  They alleged that, because of past usage, the City had an implicit obligation to keep a dedicated observer at the Dorval Airport to take qualitative measurements every hour, even if the City decided to use the monthly summaries produced by Environment Canada.</w:t>
            </w:r>
          </w:p>
          <w:p w:rsidR="00F03B9C" w:rsidRPr="00B32C06" w:rsidRDefault="00F03B9C" w:rsidP="00352439">
            <w:pPr>
              <w:jc w:val="both"/>
              <w:rPr>
                <w:rFonts w:eastAsia="Calibri"/>
                <w:sz w:val="20"/>
              </w:rPr>
            </w:pPr>
          </w:p>
          <w:p w:rsidR="00F03B9C" w:rsidRPr="00B32C06" w:rsidRDefault="00F03B9C" w:rsidP="00352439">
            <w:pPr>
              <w:jc w:val="both"/>
              <w:rPr>
                <w:rFonts w:eastAsia="Calibri"/>
                <w:sz w:val="20"/>
              </w:rPr>
            </w:pPr>
            <w:r w:rsidRPr="00B32C06">
              <w:rPr>
                <w:rFonts w:eastAsia="Calibri"/>
                <w:sz w:val="20"/>
              </w:rPr>
              <w:t>The Superior Court allowed the action in part, but the Court of Appeal set aside the decision.  The Court of Appeal found that clause 9.6 was clear and that the trial judge could not add to it [</w:t>
            </w:r>
            <w:r w:rsidRPr="00B32C06">
              <w:rPr>
                <w:rFonts w:eastAsia="Calibri"/>
                <w:smallCaps/>
                <w:sz w:val="20"/>
              </w:rPr>
              <w:t>translation</w:t>
            </w:r>
            <w:r w:rsidRPr="00B32C06">
              <w:rPr>
                <w:rFonts w:eastAsia="Calibri"/>
                <w:sz w:val="20"/>
              </w:rPr>
              <w:t>] “by applying what she improperly described as usage, namely the contractors’ wish to have a dedicated observer remain at the Dorval station even after [the stations] were abolished” (</w:t>
            </w:r>
            <w:proofErr w:type="spellStart"/>
            <w:r w:rsidRPr="00B32C06">
              <w:rPr>
                <w:rFonts w:eastAsia="Calibri"/>
                <w:sz w:val="20"/>
              </w:rPr>
              <w:t>para</w:t>
            </w:r>
            <w:proofErr w:type="spellEnd"/>
            <w:r w:rsidRPr="00B32C06">
              <w:rPr>
                <w:rFonts w:eastAsia="Calibri"/>
                <w:sz w:val="20"/>
              </w:rPr>
              <w:t>. 54).</w:t>
            </w:r>
          </w:p>
          <w:p w:rsidR="00F03B9C" w:rsidRPr="00B32C06" w:rsidRDefault="00F03B9C" w:rsidP="00352439">
            <w:pPr>
              <w:jc w:val="both"/>
              <w:rPr>
                <w:rFonts w:eastAsia="Calibri"/>
                <w:sz w:val="20"/>
              </w:rPr>
            </w:pPr>
          </w:p>
        </w:tc>
      </w:tr>
      <w:tr w:rsidR="00F03B9C" w:rsidRPr="00B32C06" w:rsidTr="00352439">
        <w:tc>
          <w:tcPr>
            <w:tcW w:w="2427" w:type="pct"/>
          </w:tcPr>
          <w:p w:rsidR="00F03B9C" w:rsidRPr="00B32C06" w:rsidRDefault="00F03B9C" w:rsidP="00352439">
            <w:pPr>
              <w:jc w:val="both"/>
              <w:rPr>
                <w:rFonts w:eastAsia="Calibri"/>
                <w:sz w:val="20"/>
              </w:rPr>
            </w:pPr>
            <w:r w:rsidRPr="00B32C06">
              <w:rPr>
                <w:rFonts w:eastAsia="Calibri"/>
                <w:sz w:val="20"/>
              </w:rPr>
              <w:t>August 25, 2009</w:t>
            </w:r>
          </w:p>
          <w:p w:rsidR="00F03B9C" w:rsidRPr="00B32C06" w:rsidRDefault="00F03B9C" w:rsidP="00352439">
            <w:pPr>
              <w:jc w:val="both"/>
              <w:rPr>
                <w:rFonts w:eastAsia="Calibri"/>
                <w:sz w:val="20"/>
              </w:rPr>
            </w:pPr>
            <w:r w:rsidRPr="00B32C06">
              <w:rPr>
                <w:rFonts w:eastAsia="Calibri"/>
                <w:sz w:val="20"/>
              </w:rPr>
              <w:t>Quebec Superior Court</w:t>
            </w:r>
          </w:p>
          <w:p w:rsidR="00F03B9C" w:rsidRPr="00B32C06" w:rsidRDefault="00F03B9C" w:rsidP="00352439">
            <w:pPr>
              <w:jc w:val="both"/>
              <w:rPr>
                <w:rFonts w:eastAsia="Calibri"/>
                <w:sz w:val="20"/>
              </w:rPr>
            </w:pPr>
            <w:r w:rsidRPr="00B32C06">
              <w:rPr>
                <w:rFonts w:eastAsia="Calibri"/>
                <w:sz w:val="20"/>
              </w:rPr>
              <w:t>(</w:t>
            </w:r>
            <w:proofErr w:type="spellStart"/>
            <w:r w:rsidRPr="00B32C06">
              <w:rPr>
                <w:rFonts w:eastAsia="Calibri"/>
                <w:sz w:val="20"/>
              </w:rPr>
              <w:t>Marcelin</w:t>
            </w:r>
            <w:proofErr w:type="spellEnd"/>
            <w:r w:rsidRPr="00B32C06">
              <w:rPr>
                <w:rFonts w:eastAsia="Calibri"/>
                <w:sz w:val="20"/>
              </w:rPr>
              <w:t xml:space="preserve"> J.)</w:t>
            </w:r>
          </w:p>
          <w:p w:rsidR="00F03B9C" w:rsidRPr="00B32C06" w:rsidRDefault="00F03B9C" w:rsidP="00352439">
            <w:pPr>
              <w:jc w:val="both"/>
              <w:rPr>
                <w:rFonts w:eastAsia="Calibri"/>
                <w:sz w:val="20"/>
              </w:rPr>
            </w:pPr>
            <w:r w:rsidRPr="00B32C06">
              <w:rPr>
                <w:rFonts w:eastAsia="Calibri"/>
                <w:sz w:val="20"/>
              </w:rPr>
              <w:t>2009 QCCS 3836</w:t>
            </w:r>
          </w:p>
          <w:p w:rsidR="00F03B9C" w:rsidRPr="00B32C06" w:rsidRDefault="00F03B9C" w:rsidP="00352439">
            <w:pPr>
              <w:jc w:val="both"/>
              <w:rPr>
                <w:rFonts w:eastAsia="Calibri"/>
                <w:sz w:val="20"/>
              </w:rPr>
            </w:pPr>
          </w:p>
        </w:tc>
        <w:tc>
          <w:tcPr>
            <w:tcW w:w="243" w:type="pct"/>
          </w:tcPr>
          <w:p w:rsidR="00F03B9C" w:rsidRPr="00B32C06" w:rsidRDefault="00F03B9C" w:rsidP="00352439">
            <w:pPr>
              <w:jc w:val="both"/>
              <w:rPr>
                <w:rFonts w:eastAsia="Calibri"/>
                <w:sz w:val="20"/>
              </w:rPr>
            </w:pPr>
          </w:p>
        </w:tc>
        <w:tc>
          <w:tcPr>
            <w:tcW w:w="2330" w:type="pct"/>
          </w:tcPr>
          <w:p w:rsidR="00F03B9C" w:rsidRPr="00B32C06" w:rsidRDefault="00F03B9C" w:rsidP="00352439">
            <w:pPr>
              <w:jc w:val="both"/>
              <w:rPr>
                <w:rFonts w:eastAsia="Calibri"/>
                <w:sz w:val="20"/>
              </w:rPr>
            </w:pPr>
            <w:r w:rsidRPr="00B32C06">
              <w:rPr>
                <w:rFonts w:eastAsia="Calibri"/>
                <w:sz w:val="20"/>
              </w:rPr>
              <w:t>Motion to institute proceedings allowed in part; respondent City ordered to pay damages</w:t>
            </w:r>
          </w:p>
          <w:p w:rsidR="00F03B9C" w:rsidRPr="00B32C06" w:rsidRDefault="00F03B9C" w:rsidP="00352439">
            <w:pPr>
              <w:jc w:val="both"/>
              <w:rPr>
                <w:rFonts w:eastAsia="Calibri"/>
                <w:sz w:val="20"/>
              </w:rPr>
            </w:pPr>
          </w:p>
        </w:tc>
      </w:tr>
      <w:tr w:rsidR="00F03B9C" w:rsidRPr="00B32C06" w:rsidTr="00352439">
        <w:tc>
          <w:tcPr>
            <w:tcW w:w="2427" w:type="pct"/>
          </w:tcPr>
          <w:p w:rsidR="00F03B9C" w:rsidRPr="00B32C06" w:rsidRDefault="00F03B9C" w:rsidP="00352439">
            <w:pPr>
              <w:jc w:val="both"/>
              <w:rPr>
                <w:rFonts w:eastAsia="Calibri"/>
                <w:sz w:val="20"/>
              </w:rPr>
            </w:pPr>
            <w:r w:rsidRPr="00B32C06">
              <w:rPr>
                <w:rFonts w:eastAsia="Calibri"/>
                <w:sz w:val="20"/>
              </w:rPr>
              <w:t>July 5, 2011</w:t>
            </w:r>
          </w:p>
          <w:p w:rsidR="00F03B9C" w:rsidRPr="00B32C06" w:rsidRDefault="00F03B9C" w:rsidP="00352439">
            <w:pPr>
              <w:jc w:val="both"/>
              <w:rPr>
                <w:rFonts w:eastAsia="Calibri"/>
                <w:sz w:val="20"/>
              </w:rPr>
            </w:pPr>
            <w:r w:rsidRPr="00B32C06">
              <w:rPr>
                <w:rFonts w:eastAsia="Calibri"/>
                <w:sz w:val="20"/>
              </w:rPr>
              <w:t>Quebec Court of Appeal (Montréal)</w:t>
            </w:r>
          </w:p>
          <w:p w:rsidR="00F03B9C" w:rsidRPr="00B32C06" w:rsidRDefault="00F03B9C" w:rsidP="00352439">
            <w:pPr>
              <w:jc w:val="both"/>
              <w:rPr>
                <w:rFonts w:eastAsia="Calibri"/>
                <w:sz w:val="20"/>
              </w:rPr>
            </w:pPr>
            <w:r w:rsidRPr="00B32C06">
              <w:rPr>
                <w:rFonts w:eastAsia="Calibri"/>
                <w:sz w:val="20"/>
              </w:rPr>
              <w:t>(</w:t>
            </w:r>
            <w:proofErr w:type="spellStart"/>
            <w:r w:rsidRPr="00B32C06">
              <w:rPr>
                <w:rFonts w:eastAsia="Calibri"/>
                <w:sz w:val="20"/>
              </w:rPr>
              <w:t>Morissette</w:t>
            </w:r>
            <w:proofErr w:type="spellEnd"/>
            <w:r w:rsidRPr="00B32C06">
              <w:rPr>
                <w:rFonts w:eastAsia="Calibri"/>
                <w:sz w:val="20"/>
              </w:rPr>
              <w:t>, Hilton and Jacques JJ.A.)</w:t>
            </w:r>
          </w:p>
          <w:p w:rsidR="00F03B9C" w:rsidRPr="00B32C06" w:rsidRDefault="00F03B9C" w:rsidP="00352439">
            <w:pPr>
              <w:jc w:val="both"/>
              <w:rPr>
                <w:rFonts w:eastAsia="Calibri"/>
                <w:sz w:val="20"/>
              </w:rPr>
            </w:pPr>
            <w:r w:rsidRPr="00B32C06">
              <w:rPr>
                <w:rFonts w:eastAsia="Calibri"/>
                <w:sz w:val="20"/>
              </w:rPr>
              <w:t>2011 QCCA 1251</w:t>
            </w:r>
          </w:p>
          <w:p w:rsidR="00F03B9C" w:rsidRPr="00B32C06" w:rsidRDefault="00F03B9C" w:rsidP="00352439">
            <w:pPr>
              <w:jc w:val="both"/>
              <w:rPr>
                <w:rFonts w:eastAsia="Calibri"/>
                <w:sz w:val="20"/>
              </w:rPr>
            </w:pPr>
          </w:p>
        </w:tc>
        <w:tc>
          <w:tcPr>
            <w:tcW w:w="243" w:type="pct"/>
          </w:tcPr>
          <w:p w:rsidR="00F03B9C" w:rsidRPr="00B32C06" w:rsidRDefault="00F03B9C" w:rsidP="00352439">
            <w:pPr>
              <w:jc w:val="both"/>
              <w:rPr>
                <w:rFonts w:eastAsia="Calibri"/>
                <w:sz w:val="20"/>
              </w:rPr>
            </w:pPr>
          </w:p>
        </w:tc>
        <w:tc>
          <w:tcPr>
            <w:tcW w:w="2330" w:type="pct"/>
          </w:tcPr>
          <w:p w:rsidR="00F03B9C" w:rsidRPr="00B32C06" w:rsidRDefault="00F03B9C" w:rsidP="00352439">
            <w:pPr>
              <w:jc w:val="both"/>
              <w:rPr>
                <w:rFonts w:eastAsia="Calibri"/>
                <w:sz w:val="20"/>
              </w:rPr>
            </w:pPr>
            <w:r w:rsidRPr="00B32C06">
              <w:rPr>
                <w:rFonts w:eastAsia="Calibri"/>
                <w:sz w:val="20"/>
              </w:rPr>
              <w:t>Appeal allowed; motion to institute proceedings dismissed</w:t>
            </w:r>
          </w:p>
          <w:p w:rsidR="00F03B9C" w:rsidRPr="00B32C06" w:rsidRDefault="00F03B9C" w:rsidP="00352439">
            <w:pPr>
              <w:jc w:val="both"/>
              <w:rPr>
                <w:rFonts w:eastAsia="Calibri"/>
                <w:sz w:val="20"/>
              </w:rPr>
            </w:pPr>
          </w:p>
        </w:tc>
      </w:tr>
      <w:tr w:rsidR="00F03B9C" w:rsidRPr="00B32C06" w:rsidTr="00352439">
        <w:tc>
          <w:tcPr>
            <w:tcW w:w="2427" w:type="pct"/>
          </w:tcPr>
          <w:p w:rsidR="00F03B9C" w:rsidRPr="00B32C06" w:rsidRDefault="00F03B9C" w:rsidP="00352439">
            <w:pPr>
              <w:jc w:val="both"/>
              <w:rPr>
                <w:rFonts w:eastAsia="Calibri"/>
                <w:sz w:val="20"/>
              </w:rPr>
            </w:pPr>
            <w:r w:rsidRPr="00B32C06">
              <w:rPr>
                <w:rFonts w:eastAsia="Calibri"/>
                <w:sz w:val="20"/>
              </w:rPr>
              <w:t>September 26, 2011</w:t>
            </w:r>
          </w:p>
          <w:p w:rsidR="00F03B9C" w:rsidRPr="00B32C06" w:rsidRDefault="00F03B9C" w:rsidP="00352439">
            <w:pPr>
              <w:jc w:val="both"/>
              <w:rPr>
                <w:rFonts w:eastAsia="Calibri"/>
                <w:sz w:val="20"/>
              </w:rPr>
            </w:pPr>
            <w:r w:rsidRPr="00B32C06">
              <w:rPr>
                <w:rFonts w:eastAsia="Calibri"/>
                <w:sz w:val="20"/>
              </w:rPr>
              <w:t>Supreme Court of Canada</w:t>
            </w:r>
          </w:p>
        </w:tc>
        <w:tc>
          <w:tcPr>
            <w:tcW w:w="243" w:type="pct"/>
          </w:tcPr>
          <w:p w:rsidR="00F03B9C" w:rsidRPr="00B32C06" w:rsidRDefault="00F03B9C" w:rsidP="00352439">
            <w:pPr>
              <w:jc w:val="both"/>
              <w:rPr>
                <w:rFonts w:eastAsia="Calibri"/>
                <w:sz w:val="20"/>
              </w:rPr>
            </w:pPr>
          </w:p>
        </w:tc>
        <w:tc>
          <w:tcPr>
            <w:tcW w:w="2330" w:type="pct"/>
          </w:tcPr>
          <w:p w:rsidR="00F03B9C" w:rsidRPr="00B32C06" w:rsidRDefault="00F03B9C" w:rsidP="00352439">
            <w:pPr>
              <w:jc w:val="both"/>
              <w:rPr>
                <w:rFonts w:eastAsia="Calibri"/>
                <w:sz w:val="20"/>
              </w:rPr>
            </w:pPr>
            <w:r w:rsidRPr="00B32C06">
              <w:rPr>
                <w:rFonts w:eastAsia="Calibri"/>
                <w:sz w:val="20"/>
              </w:rPr>
              <w:t>Application for leave to appeal filed</w:t>
            </w: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57"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03B9C" w:rsidRPr="002D3F55" w:rsidTr="00352439">
        <w:tc>
          <w:tcPr>
            <w:tcW w:w="5000" w:type="pct"/>
            <w:gridSpan w:val="3"/>
          </w:tcPr>
          <w:p w:rsidR="00F03B9C" w:rsidRPr="00B32C06" w:rsidRDefault="00F03B9C" w:rsidP="00352439">
            <w:pPr>
              <w:jc w:val="both"/>
              <w:rPr>
                <w:rFonts w:eastAsia="Calibri"/>
                <w:sz w:val="20"/>
                <w:lang w:val="fr-CA"/>
              </w:rPr>
            </w:pPr>
            <w:r w:rsidRPr="00B32C06">
              <w:rPr>
                <w:rFonts w:eastAsia="Calibri"/>
                <w:sz w:val="20"/>
                <w:lang w:val="fr-CA"/>
              </w:rPr>
              <w:t>Contrats – Contrat d’entreprise ou de service – Interprétation – Usages – La Cour d’appel a-t-elle erré en concluant que le contrat entre les parties était clair et sans ambiguïté et qu’en conséquence, il n’y avait pas lieu de l’interpréter? – L’interprétation du contrat, d’adhésion, est-elle contraire à l’historique entre les parties, à leur commune intention, à leur « expectative raisonnable » et à l’usage? – La Ville a-t-elle abusé de son pouvoir?</w:t>
            </w:r>
          </w:p>
        </w:tc>
      </w:tr>
      <w:tr w:rsidR="00F03B9C" w:rsidRPr="002D3F55" w:rsidTr="00352439">
        <w:tc>
          <w:tcPr>
            <w:tcW w:w="5000" w:type="pct"/>
            <w:gridSpan w:val="3"/>
          </w:tcPr>
          <w:p w:rsidR="00F03B9C" w:rsidRPr="00B32C06" w:rsidRDefault="00F03B9C" w:rsidP="00352439">
            <w:pPr>
              <w:jc w:val="both"/>
              <w:rPr>
                <w:rFonts w:eastAsia="Calibri"/>
                <w:sz w:val="20"/>
                <w:lang w:val="fr-CA"/>
              </w:rPr>
            </w:pPr>
          </w:p>
        </w:tc>
      </w:tr>
      <w:tr w:rsidR="00F03B9C" w:rsidRPr="002D3F55" w:rsidTr="00352439">
        <w:tc>
          <w:tcPr>
            <w:tcW w:w="5000" w:type="pct"/>
            <w:gridSpan w:val="3"/>
          </w:tcPr>
          <w:p w:rsidR="00F03B9C" w:rsidRPr="00B32C06" w:rsidRDefault="00F03B9C" w:rsidP="00352439">
            <w:pPr>
              <w:jc w:val="both"/>
              <w:rPr>
                <w:rFonts w:eastAsia="Calibri"/>
                <w:sz w:val="20"/>
                <w:lang w:val="fr-CA"/>
              </w:rPr>
            </w:pPr>
            <w:r w:rsidRPr="00B32C06">
              <w:rPr>
                <w:rFonts w:eastAsia="Calibri"/>
                <w:sz w:val="20"/>
                <w:lang w:val="fr-CA"/>
              </w:rPr>
              <w:t xml:space="preserve">Les </w:t>
            </w:r>
            <w:proofErr w:type="spellStart"/>
            <w:r w:rsidRPr="00B32C06">
              <w:rPr>
                <w:rFonts w:eastAsia="Calibri"/>
                <w:sz w:val="20"/>
                <w:lang w:val="fr-CA"/>
              </w:rPr>
              <w:t>demanderesses</w:t>
            </w:r>
            <w:proofErr w:type="spellEnd"/>
            <w:r w:rsidRPr="00B32C06">
              <w:rPr>
                <w:rFonts w:eastAsia="Calibri"/>
                <w:sz w:val="20"/>
                <w:lang w:val="fr-CA"/>
              </w:rPr>
              <w:t xml:space="preserve"> poursuivent la Ville de Montréal intimée sur la base de contrats de déneigement d’une durée de cinq ans conclus avec elle en 2000 au terme d’un processus d’appel d’offres. Elles allèguent que la Ville a illégalement changé la méthode de calcul de la rémunération prévue aux contrats pour la saison 2003-2004. Aux termes du contrat le taux de rémunération est fonction de la mesure des précipitations entre le 15 novembre et le 15 mars de chaque hiver. En novembre 2003, la Ville, qui n’arrive plus à conclure d’entente de sous-traitance pour l’exploitation de stations de </w:t>
            </w:r>
            <w:proofErr w:type="spellStart"/>
            <w:r w:rsidRPr="00B32C06">
              <w:rPr>
                <w:rFonts w:eastAsia="Calibri"/>
                <w:sz w:val="20"/>
                <w:lang w:val="fr-CA"/>
              </w:rPr>
              <w:t>nivométrie</w:t>
            </w:r>
            <w:proofErr w:type="spellEnd"/>
            <w:r w:rsidRPr="00B32C06">
              <w:rPr>
                <w:rFonts w:eastAsia="Calibri"/>
                <w:sz w:val="20"/>
                <w:lang w:val="fr-CA"/>
              </w:rPr>
              <w:t xml:space="preserve"> installées sur son territoire, avise les entreprises de déneigement qu’elle cesse d’utiliser les mesures fournies par ces stations et qu’elle utilisera désormais les mesures officielles inscrites aux sommaires mensuels d’Environnement Canada, en application de la clause 9.6 du contrat. Dans leur action, les </w:t>
            </w:r>
            <w:proofErr w:type="spellStart"/>
            <w:r w:rsidRPr="00B32C06">
              <w:rPr>
                <w:rFonts w:eastAsia="Calibri"/>
                <w:sz w:val="20"/>
                <w:lang w:val="fr-CA"/>
              </w:rPr>
              <w:t>demanderesses</w:t>
            </w:r>
            <w:proofErr w:type="spellEnd"/>
            <w:r w:rsidRPr="00B32C06">
              <w:rPr>
                <w:rFonts w:eastAsia="Calibri"/>
                <w:sz w:val="20"/>
                <w:lang w:val="fr-CA"/>
              </w:rPr>
              <w:t xml:space="preserve"> allèguent que les mesures des précipitations sont inexactes, que la Ville devait poursuivre l’opération des stations et qu’elle a agi de mauvaise foi en appliquant la clause 9.6. Elles allèguent que, vu l’usage passé, la Ville </w:t>
            </w:r>
            <w:r w:rsidRPr="00B32C06">
              <w:rPr>
                <w:rFonts w:eastAsia="Calibri"/>
                <w:sz w:val="20"/>
                <w:lang w:val="fr-CA"/>
              </w:rPr>
              <w:lastRenderedPageBreak/>
              <w:t>avait l’obligation implicite de maintenir un « observateur dédié » à l’aéroport de Dorval qui prenait des mesures qualitatives, à toutes les heures, et ce, même si elle décidait de se servir des sommaires mensuels produits par Environnement Canada.</w:t>
            </w:r>
          </w:p>
          <w:p w:rsidR="00F03B9C" w:rsidRPr="00B32C06" w:rsidRDefault="00F03B9C" w:rsidP="00352439">
            <w:pPr>
              <w:jc w:val="both"/>
              <w:rPr>
                <w:rFonts w:eastAsia="Calibri"/>
                <w:sz w:val="20"/>
                <w:lang w:val="fr-CA"/>
              </w:rPr>
            </w:pPr>
          </w:p>
          <w:p w:rsidR="00F03B9C" w:rsidRPr="00B32C06" w:rsidRDefault="00F03B9C" w:rsidP="00352439">
            <w:pPr>
              <w:jc w:val="both"/>
              <w:rPr>
                <w:rFonts w:eastAsia="Calibri"/>
                <w:sz w:val="20"/>
                <w:lang w:val="fr-CA"/>
              </w:rPr>
            </w:pPr>
            <w:r w:rsidRPr="00B32C06">
              <w:rPr>
                <w:rFonts w:eastAsia="Calibri"/>
                <w:sz w:val="20"/>
                <w:lang w:val="fr-CA"/>
              </w:rPr>
              <w:t>La Cour supérieure accueille en partie le recours, mais la Cour d’appel infirme la décision. Elle estime que la clause 9.6 est claire et que la juge de première instance ne pouvait y ajouter « en appliquant ce qu’elle qualifie indûment d’usage, soit le souhait des entrepreneurs de voir l’observateur dédié demeurer en poste à la station de Dorval, même après l’abolition [des stations] » (par. 54)</w:t>
            </w:r>
          </w:p>
          <w:p w:rsidR="00F03B9C" w:rsidRPr="00B32C06" w:rsidRDefault="00F03B9C" w:rsidP="00352439">
            <w:pPr>
              <w:jc w:val="both"/>
              <w:rPr>
                <w:rFonts w:eastAsia="Calibri"/>
                <w:sz w:val="20"/>
                <w:lang w:val="fr-CA"/>
              </w:rPr>
            </w:pPr>
          </w:p>
        </w:tc>
      </w:tr>
      <w:tr w:rsidR="00F03B9C" w:rsidRPr="002D3F55" w:rsidTr="00352439">
        <w:tc>
          <w:tcPr>
            <w:tcW w:w="2427" w:type="pct"/>
          </w:tcPr>
          <w:p w:rsidR="00F03B9C" w:rsidRPr="00B32C06" w:rsidRDefault="00F03B9C" w:rsidP="00352439">
            <w:pPr>
              <w:jc w:val="both"/>
              <w:rPr>
                <w:rFonts w:eastAsia="Calibri"/>
                <w:sz w:val="20"/>
                <w:lang w:val="fr-CA"/>
              </w:rPr>
            </w:pPr>
            <w:r w:rsidRPr="00B32C06">
              <w:rPr>
                <w:rFonts w:eastAsia="Calibri"/>
                <w:sz w:val="20"/>
                <w:lang w:val="fr-CA"/>
              </w:rPr>
              <w:lastRenderedPageBreak/>
              <w:t>Le 25 août 2009</w:t>
            </w:r>
          </w:p>
          <w:p w:rsidR="00F03B9C" w:rsidRPr="00B32C06" w:rsidRDefault="00F03B9C" w:rsidP="00352439">
            <w:pPr>
              <w:jc w:val="both"/>
              <w:rPr>
                <w:rFonts w:eastAsia="Calibri"/>
                <w:sz w:val="20"/>
                <w:lang w:val="fr-CA"/>
              </w:rPr>
            </w:pPr>
            <w:r w:rsidRPr="00B32C06">
              <w:rPr>
                <w:rFonts w:eastAsia="Calibri"/>
                <w:sz w:val="20"/>
                <w:lang w:val="fr-CA"/>
              </w:rPr>
              <w:t>Cour supérieure du Québec</w:t>
            </w:r>
          </w:p>
          <w:p w:rsidR="00F03B9C" w:rsidRPr="00B32C06" w:rsidRDefault="00F03B9C" w:rsidP="00352439">
            <w:pPr>
              <w:jc w:val="both"/>
              <w:rPr>
                <w:rFonts w:eastAsia="Calibri"/>
                <w:sz w:val="20"/>
                <w:lang w:val="fr-CA"/>
              </w:rPr>
            </w:pPr>
            <w:r w:rsidRPr="00B32C06">
              <w:rPr>
                <w:rFonts w:eastAsia="Calibri"/>
                <w:sz w:val="20"/>
                <w:lang w:val="fr-CA"/>
              </w:rPr>
              <w:t>(La juge Marcelin)</w:t>
            </w:r>
          </w:p>
          <w:p w:rsidR="00F03B9C" w:rsidRPr="00B32C06" w:rsidRDefault="00F03B9C" w:rsidP="00352439">
            <w:pPr>
              <w:jc w:val="both"/>
              <w:rPr>
                <w:rFonts w:eastAsia="Calibri"/>
                <w:sz w:val="20"/>
                <w:lang w:val="fr-CA"/>
              </w:rPr>
            </w:pPr>
            <w:r w:rsidRPr="00B32C06">
              <w:rPr>
                <w:rFonts w:eastAsia="Calibri"/>
                <w:sz w:val="20"/>
                <w:lang w:val="fr-CA"/>
              </w:rPr>
              <w:t>2009 QCCS 3836</w:t>
            </w:r>
          </w:p>
          <w:p w:rsidR="00F03B9C" w:rsidRPr="00B32C06" w:rsidRDefault="00F03B9C" w:rsidP="00352439">
            <w:pPr>
              <w:jc w:val="both"/>
              <w:rPr>
                <w:rFonts w:eastAsia="Calibri"/>
                <w:sz w:val="20"/>
              </w:rPr>
            </w:pPr>
          </w:p>
        </w:tc>
        <w:tc>
          <w:tcPr>
            <w:tcW w:w="243" w:type="pct"/>
          </w:tcPr>
          <w:p w:rsidR="00F03B9C" w:rsidRPr="00B32C06" w:rsidRDefault="00F03B9C" w:rsidP="00352439">
            <w:pPr>
              <w:jc w:val="both"/>
              <w:rPr>
                <w:rFonts w:eastAsia="Calibri"/>
                <w:sz w:val="20"/>
              </w:rPr>
            </w:pPr>
          </w:p>
        </w:tc>
        <w:tc>
          <w:tcPr>
            <w:tcW w:w="2330" w:type="pct"/>
          </w:tcPr>
          <w:p w:rsidR="00F03B9C" w:rsidRPr="00B32C06" w:rsidRDefault="00F03B9C" w:rsidP="00352439">
            <w:pPr>
              <w:jc w:val="both"/>
              <w:rPr>
                <w:rFonts w:eastAsia="Calibri"/>
                <w:sz w:val="20"/>
                <w:lang w:val="fr-CA"/>
              </w:rPr>
            </w:pPr>
            <w:r w:rsidRPr="00B32C06">
              <w:rPr>
                <w:rFonts w:eastAsia="Calibri"/>
                <w:sz w:val="20"/>
                <w:lang w:val="fr-CA"/>
              </w:rPr>
              <w:t>Requête introductive d’instance accueillie en partie; Ville intimée condamnée au paiement de dommages-intérêts</w:t>
            </w:r>
          </w:p>
          <w:p w:rsidR="00F03B9C" w:rsidRPr="00B32C06" w:rsidRDefault="00F03B9C" w:rsidP="00352439">
            <w:pPr>
              <w:jc w:val="both"/>
              <w:rPr>
                <w:rFonts w:eastAsia="Calibri"/>
                <w:sz w:val="20"/>
                <w:lang w:val="fr-CA"/>
              </w:rPr>
            </w:pPr>
          </w:p>
        </w:tc>
      </w:tr>
      <w:tr w:rsidR="00F03B9C" w:rsidRPr="002D3F55" w:rsidTr="00352439">
        <w:tc>
          <w:tcPr>
            <w:tcW w:w="2427" w:type="pct"/>
          </w:tcPr>
          <w:p w:rsidR="00F03B9C" w:rsidRPr="00B32C06" w:rsidRDefault="00F03B9C" w:rsidP="00352439">
            <w:pPr>
              <w:jc w:val="both"/>
              <w:rPr>
                <w:rFonts w:eastAsia="Calibri"/>
                <w:sz w:val="20"/>
                <w:lang w:val="fr-CA"/>
              </w:rPr>
            </w:pPr>
            <w:r w:rsidRPr="00B32C06">
              <w:rPr>
                <w:rFonts w:eastAsia="Calibri"/>
                <w:sz w:val="20"/>
                <w:lang w:val="fr-CA"/>
              </w:rPr>
              <w:t>Le 5 juillet 2011</w:t>
            </w:r>
          </w:p>
          <w:p w:rsidR="00F03B9C" w:rsidRPr="00B32C06" w:rsidRDefault="00F03B9C" w:rsidP="00352439">
            <w:pPr>
              <w:jc w:val="both"/>
              <w:rPr>
                <w:rFonts w:eastAsia="Calibri"/>
                <w:sz w:val="20"/>
                <w:lang w:val="fr-CA"/>
              </w:rPr>
            </w:pPr>
            <w:r w:rsidRPr="00B32C06">
              <w:rPr>
                <w:rFonts w:eastAsia="Calibri"/>
                <w:sz w:val="20"/>
                <w:lang w:val="fr-CA"/>
              </w:rPr>
              <w:t>Cour d’appel du Québec (Montréal)</w:t>
            </w:r>
          </w:p>
          <w:p w:rsidR="00F03B9C" w:rsidRPr="00B32C06" w:rsidRDefault="00F03B9C" w:rsidP="00352439">
            <w:pPr>
              <w:jc w:val="both"/>
              <w:rPr>
                <w:rFonts w:eastAsia="Calibri"/>
                <w:sz w:val="20"/>
                <w:lang w:val="fr-CA"/>
              </w:rPr>
            </w:pPr>
            <w:r w:rsidRPr="00B32C06">
              <w:rPr>
                <w:rFonts w:eastAsia="Calibri"/>
                <w:sz w:val="20"/>
                <w:lang w:val="fr-CA"/>
              </w:rPr>
              <w:t>(Les juges Morissette, Hilton et Jacques)</w:t>
            </w:r>
          </w:p>
          <w:p w:rsidR="00F03B9C" w:rsidRPr="00B32C06" w:rsidRDefault="00F03B9C" w:rsidP="00352439">
            <w:pPr>
              <w:jc w:val="both"/>
              <w:rPr>
                <w:rFonts w:eastAsia="Calibri"/>
                <w:sz w:val="20"/>
                <w:lang w:val="fr-CA"/>
              </w:rPr>
            </w:pPr>
            <w:r w:rsidRPr="00B32C06">
              <w:rPr>
                <w:rFonts w:eastAsia="Calibri"/>
                <w:sz w:val="20"/>
                <w:lang w:val="fr-CA"/>
              </w:rPr>
              <w:t>2011 QCCA 1251</w:t>
            </w:r>
          </w:p>
          <w:p w:rsidR="00F03B9C" w:rsidRPr="00B32C06" w:rsidRDefault="00F03B9C" w:rsidP="00352439">
            <w:pPr>
              <w:jc w:val="both"/>
              <w:rPr>
                <w:rFonts w:eastAsia="Calibri"/>
                <w:sz w:val="20"/>
                <w:lang w:val="fr-CA"/>
              </w:rPr>
            </w:pPr>
          </w:p>
        </w:tc>
        <w:tc>
          <w:tcPr>
            <w:tcW w:w="243" w:type="pct"/>
          </w:tcPr>
          <w:p w:rsidR="00F03B9C" w:rsidRPr="00B32C06" w:rsidRDefault="00F03B9C" w:rsidP="00352439">
            <w:pPr>
              <w:jc w:val="both"/>
              <w:rPr>
                <w:rFonts w:eastAsia="Calibri"/>
                <w:sz w:val="20"/>
                <w:lang w:val="fr-CA"/>
              </w:rPr>
            </w:pPr>
          </w:p>
        </w:tc>
        <w:tc>
          <w:tcPr>
            <w:tcW w:w="2330" w:type="pct"/>
          </w:tcPr>
          <w:p w:rsidR="00F03B9C" w:rsidRPr="00B32C06" w:rsidRDefault="00F03B9C" w:rsidP="00352439">
            <w:pPr>
              <w:jc w:val="both"/>
              <w:rPr>
                <w:rFonts w:eastAsia="Calibri"/>
                <w:sz w:val="20"/>
                <w:lang w:val="fr-CA"/>
              </w:rPr>
            </w:pPr>
            <w:r w:rsidRPr="00B32C06">
              <w:rPr>
                <w:rFonts w:eastAsia="Calibri"/>
                <w:sz w:val="20"/>
                <w:lang w:val="fr-CA"/>
              </w:rPr>
              <w:t>Appel accueilli; requête introductive d’instance rejetée</w:t>
            </w:r>
          </w:p>
          <w:p w:rsidR="00F03B9C" w:rsidRPr="00B32C06" w:rsidRDefault="00F03B9C" w:rsidP="00352439">
            <w:pPr>
              <w:jc w:val="both"/>
              <w:rPr>
                <w:rFonts w:eastAsia="Calibri"/>
                <w:sz w:val="20"/>
                <w:lang w:val="fr-CA"/>
              </w:rPr>
            </w:pPr>
          </w:p>
        </w:tc>
      </w:tr>
      <w:tr w:rsidR="00F03B9C" w:rsidRPr="00B32C06" w:rsidTr="00352439">
        <w:tc>
          <w:tcPr>
            <w:tcW w:w="2427" w:type="pct"/>
          </w:tcPr>
          <w:p w:rsidR="00F03B9C" w:rsidRPr="00B32C06" w:rsidRDefault="00F03B9C" w:rsidP="00352439">
            <w:pPr>
              <w:jc w:val="both"/>
              <w:rPr>
                <w:rFonts w:eastAsia="Calibri"/>
                <w:sz w:val="20"/>
                <w:lang w:val="fr-CA"/>
              </w:rPr>
            </w:pPr>
            <w:r w:rsidRPr="00B32C06">
              <w:rPr>
                <w:rFonts w:eastAsia="Calibri"/>
                <w:sz w:val="20"/>
                <w:lang w:val="fr-CA"/>
              </w:rPr>
              <w:t>Le 26 septembre 2011</w:t>
            </w:r>
          </w:p>
          <w:p w:rsidR="00F03B9C" w:rsidRPr="00B32C06" w:rsidRDefault="00F03B9C" w:rsidP="00352439">
            <w:pPr>
              <w:jc w:val="both"/>
              <w:rPr>
                <w:rFonts w:eastAsia="Calibri"/>
                <w:sz w:val="20"/>
                <w:lang w:val="fr-CA"/>
              </w:rPr>
            </w:pPr>
            <w:r w:rsidRPr="00B32C06">
              <w:rPr>
                <w:rFonts w:eastAsia="Calibri"/>
                <w:sz w:val="20"/>
                <w:lang w:val="fr-CA"/>
              </w:rPr>
              <w:t>Cour suprême du Canada</w:t>
            </w:r>
          </w:p>
        </w:tc>
        <w:tc>
          <w:tcPr>
            <w:tcW w:w="243" w:type="pct"/>
          </w:tcPr>
          <w:p w:rsidR="00F03B9C" w:rsidRPr="00B32C06" w:rsidRDefault="00F03B9C" w:rsidP="00352439">
            <w:pPr>
              <w:jc w:val="both"/>
              <w:rPr>
                <w:rFonts w:eastAsia="Calibri"/>
                <w:sz w:val="20"/>
                <w:lang w:val="fr-CA"/>
              </w:rPr>
            </w:pPr>
          </w:p>
        </w:tc>
        <w:tc>
          <w:tcPr>
            <w:tcW w:w="2330" w:type="pct"/>
          </w:tcPr>
          <w:p w:rsidR="00F03B9C" w:rsidRPr="00B32C06" w:rsidRDefault="00F03B9C" w:rsidP="00352439">
            <w:pPr>
              <w:jc w:val="both"/>
              <w:rPr>
                <w:rFonts w:eastAsia="Calibri"/>
                <w:sz w:val="20"/>
                <w:lang w:val="fr-CA"/>
              </w:rPr>
            </w:pPr>
            <w:r w:rsidRPr="00B32C06">
              <w:rPr>
                <w:rFonts w:eastAsia="Calibri"/>
                <w:sz w:val="20"/>
                <w:lang w:val="fr-CA"/>
              </w:rPr>
              <w:t>Demande d'autorisation d'appel déposée</w:t>
            </w:r>
          </w:p>
          <w:p w:rsidR="00F03B9C" w:rsidRPr="00B32C06" w:rsidRDefault="00F03B9C" w:rsidP="00352439">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58"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A54F27" w:rsidTr="000A4857">
        <w:trPr>
          <w:cantSplit/>
        </w:trPr>
        <w:tc>
          <w:tcPr>
            <w:tcW w:w="1458" w:type="dxa"/>
          </w:tcPr>
          <w:p w:rsidR="000A4857" w:rsidRPr="00A54F27" w:rsidRDefault="000A4857" w:rsidP="000A4857">
            <w:pPr>
              <w:rPr>
                <w:sz w:val="20"/>
                <w:szCs w:val="20"/>
              </w:rPr>
            </w:pPr>
            <w:r w:rsidRPr="00A54F27">
              <w:rPr>
                <w:rStyle w:val="SCCFileNumberChar"/>
                <w:sz w:val="20"/>
                <w:szCs w:val="20"/>
              </w:rPr>
              <w:t>34456</w:t>
            </w:r>
          </w:p>
          <w:p w:rsidR="000A4857" w:rsidRPr="00A54F27" w:rsidRDefault="000A4857" w:rsidP="000A4857">
            <w:pPr>
              <w:rPr>
                <w:b/>
                <w:sz w:val="20"/>
                <w:szCs w:val="20"/>
                <w:lang w:val="fr-CA"/>
              </w:rPr>
            </w:pPr>
          </w:p>
        </w:tc>
        <w:tc>
          <w:tcPr>
            <w:tcW w:w="8118" w:type="dxa"/>
          </w:tcPr>
          <w:p w:rsidR="000A4857" w:rsidRPr="00A54F27" w:rsidRDefault="000A4857" w:rsidP="000A4857">
            <w:pPr>
              <w:jc w:val="both"/>
              <w:rPr>
                <w:sz w:val="20"/>
                <w:szCs w:val="20"/>
              </w:rPr>
            </w:pPr>
            <w:r w:rsidRPr="000A4857">
              <w:rPr>
                <w:rStyle w:val="SCCLsocChar"/>
                <w:sz w:val="20"/>
                <w:szCs w:val="20"/>
                <w:lang w:val="en-CA"/>
              </w:rPr>
              <w:t xml:space="preserve">Jodi Lock O'Brien v. </w:t>
            </w:r>
            <w:proofErr w:type="spellStart"/>
            <w:r w:rsidRPr="000A4857">
              <w:rPr>
                <w:rStyle w:val="SCCLsocChar"/>
                <w:sz w:val="20"/>
                <w:szCs w:val="20"/>
                <w:lang w:val="en-CA"/>
              </w:rPr>
              <w:t>Mirella</w:t>
            </w:r>
            <w:proofErr w:type="spellEnd"/>
            <w:r w:rsidRPr="000A4857">
              <w:rPr>
                <w:rStyle w:val="SCCLsocChar"/>
                <w:sz w:val="20"/>
                <w:szCs w:val="20"/>
                <w:lang w:val="en-CA"/>
              </w:rPr>
              <w:t xml:space="preserve"> Rochelle </w:t>
            </w:r>
            <w:proofErr w:type="spellStart"/>
            <w:r w:rsidRPr="000A4857">
              <w:rPr>
                <w:rStyle w:val="SCCLsocChar"/>
                <w:sz w:val="20"/>
                <w:szCs w:val="20"/>
                <w:lang w:val="en-CA"/>
              </w:rPr>
              <w:t>Steinebach</w:t>
            </w:r>
            <w:proofErr w:type="spellEnd"/>
            <w:r w:rsidRPr="000A4857">
              <w:rPr>
                <w:rStyle w:val="SCCLsocChar"/>
                <w:sz w:val="20"/>
                <w:szCs w:val="20"/>
                <w:lang w:val="en-CA"/>
              </w:rPr>
              <w:t xml:space="preserve">, an infant by her litigation guardian ad </w:t>
            </w:r>
            <w:proofErr w:type="spellStart"/>
            <w:r w:rsidRPr="000A4857">
              <w:rPr>
                <w:rStyle w:val="SCCLsocChar"/>
                <w:sz w:val="20"/>
                <w:szCs w:val="20"/>
                <w:lang w:val="en-CA"/>
              </w:rPr>
              <w:t>litem</w:t>
            </w:r>
            <w:proofErr w:type="spellEnd"/>
            <w:r w:rsidRPr="000A4857">
              <w:rPr>
                <w:rStyle w:val="SCCLsocChar"/>
                <w:sz w:val="20"/>
                <w:szCs w:val="20"/>
                <w:lang w:val="en-CA"/>
              </w:rPr>
              <w:t xml:space="preserve"> May Jean </w:t>
            </w:r>
            <w:proofErr w:type="spellStart"/>
            <w:r w:rsidRPr="000A4857">
              <w:rPr>
                <w:rStyle w:val="SCCLsocChar"/>
                <w:sz w:val="20"/>
                <w:szCs w:val="20"/>
                <w:lang w:val="en-CA"/>
              </w:rPr>
              <w:t>Steinebach</w:t>
            </w:r>
            <w:proofErr w:type="spellEnd"/>
            <w:r w:rsidR="00CD0AB3">
              <w:rPr>
                <w:rStyle w:val="SCCLsocChar"/>
                <w:sz w:val="20"/>
                <w:szCs w:val="20"/>
                <w:lang w:val="en-CA"/>
              </w:rPr>
              <w:t xml:space="preserve"> and</w:t>
            </w:r>
            <w:r w:rsidRPr="000A4857">
              <w:rPr>
                <w:rStyle w:val="SCCLsocChar"/>
                <w:sz w:val="20"/>
                <w:szCs w:val="20"/>
                <w:lang w:val="en-CA"/>
              </w:rPr>
              <w:t xml:space="preserve"> May Jean </w:t>
            </w:r>
            <w:proofErr w:type="spellStart"/>
            <w:r w:rsidRPr="000A4857">
              <w:rPr>
                <w:rStyle w:val="SCCLsocChar"/>
                <w:sz w:val="20"/>
                <w:szCs w:val="20"/>
                <w:lang w:val="en-CA"/>
              </w:rPr>
              <w:t>Steinebach</w:t>
            </w:r>
            <w:proofErr w:type="spellEnd"/>
            <w:r w:rsidRPr="000A4857">
              <w:rPr>
                <w:rStyle w:val="SCCLsocChar"/>
                <w:sz w:val="20"/>
                <w:szCs w:val="20"/>
                <w:lang w:val="en-CA"/>
              </w:rPr>
              <w:t xml:space="preserve"> AND BETWEEN Fraser Health Authority operating a public hospital under the name of Surrey Memorial Hospital and </w:t>
            </w:r>
            <w:proofErr w:type="spellStart"/>
            <w:r w:rsidRPr="000A4857">
              <w:rPr>
                <w:rStyle w:val="SCCLsocChar"/>
                <w:sz w:val="20"/>
                <w:szCs w:val="20"/>
                <w:lang w:val="en-CA"/>
              </w:rPr>
              <w:t>Charito</w:t>
            </w:r>
            <w:proofErr w:type="spellEnd"/>
            <w:r w:rsidRPr="000A4857">
              <w:rPr>
                <w:rStyle w:val="SCCLsocChar"/>
                <w:sz w:val="20"/>
                <w:szCs w:val="20"/>
                <w:lang w:val="en-CA"/>
              </w:rPr>
              <w:t xml:space="preserve"> </w:t>
            </w:r>
            <w:proofErr w:type="spellStart"/>
            <w:r w:rsidRPr="000A4857">
              <w:rPr>
                <w:rStyle w:val="SCCLsocChar"/>
                <w:sz w:val="20"/>
                <w:szCs w:val="20"/>
                <w:lang w:val="en-CA"/>
              </w:rPr>
              <w:t>Hermogenes</w:t>
            </w:r>
            <w:proofErr w:type="spellEnd"/>
            <w:r w:rsidRPr="000A4857">
              <w:rPr>
                <w:rStyle w:val="SCCLsocChar"/>
                <w:sz w:val="20"/>
                <w:szCs w:val="20"/>
                <w:lang w:val="en-CA"/>
              </w:rPr>
              <w:t xml:space="preserve"> v. </w:t>
            </w:r>
            <w:proofErr w:type="spellStart"/>
            <w:r w:rsidRPr="000A4857">
              <w:rPr>
                <w:rStyle w:val="SCCLsocChar"/>
                <w:sz w:val="20"/>
                <w:szCs w:val="20"/>
                <w:lang w:val="en-CA"/>
              </w:rPr>
              <w:t>Mirella</w:t>
            </w:r>
            <w:proofErr w:type="spellEnd"/>
            <w:r w:rsidRPr="000A4857">
              <w:rPr>
                <w:rStyle w:val="SCCLsocChar"/>
                <w:sz w:val="20"/>
                <w:szCs w:val="20"/>
                <w:lang w:val="en-CA"/>
              </w:rPr>
              <w:t xml:space="preserve"> Rochelle </w:t>
            </w:r>
            <w:proofErr w:type="spellStart"/>
            <w:r w:rsidRPr="000A4857">
              <w:rPr>
                <w:rStyle w:val="SCCLsocChar"/>
                <w:sz w:val="20"/>
                <w:szCs w:val="20"/>
                <w:lang w:val="en-CA"/>
              </w:rPr>
              <w:t>Steinebach</w:t>
            </w:r>
            <w:proofErr w:type="spellEnd"/>
            <w:r w:rsidRPr="000A4857">
              <w:rPr>
                <w:rStyle w:val="SCCLsocChar"/>
                <w:sz w:val="20"/>
                <w:szCs w:val="20"/>
                <w:lang w:val="en-CA"/>
              </w:rPr>
              <w:t xml:space="preserve">, an infant by her litigation guardian ad </w:t>
            </w:r>
            <w:proofErr w:type="spellStart"/>
            <w:r w:rsidRPr="000A4857">
              <w:rPr>
                <w:rStyle w:val="SCCLsocChar"/>
                <w:sz w:val="20"/>
                <w:szCs w:val="20"/>
                <w:lang w:val="en-CA"/>
              </w:rPr>
              <w:t>litem</w:t>
            </w:r>
            <w:proofErr w:type="spellEnd"/>
            <w:r w:rsidRPr="000A4857">
              <w:rPr>
                <w:rStyle w:val="SCCLsocChar"/>
                <w:sz w:val="20"/>
                <w:szCs w:val="20"/>
                <w:lang w:val="en-CA"/>
              </w:rPr>
              <w:t xml:space="preserve"> May Jean </w:t>
            </w:r>
            <w:proofErr w:type="spellStart"/>
            <w:r w:rsidRPr="000A4857">
              <w:rPr>
                <w:rStyle w:val="SCCLsocChar"/>
                <w:sz w:val="20"/>
                <w:szCs w:val="20"/>
                <w:lang w:val="en-CA"/>
              </w:rPr>
              <w:t>Steineb</w:t>
            </w:r>
            <w:r w:rsidR="00CD0AB3">
              <w:rPr>
                <w:rStyle w:val="SCCLsocChar"/>
                <w:sz w:val="20"/>
                <w:szCs w:val="20"/>
                <w:lang w:val="en-CA"/>
              </w:rPr>
              <w:t>ach</w:t>
            </w:r>
            <w:proofErr w:type="spellEnd"/>
            <w:r w:rsidR="00CD0AB3">
              <w:rPr>
                <w:rStyle w:val="SCCLsocChar"/>
                <w:sz w:val="20"/>
                <w:szCs w:val="20"/>
                <w:lang w:val="en-CA"/>
              </w:rPr>
              <w:t xml:space="preserve"> and</w:t>
            </w:r>
            <w:r w:rsidRPr="000A4857">
              <w:rPr>
                <w:rStyle w:val="SCCLsocChar"/>
                <w:sz w:val="20"/>
                <w:szCs w:val="20"/>
                <w:lang w:val="en-CA"/>
              </w:rPr>
              <w:t xml:space="preserve"> May Jean </w:t>
            </w:r>
            <w:proofErr w:type="spellStart"/>
            <w:r w:rsidRPr="000A4857">
              <w:rPr>
                <w:rStyle w:val="SCCLsocChar"/>
                <w:sz w:val="20"/>
                <w:szCs w:val="20"/>
                <w:lang w:val="en-CA"/>
              </w:rPr>
              <w:t>Steinebach</w:t>
            </w:r>
            <w:proofErr w:type="spellEnd"/>
            <w:r w:rsidRPr="00A54F27">
              <w:rPr>
                <w:sz w:val="20"/>
                <w:szCs w:val="20"/>
              </w:rPr>
              <w:t xml:space="preserve"> (B.C.) (Civil) (By Leave)</w:t>
            </w:r>
          </w:p>
          <w:p w:rsidR="000A4857" w:rsidRPr="00A54F27" w:rsidRDefault="000A4857" w:rsidP="000A4857">
            <w:pPr>
              <w:rPr>
                <w:sz w:val="20"/>
                <w:szCs w:val="20"/>
              </w:rPr>
            </w:pPr>
          </w:p>
        </w:tc>
      </w:tr>
      <w:tr w:rsidR="000A4857" w:rsidRPr="00A54F27"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rPr>
            </w:pPr>
            <w:proofErr w:type="spellStart"/>
            <w:r w:rsidRPr="000A4857">
              <w:rPr>
                <w:rStyle w:val="SCCCoramChar"/>
                <w:sz w:val="20"/>
                <w:szCs w:val="20"/>
                <w:lang w:val="en-CA"/>
              </w:rPr>
              <w:t>McLachlin</w:t>
            </w:r>
            <w:proofErr w:type="spellEnd"/>
            <w:r w:rsidRPr="000A4857">
              <w:rPr>
                <w:rStyle w:val="SCCCoramChar"/>
                <w:sz w:val="20"/>
                <w:szCs w:val="20"/>
                <w:lang w:val="en-CA"/>
              </w:rPr>
              <w:t xml:space="preserve"> C.J. and Rothstein and </w:t>
            </w:r>
            <w:proofErr w:type="spellStart"/>
            <w:r w:rsidRPr="000A4857">
              <w:rPr>
                <w:rStyle w:val="SCCCoramChar"/>
                <w:sz w:val="20"/>
                <w:szCs w:val="20"/>
                <w:lang w:val="en-CA"/>
              </w:rPr>
              <w:t>Moldaver</w:t>
            </w:r>
            <w:proofErr w:type="spellEnd"/>
            <w:r w:rsidRPr="000A4857">
              <w:rPr>
                <w:rStyle w:val="SCCCoramChar"/>
                <w:sz w:val="20"/>
                <w:szCs w:val="20"/>
                <w:lang w:val="en-CA"/>
              </w:rPr>
              <w:t> JJ.</w:t>
            </w:r>
          </w:p>
          <w:p w:rsidR="000A4857" w:rsidRPr="00A54F27" w:rsidRDefault="000A4857" w:rsidP="000A4857">
            <w:pPr>
              <w:rPr>
                <w:sz w:val="20"/>
                <w:szCs w:val="20"/>
                <w:u w:val="single"/>
              </w:rPr>
            </w:pPr>
          </w:p>
        </w:tc>
      </w:tr>
      <w:tr w:rsidR="000A4857" w:rsidRPr="002D3F55" w:rsidTr="000A4857">
        <w:trPr>
          <w:cantSplit/>
        </w:trPr>
        <w:tc>
          <w:tcPr>
            <w:tcW w:w="9576" w:type="dxa"/>
            <w:gridSpan w:val="2"/>
          </w:tcPr>
          <w:p w:rsidR="000A4857" w:rsidRPr="00A54F27" w:rsidRDefault="000A4857" w:rsidP="000A4857">
            <w:pPr>
              <w:pStyle w:val="SCCShortJudgment"/>
              <w:rPr>
                <w:szCs w:val="20"/>
              </w:rPr>
            </w:pPr>
            <w:r w:rsidRPr="00A54F27">
              <w:rPr>
                <w:szCs w:val="20"/>
              </w:rPr>
              <w:t>The motion to consider the applications for leave to appeal together is granted. The applications for leave to appeal from the judgment of the Court of Appeal for British Columbia (Vancouver), Numbers CA038278 and CA038279, 2011 BCCA 302, dated June 29, 2011, are dismissed with costs.</w:t>
            </w:r>
          </w:p>
          <w:p w:rsidR="000A4857" w:rsidRPr="00A54F27" w:rsidRDefault="000A4857" w:rsidP="000A4857">
            <w:pPr>
              <w:pStyle w:val="SCCShortJudgment"/>
              <w:ind w:firstLine="0"/>
              <w:rPr>
                <w:szCs w:val="20"/>
              </w:rPr>
            </w:pPr>
          </w:p>
          <w:p w:rsidR="000A4857" w:rsidRPr="00A54F27" w:rsidRDefault="000A4857" w:rsidP="000A4857">
            <w:pPr>
              <w:pStyle w:val="SCCShortJudgment"/>
              <w:rPr>
                <w:szCs w:val="20"/>
                <w:lang w:val="fr-CA"/>
              </w:rPr>
            </w:pPr>
            <w:r w:rsidRPr="00A54F27">
              <w:rPr>
                <w:szCs w:val="20"/>
                <w:lang w:val="fr-CA"/>
              </w:rPr>
              <w:t>La requête pour considérer ensemble les demandes d’autorisation d’appel est accueillie. Les demandes d’autorisation d’appel de l’arrêt de la Cour d’appel de la Colombie-Britannique (Vancouver), numéros CA038278 et CA038279, 2011 BCCA 302, daté du 29 juin 2011, sont rejetées avec dépens.</w:t>
            </w:r>
          </w:p>
        </w:tc>
      </w:tr>
    </w:tbl>
    <w:p w:rsidR="00C64AFA" w:rsidRPr="000A4857"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3CFA" w:rsidRPr="00B32C06" w:rsidTr="00CE71D6">
        <w:tc>
          <w:tcPr>
            <w:tcW w:w="5000" w:type="pct"/>
            <w:gridSpan w:val="3"/>
          </w:tcPr>
          <w:p w:rsidR="00BA3CFA" w:rsidRPr="00B32C06" w:rsidRDefault="00BA3CFA" w:rsidP="00CE71D6">
            <w:pPr>
              <w:jc w:val="both"/>
              <w:rPr>
                <w:rFonts w:eastAsia="Calibri"/>
                <w:sz w:val="20"/>
              </w:rPr>
            </w:pPr>
            <w:r w:rsidRPr="00B32C06">
              <w:rPr>
                <w:rFonts w:eastAsia="Calibri"/>
                <w:sz w:val="20"/>
              </w:rPr>
              <w:t xml:space="preserve">Torts – Causation – Negligence – Circumstances in which a </w:t>
            </w:r>
            <w:proofErr w:type="spellStart"/>
            <w:r w:rsidRPr="00B32C06">
              <w:rPr>
                <w:rFonts w:eastAsia="Calibri"/>
                <w:sz w:val="20"/>
              </w:rPr>
              <w:t>trier</w:t>
            </w:r>
            <w:proofErr w:type="spellEnd"/>
            <w:r w:rsidRPr="00B32C06">
              <w:rPr>
                <w:rFonts w:eastAsia="Calibri"/>
                <w:sz w:val="20"/>
              </w:rPr>
              <w:t xml:space="preserve"> of fact may infer a causal relationship in the absence of any evidence of a substantial connection between the allegedly negligent conduct and the harm – Whether a breach of the standard of care can be found in a medical malpractice case in the absence of expert evidence supporting such a breach – Circumstances in which an inference of causation can be drawn using the but-for test for causation.</w:t>
            </w:r>
          </w:p>
        </w:tc>
      </w:tr>
      <w:tr w:rsidR="00BA3CFA" w:rsidRPr="00B32C06" w:rsidTr="00CE71D6">
        <w:tc>
          <w:tcPr>
            <w:tcW w:w="5000" w:type="pct"/>
            <w:gridSpan w:val="3"/>
          </w:tcPr>
          <w:p w:rsidR="00BA3CFA" w:rsidRPr="00B32C06" w:rsidRDefault="00BA3CFA" w:rsidP="00CE71D6">
            <w:pPr>
              <w:jc w:val="both"/>
              <w:rPr>
                <w:rFonts w:eastAsia="Calibri"/>
                <w:sz w:val="20"/>
              </w:rPr>
            </w:pPr>
          </w:p>
        </w:tc>
      </w:tr>
      <w:tr w:rsidR="00BA3CFA" w:rsidRPr="00B32C06" w:rsidTr="00CE71D6">
        <w:tc>
          <w:tcPr>
            <w:tcW w:w="5000" w:type="pct"/>
            <w:gridSpan w:val="3"/>
          </w:tcPr>
          <w:p w:rsidR="00BA3CFA" w:rsidRPr="00B32C06" w:rsidRDefault="00BA3CFA" w:rsidP="00CE71D6">
            <w:pPr>
              <w:jc w:val="both"/>
              <w:rPr>
                <w:rFonts w:eastAsia="Calibri"/>
                <w:sz w:val="20"/>
              </w:rPr>
            </w:pPr>
            <w:proofErr w:type="spellStart"/>
            <w:r w:rsidRPr="00B32C06">
              <w:rPr>
                <w:rFonts w:eastAsia="Calibri"/>
                <w:color w:val="000000"/>
                <w:sz w:val="20"/>
              </w:rPr>
              <w:t>Mirella</w:t>
            </w:r>
            <w:proofErr w:type="spellEnd"/>
            <w:r w:rsidRPr="00B32C06">
              <w:rPr>
                <w:rFonts w:eastAsia="Calibri"/>
                <w:color w:val="000000"/>
                <w:sz w:val="20"/>
              </w:rPr>
              <w:t xml:space="preserve"> </w:t>
            </w:r>
            <w:proofErr w:type="spellStart"/>
            <w:r w:rsidRPr="00B32C06">
              <w:rPr>
                <w:rFonts w:eastAsia="Calibri"/>
                <w:color w:val="000000"/>
                <w:sz w:val="20"/>
              </w:rPr>
              <w:t>Steinebach</w:t>
            </w:r>
            <w:proofErr w:type="spellEnd"/>
            <w:r w:rsidRPr="00B32C06">
              <w:rPr>
                <w:rFonts w:eastAsia="Calibri"/>
                <w:color w:val="000000"/>
                <w:sz w:val="20"/>
              </w:rPr>
              <w:t xml:space="preserve"> has cerebral palsy.  Mrs. </w:t>
            </w:r>
            <w:proofErr w:type="spellStart"/>
            <w:r w:rsidRPr="00B32C06">
              <w:rPr>
                <w:rFonts w:eastAsia="Calibri"/>
                <w:color w:val="000000"/>
                <w:sz w:val="20"/>
              </w:rPr>
              <w:t>Steinebach’s</w:t>
            </w:r>
            <w:proofErr w:type="spellEnd"/>
            <w:r w:rsidRPr="00B32C06">
              <w:rPr>
                <w:rFonts w:eastAsia="Calibri"/>
                <w:color w:val="000000"/>
                <w:sz w:val="20"/>
              </w:rPr>
              <w:t xml:space="preserve"> birth of </w:t>
            </w:r>
            <w:proofErr w:type="spellStart"/>
            <w:r w:rsidRPr="00B32C06">
              <w:rPr>
                <w:rFonts w:eastAsia="Calibri"/>
                <w:color w:val="000000"/>
                <w:sz w:val="20"/>
              </w:rPr>
              <w:t>Mirella</w:t>
            </w:r>
            <w:proofErr w:type="spellEnd"/>
            <w:r w:rsidRPr="00B32C06">
              <w:rPr>
                <w:rFonts w:eastAsia="Calibri"/>
                <w:color w:val="000000"/>
                <w:sz w:val="20"/>
              </w:rPr>
              <w:t xml:space="preserve"> was complicated by a complete placental abruption during childbirth. </w:t>
            </w:r>
            <w:r w:rsidRPr="00B32C06">
              <w:rPr>
                <w:rFonts w:eastAsia="Calibri"/>
                <w:sz w:val="20"/>
              </w:rPr>
              <w:t xml:space="preserve">The respondents sued the applicants, alleging that Dr. O'Brien and two nurses were negligent in their prenatal and obstetrical care when she attended at the hospital to give birth to </w:t>
            </w:r>
            <w:proofErr w:type="spellStart"/>
            <w:r w:rsidRPr="00B32C06">
              <w:rPr>
                <w:rFonts w:eastAsia="Calibri"/>
                <w:sz w:val="20"/>
              </w:rPr>
              <w:t>Mirella</w:t>
            </w:r>
            <w:proofErr w:type="spellEnd"/>
            <w:r w:rsidRPr="00B32C06">
              <w:rPr>
                <w:rFonts w:eastAsia="Calibri"/>
                <w:sz w:val="20"/>
              </w:rPr>
              <w:t xml:space="preserve">. </w:t>
            </w:r>
            <w:r w:rsidRPr="00B32C06">
              <w:rPr>
                <w:rFonts w:eastAsia="Calibri"/>
                <w:color w:val="000000"/>
                <w:sz w:val="20"/>
              </w:rPr>
              <w:t xml:space="preserve">They claimed </w:t>
            </w:r>
            <w:r w:rsidRPr="00B32C06">
              <w:rPr>
                <w:rFonts w:eastAsia="Calibri"/>
                <w:color w:val="000000"/>
                <w:sz w:val="20"/>
              </w:rPr>
              <w:lastRenderedPageBreak/>
              <w:t xml:space="preserve">that the harm to </w:t>
            </w:r>
            <w:proofErr w:type="spellStart"/>
            <w:r w:rsidRPr="00B32C06">
              <w:rPr>
                <w:rFonts w:eastAsia="Calibri"/>
                <w:color w:val="000000"/>
                <w:sz w:val="20"/>
              </w:rPr>
              <w:t>Mirella</w:t>
            </w:r>
            <w:proofErr w:type="spellEnd"/>
            <w:r w:rsidRPr="00B32C06">
              <w:rPr>
                <w:rFonts w:eastAsia="Calibri"/>
                <w:color w:val="000000"/>
                <w:sz w:val="20"/>
              </w:rPr>
              <w:t xml:space="preserve"> would have been prevented but for the defendants’ negligence or that they materially contributed to her harm.  </w:t>
            </w:r>
            <w:r w:rsidRPr="00B32C06">
              <w:rPr>
                <w:rFonts w:eastAsia="Calibri"/>
                <w:sz w:val="20"/>
              </w:rPr>
              <w:t xml:space="preserve">The trial judge dismissed the claim against one nurse.  He found that Dr. O’Brien and Nurse </w:t>
            </w:r>
            <w:proofErr w:type="spellStart"/>
            <w:r w:rsidRPr="00B32C06">
              <w:rPr>
                <w:rFonts w:eastAsia="Calibri"/>
                <w:sz w:val="20"/>
              </w:rPr>
              <w:t>Charito</w:t>
            </w:r>
            <w:proofErr w:type="spellEnd"/>
            <w:r w:rsidRPr="00B32C06">
              <w:rPr>
                <w:rFonts w:eastAsia="Calibri"/>
                <w:sz w:val="20"/>
              </w:rPr>
              <w:t xml:space="preserve"> </w:t>
            </w:r>
            <w:proofErr w:type="spellStart"/>
            <w:r w:rsidRPr="00B32C06">
              <w:rPr>
                <w:rFonts w:eastAsia="Calibri"/>
                <w:sz w:val="20"/>
              </w:rPr>
              <w:t>Hermogenes</w:t>
            </w:r>
            <w:proofErr w:type="spellEnd"/>
            <w:r w:rsidRPr="00B32C06">
              <w:rPr>
                <w:rFonts w:eastAsia="Calibri"/>
                <w:sz w:val="20"/>
              </w:rPr>
              <w:t xml:space="preserve"> each breached a duty of care owed to the respondents and that they caused the injury suffered by </w:t>
            </w:r>
            <w:proofErr w:type="spellStart"/>
            <w:r w:rsidRPr="00B32C06">
              <w:rPr>
                <w:rFonts w:eastAsia="Calibri"/>
                <w:sz w:val="20"/>
              </w:rPr>
              <w:t>Mirella</w:t>
            </w:r>
            <w:proofErr w:type="spellEnd"/>
            <w:r w:rsidRPr="00B32C06">
              <w:rPr>
                <w:rFonts w:eastAsia="Calibri"/>
                <w:sz w:val="20"/>
              </w:rPr>
              <w:t>.  He awarded $1,411,000 in damages.  The Court of Appeal dismissed an appeal.</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lastRenderedPageBreak/>
              <w:t>June 14, 2010</w:t>
            </w:r>
          </w:p>
          <w:p w:rsidR="00BA3CFA" w:rsidRPr="00B32C06" w:rsidRDefault="00BA3CFA" w:rsidP="00CE71D6">
            <w:pPr>
              <w:jc w:val="both"/>
              <w:rPr>
                <w:rFonts w:eastAsia="Calibri"/>
                <w:sz w:val="20"/>
              </w:rPr>
            </w:pPr>
            <w:r w:rsidRPr="00B32C06">
              <w:rPr>
                <w:rFonts w:eastAsia="Calibri"/>
                <w:sz w:val="20"/>
              </w:rPr>
              <w:t>Supreme Court of British Columbia</w:t>
            </w:r>
          </w:p>
          <w:p w:rsidR="00BA3CFA" w:rsidRPr="00B32C06" w:rsidRDefault="00BA3CFA" w:rsidP="00CE71D6">
            <w:pPr>
              <w:jc w:val="both"/>
              <w:rPr>
                <w:rFonts w:eastAsia="Calibri"/>
                <w:sz w:val="20"/>
              </w:rPr>
            </w:pPr>
            <w:r w:rsidRPr="00B32C06">
              <w:rPr>
                <w:rFonts w:eastAsia="Calibri"/>
                <w:sz w:val="20"/>
              </w:rPr>
              <w:t>(</w:t>
            </w:r>
            <w:proofErr w:type="spellStart"/>
            <w:r w:rsidRPr="00B32C06">
              <w:rPr>
                <w:rFonts w:eastAsia="Calibri"/>
                <w:sz w:val="20"/>
              </w:rPr>
              <w:t>Pitfield</w:t>
            </w:r>
            <w:proofErr w:type="spellEnd"/>
            <w:r w:rsidRPr="00B32C06">
              <w:rPr>
                <w:rFonts w:eastAsia="Calibri"/>
                <w:sz w:val="20"/>
              </w:rPr>
              <w:t xml:space="preserve"> J.) </w:t>
            </w:r>
          </w:p>
          <w:p w:rsidR="00BA3CFA" w:rsidRPr="00B32C06" w:rsidRDefault="00BA3CFA" w:rsidP="00CE71D6">
            <w:pPr>
              <w:jc w:val="both"/>
              <w:rPr>
                <w:rFonts w:eastAsia="Calibri"/>
                <w:sz w:val="20"/>
              </w:rPr>
            </w:pPr>
            <w:r w:rsidRPr="00B32C06">
              <w:rPr>
                <w:rFonts w:eastAsia="Calibri"/>
                <w:sz w:val="20"/>
              </w:rPr>
              <w:t>2010 BCSC 832</w:t>
            </w:r>
          </w:p>
          <w:p w:rsidR="00BA3CFA" w:rsidRPr="00B32C06" w:rsidRDefault="00BA3CFA" w:rsidP="00CE71D6">
            <w:pPr>
              <w:jc w:val="both"/>
              <w:rPr>
                <w:rFonts w:eastAsia="Calibri"/>
                <w:sz w:val="20"/>
              </w:rPr>
            </w:pP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CE71D6">
            <w:pPr>
              <w:jc w:val="both"/>
              <w:rPr>
                <w:rFonts w:eastAsia="Calibri"/>
                <w:sz w:val="20"/>
              </w:rPr>
            </w:pPr>
            <w:r w:rsidRPr="00B32C06">
              <w:rPr>
                <w:rFonts w:eastAsia="Calibri"/>
                <w:sz w:val="20"/>
              </w:rPr>
              <w:t>Action in negligence allowed</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t>June 29, 2011</w:t>
            </w:r>
          </w:p>
          <w:p w:rsidR="00BA3CFA" w:rsidRPr="00B32C06" w:rsidRDefault="00BA3CFA" w:rsidP="00CE71D6">
            <w:pPr>
              <w:jc w:val="both"/>
              <w:rPr>
                <w:rFonts w:eastAsia="Calibri"/>
                <w:sz w:val="20"/>
              </w:rPr>
            </w:pPr>
            <w:r w:rsidRPr="00B32C06">
              <w:rPr>
                <w:rFonts w:eastAsia="Calibri"/>
                <w:sz w:val="20"/>
              </w:rPr>
              <w:t>Court of Appeal for British Columbia (Vancouver)</w:t>
            </w:r>
          </w:p>
          <w:p w:rsidR="00BA3CFA" w:rsidRPr="00B32C06" w:rsidRDefault="00BA3CFA" w:rsidP="00CE71D6">
            <w:pPr>
              <w:jc w:val="both"/>
              <w:rPr>
                <w:rFonts w:eastAsia="Calibri"/>
                <w:sz w:val="20"/>
              </w:rPr>
            </w:pPr>
            <w:r w:rsidRPr="00B32C06">
              <w:rPr>
                <w:rFonts w:eastAsia="Calibri"/>
                <w:sz w:val="20"/>
              </w:rPr>
              <w:t xml:space="preserve">(Mackenzie, Smith, </w:t>
            </w:r>
            <w:proofErr w:type="spellStart"/>
            <w:r w:rsidRPr="00B32C06">
              <w:rPr>
                <w:rFonts w:eastAsia="Calibri"/>
                <w:sz w:val="20"/>
              </w:rPr>
              <w:t>Groberman</w:t>
            </w:r>
            <w:proofErr w:type="spellEnd"/>
            <w:r w:rsidRPr="00B32C06">
              <w:rPr>
                <w:rFonts w:eastAsia="Calibri"/>
                <w:sz w:val="20"/>
              </w:rPr>
              <w:t xml:space="preserve"> JJ.A.)</w:t>
            </w:r>
          </w:p>
          <w:p w:rsidR="00BA3CFA" w:rsidRPr="00B32C06" w:rsidRDefault="00BA3CFA" w:rsidP="00CE71D6">
            <w:pPr>
              <w:jc w:val="both"/>
              <w:rPr>
                <w:rFonts w:eastAsia="Calibri"/>
                <w:sz w:val="20"/>
              </w:rPr>
            </w:pPr>
            <w:r w:rsidRPr="00B32C06">
              <w:rPr>
                <w:rFonts w:eastAsia="Calibri"/>
                <w:sz w:val="20"/>
              </w:rPr>
              <w:t>2011 BCCA 302; CA038278, CA038279</w:t>
            </w:r>
          </w:p>
          <w:p w:rsidR="00BA3CFA" w:rsidRPr="00B32C06" w:rsidRDefault="00BA3CFA" w:rsidP="00CE71D6">
            <w:pPr>
              <w:jc w:val="both"/>
              <w:rPr>
                <w:rFonts w:eastAsia="Calibri"/>
                <w:sz w:val="20"/>
              </w:rPr>
            </w:pP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CE71D6">
            <w:pPr>
              <w:jc w:val="both"/>
              <w:rPr>
                <w:rFonts w:eastAsia="Calibri"/>
                <w:sz w:val="20"/>
              </w:rPr>
            </w:pPr>
            <w:r w:rsidRPr="00B32C06">
              <w:rPr>
                <w:rFonts w:eastAsia="Calibri"/>
                <w:sz w:val="20"/>
              </w:rPr>
              <w:t>Appeal dismissed</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t>September 27, 2011</w:t>
            </w:r>
          </w:p>
          <w:p w:rsidR="00BA3CFA" w:rsidRPr="00B32C06" w:rsidRDefault="00BA3CFA" w:rsidP="00CE71D6">
            <w:pPr>
              <w:jc w:val="both"/>
              <w:rPr>
                <w:rFonts w:eastAsia="Calibri"/>
                <w:sz w:val="20"/>
              </w:rPr>
            </w:pPr>
            <w:r w:rsidRPr="00B32C06">
              <w:rPr>
                <w:rFonts w:eastAsia="Calibri"/>
                <w:sz w:val="20"/>
              </w:rPr>
              <w:t>Supreme Court of Canada</w:t>
            </w:r>
          </w:p>
          <w:p w:rsidR="00BA3CFA" w:rsidRPr="00B32C06" w:rsidRDefault="00BA3CFA" w:rsidP="00CE71D6">
            <w:pPr>
              <w:jc w:val="both"/>
              <w:rPr>
                <w:rFonts w:eastAsia="Calibri"/>
                <w:sz w:val="20"/>
              </w:rPr>
            </w:pP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CE71D6">
            <w:pPr>
              <w:jc w:val="both"/>
              <w:rPr>
                <w:rFonts w:eastAsia="Calibri"/>
                <w:sz w:val="20"/>
              </w:rPr>
            </w:pPr>
            <w:r w:rsidRPr="00B32C06">
              <w:rPr>
                <w:rFonts w:eastAsia="Calibri"/>
                <w:sz w:val="20"/>
              </w:rPr>
              <w:t>First Application for leave to appeal filed</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t>September 27, 2011</w:t>
            </w:r>
          </w:p>
          <w:p w:rsidR="00BA3CFA" w:rsidRPr="00B32C06" w:rsidRDefault="00BA3CFA" w:rsidP="00CE71D6">
            <w:pPr>
              <w:jc w:val="both"/>
              <w:rPr>
                <w:rFonts w:eastAsia="Calibri"/>
                <w:sz w:val="20"/>
              </w:rPr>
            </w:pPr>
            <w:r w:rsidRPr="00B32C06">
              <w:rPr>
                <w:rFonts w:eastAsia="Calibri"/>
                <w:sz w:val="20"/>
              </w:rPr>
              <w:t>Supreme Court of Canada</w:t>
            </w: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CE71D6">
            <w:pPr>
              <w:jc w:val="both"/>
              <w:rPr>
                <w:rFonts w:eastAsia="Calibri"/>
                <w:sz w:val="20"/>
              </w:rPr>
            </w:pPr>
            <w:r w:rsidRPr="00B32C06">
              <w:rPr>
                <w:rFonts w:eastAsia="Calibri"/>
                <w:sz w:val="20"/>
              </w:rPr>
              <w:t>Second Application for leave to appeal filed</w:t>
            </w:r>
          </w:p>
          <w:p w:rsidR="00BA3CFA" w:rsidRPr="00B32C06" w:rsidRDefault="00BA3CFA" w:rsidP="00CE71D6">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59"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3CFA" w:rsidRPr="002D3F55" w:rsidTr="00CE71D6">
        <w:tc>
          <w:tcPr>
            <w:tcW w:w="5000" w:type="pct"/>
            <w:gridSpan w:val="3"/>
          </w:tcPr>
          <w:p w:rsidR="00BA3CFA" w:rsidRPr="00B32C06" w:rsidRDefault="00BA3CFA" w:rsidP="00CE71D6">
            <w:pPr>
              <w:jc w:val="both"/>
              <w:rPr>
                <w:rFonts w:eastAsia="Calibri"/>
                <w:sz w:val="20"/>
                <w:lang w:val="fr-CA"/>
              </w:rPr>
            </w:pPr>
            <w:r w:rsidRPr="00B32C06">
              <w:rPr>
                <w:rFonts w:eastAsia="Calibri"/>
                <w:sz w:val="20"/>
                <w:lang w:val="fr-CA"/>
              </w:rPr>
              <w:t>Responsabilité délictuelle – Lien de causalité – Négligence – Situations dans lesquelles un juge des faits peut faire une inférence de causalité en l'absence de toute preuve de rapport important entre la conduite que l'on dit négligente et le préjudice – Peut-on conclure à un manquement à la norme de diligence dans une affaire de faute médicale en l'absence de preuve d'expert comme quoi il y a eu un tel manquement? – Situations dans lesquelles une inférence de causalité peut-être faite à partir du critère du facteur déterminant.</w:t>
            </w:r>
          </w:p>
        </w:tc>
      </w:tr>
      <w:tr w:rsidR="00BA3CFA" w:rsidRPr="002D3F55" w:rsidTr="00CE71D6">
        <w:tc>
          <w:tcPr>
            <w:tcW w:w="5000" w:type="pct"/>
            <w:gridSpan w:val="3"/>
          </w:tcPr>
          <w:p w:rsidR="00BA3CFA" w:rsidRPr="00B32C06" w:rsidRDefault="00BA3CFA" w:rsidP="00CE71D6">
            <w:pPr>
              <w:jc w:val="both"/>
              <w:rPr>
                <w:rFonts w:eastAsia="Calibri"/>
                <w:sz w:val="20"/>
                <w:lang w:val="fr-CA"/>
              </w:rPr>
            </w:pPr>
          </w:p>
        </w:tc>
      </w:tr>
      <w:tr w:rsidR="00BA3CFA" w:rsidRPr="002D3F55" w:rsidTr="00CE71D6">
        <w:tc>
          <w:tcPr>
            <w:tcW w:w="5000" w:type="pct"/>
            <w:gridSpan w:val="3"/>
          </w:tcPr>
          <w:p w:rsidR="00BA3CFA" w:rsidRPr="00B32C06" w:rsidRDefault="00BA3CFA" w:rsidP="00CE71D6">
            <w:pPr>
              <w:jc w:val="both"/>
              <w:rPr>
                <w:rFonts w:eastAsia="Calibri"/>
                <w:sz w:val="20"/>
                <w:lang w:val="fr-CA"/>
              </w:rPr>
            </w:pPr>
            <w:proofErr w:type="spellStart"/>
            <w:r w:rsidRPr="00B32C06">
              <w:rPr>
                <w:rFonts w:eastAsia="Calibri"/>
                <w:color w:val="000000"/>
                <w:sz w:val="20"/>
                <w:lang w:val="fr-CA"/>
              </w:rPr>
              <w:t>Mirella</w:t>
            </w:r>
            <w:proofErr w:type="spellEnd"/>
            <w:r w:rsidRPr="00B32C06">
              <w:rPr>
                <w:rFonts w:eastAsia="Calibri"/>
                <w:color w:val="000000"/>
                <w:sz w:val="20"/>
                <w:lang w:val="fr-CA"/>
              </w:rPr>
              <w:t xml:space="preserve"> </w:t>
            </w:r>
            <w:proofErr w:type="spellStart"/>
            <w:r w:rsidRPr="00B32C06">
              <w:rPr>
                <w:rFonts w:eastAsia="Calibri"/>
                <w:color w:val="000000"/>
                <w:sz w:val="20"/>
                <w:lang w:val="fr-CA"/>
              </w:rPr>
              <w:t>Steinebach</w:t>
            </w:r>
            <w:proofErr w:type="spellEnd"/>
            <w:r w:rsidRPr="00B32C06">
              <w:rPr>
                <w:rFonts w:eastAsia="Calibri"/>
                <w:color w:val="000000"/>
                <w:sz w:val="20"/>
                <w:lang w:val="fr-CA"/>
              </w:rPr>
              <w:t xml:space="preserve"> est atteinte de paralysie cérébrale. À la naissance de </w:t>
            </w:r>
            <w:proofErr w:type="spellStart"/>
            <w:r w:rsidRPr="00B32C06">
              <w:rPr>
                <w:rFonts w:eastAsia="Calibri"/>
                <w:color w:val="000000"/>
                <w:sz w:val="20"/>
                <w:lang w:val="fr-CA"/>
              </w:rPr>
              <w:t>Mirella</w:t>
            </w:r>
            <w:proofErr w:type="spellEnd"/>
            <w:r w:rsidRPr="00B32C06">
              <w:rPr>
                <w:rFonts w:eastAsia="Calibri"/>
                <w:color w:val="000000"/>
                <w:sz w:val="20"/>
                <w:lang w:val="fr-CA"/>
              </w:rPr>
              <w:t xml:space="preserve">, l’accouchement de Mme </w:t>
            </w:r>
            <w:proofErr w:type="spellStart"/>
            <w:r w:rsidRPr="00B32C06">
              <w:rPr>
                <w:rFonts w:eastAsia="Calibri"/>
                <w:color w:val="000000"/>
                <w:sz w:val="20"/>
                <w:lang w:val="fr-CA"/>
              </w:rPr>
              <w:t>Steinebach</w:t>
            </w:r>
            <w:proofErr w:type="spellEnd"/>
            <w:r w:rsidRPr="00B32C06">
              <w:rPr>
                <w:rFonts w:eastAsia="Calibri"/>
                <w:color w:val="000000"/>
                <w:sz w:val="20"/>
                <w:lang w:val="fr-CA"/>
              </w:rPr>
              <w:t xml:space="preserve"> a été compliqué par un décollement complet du placenta.</w:t>
            </w:r>
            <w:r w:rsidRPr="00B32C06">
              <w:rPr>
                <w:rFonts w:eastAsia="Calibri"/>
                <w:sz w:val="20"/>
                <w:lang w:val="fr-CA"/>
              </w:rPr>
              <w:t xml:space="preserve"> Les intimées ont poursuivi les demandeurs, alléguant que la docteure O'Brien et deux infirmières avaient été négligentes en prodiguant leurs soins prénataux et obstétrique lorsque </w:t>
            </w:r>
            <w:r w:rsidRPr="00B32C06">
              <w:rPr>
                <w:rFonts w:eastAsia="Calibri"/>
                <w:color w:val="000000"/>
                <w:sz w:val="20"/>
                <w:lang w:val="fr-CA"/>
              </w:rPr>
              <w:t xml:space="preserve">Mme </w:t>
            </w:r>
            <w:proofErr w:type="spellStart"/>
            <w:r w:rsidRPr="00B32C06">
              <w:rPr>
                <w:rFonts w:eastAsia="Calibri"/>
                <w:color w:val="000000"/>
                <w:sz w:val="20"/>
                <w:lang w:val="fr-CA"/>
              </w:rPr>
              <w:t>Steinebach</w:t>
            </w:r>
            <w:proofErr w:type="spellEnd"/>
            <w:r w:rsidRPr="00B32C06">
              <w:rPr>
                <w:rFonts w:eastAsia="Calibri"/>
                <w:sz w:val="20"/>
                <w:lang w:val="fr-CA"/>
              </w:rPr>
              <w:t xml:space="preserve"> s'est rendue à l'hôpital pour donner naissance à </w:t>
            </w:r>
            <w:proofErr w:type="spellStart"/>
            <w:r w:rsidRPr="00B32C06">
              <w:rPr>
                <w:rFonts w:eastAsia="Calibri"/>
                <w:sz w:val="20"/>
                <w:lang w:val="fr-CA"/>
              </w:rPr>
              <w:t>Mirella</w:t>
            </w:r>
            <w:proofErr w:type="spellEnd"/>
            <w:r w:rsidRPr="00B32C06">
              <w:rPr>
                <w:rFonts w:eastAsia="Calibri"/>
                <w:sz w:val="20"/>
                <w:lang w:val="fr-CA"/>
              </w:rPr>
              <w:t>.</w:t>
            </w:r>
            <w:r w:rsidRPr="00B32C06">
              <w:rPr>
                <w:rFonts w:eastAsia="Calibri"/>
                <w:color w:val="000000"/>
                <w:sz w:val="20"/>
                <w:lang w:val="fr-CA"/>
              </w:rPr>
              <w:t xml:space="preserve"> Elles ont allégué que le préjudice qu'a subi </w:t>
            </w:r>
            <w:proofErr w:type="spellStart"/>
            <w:r w:rsidRPr="00B32C06">
              <w:rPr>
                <w:rFonts w:eastAsia="Calibri"/>
                <w:color w:val="000000"/>
                <w:sz w:val="20"/>
                <w:lang w:val="fr-CA"/>
              </w:rPr>
              <w:t>Mirella</w:t>
            </w:r>
            <w:proofErr w:type="spellEnd"/>
            <w:r w:rsidRPr="00B32C06">
              <w:rPr>
                <w:rFonts w:eastAsia="Calibri"/>
                <w:color w:val="000000"/>
                <w:sz w:val="20"/>
                <w:lang w:val="fr-CA"/>
              </w:rPr>
              <w:t xml:space="preserve"> aurait été empêché, n'eût été de la négligence des défendeurs ou qu'ils avaient substantiellement contribué à son préjudice.</w:t>
            </w:r>
            <w:r w:rsidRPr="00B32C06">
              <w:rPr>
                <w:rFonts w:eastAsia="Calibri"/>
                <w:sz w:val="20"/>
                <w:lang w:val="fr-CA"/>
              </w:rPr>
              <w:t xml:space="preserve"> Le juge de première instance a rejeté la demande contre une infirmière. Il a conclu que la docteure O’Brien et l'infirmière </w:t>
            </w:r>
            <w:proofErr w:type="spellStart"/>
            <w:r w:rsidRPr="00B32C06">
              <w:rPr>
                <w:rFonts w:eastAsia="Calibri"/>
                <w:sz w:val="20"/>
                <w:lang w:val="fr-CA"/>
              </w:rPr>
              <w:t>Charito</w:t>
            </w:r>
            <w:proofErr w:type="spellEnd"/>
            <w:r w:rsidRPr="00B32C06">
              <w:rPr>
                <w:rFonts w:eastAsia="Calibri"/>
                <w:sz w:val="20"/>
                <w:lang w:val="fr-CA"/>
              </w:rPr>
              <w:t xml:space="preserve"> </w:t>
            </w:r>
            <w:proofErr w:type="spellStart"/>
            <w:r w:rsidRPr="00B32C06">
              <w:rPr>
                <w:rFonts w:eastAsia="Calibri"/>
                <w:sz w:val="20"/>
                <w:lang w:val="fr-CA"/>
              </w:rPr>
              <w:t>Hermogenes</w:t>
            </w:r>
            <w:proofErr w:type="spellEnd"/>
            <w:r w:rsidRPr="00B32C06">
              <w:rPr>
                <w:rFonts w:eastAsia="Calibri"/>
                <w:sz w:val="20"/>
                <w:lang w:val="fr-CA"/>
              </w:rPr>
              <w:t xml:space="preserve"> avaient chacune manqué à une obligation de diligence envers les intimées et qu'elles avaient causé le préjudice qu’a subi </w:t>
            </w:r>
            <w:proofErr w:type="spellStart"/>
            <w:r w:rsidRPr="00B32C06">
              <w:rPr>
                <w:rFonts w:eastAsia="Calibri"/>
                <w:sz w:val="20"/>
                <w:lang w:val="fr-CA"/>
              </w:rPr>
              <w:t>Mirella</w:t>
            </w:r>
            <w:proofErr w:type="spellEnd"/>
            <w:r w:rsidRPr="00B32C06">
              <w:rPr>
                <w:rFonts w:eastAsia="Calibri"/>
                <w:sz w:val="20"/>
                <w:lang w:val="fr-CA"/>
              </w:rPr>
              <w:t>. Il a accordé la somme de 1 411 000 $ en dommages-intérêts. La Cour d'appel a rejeté un appel.</w:t>
            </w:r>
          </w:p>
          <w:p w:rsidR="00BA3CFA" w:rsidRPr="00B32C06" w:rsidRDefault="00BA3CFA" w:rsidP="00CE71D6">
            <w:pPr>
              <w:jc w:val="both"/>
              <w:rPr>
                <w:rFonts w:eastAsia="Calibri"/>
                <w:sz w:val="20"/>
                <w:lang w:val="fr-CA"/>
              </w:rPr>
            </w:pPr>
          </w:p>
        </w:tc>
      </w:tr>
      <w:tr w:rsidR="00BA3CFA" w:rsidRPr="00B32C06" w:rsidTr="00CE71D6">
        <w:tc>
          <w:tcPr>
            <w:tcW w:w="2427" w:type="pct"/>
          </w:tcPr>
          <w:p w:rsidR="00BA3CFA" w:rsidRPr="00B32C06" w:rsidRDefault="00BA3CFA" w:rsidP="00CE71D6">
            <w:pPr>
              <w:jc w:val="both"/>
              <w:rPr>
                <w:rFonts w:eastAsia="Calibri"/>
                <w:sz w:val="20"/>
                <w:lang w:val="fr-CA"/>
              </w:rPr>
            </w:pPr>
            <w:r w:rsidRPr="00B32C06">
              <w:rPr>
                <w:rFonts w:eastAsia="Calibri"/>
                <w:sz w:val="20"/>
                <w:lang w:val="fr-CA"/>
              </w:rPr>
              <w:t>14 juin 2010</w:t>
            </w:r>
          </w:p>
          <w:p w:rsidR="00BA3CFA" w:rsidRPr="00B32C06" w:rsidRDefault="00BA3CFA" w:rsidP="00CE71D6">
            <w:pPr>
              <w:jc w:val="both"/>
              <w:rPr>
                <w:rFonts w:eastAsia="Calibri"/>
                <w:sz w:val="20"/>
                <w:lang w:val="fr-CA"/>
              </w:rPr>
            </w:pPr>
            <w:r w:rsidRPr="00B32C06">
              <w:rPr>
                <w:rFonts w:eastAsia="Calibri"/>
                <w:sz w:val="20"/>
                <w:lang w:val="fr-CA"/>
              </w:rPr>
              <w:t xml:space="preserve">Cour suprême de la Colombie-Britannique </w:t>
            </w:r>
          </w:p>
          <w:p w:rsidR="00BA3CFA" w:rsidRPr="00B32C06" w:rsidRDefault="00BA3CFA" w:rsidP="00CE71D6">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Pitfield</w:t>
            </w:r>
            <w:proofErr w:type="spellEnd"/>
            <w:r w:rsidRPr="00B32C06">
              <w:rPr>
                <w:rFonts w:eastAsia="Calibri"/>
                <w:sz w:val="20"/>
                <w:lang w:val="fr-CA"/>
              </w:rPr>
              <w:t xml:space="preserve">) </w:t>
            </w:r>
          </w:p>
          <w:p w:rsidR="00BA3CFA" w:rsidRPr="00B32C06" w:rsidRDefault="00BA3CFA" w:rsidP="00CE71D6">
            <w:pPr>
              <w:jc w:val="both"/>
              <w:rPr>
                <w:rFonts w:eastAsia="Calibri"/>
                <w:sz w:val="20"/>
                <w:lang w:val="fr-CA"/>
              </w:rPr>
            </w:pPr>
            <w:r w:rsidRPr="00B32C06">
              <w:rPr>
                <w:rFonts w:eastAsia="Calibri"/>
                <w:sz w:val="20"/>
                <w:lang w:val="fr-CA"/>
              </w:rPr>
              <w:t>2010 BCSC 832</w:t>
            </w:r>
          </w:p>
          <w:p w:rsidR="00BA3CFA" w:rsidRPr="00B32C06" w:rsidRDefault="00BA3CFA" w:rsidP="00CE71D6">
            <w:pPr>
              <w:jc w:val="both"/>
              <w:rPr>
                <w:rFonts w:eastAsia="Calibri"/>
                <w:sz w:val="20"/>
                <w:lang w:val="fr-CA"/>
              </w:rPr>
            </w:pP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CE71D6">
            <w:pPr>
              <w:jc w:val="both"/>
              <w:rPr>
                <w:rFonts w:eastAsia="Calibri"/>
                <w:sz w:val="20"/>
                <w:lang w:val="fr-CA"/>
              </w:rPr>
            </w:pPr>
            <w:r w:rsidRPr="00B32C06">
              <w:rPr>
                <w:rFonts w:eastAsia="Calibri"/>
                <w:sz w:val="20"/>
                <w:lang w:val="fr-CA"/>
              </w:rPr>
              <w:t>Action en négligence, accueillie</w:t>
            </w:r>
          </w:p>
          <w:p w:rsidR="00BA3CFA" w:rsidRPr="00B32C06" w:rsidRDefault="00BA3CFA" w:rsidP="00CE71D6">
            <w:pPr>
              <w:jc w:val="both"/>
              <w:rPr>
                <w:rFonts w:eastAsia="Calibri"/>
                <w:sz w:val="20"/>
                <w:lang w:val="fr-CA"/>
              </w:rPr>
            </w:pPr>
          </w:p>
        </w:tc>
      </w:tr>
      <w:tr w:rsidR="00BA3CFA" w:rsidRPr="00B32C06" w:rsidTr="00DA20EC">
        <w:trPr>
          <w:cantSplit/>
        </w:trPr>
        <w:tc>
          <w:tcPr>
            <w:tcW w:w="2427" w:type="pct"/>
          </w:tcPr>
          <w:p w:rsidR="00BA3CFA" w:rsidRPr="00B32C06" w:rsidRDefault="00BA3CFA" w:rsidP="00CE71D6">
            <w:pPr>
              <w:jc w:val="both"/>
              <w:rPr>
                <w:rFonts w:eastAsia="Calibri"/>
                <w:sz w:val="20"/>
                <w:lang w:val="fr-CA"/>
              </w:rPr>
            </w:pPr>
            <w:r w:rsidRPr="00B32C06">
              <w:rPr>
                <w:rFonts w:eastAsia="Calibri"/>
                <w:sz w:val="20"/>
                <w:lang w:val="fr-CA"/>
              </w:rPr>
              <w:lastRenderedPageBreak/>
              <w:t>29 juin 2011</w:t>
            </w:r>
          </w:p>
          <w:p w:rsidR="00BA3CFA" w:rsidRPr="00B32C06" w:rsidRDefault="00BA3CFA" w:rsidP="00CE71D6">
            <w:pPr>
              <w:jc w:val="both"/>
              <w:rPr>
                <w:rFonts w:eastAsia="Calibri"/>
                <w:sz w:val="20"/>
                <w:lang w:val="fr-CA"/>
              </w:rPr>
            </w:pPr>
            <w:r w:rsidRPr="00B32C06">
              <w:rPr>
                <w:rFonts w:eastAsia="Calibri"/>
                <w:sz w:val="20"/>
                <w:lang w:val="fr-CA"/>
              </w:rPr>
              <w:t>Cour d'appel de la Colombie-Britannique (Vancouver)</w:t>
            </w:r>
          </w:p>
          <w:p w:rsidR="00BA3CFA" w:rsidRPr="00B32C06" w:rsidRDefault="00BA3CFA" w:rsidP="00CE71D6">
            <w:pPr>
              <w:jc w:val="both"/>
              <w:rPr>
                <w:rFonts w:eastAsia="Calibri"/>
                <w:sz w:val="20"/>
                <w:lang w:val="fr-CA"/>
              </w:rPr>
            </w:pPr>
            <w:r w:rsidRPr="00B32C06">
              <w:rPr>
                <w:rFonts w:eastAsia="Calibri"/>
                <w:sz w:val="20"/>
                <w:lang w:val="fr-CA"/>
              </w:rPr>
              <w:t xml:space="preserve">(Juges Mackenzie, Smith et </w:t>
            </w:r>
            <w:proofErr w:type="spellStart"/>
            <w:r w:rsidRPr="00B32C06">
              <w:rPr>
                <w:rFonts w:eastAsia="Calibri"/>
                <w:sz w:val="20"/>
                <w:lang w:val="fr-CA"/>
              </w:rPr>
              <w:t>Groberman</w:t>
            </w:r>
            <w:proofErr w:type="spellEnd"/>
            <w:r w:rsidRPr="00B32C06">
              <w:rPr>
                <w:rFonts w:eastAsia="Calibri"/>
                <w:sz w:val="20"/>
                <w:lang w:val="fr-CA"/>
              </w:rPr>
              <w:t>)</w:t>
            </w:r>
          </w:p>
          <w:p w:rsidR="00BA3CFA" w:rsidRPr="00B32C06" w:rsidRDefault="00BA3CFA" w:rsidP="00CE71D6">
            <w:pPr>
              <w:jc w:val="both"/>
              <w:rPr>
                <w:rFonts w:eastAsia="Calibri"/>
                <w:sz w:val="20"/>
                <w:lang w:val="fr-CA"/>
              </w:rPr>
            </w:pPr>
            <w:r w:rsidRPr="00B32C06">
              <w:rPr>
                <w:rFonts w:eastAsia="Calibri"/>
                <w:sz w:val="20"/>
                <w:lang w:val="fr-CA"/>
              </w:rPr>
              <w:t>2011 BCCA 302; CA038278, CA038279</w:t>
            </w:r>
          </w:p>
          <w:p w:rsidR="00BA3CFA" w:rsidRPr="00B32C06" w:rsidRDefault="00BA3CFA" w:rsidP="00CE71D6">
            <w:pPr>
              <w:jc w:val="both"/>
              <w:rPr>
                <w:rFonts w:eastAsia="Calibri"/>
                <w:sz w:val="20"/>
                <w:lang w:val="fr-CA"/>
              </w:rPr>
            </w:pP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CE71D6">
            <w:pPr>
              <w:jc w:val="both"/>
              <w:rPr>
                <w:rFonts w:eastAsia="Calibri"/>
                <w:sz w:val="20"/>
                <w:lang w:val="fr-CA"/>
              </w:rPr>
            </w:pPr>
            <w:r w:rsidRPr="00B32C06">
              <w:rPr>
                <w:rFonts w:eastAsia="Calibri"/>
                <w:sz w:val="20"/>
                <w:lang w:val="fr-CA"/>
              </w:rPr>
              <w:t>Appel rejeté</w:t>
            </w:r>
          </w:p>
          <w:p w:rsidR="00BA3CFA" w:rsidRPr="00B32C06" w:rsidRDefault="00BA3CFA" w:rsidP="00CE71D6">
            <w:pPr>
              <w:jc w:val="both"/>
              <w:rPr>
                <w:rFonts w:eastAsia="Calibri"/>
                <w:sz w:val="20"/>
                <w:lang w:val="fr-CA"/>
              </w:rPr>
            </w:pPr>
          </w:p>
        </w:tc>
      </w:tr>
      <w:tr w:rsidR="00BA3CFA" w:rsidRPr="00B32C06" w:rsidTr="00CE71D6">
        <w:tc>
          <w:tcPr>
            <w:tcW w:w="2427" w:type="pct"/>
          </w:tcPr>
          <w:p w:rsidR="00BA3CFA" w:rsidRPr="00B32C06" w:rsidRDefault="00BA3CFA" w:rsidP="00CE71D6">
            <w:pPr>
              <w:jc w:val="both"/>
              <w:rPr>
                <w:rFonts w:eastAsia="Calibri"/>
                <w:sz w:val="20"/>
                <w:lang w:val="fr-CA"/>
              </w:rPr>
            </w:pPr>
            <w:r w:rsidRPr="00B32C06">
              <w:rPr>
                <w:rFonts w:eastAsia="Calibri"/>
                <w:sz w:val="20"/>
                <w:lang w:val="fr-CA"/>
              </w:rPr>
              <w:t>27 septembre 2011</w:t>
            </w:r>
          </w:p>
          <w:p w:rsidR="00BA3CFA" w:rsidRPr="00B32C06" w:rsidRDefault="00BA3CFA" w:rsidP="00CE71D6">
            <w:pPr>
              <w:jc w:val="both"/>
              <w:rPr>
                <w:rFonts w:eastAsia="Calibri"/>
                <w:sz w:val="20"/>
                <w:lang w:val="fr-CA"/>
              </w:rPr>
            </w:pPr>
            <w:r w:rsidRPr="00B32C06">
              <w:rPr>
                <w:rFonts w:eastAsia="Calibri"/>
                <w:sz w:val="20"/>
                <w:lang w:val="fr-CA"/>
              </w:rPr>
              <w:t>Cour suprême du Canada</w:t>
            </w:r>
          </w:p>
          <w:p w:rsidR="00BA3CFA" w:rsidRPr="00B32C06" w:rsidRDefault="00BA3CFA" w:rsidP="00CE71D6">
            <w:pPr>
              <w:jc w:val="both"/>
              <w:rPr>
                <w:rFonts w:eastAsia="Calibri"/>
                <w:sz w:val="20"/>
                <w:lang w:val="fr-CA"/>
              </w:rPr>
            </w:pP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CE71D6">
            <w:pPr>
              <w:jc w:val="both"/>
              <w:rPr>
                <w:rFonts w:eastAsia="Calibri"/>
                <w:sz w:val="20"/>
                <w:lang w:val="fr-CA"/>
              </w:rPr>
            </w:pPr>
            <w:r w:rsidRPr="00B32C06">
              <w:rPr>
                <w:rFonts w:eastAsia="Calibri"/>
                <w:sz w:val="20"/>
                <w:lang w:val="fr-CA"/>
              </w:rPr>
              <w:t>Première demande d'autorisation d'appel, déposée</w:t>
            </w:r>
          </w:p>
          <w:p w:rsidR="00BA3CFA" w:rsidRPr="00B32C06" w:rsidRDefault="00BA3CFA" w:rsidP="00CE71D6">
            <w:pPr>
              <w:jc w:val="both"/>
              <w:rPr>
                <w:rFonts w:eastAsia="Calibri"/>
                <w:sz w:val="20"/>
                <w:lang w:val="fr-CA"/>
              </w:rPr>
            </w:pPr>
          </w:p>
        </w:tc>
      </w:tr>
      <w:tr w:rsidR="00BA3CFA" w:rsidRPr="002D3F55" w:rsidTr="00CE71D6">
        <w:tc>
          <w:tcPr>
            <w:tcW w:w="2427" w:type="pct"/>
          </w:tcPr>
          <w:p w:rsidR="00BA3CFA" w:rsidRPr="00B32C06" w:rsidRDefault="00BA3CFA" w:rsidP="00CE71D6">
            <w:pPr>
              <w:jc w:val="both"/>
              <w:rPr>
                <w:rFonts w:eastAsia="Calibri"/>
                <w:sz w:val="20"/>
                <w:lang w:val="fr-CA"/>
              </w:rPr>
            </w:pPr>
            <w:r w:rsidRPr="00B32C06">
              <w:rPr>
                <w:rFonts w:eastAsia="Calibri"/>
                <w:sz w:val="20"/>
                <w:lang w:val="fr-CA"/>
              </w:rPr>
              <w:t>27 septembre 2011</w:t>
            </w:r>
          </w:p>
          <w:p w:rsidR="00BA3CFA" w:rsidRPr="00B32C06" w:rsidRDefault="00BA3CFA" w:rsidP="00CE71D6">
            <w:pPr>
              <w:jc w:val="both"/>
              <w:rPr>
                <w:rFonts w:eastAsia="Calibri"/>
                <w:sz w:val="20"/>
                <w:lang w:val="fr-CA"/>
              </w:rPr>
            </w:pPr>
            <w:r w:rsidRPr="00B32C06">
              <w:rPr>
                <w:rFonts w:eastAsia="Calibri"/>
                <w:sz w:val="20"/>
                <w:lang w:val="fr-CA"/>
              </w:rPr>
              <w:t>Cour suprême du Canada</w:t>
            </w: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CE71D6">
            <w:pPr>
              <w:jc w:val="both"/>
              <w:rPr>
                <w:rFonts w:eastAsia="Calibri"/>
                <w:sz w:val="20"/>
                <w:lang w:val="fr-CA"/>
              </w:rPr>
            </w:pPr>
            <w:r w:rsidRPr="00B32C06">
              <w:rPr>
                <w:rFonts w:eastAsia="Calibri"/>
                <w:sz w:val="20"/>
                <w:lang w:val="fr-CA"/>
              </w:rPr>
              <w:t>Deuxième demande d'autorisation d'appel, déposée</w:t>
            </w:r>
          </w:p>
        </w:tc>
      </w:tr>
    </w:tbl>
    <w:p w:rsidR="00C64AFA" w:rsidRPr="00BA3CFA" w:rsidRDefault="00C64AFA" w:rsidP="00C64AFA">
      <w:pPr>
        <w:rPr>
          <w:sz w:val="20"/>
          <w:szCs w:val="20"/>
          <w:lang w:val="fr-CA"/>
        </w:rPr>
      </w:pPr>
    </w:p>
    <w:p w:rsidR="00C64AFA" w:rsidRDefault="007505E6" w:rsidP="00C64AFA">
      <w:pPr>
        <w:rPr>
          <w:sz w:val="20"/>
          <w:szCs w:val="20"/>
        </w:rPr>
      </w:pPr>
      <w:r w:rsidRPr="007505E6">
        <w:rPr>
          <w:sz w:val="20"/>
          <w:szCs w:val="20"/>
          <w:lang w:val="fr-CA"/>
        </w:rPr>
        <w:pict>
          <v:rect id="_x0000_i1060"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A54F27" w:rsidTr="000A4857">
        <w:trPr>
          <w:cantSplit/>
        </w:trPr>
        <w:tc>
          <w:tcPr>
            <w:tcW w:w="1458" w:type="dxa"/>
          </w:tcPr>
          <w:p w:rsidR="000A4857" w:rsidRPr="00A54F27" w:rsidRDefault="000A4857" w:rsidP="000A4857">
            <w:pPr>
              <w:rPr>
                <w:sz w:val="20"/>
                <w:szCs w:val="20"/>
              </w:rPr>
            </w:pPr>
            <w:r w:rsidRPr="00A54F27">
              <w:rPr>
                <w:rStyle w:val="SCCFileNumberChar"/>
                <w:sz w:val="20"/>
                <w:szCs w:val="20"/>
              </w:rPr>
              <w:t>34458</w:t>
            </w:r>
          </w:p>
          <w:p w:rsidR="000A4857" w:rsidRPr="00A54F27" w:rsidRDefault="000A4857" w:rsidP="000A4857">
            <w:pPr>
              <w:rPr>
                <w:b/>
                <w:sz w:val="20"/>
                <w:szCs w:val="20"/>
                <w:lang w:val="fr-CA"/>
              </w:rPr>
            </w:pPr>
          </w:p>
        </w:tc>
        <w:tc>
          <w:tcPr>
            <w:tcW w:w="8118" w:type="dxa"/>
          </w:tcPr>
          <w:p w:rsidR="000A4857" w:rsidRPr="00A54F27" w:rsidRDefault="000A4857" w:rsidP="000A4857">
            <w:pPr>
              <w:jc w:val="both"/>
              <w:rPr>
                <w:sz w:val="20"/>
                <w:szCs w:val="20"/>
              </w:rPr>
            </w:pPr>
            <w:r w:rsidRPr="000A4857">
              <w:rPr>
                <w:rStyle w:val="SCCLsocChar"/>
                <w:sz w:val="20"/>
                <w:szCs w:val="20"/>
                <w:lang w:val="en-CA"/>
              </w:rPr>
              <w:t xml:space="preserve">Michael A. </w:t>
            </w:r>
            <w:proofErr w:type="spellStart"/>
            <w:r w:rsidRPr="000A4857">
              <w:rPr>
                <w:rStyle w:val="SCCLsocChar"/>
                <w:sz w:val="20"/>
                <w:szCs w:val="20"/>
                <w:lang w:val="en-CA"/>
              </w:rPr>
              <w:t>Desanti</w:t>
            </w:r>
            <w:proofErr w:type="spellEnd"/>
            <w:r w:rsidRPr="000A4857">
              <w:rPr>
                <w:rStyle w:val="SCCLsocChar"/>
                <w:sz w:val="20"/>
                <w:szCs w:val="20"/>
                <w:lang w:val="en-CA"/>
              </w:rPr>
              <w:t xml:space="preserve"> and </w:t>
            </w:r>
            <w:proofErr w:type="spellStart"/>
            <w:r w:rsidRPr="000A4857">
              <w:rPr>
                <w:rStyle w:val="SCCLsocChar"/>
                <w:sz w:val="20"/>
                <w:szCs w:val="20"/>
                <w:lang w:val="en-CA"/>
              </w:rPr>
              <w:t>Agat</w:t>
            </w:r>
            <w:proofErr w:type="spellEnd"/>
            <w:r w:rsidRPr="000A4857">
              <w:rPr>
                <w:rStyle w:val="SCCLsocChar"/>
                <w:sz w:val="20"/>
                <w:szCs w:val="20"/>
                <w:lang w:val="en-CA"/>
              </w:rPr>
              <w:t xml:space="preserve"> Laboratories Ltd. v. Robert Gray and Sharon Gray</w:t>
            </w:r>
            <w:r w:rsidRPr="00A54F27">
              <w:rPr>
                <w:sz w:val="20"/>
                <w:szCs w:val="20"/>
              </w:rPr>
              <w:t xml:space="preserve"> (Alta.) (Civil) (By Leave)</w:t>
            </w:r>
          </w:p>
          <w:p w:rsidR="000A4857" w:rsidRPr="00A54F27" w:rsidRDefault="000A4857" w:rsidP="000A4857">
            <w:pPr>
              <w:rPr>
                <w:sz w:val="20"/>
                <w:szCs w:val="20"/>
              </w:rPr>
            </w:pPr>
          </w:p>
        </w:tc>
      </w:tr>
      <w:tr w:rsidR="000A4857" w:rsidRPr="00A54F27"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rPr>
            </w:pPr>
            <w:proofErr w:type="spellStart"/>
            <w:r w:rsidRPr="000A4857">
              <w:rPr>
                <w:rStyle w:val="SCCCoramChar"/>
                <w:sz w:val="20"/>
                <w:szCs w:val="20"/>
                <w:lang w:val="en-CA"/>
              </w:rPr>
              <w:t>McLachlin</w:t>
            </w:r>
            <w:proofErr w:type="spellEnd"/>
            <w:r w:rsidRPr="000A4857">
              <w:rPr>
                <w:rStyle w:val="SCCCoramChar"/>
                <w:sz w:val="20"/>
                <w:szCs w:val="20"/>
                <w:lang w:val="en-CA"/>
              </w:rPr>
              <w:t xml:space="preserve"> C.J. and Rothstein and </w:t>
            </w:r>
            <w:proofErr w:type="spellStart"/>
            <w:r w:rsidRPr="000A4857">
              <w:rPr>
                <w:rStyle w:val="SCCCoramChar"/>
                <w:sz w:val="20"/>
                <w:szCs w:val="20"/>
                <w:lang w:val="en-CA"/>
              </w:rPr>
              <w:t>Moldaver</w:t>
            </w:r>
            <w:proofErr w:type="spellEnd"/>
            <w:r w:rsidRPr="000A4857">
              <w:rPr>
                <w:rStyle w:val="SCCCoramChar"/>
                <w:sz w:val="20"/>
                <w:szCs w:val="20"/>
                <w:lang w:val="en-CA"/>
              </w:rPr>
              <w:t> JJ.</w:t>
            </w:r>
          </w:p>
          <w:p w:rsidR="000A4857" w:rsidRPr="00A54F27" w:rsidRDefault="000A4857" w:rsidP="000A4857">
            <w:pPr>
              <w:rPr>
                <w:sz w:val="20"/>
                <w:szCs w:val="20"/>
                <w:u w:val="single"/>
              </w:rPr>
            </w:pPr>
          </w:p>
        </w:tc>
      </w:tr>
      <w:tr w:rsidR="000A4857" w:rsidRPr="002D3F55" w:rsidTr="000A4857">
        <w:trPr>
          <w:cantSplit/>
        </w:trPr>
        <w:tc>
          <w:tcPr>
            <w:tcW w:w="9576" w:type="dxa"/>
            <w:gridSpan w:val="2"/>
          </w:tcPr>
          <w:p w:rsidR="000A4857" w:rsidRPr="00A54F27" w:rsidRDefault="000A4857" w:rsidP="000A4857">
            <w:pPr>
              <w:pStyle w:val="SCCShortJudgment"/>
              <w:rPr>
                <w:szCs w:val="20"/>
              </w:rPr>
            </w:pPr>
            <w:r w:rsidRPr="00A54F27">
              <w:rPr>
                <w:szCs w:val="20"/>
              </w:rPr>
              <w:t>The application for leave to appeal from the judgment of the Court of Appeal of Alberta (Calgary), Number 1001-0292-AC, 2011 ABCA 226, dated July 22, 2011, is dismissed with costs.</w:t>
            </w:r>
          </w:p>
          <w:p w:rsidR="000A4857" w:rsidRPr="00A54F27" w:rsidRDefault="000A4857" w:rsidP="000A4857">
            <w:pPr>
              <w:pStyle w:val="SCCShortJudgment"/>
              <w:ind w:firstLine="0"/>
              <w:rPr>
                <w:szCs w:val="20"/>
              </w:rPr>
            </w:pPr>
          </w:p>
          <w:p w:rsidR="000A4857" w:rsidRPr="00A54F27" w:rsidRDefault="000A4857" w:rsidP="000A4857">
            <w:pPr>
              <w:pStyle w:val="SCCShortJudgment"/>
              <w:rPr>
                <w:szCs w:val="20"/>
                <w:lang w:val="fr-CA"/>
              </w:rPr>
            </w:pPr>
            <w:r w:rsidRPr="00A54F27">
              <w:rPr>
                <w:szCs w:val="20"/>
                <w:lang w:val="fr-CA"/>
              </w:rPr>
              <w:t>La demande d’autorisation d’appel de l’arrêt de la Cour d’appel de l’Alberta (Calgary), numéro 1001-0292-AC, 2011 ABCA 226, daté du 22 juillet 2011, est rejetée avec dépens.</w:t>
            </w:r>
          </w:p>
        </w:tc>
      </w:tr>
    </w:tbl>
    <w:p w:rsidR="00C64AFA" w:rsidRPr="000A4857"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52439" w:rsidRPr="00B32C06" w:rsidTr="00352439">
        <w:tc>
          <w:tcPr>
            <w:tcW w:w="5000" w:type="pct"/>
            <w:gridSpan w:val="3"/>
          </w:tcPr>
          <w:p w:rsidR="00352439" w:rsidRPr="00B32C06" w:rsidRDefault="00352439" w:rsidP="00352439">
            <w:pPr>
              <w:jc w:val="both"/>
              <w:rPr>
                <w:rFonts w:eastAsia="Calibri"/>
                <w:sz w:val="20"/>
              </w:rPr>
            </w:pPr>
            <w:r w:rsidRPr="00B32C06">
              <w:rPr>
                <w:rFonts w:eastAsia="Calibri"/>
                <w:sz w:val="20"/>
              </w:rPr>
              <w:t>Torts – Negligence – Social host liability – Application for summary judgment dismissing the third party notice against the respondents granted – To what extent can and should adult home owners be accountable and liable for underage drinking at house parties – Whether there are issue of public importance raised.</w:t>
            </w:r>
          </w:p>
        </w:tc>
      </w:tr>
      <w:tr w:rsidR="00352439" w:rsidRPr="00B32C06" w:rsidTr="00352439">
        <w:tc>
          <w:tcPr>
            <w:tcW w:w="5000" w:type="pct"/>
            <w:gridSpan w:val="3"/>
          </w:tcPr>
          <w:p w:rsidR="00352439" w:rsidRPr="00B32C06" w:rsidRDefault="00352439" w:rsidP="00352439">
            <w:pPr>
              <w:jc w:val="both"/>
              <w:rPr>
                <w:rFonts w:eastAsia="Calibri"/>
                <w:sz w:val="20"/>
              </w:rPr>
            </w:pPr>
          </w:p>
        </w:tc>
      </w:tr>
      <w:tr w:rsidR="00352439" w:rsidRPr="00B32C06" w:rsidTr="00352439">
        <w:tc>
          <w:tcPr>
            <w:tcW w:w="5000" w:type="pct"/>
            <w:gridSpan w:val="3"/>
          </w:tcPr>
          <w:p w:rsidR="00352439" w:rsidRPr="00B32C06" w:rsidRDefault="00352439" w:rsidP="00352439">
            <w:pPr>
              <w:jc w:val="both"/>
              <w:rPr>
                <w:rFonts w:eastAsia="Calibri"/>
                <w:sz w:val="20"/>
              </w:rPr>
            </w:pPr>
            <w:r w:rsidRPr="00B32C06">
              <w:rPr>
                <w:rFonts w:eastAsia="Calibri"/>
                <w:sz w:val="20"/>
              </w:rPr>
              <w:t xml:space="preserve">The applicants are Michael </w:t>
            </w:r>
            <w:proofErr w:type="spellStart"/>
            <w:r w:rsidRPr="00B32C06">
              <w:rPr>
                <w:rFonts w:eastAsia="Calibri"/>
                <w:sz w:val="20"/>
              </w:rPr>
              <w:t>Desanti</w:t>
            </w:r>
            <w:proofErr w:type="spellEnd"/>
            <w:r w:rsidRPr="00B32C06">
              <w:rPr>
                <w:rFonts w:eastAsia="Calibri"/>
                <w:sz w:val="20"/>
              </w:rPr>
              <w:t xml:space="preserve"> and AGAT Laboratories Ltd. (hereinafter AGAT – the owner of the vehicle). The respondents are Mr. and Mrs. Gray. One evening the respondents’ 17 year old son had a party in his parent’s home in the basement. The Grays stayed home to monitor the party. Alcohol was consumed. Mr. Wenzel was a guest at the party, but Mr. </w:t>
            </w:r>
            <w:proofErr w:type="spellStart"/>
            <w:r w:rsidRPr="00B32C06">
              <w:rPr>
                <w:rFonts w:eastAsia="Calibri"/>
                <w:sz w:val="20"/>
              </w:rPr>
              <w:t>Desanti</w:t>
            </w:r>
            <w:proofErr w:type="spellEnd"/>
            <w:r w:rsidRPr="00B32C06">
              <w:rPr>
                <w:rFonts w:eastAsia="Calibri"/>
                <w:sz w:val="20"/>
              </w:rPr>
              <w:t xml:space="preserve"> was not. The guests left the residence and were going home, when a physical altercation between Mr. Wenzel and Mr. </w:t>
            </w:r>
            <w:proofErr w:type="spellStart"/>
            <w:r w:rsidRPr="00B32C06">
              <w:rPr>
                <w:rFonts w:eastAsia="Calibri"/>
                <w:sz w:val="20"/>
              </w:rPr>
              <w:t>Desanti</w:t>
            </w:r>
            <w:proofErr w:type="spellEnd"/>
            <w:r w:rsidRPr="00B32C06">
              <w:rPr>
                <w:rFonts w:eastAsia="Calibri"/>
                <w:sz w:val="20"/>
              </w:rPr>
              <w:t xml:space="preserve"> and others occurred. Mr. </w:t>
            </w:r>
            <w:proofErr w:type="spellStart"/>
            <w:r w:rsidRPr="00B32C06">
              <w:rPr>
                <w:rFonts w:eastAsia="Calibri"/>
                <w:sz w:val="20"/>
              </w:rPr>
              <w:t>Desanti</w:t>
            </w:r>
            <w:proofErr w:type="spellEnd"/>
            <w:r w:rsidRPr="00B32C06">
              <w:rPr>
                <w:rFonts w:eastAsia="Calibri"/>
                <w:sz w:val="20"/>
              </w:rPr>
              <w:t xml:space="preserve">, after being struck, got back into his vehicle and either accidently or intentionally hit Mr. Wenzel two times with the vehicle. Mr. Wenzel sued Mr. </w:t>
            </w:r>
            <w:proofErr w:type="spellStart"/>
            <w:r w:rsidRPr="00B32C06">
              <w:rPr>
                <w:rFonts w:eastAsia="Calibri"/>
                <w:sz w:val="20"/>
              </w:rPr>
              <w:t>Desanti</w:t>
            </w:r>
            <w:proofErr w:type="spellEnd"/>
            <w:r w:rsidRPr="00B32C06">
              <w:rPr>
                <w:rFonts w:eastAsia="Calibri"/>
                <w:sz w:val="20"/>
              </w:rPr>
              <w:t xml:space="preserve"> and AGAT for injuries sustained after being struck by Mr. </w:t>
            </w:r>
            <w:proofErr w:type="spellStart"/>
            <w:r w:rsidRPr="00B32C06">
              <w:rPr>
                <w:rFonts w:eastAsia="Calibri"/>
                <w:sz w:val="20"/>
              </w:rPr>
              <w:t>Desanti’s</w:t>
            </w:r>
            <w:proofErr w:type="spellEnd"/>
            <w:r w:rsidRPr="00B32C06">
              <w:rPr>
                <w:rFonts w:eastAsia="Calibri"/>
                <w:sz w:val="20"/>
              </w:rPr>
              <w:t xml:space="preserve"> vehicle. The applicants issued third party proceedings seeking contribution from Mr. and Mrs. Gray, the respondents, for the injuries to Mr. Wenzel out of this incident under the </w:t>
            </w:r>
            <w:r w:rsidRPr="00B32C06">
              <w:rPr>
                <w:rFonts w:eastAsia="Calibri"/>
                <w:i/>
                <w:sz w:val="20"/>
              </w:rPr>
              <w:t>Tort-</w:t>
            </w:r>
            <w:proofErr w:type="spellStart"/>
            <w:r w:rsidRPr="00B32C06">
              <w:rPr>
                <w:rFonts w:eastAsia="Calibri"/>
                <w:i/>
                <w:sz w:val="20"/>
              </w:rPr>
              <w:t>Feasors</w:t>
            </w:r>
            <w:proofErr w:type="spellEnd"/>
            <w:r w:rsidRPr="00B32C06">
              <w:rPr>
                <w:rFonts w:eastAsia="Calibri"/>
                <w:i/>
                <w:sz w:val="20"/>
              </w:rPr>
              <w:t xml:space="preserve"> Act</w:t>
            </w:r>
            <w:r w:rsidRPr="00B32C06">
              <w:rPr>
                <w:rFonts w:eastAsia="Calibri"/>
                <w:sz w:val="20"/>
              </w:rPr>
              <w:t xml:space="preserve">, R.S.A. 2000, </w:t>
            </w:r>
            <w:proofErr w:type="gramStart"/>
            <w:r w:rsidRPr="00B32C06">
              <w:rPr>
                <w:rFonts w:eastAsia="Calibri"/>
                <w:sz w:val="20"/>
              </w:rPr>
              <w:t>c</w:t>
            </w:r>
            <w:proofErr w:type="gramEnd"/>
            <w:r w:rsidRPr="00B32C06">
              <w:rPr>
                <w:rFonts w:eastAsia="Calibri"/>
                <w:sz w:val="20"/>
              </w:rPr>
              <w:t>. T-5, on the basis that the Grays would also be liable to compensate Mr. Wenzel. The Grays’ application for summary judgment dismissing the third-party notice against them was granted on the basis that there was no genuine issue for trial. An appeal was dismissed.</w:t>
            </w:r>
          </w:p>
          <w:p w:rsidR="00352439" w:rsidRPr="00B32C06" w:rsidRDefault="00352439" w:rsidP="00352439">
            <w:pPr>
              <w:jc w:val="both"/>
              <w:rPr>
                <w:rFonts w:eastAsia="Calibri"/>
                <w:sz w:val="20"/>
              </w:rPr>
            </w:pPr>
          </w:p>
        </w:tc>
      </w:tr>
      <w:tr w:rsidR="00352439" w:rsidRPr="00B32C06" w:rsidTr="00352439">
        <w:tc>
          <w:tcPr>
            <w:tcW w:w="2427" w:type="pct"/>
          </w:tcPr>
          <w:p w:rsidR="00352439" w:rsidRPr="00B32C06" w:rsidRDefault="00352439" w:rsidP="00352439">
            <w:pPr>
              <w:jc w:val="both"/>
              <w:rPr>
                <w:rFonts w:eastAsia="Calibri"/>
                <w:sz w:val="20"/>
              </w:rPr>
            </w:pPr>
            <w:r w:rsidRPr="00B32C06">
              <w:rPr>
                <w:rFonts w:eastAsia="Calibri"/>
                <w:sz w:val="20"/>
              </w:rPr>
              <w:t>October 13, 2010</w:t>
            </w:r>
          </w:p>
          <w:p w:rsidR="00352439" w:rsidRPr="00B32C06" w:rsidRDefault="00352439" w:rsidP="00352439">
            <w:pPr>
              <w:jc w:val="both"/>
              <w:rPr>
                <w:rFonts w:eastAsia="Calibri"/>
                <w:sz w:val="20"/>
              </w:rPr>
            </w:pPr>
            <w:r w:rsidRPr="00B32C06">
              <w:rPr>
                <w:rFonts w:eastAsia="Calibri"/>
                <w:sz w:val="20"/>
              </w:rPr>
              <w:t>Court of Queen’s Bench of Alberta</w:t>
            </w:r>
          </w:p>
          <w:p w:rsidR="00352439" w:rsidRPr="00B32C06" w:rsidRDefault="00352439" w:rsidP="00352439">
            <w:pPr>
              <w:jc w:val="both"/>
              <w:rPr>
                <w:rFonts w:eastAsia="Calibri"/>
                <w:sz w:val="20"/>
              </w:rPr>
            </w:pPr>
            <w:r w:rsidRPr="00B32C06">
              <w:rPr>
                <w:rFonts w:eastAsia="Calibri"/>
                <w:sz w:val="20"/>
              </w:rPr>
              <w:t>(</w:t>
            </w:r>
            <w:proofErr w:type="spellStart"/>
            <w:r w:rsidRPr="00B32C06">
              <w:rPr>
                <w:rFonts w:eastAsia="Calibri"/>
                <w:sz w:val="20"/>
              </w:rPr>
              <w:t>Bensler</w:t>
            </w:r>
            <w:proofErr w:type="spellEnd"/>
            <w:r w:rsidRPr="00B32C06">
              <w:rPr>
                <w:rFonts w:eastAsia="Calibri"/>
                <w:sz w:val="20"/>
              </w:rPr>
              <w:t xml:space="preserve"> J.)</w:t>
            </w:r>
          </w:p>
          <w:p w:rsidR="00352439" w:rsidRPr="00B32C06" w:rsidRDefault="00352439" w:rsidP="00352439">
            <w:pPr>
              <w:jc w:val="both"/>
              <w:rPr>
                <w:rFonts w:eastAsia="Calibri"/>
                <w:sz w:val="20"/>
              </w:rPr>
            </w:pPr>
          </w:p>
        </w:tc>
        <w:tc>
          <w:tcPr>
            <w:tcW w:w="243" w:type="pct"/>
          </w:tcPr>
          <w:p w:rsidR="00352439" w:rsidRPr="00B32C06" w:rsidRDefault="00352439" w:rsidP="00352439">
            <w:pPr>
              <w:jc w:val="both"/>
              <w:rPr>
                <w:rFonts w:eastAsia="Calibri"/>
                <w:sz w:val="20"/>
              </w:rPr>
            </w:pPr>
          </w:p>
        </w:tc>
        <w:tc>
          <w:tcPr>
            <w:tcW w:w="2330" w:type="pct"/>
          </w:tcPr>
          <w:p w:rsidR="00352439" w:rsidRPr="00B32C06" w:rsidRDefault="00352439" w:rsidP="00352439">
            <w:pPr>
              <w:jc w:val="both"/>
              <w:rPr>
                <w:rFonts w:eastAsia="Calibri"/>
                <w:sz w:val="20"/>
              </w:rPr>
            </w:pPr>
            <w:r w:rsidRPr="00B32C06">
              <w:rPr>
                <w:rFonts w:eastAsia="Calibri"/>
                <w:sz w:val="20"/>
              </w:rPr>
              <w:t>Respondents’ application for summary judgment dismissing the third-party notice against them granted</w:t>
            </w:r>
          </w:p>
          <w:p w:rsidR="00352439" w:rsidRPr="00B32C06" w:rsidRDefault="00352439" w:rsidP="00352439">
            <w:pPr>
              <w:jc w:val="both"/>
              <w:rPr>
                <w:rFonts w:eastAsia="Calibri"/>
                <w:sz w:val="20"/>
              </w:rPr>
            </w:pPr>
          </w:p>
        </w:tc>
      </w:tr>
      <w:tr w:rsidR="00352439" w:rsidRPr="00B32C06" w:rsidTr="00DA20EC">
        <w:trPr>
          <w:cantSplit/>
        </w:trPr>
        <w:tc>
          <w:tcPr>
            <w:tcW w:w="2427" w:type="pct"/>
          </w:tcPr>
          <w:p w:rsidR="00352439" w:rsidRPr="00B32C06" w:rsidRDefault="00352439" w:rsidP="00352439">
            <w:pPr>
              <w:jc w:val="both"/>
              <w:rPr>
                <w:rFonts w:eastAsia="Calibri"/>
                <w:sz w:val="20"/>
              </w:rPr>
            </w:pPr>
            <w:r w:rsidRPr="00B32C06">
              <w:rPr>
                <w:rFonts w:eastAsia="Calibri"/>
                <w:sz w:val="20"/>
              </w:rPr>
              <w:lastRenderedPageBreak/>
              <w:t>July 22, 2011</w:t>
            </w:r>
          </w:p>
          <w:p w:rsidR="00352439" w:rsidRPr="00B32C06" w:rsidRDefault="00352439" w:rsidP="00352439">
            <w:pPr>
              <w:jc w:val="both"/>
              <w:rPr>
                <w:rFonts w:eastAsia="Calibri"/>
                <w:sz w:val="20"/>
              </w:rPr>
            </w:pPr>
            <w:r w:rsidRPr="00B32C06">
              <w:rPr>
                <w:rFonts w:eastAsia="Calibri"/>
                <w:sz w:val="20"/>
              </w:rPr>
              <w:t>Court of Appeal of Alberta (Calgary)</w:t>
            </w:r>
          </w:p>
          <w:p w:rsidR="00352439" w:rsidRPr="00B32C06" w:rsidRDefault="00352439" w:rsidP="00352439">
            <w:pPr>
              <w:jc w:val="both"/>
              <w:rPr>
                <w:rFonts w:eastAsia="Calibri"/>
                <w:sz w:val="20"/>
              </w:rPr>
            </w:pPr>
            <w:r w:rsidRPr="00B32C06">
              <w:rPr>
                <w:rFonts w:eastAsia="Calibri"/>
                <w:sz w:val="20"/>
              </w:rPr>
              <w:t>(Conrad, Watson, McDonald JJ.A.)</w:t>
            </w:r>
          </w:p>
          <w:p w:rsidR="00352439" w:rsidRPr="00B32C06" w:rsidRDefault="00352439" w:rsidP="00352439">
            <w:pPr>
              <w:jc w:val="both"/>
              <w:rPr>
                <w:rFonts w:eastAsia="Calibri"/>
                <w:sz w:val="20"/>
              </w:rPr>
            </w:pPr>
            <w:r w:rsidRPr="00B32C06">
              <w:rPr>
                <w:rFonts w:eastAsia="Calibri"/>
                <w:sz w:val="20"/>
              </w:rPr>
              <w:t>Neutral citation: 2011 ABCA 226</w:t>
            </w:r>
          </w:p>
          <w:p w:rsidR="00352439" w:rsidRPr="00B32C06" w:rsidRDefault="00352439" w:rsidP="00352439">
            <w:pPr>
              <w:jc w:val="both"/>
              <w:rPr>
                <w:rFonts w:eastAsia="Calibri"/>
                <w:sz w:val="20"/>
              </w:rPr>
            </w:pPr>
          </w:p>
        </w:tc>
        <w:tc>
          <w:tcPr>
            <w:tcW w:w="243" w:type="pct"/>
          </w:tcPr>
          <w:p w:rsidR="00352439" w:rsidRPr="00B32C06" w:rsidRDefault="00352439" w:rsidP="00352439">
            <w:pPr>
              <w:jc w:val="both"/>
              <w:rPr>
                <w:rFonts w:eastAsia="Calibri"/>
                <w:sz w:val="20"/>
              </w:rPr>
            </w:pPr>
          </w:p>
        </w:tc>
        <w:tc>
          <w:tcPr>
            <w:tcW w:w="2330" w:type="pct"/>
          </w:tcPr>
          <w:p w:rsidR="00352439" w:rsidRPr="00B32C06" w:rsidRDefault="00352439" w:rsidP="00352439">
            <w:pPr>
              <w:jc w:val="both"/>
              <w:rPr>
                <w:rFonts w:eastAsia="Calibri"/>
                <w:sz w:val="20"/>
              </w:rPr>
            </w:pPr>
            <w:r w:rsidRPr="00B32C06">
              <w:rPr>
                <w:rFonts w:eastAsia="Calibri"/>
                <w:sz w:val="20"/>
              </w:rPr>
              <w:t>Appeal dismissed</w:t>
            </w:r>
          </w:p>
          <w:p w:rsidR="00352439" w:rsidRPr="00B32C06" w:rsidRDefault="00352439" w:rsidP="00352439">
            <w:pPr>
              <w:jc w:val="both"/>
              <w:rPr>
                <w:rFonts w:eastAsia="Calibri"/>
                <w:sz w:val="20"/>
              </w:rPr>
            </w:pPr>
          </w:p>
          <w:p w:rsidR="00352439" w:rsidRPr="00B32C06" w:rsidRDefault="00352439" w:rsidP="00352439">
            <w:pPr>
              <w:jc w:val="both"/>
              <w:rPr>
                <w:rFonts w:eastAsia="Calibri"/>
                <w:sz w:val="20"/>
              </w:rPr>
            </w:pPr>
          </w:p>
        </w:tc>
      </w:tr>
      <w:tr w:rsidR="00352439" w:rsidRPr="00B32C06" w:rsidTr="00DA20EC">
        <w:trPr>
          <w:cantSplit/>
        </w:trPr>
        <w:tc>
          <w:tcPr>
            <w:tcW w:w="2427" w:type="pct"/>
          </w:tcPr>
          <w:p w:rsidR="00352439" w:rsidRPr="00B32C06" w:rsidRDefault="00352439" w:rsidP="00352439">
            <w:pPr>
              <w:jc w:val="both"/>
              <w:rPr>
                <w:rFonts w:eastAsia="Calibri"/>
                <w:sz w:val="20"/>
              </w:rPr>
            </w:pPr>
            <w:r w:rsidRPr="00B32C06">
              <w:rPr>
                <w:rFonts w:eastAsia="Calibri"/>
                <w:sz w:val="20"/>
              </w:rPr>
              <w:t>September 28, 2011</w:t>
            </w:r>
          </w:p>
          <w:p w:rsidR="00352439" w:rsidRPr="00B32C06" w:rsidRDefault="00352439" w:rsidP="00352439">
            <w:pPr>
              <w:jc w:val="both"/>
              <w:rPr>
                <w:rFonts w:eastAsia="Calibri"/>
                <w:sz w:val="20"/>
              </w:rPr>
            </w:pPr>
            <w:r w:rsidRPr="00B32C06">
              <w:rPr>
                <w:rFonts w:eastAsia="Calibri"/>
                <w:sz w:val="20"/>
              </w:rPr>
              <w:t>Supreme Court of Canada</w:t>
            </w:r>
          </w:p>
        </w:tc>
        <w:tc>
          <w:tcPr>
            <w:tcW w:w="243" w:type="pct"/>
          </w:tcPr>
          <w:p w:rsidR="00352439" w:rsidRPr="00B32C06" w:rsidRDefault="00352439" w:rsidP="00352439">
            <w:pPr>
              <w:jc w:val="both"/>
              <w:rPr>
                <w:rFonts w:eastAsia="Calibri"/>
                <w:sz w:val="20"/>
              </w:rPr>
            </w:pPr>
          </w:p>
        </w:tc>
        <w:tc>
          <w:tcPr>
            <w:tcW w:w="2330" w:type="pct"/>
          </w:tcPr>
          <w:p w:rsidR="00352439" w:rsidRPr="00B32C06" w:rsidRDefault="00352439" w:rsidP="00352439">
            <w:pPr>
              <w:jc w:val="both"/>
              <w:rPr>
                <w:rFonts w:eastAsia="Calibri"/>
                <w:sz w:val="20"/>
              </w:rPr>
            </w:pPr>
            <w:r w:rsidRPr="00B32C06">
              <w:rPr>
                <w:rFonts w:eastAsia="Calibri"/>
                <w:sz w:val="20"/>
              </w:rPr>
              <w:t>Application for leave to appeal filed</w:t>
            </w:r>
          </w:p>
          <w:p w:rsidR="00352439" w:rsidRPr="00B32C06" w:rsidRDefault="00352439" w:rsidP="00352439">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61"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52439" w:rsidRPr="002D3F55" w:rsidTr="00352439">
        <w:tc>
          <w:tcPr>
            <w:tcW w:w="5000" w:type="pct"/>
            <w:gridSpan w:val="3"/>
          </w:tcPr>
          <w:p w:rsidR="00352439" w:rsidRPr="00B32C06" w:rsidRDefault="00352439" w:rsidP="00352439">
            <w:pPr>
              <w:jc w:val="both"/>
              <w:rPr>
                <w:rFonts w:eastAsia="Calibri"/>
                <w:sz w:val="20"/>
                <w:lang w:val="fr-CA"/>
              </w:rPr>
            </w:pPr>
            <w:r w:rsidRPr="00B32C06">
              <w:rPr>
                <w:rFonts w:eastAsia="Calibri"/>
                <w:sz w:val="20"/>
                <w:lang w:val="fr-CA"/>
              </w:rPr>
              <w:t>Responsabilité délictuelle – Négligence – Responsabilité de l’hôte privé – Demande de jugement sommaire rejetant l'avis de mise en cause contre les intimés accueillie – Dans quelle mesure les propriétaires adultes peuvent-ils et devraient-ils être tenus responsables de la consommation d'alcool par des mineurs lors de fêtes tenues dans leur maison? – L'affaire soulève-t-elle des questions d'importance pour le public?</w:t>
            </w:r>
          </w:p>
        </w:tc>
      </w:tr>
      <w:tr w:rsidR="00352439" w:rsidRPr="002D3F55" w:rsidTr="00352439">
        <w:tc>
          <w:tcPr>
            <w:tcW w:w="5000" w:type="pct"/>
            <w:gridSpan w:val="3"/>
          </w:tcPr>
          <w:p w:rsidR="00352439" w:rsidRPr="00B32C06" w:rsidRDefault="00352439" w:rsidP="00352439">
            <w:pPr>
              <w:jc w:val="both"/>
              <w:rPr>
                <w:rFonts w:eastAsia="Calibri"/>
                <w:sz w:val="20"/>
                <w:lang w:val="fr-CA"/>
              </w:rPr>
            </w:pPr>
          </w:p>
        </w:tc>
      </w:tr>
      <w:tr w:rsidR="00352439" w:rsidRPr="00B32C06" w:rsidTr="00352439">
        <w:tc>
          <w:tcPr>
            <w:tcW w:w="5000" w:type="pct"/>
            <w:gridSpan w:val="3"/>
          </w:tcPr>
          <w:p w:rsidR="00352439" w:rsidRPr="00B32C06" w:rsidRDefault="00352439" w:rsidP="00352439">
            <w:pPr>
              <w:jc w:val="both"/>
              <w:rPr>
                <w:rFonts w:eastAsia="Calibri"/>
                <w:sz w:val="20"/>
                <w:lang w:val="fr-CA"/>
              </w:rPr>
            </w:pPr>
            <w:r w:rsidRPr="00B32C06">
              <w:rPr>
                <w:rFonts w:eastAsia="Calibri"/>
                <w:sz w:val="20"/>
                <w:lang w:val="fr-CA"/>
              </w:rPr>
              <w:t xml:space="preserve">Les demandeurs sont Michael Desanti et AGAT </w:t>
            </w:r>
            <w:proofErr w:type="spellStart"/>
            <w:r w:rsidRPr="00B32C06">
              <w:rPr>
                <w:rFonts w:eastAsia="Calibri"/>
                <w:sz w:val="20"/>
                <w:lang w:val="fr-CA"/>
              </w:rPr>
              <w:t>Laboratories</w:t>
            </w:r>
            <w:proofErr w:type="spellEnd"/>
            <w:r w:rsidRPr="00B32C06">
              <w:rPr>
                <w:rFonts w:eastAsia="Calibri"/>
                <w:sz w:val="20"/>
                <w:lang w:val="fr-CA"/>
              </w:rPr>
              <w:t xml:space="preserve"> Ltd. (ci-après appelée AGAT – le propriétaire du véhicule). Les intimés sont M. et Mme Gray. Un soir, le fils des intimés, âgé de 17 ans, a tenu une fête au sous-sol de la maison de ses parents. Les Gray sont demeurés à la maison pour surveiller la fête. Il y a eu consommation d'alcool. Monsieur Wenzel était un invité à la fête, alors que M. Desanti ne l'était pas. Alors que les invités quittaient la maison pour rentrer chez eux, une bagarre a éclaté entre M. Wenzel et M. Desanti et d'autres. Après avoir été frappé, M. Desanti est rentré dans son véhicule et a heurté M. Wenzel à deux reprises avec le véhicule, soit accidentellement soit intentionnellement. Monsieur Wenzel a poursuivi M. Desanti et AGAT relativement aux blessures subies après avoir été heurté par le véhicule de M. Desanti. Les demandeurs ont intenté une instance de mise en cause cherchant à obtenir une contribution de M. et de Mme Gray, les intimés, pour les blessures subies par M. Wenzel à la suite de cet incident aux termes de la </w:t>
            </w:r>
            <w:r w:rsidRPr="00B32C06">
              <w:rPr>
                <w:rFonts w:eastAsia="Calibri"/>
                <w:i/>
                <w:sz w:val="20"/>
                <w:lang w:val="fr-CA"/>
              </w:rPr>
              <w:t>Tort-</w:t>
            </w:r>
            <w:proofErr w:type="spellStart"/>
            <w:r w:rsidRPr="00B32C06">
              <w:rPr>
                <w:rFonts w:eastAsia="Calibri"/>
                <w:i/>
                <w:sz w:val="20"/>
                <w:lang w:val="fr-CA"/>
              </w:rPr>
              <w:t>Feasors</w:t>
            </w:r>
            <w:proofErr w:type="spellEnd"/>
            <w:r w:rsidRPr="00B32C06">
              <w:rPr>
                <w:rFonts w:eastAsia="Calibri"/>
                <w:i/>
                <w:sz w:val="20"/>
                <w:lang w:val="fr-CA"/>
              </w:rPr>
              <w:t xml:space="preserve"> </w:t>
            </w:r>
            <w:proofErr w:type="spellStart"/>
            <w:r w:rsidRPr="00B32C06">
              <w:rPr>
                <w:rFonts w:eastAsia="Calibri"/>
                <w:i/>
                <w:sz w:val="20"/>
                <w:lang w:val="fr-CA"/>
              </w:rPr>
              <w:t>Act</w:t>
            </w:r>
            <w:proofErr w:type="spellEnd"/>
            <w:r w:rsidRPr="00B32C06">
              <w:rPr>
                <w:rFonts w:eastAsia="Calibri"/>
                <w:sz w:val="20"/>
                <w:lang w:val="fr-CA"/>
              </w:rPr>
              <w:t>, R.S.A. 2000, ch. T-5, alléguant que les Gray étaient également tenus d'indemniser M. Wenzel. La demande des Gray en vue d’obtenir un jugement sommaire rejetant l'avis de mise en cause contre eux été accueillie au motif qu'il n'y avait aucune véritable question litigieuse. L'appel a été rejeté.</w:t>
            </w:r>
          </w:p>
          <w:p w:rsidR="00352439" w:rsidRPr="00B32C06" w:rsidRDefault="00352439" w:rsidP="00352439">
            <w:pPr>
              <w:jc w:val="both"/>
              <w:rPr>
                <w:rFonts w:eastAsia="Calibri"/>
                <w:sz w:val="20"/>
                <w:lang w:val="fr-CA"/>
              </w:rPr>
            </w:pPr>
          </w:p>
        </w:tc>
      </w:tr>
      <w:tr w:rsidR="00352439" w:rsidRPr="002D3F55" w:rsidTr="00352439">
        <w:tc>
          <w:tcPr>
            <w:tcW w:w="2427" w:type="pct"/>
          </w:tcPr>
          <w:p w:rsidR="00352439" w:rsidRPr="00B32C06" w:rsidRDefault="00352439" w:rsidP="00352439">
            <w:pPr>
              <w:jc w:val="both"/>
              <w:rPr>
                <w:rFonts w:eastAsia="Calibri"/>
                <w:sz w:val="20"/>
                <w:lang w:val="fr-CA"/>
              </w:rPr>
            </w:pPr>
            <w:r w:rsidRPr="00B32C06">
              <w:rPr>
                <w:rFonts w:eastAsia="Calibri"/>
                <w:sz w:val="20"/>
                <w:lang w:val="fr-CA"/>
              </w:rPr>
              <w:t>13 octobre 2010</w:t>
            </w:r>
          </w:p>
          <w:p w:rsidR="00352439" w:rsidRPr="00B32C06" w:rsidRDefault="00352439" w:rsidP="00352439">
            <w:pPr>
              <w:jc w:val="both"/>
              <w:rPr>
                <w:rFonts w:eastAsia="Calibri"/>
                <w:sz w:val="20"/>
                <w:lang w:val="fr-CA"/>
              </w:rPr>
            </w:pPr>
            <w:r w:rsidRPr="00B32C06">
              <w:rPr>
                <w:rFonts w:eastAsia="Calibri"/>
                <w:sz w:val="20"/>
                <w:lang w:val="fr-CA"/>
              </w:rPr>
              <w:t>Cour du Banc de la Reine de l’Alberta</w:t>
            </w:r>
          </w:p>
          <w:p w:rsidR="00352439" w:rsidRPr="00B32C06" w:rsidRDefault="00352439" w:rsidP="00352439">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Bensler</w:t>
            </w:r>
            <w:proofErr w:type="spellEnd"/>
            <w:r w:rsidRPr="00B32C06">
              <w:rPr>
                <w:rFonts w:eastAsia="Calibri"/>
                <w:sz w:val="20"/>
                <w:lang w:val="fr-CA"/>
              </w:rPr>
              <w:t>)</w:t>
            </w:r>
          </w:p>
          <w:p w:rsidR="00352439" w:rsidRPr="00B32C06" w:rsidRDefault="00352439" w:rsidP="00352439">
            <w:pPr>
              <w:jc w:val="both"/>
              <w:rPr>
                <w:rFonts w:eastAsia="Calibri"/>
                <w:sz w:val="20"/>
                <w:lang w:val="fr-CA"/>
              </w:rPr>
            </w:pPr>
          </w:p>
        </w:tc>
        <w:tc>
          <w:tcPr>
            <w:tcW w:w="243" w:type="pct"/>
          </w:tcPr>
          <w:p w:rsidR="00352439" w:rsidRPr="00B32C06" w:rsidRDefault="00352439" w:rsidP="00352439">
            <w:pPr>
              <w:jc w:val="both"/>
              <w:rPr>
                <w:rFonts w:eastAsia="Calibri"/>
                <w:sz w:val="20"/>
                <w:lang w:val="fr-CA"/>
              </w:rPr>
            </w:pPr>
          </w:p>
        </w:tc>
        <w:tc>
          <w:tcPr>
            <w:tcW w:w="2330" w:type="pct"/>
          </w:tcPr>
          <w:p w:rsidR="00352439" w:rsidRPr="00B32C06" w:rsidRDefault="00352439" w:rsidP="00352439">
            <w:pPr>
              <w:jc w:val="both"/>
              <w:rPr>
                <w:rFonts w:eastAsia="Calibri"/>
                <w:sz w:val="20"/>
                <w:lang w:val="fr-CA"/>
              </w:rPr>
            </w:pPr>
            <w:r w:rsidRPr="00B32C06">
              <w:rPr>
                <w:rFonts w:eastAsia="Calibri"/>
                <w:sz w:val="20"/>
                <w:lang w:val="fr-CA"/>
              </w:rPr>
              <w:t>Demande des intimés en vue d'obtenir un jugement sommaire rejetant l'avis de mise en cause contre eux, accueillie</w:t>
            </w:r>
          </w:p>
          <w:p w:rsidR="00352439" w:rsidRPr="00B32C06" w:rsidRDefault="00352439" w:rsidP="00352439">
            <w:pPr>
              <w:jc w:val="both"/>
              <w:rPr>
                <w:rFonts w:eastAsia="Calibri"/>
                <w:sz w:val="20"/>
                <w:lang w:val="fr-CA"/>
              </w:rPr>
            </w:pPr>
          </w:p>
        </w:tc>
      </w:tr>
      <w:tr w:rsidR="00352439" w:rsidRPr="00B32C06" w:rsidTr="00352439">
        <w:tc>
          <w:tcPr>
            <w:tcW w:w="2427" w:type="pct"/>
          </w:tcPr>
          <w:p w:rsidR="00352439" w:rsidRPr="00B32C06" w:rsidRDefault="00352439" w:rsidP="00352439">
            <w:pPr>
              <w:jc w:val="both"/>
              <w:rPr>
                <w:rFonts w:eastAsia="Calibri"/>
                <w:sz w:val="20"/>
                <w:lang w:val="fr-CA"/>
              </w:rPr>
            </w:pPr>
            <w:r w:rsidRPr="00B32C06">
              <w:rPr>
                <w:rFonts w:eastAsia="Calibri"/>
                <w:sz w:val="20"/>
                <w:lang w:val="fr-CA"/>
              </w:rPr>
              <w:t>22 juillet 2011</w:t>
            </w:r>
          </w:p>
          <w:p w:rsidR="00352439" w:rsidRPr="00B32C06" w:rsidRDefault="00352439" w:rsidP="00352439">
            <w:pPr>
              <w:jc w:val="both"/>
              <w:rPr>
                <w:rFonts w:eastAsia="Calibri"/>
                <w:sz w:val="20"/>
                <w:lang w:val="fr-CA"/>
              </w:rPr>
            </w:pPr>
            <w:r w:rsidRPr="00B32C06">
              <w:rPr>
                <w:rFonts w:eastAsia="Calibri"/>
                <w:sz w:val="20"/>
                <w:lang w:val="fr-CA"/>
              </w:rPr>
              <w:t>Cour d'appel de l’Alberta (Calgary)</w:t>
            </w:r>
          </w:p>
          <w:p w:rsidR="00352439" w:rsidRPr="00B32C06" w:rsidRDefault="00352439" w:rsidP="00352439">
            <w:pPr>
              <w:jc w:val="both"/>
              <w:rPr>
                <w:rFonts w:eastAsia="Calibri"/>
                <w:sz w:val="20"/>
                <w:lang w:val="fr-CA"/>
              </w:rPr>
            </w:pPr>
            <w:r w:rsidRPr="00B32C06">
              <w:rPr>
                <w:rFonts w:eastAsia="Calibri"/>
                <w:sz w:val="20"/>
                <w:lang w:val="fr-CA"/>
              </w:rPr>
              <w:t>(Juges Conrad, Watson et McDonald)</w:t>
            </w:r>
          </w:p>
          <w:p w:rsidR="00352439" w:rsidRPr="00B32C06" w:rsidRDefault="00352439" w:rsidP="00352439">
            <w:pPr>
              <w:jc w:val="both"/>
              <w:rPr>
                <w:rFonts w:eastAsia="Calibri"/>
                <w:sz w:val="20"/>
                <w:lang w:val="fr-CA"/>
              </w:rPr>
            </w:pPr>
            <w:r w:rsidRPr="00B32C06">
              <w:rPr>
                <w:rFonts w:eastAsia="Calibri"/>
                <w:sz w:val="20"/>
                <w:lang w:val="fr-CA"/>
              </w:rPr>
              <w:t>Référence neutre : 2011 ABCA 226</w:t>
            </w:r>
          </w:p>
          <w:p w:rsidR="00352439" w:rsidRPr="00B32C06" w:rsidRDefault="00352439" w:rsidP="00352439">
            <w:pPr>
              <w:jc w:val="both"/>
              <w:rPr>
                <w:rFonts w:eastAsia="Calibri"/>
                <w:sz w:val="20"/>
                <w:lang w:val="fr-CA"/>
              </w:rPr>
            </w:pPr>
          </w:p>
        </w:tc>
        <w:tc>
          <w:tcPr>
            <w:tcW w:w="243" w:type="pct"/>
          </w:tcPr>
          <w:p w:rsidR="00352439" w:rsidRPr="00B32C06" w:rsidRDefault="00352439" w:rsidP="00352439">
            <w:pPr>
              <w:jc w:val="both"/>
              <w:rPr>
                <w:rFonts w:eastAsia="Calibri"/>
                <w:sz w:val="20"/>
                <w:lang w:val="fr-CA"/>
              </w:rPr>
            </w:pPr>
          </w:p>
        </w:tc>
        <w:tc>
          <w:tcPr>
            <w:tcW w:w="2330" w:type="pct"/>
          </w:tcPr>
          <w:p w:rsidR="00352439" w:rsidRPr="00B32C06" w:rsidRDefault="00352439" w:rsidP="00352439">
            <w:pPr>
              <w:jc w:val="both"/>
              <w:rPr>
                <w:rFonts w:eastAsia="Calibri"/>
                <w:sz w:val="20"/>
                <w:lang w:val="fr-CA"/>
              </w:rPr>
            </w:pPr>
            <w:r w:rsidRPr="00B32C06">
              <w:rPr>
                <w:rFonts w:eastAsia="Calibri"/>
                <w:sz w:val="20"/>
                <w:lang w:val="fr-CA"/>
              </w:rPr>
              <w:t>Appel rejeté</w:t>
            </w:r>
          </w:p>
          <w:p w:rsidR="00352439" w:rsidRPr="00B32C06" w:rsidRDefault="00352439" w:rsidP="00352439">
            <w:pPr>
              <w:jc w:val="both"/>
              <w:rPr>
                <w:rFonts w:eastAsia="Calibri"/>
                <w:sz w:val="20"/>
                <w:lang w:val="fr-CA"/>
              </w:rPr>
            </w:pPr>
          </w:p>
          <w:p w:rsidR="00352439" w:rsidRPr="00B32C06" w:rsidRDefault="00352439" w:rsidP="00352439">
            <w:pPr>
              <w:jc w:val="both"/>
              <w:rPr>
                <w:rFonts w:eastAsia="Calibri"/>
                <w:sz w:val="20"/>
                <w:lang w:val="fr-CA"/>
              </w:rPr>
            </w:pPr>
          </w:p>
        </w:tc>
      </w:tr>
      <w:tr w:rsidR="00352439" w:rsidRPr="00B32C06" w:rsidTr="00352439">
        <w:tc>
          <w:tcPr>
            <w:tcW w:w="2427" w:type="pct"/>
          </w:tcPr>
          <w:p w:rsidR="00352439" w:rsidRPr="00B32C06" w:rsidRDefault="00352439" w:rsidP="00352439">
            <w:pPr>
              <w:jc w:val="both"/>
              <w:rPr>
                <w:rFonts w:eastAsia="Calibri"/>
                <w:sz w:val="20"/>
                <w:lang w:val="fr-CA"/>
              </w:rPr>
            </w:pPr>
            <w:r w:rsidRPr="00B32C06">
              <w:rPr>
                <w:rFonts w:eastAsia="Calibri"/>
                <w:sz w:val="20"/>
                <w:lang w:val="fr-CA"/>
              </w:rPr>
              <w:t>28 septembre 2011</w:t>
            </w:r>
          </w:p>
          <w:p w:rsidR="00352439" w:rsidRPr="00B32C06" w:rsidRDefault="00352439" w:rsidP="00352439">
            <w:pPr>
              <w:jc w:val="both"/>
              <w:rPr>
                <w:rFonts w:eastAsia="Calibri"/>
                <w:sz w:val="20"/>
                <w:lang w:val="fr-CA"/>
              </w:rPr>
            </w:pPr>
            <w:r w:rsidRPr="00B32C06">
              <w:rPr>
                <w:rFonts w:eastAsia="Calibri"/>
                <w:sz w:val="20"/>
                <w:lang w:val="fr-CA"/>
              </w:rPr>
              <w:t>Cour suprême du Canada</w:t>
            </w:r>
          </w:p>
        </w:tc>
        <w:tc>
          <w:tcPr>
            <w:tcW w:w="243" w:type="pct"/>
          </w:tcPr>
          <w:p w:rsidR="00352439" w:rsidRPr="00B32C06" w:rsidRDefault="00352439" w:rsidP="00352439">
            <w:pPr>
              <w:jc w:val="both"/>
              <w:rPr>
                <w:rFonts w:eastAsia="Calibri"/>
                <w:sz w:val="20"/>
                <w:lang w:val="fr-CA"/>
              </w:rPr>
            </w:pPr>
          </w:p>
        </w:tc>
        <w:tc>
          <w:tcPr>
            <w:tcW w:w="2330" w:type="pct"/>
          </w:tcPr>
          <w:p w:rsidR="00352439" w:rsidRPr="00B32C06" w:rsidRDefault="00352439" w:rsidP="00352439">
            <w:pPr>
              <w:jc w:val="both"/>
              <w:rPr>
                <w:rFonts w:eastAsia="Calibri"/>
                <w:sz w:val="20"/>
                <w:lang w:val="fr-CA"/>
              </w:rPr>
            </w:pPr>
            <w:r w:rsidRPr="00B32C06">
              <w:rPr>
                <w:rFonts w:eastAsia="Calibri"/>
                <w:sz w:val="20"/>
                <w:lang w:val="fr-CA"/>
              </w:rPr>
              <w:t>Demande d'autorisation d'appel, déposée</w:t>
            </w:r>
          </w:p>
          <w:p w:rsidR="00352439" w:rsidRPr="00B32C06" w:rsidRDefault="00352439" w:rsidP="00352439">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62" style="width:2in;height:1pt" o:hrpct="0" o:hralign="center" o:hrstd="t" o:hrnoshade="t" o:hr="t" fillcolor="black [3213]" stroked="f"/>
        </w:pict>
      </w:r>
    </w:p>
    <w:p w:rsidR="00C64AFA" w:rsidRDefault="00C64AFA" w:rsidP="00C64AFA">
      <w:pPr>
        <w:rPr>
          <w:sz w:val="20"/>
          <w:szCs w:val="20"/>
        </w:rPr>
      </w:pPr>
    </w:p>
    <w:p w:rsidR="00DA20EC" w:rsidRDefault="00DA20EC">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4857" w:rsidRPr="00A54F27" w:rsidTr="000A4857">
        <w:trPr>
          <w:cantSplit/>
        </w:trPr>
        <w:tc>
          <w:tcPr>
            <w:tcW w:w="1458" w:type="dxa"/>
          </w:tcPr>
          <w:p w:rsidR="000A4857" w:rsidRPr="00A54F27" w:rsidRDefault="000A4857" w:rsidP="000A4857">
            <w:pPr>
              <w:rPr>
                <w:sz w:val="20"/>
                <w:szCs w:val="20"/>
              </w:rPr>
            </w:pPr>
            <w:r w:rsidRPr="00A54F27">
              <w:rPr>
                <w:rStyle w:val="SCCFileNumberChar"/>
                <w:sz w:val="20"/>
                <w:szCs w:val="20"/>
              </w:rPr>
              <w:lastRenderedPageBreak/>
              <w:t>34459</w:t>
            </w:r>
          </w:p>
          <w:p w:rsidR="000A4857" w:rsidRPr="00A54F27" w:rsidRDefault="000A4857" w:rsidP="000A4857">
            <w:pPr>
              <w:rPr>
                <w:b/>
                <w:sz w:val="20"/>
                <w:szCs w:val="20"/>
                <w:lang w:val="fr-CA"/>
              </w:rPr>
            </w:pPr>
          </w:p>
        </w:tc>
        <w:tc>
          <w:tcPr>
            <w:tcW w:w="8118" w:type="dxa"/>
          </w:tcPr>
          <w:p w:rsidR="000A4857" w:rsidRPr="00A54F27" w:rsidRDefault="000A4857" w:rsidP="000A4857">
            <w:pPr>
              <w:jc w:val="both"/>
              <w:rPr>
                <w:sz w:val="20"/>
                <w:szCs w:val="20"/>
              </w:rPr>
            </w:pPr>
            <w:proofErr w:type="spellStart"/>
            <w:r w:rsidRPr="000A4857">
              <w:rPr>
                <w:rStyle w:val="SCCLsocChar"/>
                <w:sz w:val="20"/>
                <w:szCs w:val="20"/>
                <w:lang w:val="en-CA"/>
              </w:rPr>
              <w:t>Corlac</w:t>
            </w:r>
            <w:proofErr w:type="spellEnd"/>
            <w:r w:rsidRPr="000A4857">
              <w:rPr>
                <w:rStyle w:val="SCCLsocChar"/>
                <w:sz w:val="20"/>
                <w:szCs w:val="20"/>
                <w:lang w:val="en-CA"/>
              </w:rPr>
              <w:t xml:space="preserve"> Inc., National-</w:t>
            </w:r>
            <w:proofErr w:type="spellStart"/>
            <w:r w:rsidRPr="000A4857">
              <w:rPr>
                <w:rStyle w:val="SCCLsocChar"/>
                <w:sz w:val="20"/>
                <w:szCs w:val="20"/>
                <w:lang w:val="en-CA"/>
              </w:rPr>
              <w:t>OilWell</w:t>
            </w:r>
            <w:proofErr w:type="spellEnd"/>
            <w:r w:rsidRPr="000A4857">
              <w:rPr>
                <w:rStyle w:val="SCCLsocChar"/>
                <w:sz w:val="20"/>
                <w:szCs w:val="20"/>
                <w:lang w:val="en-CA"/>
              </w:rPr>
              <w:t xml:space="preserve"> Canada Ltd. and National </w:t>
            </w:r>
            <w:proofErr w:type="spellStart"/>
            <w:r w:rsidRPr="000A4857">
              <w:rPr>
                <w:rStyle w:val="SCCLsocChar"/>
                <w:sz w:val="20"/>
                <w:szCs w:val="20"/>
                <w:lang w:val="en-CA"/>
              </w:rPr>
              <w:t>OilWell</w:t>
            </w:r>
            <w:proofErr w:type="spellEnd"/>
            <w:r w:rsidRPr="000A4857">
              <w:rPr>
                <w:rStyle w:val="SCCLsocChar"/>
                <w:sz w:val="20"/>
                <w:szCs w:val="20"/>
                <w:lang w:val="en-CA"/>
              </w:rPr>
              <w:t xml:space="preserve"> Incorporated v. Weatherford Canada Ltd., Weatherford Canada Partnership, Darin </w:t>
            </w:r>
            <w:proofErr w:type="spellStart"/>
            <w:r w:rsidRPr="000A4857">
              <w:rPr>
                <w:rStyle w:val="SCCLsocChar"/>
                <w:sz w:val="20"/>
                <w:szCs w:val="20"/>
                <w:lang w:val="en-CA"/>
              </w:rPr>
              <w:t>Grenke</w:t>
            </w:r>
            <w:proofErr w:type="spellEnd"/>
            <w:r w:rsidRPr="000A4857">
              <w:rPr>
                <w:rStyle w:val="SCCLsocChar"/>
                <w:sz w:val="20"/>
                <w:szCs w:val="20"/>
                <w:lang w:val="en-CA"/>
              </w:rPr>
              <w:t xml:space="preserve">, as Personal Representative of the Estate of Edward </w:t>
            </w:r>
            <w:proofErr w:type="spellStart"/>
            <w:r w:rsidRPr="000A4857">
              <w:rPr>
                <w:rStyle w:val="SCCLsocChar"/>
                <w:sz w:val="20"/>
                <w:szCs w:val="20"/>
                <w:lang w:val="en-CA"/>
              </w:rPr>
              <w:t>Grenke</w:t>
            </w:r>
            <w:proofErr w:type="spellEnd"/>
            <w:r w:rsidR="00CD0AB3">
              <w:rPr>
                <w:rStyle w:val="SCCLsocChar"/>
                <w:sz w:val="20"/>
                <w:szCs w:val="20"/>
                <w:lang w:val="en-CA"/>
              </w:rPr>
              <w:t xml:space="preserve"> and</w:t>
            </w:r>
            <w:r w:rsidRPr="000A4857">
              <w:rPr>
                <w:rStyle w:val="SCCLsocChar"/>
                <w:sz w:val="20"/>
                <w:szCs w:val="20"/>
                <w:lang w:val="en-CA"/>
              </w:rPr>
              <w:t xml:space="preserve"> </w:t>
            </w:r>
            <w:proofErr w:type="spellStart"/>
            <w:r w:rsidRPr="000A4857">
              <w:rPr>
                <w:rStyle w:val="SCCLsocChar"/>
                <w:sz w:val="20"/>
                <w:szCs w:val="20"/>
                <w:lang w:val="en-CA"/>
              </w:rPr>
              <w:t>Grenco</w:t>
            </w:r>
            <w:proofErr w:type="spellEnd"/>
            <w:r w:rsidRPr="000A4857">
              <w:rPr>
                <w:rStyle w:val="SCCLsocChar"/>
                <w:sz w:val="20"/>
                <w:szCs w:val="20"/>
                <w:lang w:val="en-CA"/>
              </w:rPr>
              <w:t xml:space="preserve"> Industries Ltd.</w:t>
            </w:r>
            <w:r w:rsidRPr="00A54F27">
              <w:rPr>
                <w:sz w:val="20"/>
                <w:szCs w:val="20"/>
              </w:rPr>
              <w:t xml:space="preserve"> (F.C.) (Civil) (By Leave)</w:t>
            </w:r>
          </w:p>
          <w:p w:rsidR="000A4857" w:rsidRPr="00A54F27" w:rsidRDefault="000A4857" w:rsidP="000A4857">
            <w:pPr>
              <w:rPr>
                <w:sz w:val="20"/>
                <w:szCs w:val="20"/>
              </w:rPr>
            </w:pPr>
          </w:p>
        </w:tc>
      </w:tr>
      <w:tr w:rsidR="000A4857" w:rsidRPr="00A54F27" w:rsidTr="000A4857">
        <w:trPr>
          <w:cantSplit/>
        </w:trPr>
        <w:tc>
          <w:tcPr>
            <w:tcW w:w="1458" w:type="dxa"/>
          </w:tcPr>
          <w:p w:rsidR="000A4857" w:rsidRPr="00A54F27" w:rsidRDefault="000A4857" w:rsidP="000A4857">
            <w:pPr>
              <w:rPr>
                <w:sz w:val="20"/>
                <w:szCs w:val="20"/>
              </w:rPr>
            </w:pPr>
            <w:r w:rsidRPr="00A54F27">
              <w:rPr>
                <w:sz w:val="20"/>
                <w:szCs w:val="20"/>
              </w:rPr>
              <w:t>Coram :</w:t>
            </w:r>
          </w:p>
        </w:tc>
        <w:tc>
          <w:tcPr>
            <w:tcW w:w="8118" w:type="dxa"/>
          </w:tcPr>
          <w:p w:rsidR="000A4857" w:rsidRPr="00A54F27" w:rsidRDefault="000A4857" w:rsidP="000A4857">
            <w:pPr>
              <w:rPr>
                <w:sz w:val="20"/>
                <w:szCs w:val="20"/>
              </w:rPr>
            </w:pPr>
            <w:proofErr w:type="spellStart"/>
            <w:r w:rsidRPr="000A4857">
              <w:rPr>
                <w:rStyle w:val="SCCCoramChar"/>
                <w:sz w:val="20"/>
                <w:szCs w:val="20"/>
                <w:lang w:val="en-CA"/>
              </w:rPr>
              <w:t>McLachlin</w:t>
            </w:r>
            <w:proofErr w:type="spellEnd"/>
            <w:r w:rsidRPr="000A4857">
              <w:rPr>
                <w:rStyle w:val="SCCCoramChar"/>
                <w:sz w:val="20"/>
                <w:szCs w:val="20"/>
                <w:lang w:val="en-CA"/>
              </w:rPr>
              <w:t xml:space="preserve"> C.J. and Rothstein and </w:t>
            </w:r>
            <w:proofErr w:type="spellStart"/>
            <w:r w:rsidRPr="000A4857">
              <w:rPr>
                <w:rStyle w:val="SCCCoramChar"/>
                <w:sz w:val="20"/>
                <w:szCs w:val="20"/>
                <w:lang w:val="en-CA"/>
              </w:rPr>
              <w:t>Moldaver</w:t>
            </w:r>
            <w:proofErr w:type="spellEnd"/>
            <w:r w:rsidRPr="000A4857">
              <w:rPr>
                <w:rStyle w:val="SCCCoramChar"/>
                <w:sz w:val="20"/>
                <w:szCs w:val="20"/>
                <w:lang w:val="en-CA"/>
              </w:rPr>
              <w:t> JJ.</w:t>
            </w:r>
          </w:p>
          <w:p w:rsidR="000A4857" w:rsidRPr="00A54F27" w:rsidRDefault="000A4857" w:rsidP="000A4857">
            <w:pPr>
              <w:rPr>
                <w:sz w:val="20"/>
                <w:szCs w:val="20"/>
                <w:u w:val="single"/>
              </w:rPr>
            </w:pPr>
          </w:p>
        </w:tc>
      </w:tr>
      <w:tr w:rsidR="000A4857" w:rsidRPr="002D3F55" w:rsidTr="000A4857">
        <w:trPr>
          <w:cantSplit/>
        </w:trPr>
        <w:tc>
          <w:tcPr>
            <w:tcW w:w="9576" w:type="dxa"/>
            <w:gridSpan w:val="2"/>
          </w:tcPr>
          <w:p w:rsidR="000A4857" w:rsidRPr="00A54F27" w:rsidRDefault="000A4857" w:rsidP="000A4857">
            <w:pPr>
              <w:pStyle w:val="SCCShortJudgment"/>
              <w:rPr>
                <w:szCs w:val="20"/>
              </w:rPr>
            </w:pPr>
            <w:r w:rsidRPr="00A54F27">
              <w:rPr>
                <w:szCs w:val="20"/>
              </w:rPr>
              <w:t>The application for leave to appeal from the judgment of the Federal Court of Appeal, Number A-282-10, 2011 FCA 228, dated July 18, 2011, is dismissed with costs.</w:t>
            </w:r>
          </w:p>
          <w:p w:rsidR="000A4857" w:rsidRPr="00A54F27" w:rsidRDefault="000A4857" w:rsidP="000A4857">
            <w:pPr>
              <w:pStyle w:val="SCCShortJudgment"/>
              <w:ind w:firstLine="0"/>
              <w:rPr>
                <w:szCs w:val="20"/>
              </w:rPr>
            </w:pPr>
          </w:p>
          <w:p w:rsidR="000A4857" w:rsidRPr="00A54F27" w:rsidRDefault="000A4857" w:rsidP="000A4857">
            <w:pPr>
              <w:pStyle w:val="SCCShortJudgment"/>
              <w:rPr>
                <w:szCs w:val="20"/>
                <w:lang w:val="fr-CA"/>
              </w:rPr>
            </w:pPr>
            <w:r w:rsidRPr="00A54F27">
              <w:rPr>
                <w:szCs w:val="20"/>
                <w:lang w:val="fr-CA"/>
              </w:rPr>
              <w:t>La demande d’autorisation d’appel de l’arrêt de la Cour d’appel fédérale, numéro A-282-10, 2011 CAF 228, daté du 18 juillet 2011, est rejetée avec dépens.</w:t>
            </w:r>
          </w:p>
        </w:tc>
      </w:tr>
    </w:tbl>
    <w:p w:rsidR="00C64AFA" w:rsidRPr="000A4857"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52439" w:rsidRPr="00B32C06" w:rsidTr="00352439">
        <w:tc>
          <w:tcPr>
            <w:tcW w:w="5000" w:type="pct"/>
            <w:gridSpan w:val="3"/>
          </w:tcPr>
          <w:p w:rsidR="00352439" w:rsidRPr="00B32C06" w:rsidRDefault="00352439" w:rsidP="00352439">
            <w:pPr>
              <w:jc w:val="both"/>
              <w:rPr>
                <w:rFonts w:eastAsia="Calibri"/>
                <w:sz w:val="20"/>
              </w:rPr>
            </w:pPr>
            <w:r w:rsidRPr="00B32C06">
              <w:rPr>
                <w:rFonts w:eastAsia="Calibri"/>
                <w:sz w:val="20"/>
              </w:rPr>
              <w:t xml:space="preserve">Intellectual property – Patents – Infringement – Validity – Patent owner bringing infringement action – Whether an issued patent can be declared abandoned, invalid or unenforceable as a result of intentional misrepresentations made to the Patent Office during prosecution? – What is the legal standard for “materiality” and for misrepresentation “wilfully made for the purpose of misleading” pursuant to s. 53(1) of the </w:t>
            </w:r>
            <w:r w:rsidRPr="00B32C06">
              <w:rPr>
                <w:rFonts w:eastAsia="Calibri"/>
                <w:i/>
                <w:sz w:val="20"/>
              </w:rPr>
              <w:t>Patent Act</w:t>
            </w:r>
            <w:r w:rsidRPr="00B32C06">
              <w:rPr>
                <w:rFonts w:eastAsia="Calibri"/>
                <w:sz w:val="20"/>
              </w:rPr>
              <w:t>? - When is an invention made publically available pursuant to ss. 28.2(1</w:t>
            </w:r>
            <w:proofErr w:type="gramStart"/>
            <w:r w:rsidRPr="00B32C06">
              <w:rPr>
                <w:rFonts w:eastAsia="Calibri"/>
                <w:sz w:val="20"/>
              </w:rPr>
              <w:t>)(</w:t>
            </w:r>
            <w:proofErr w:type="gramEnd"/>
            <w:r w:rsidRPr="00B32C06">
              <w:rPr>
                <w:rFonts w:eastAsia="Calibri"/>
                <w:sz w:val="20"/>
              </w:rPr>
              <w:t xml:space="preserve">a) and 28.3(a) of the </w:t>
            </w:r>
            <w:r w:rsidRPr="00B32C06">
              <w:rPr>
                <w:rFonts w:eastAsia="Calibri"/>
                <w:i/>
                <w:sz w:val="20"/>
              </w:rPr>
              <w:t>Patent Act</w:t>
            </w:r>
            <w:r w:rsidRPr="00B32C06">
              <w:rPr>
                <w:rFonts w:eastAsia="Calibri"/>
                <w:sz w:val="20"/>
              </w:rPr>
              <w:t>?</w:t>
            </w:r>
          </w:p>
          <w:p w:rsidR="00352439" w:rsidRPr="00B32C06" w:rsidRDefault="00352439" w:rsidP="00352439">
            <w:pPr>
              <w:ind w:right="180"/>
              <w:jc w:val="both"/>
              <w:rPr>
                <w:rFonts w:eastAsia="Calibri"/>
                <w:sz w:val="20"/>
              </w:rPr>
            </w:pPr>
          </w:p>
        </w:tc>
      </w:tr>
      <w:tr w:rsidR="00352439" w:rsidRPr="00B32C06" w:rsidTr="00352439">
        <w:trPr>
          <w:trHeight w:val="90"/>
        </w:trPr>
        <w:tc>
          <w:tcPr>
            <w:tcW w:w="5000" w:type="pct"/>
            <w:gridSpan w:val="3"/>
          </w:tcPr>
          <w:p w:rsidR="00352439" w:rsidRPr="00B32C06" w:rsidRDefault="00352439" w:rsidP="00352439">
            <w:pPr>
              <w:jc w:val="both"/>
              <w:rPr>
                <w:color w:val="000000"/>
                <w:sz w:val="20"/>
              </w:rPr>
            </w:pPr>
            <w:r w:rsidRPr="00B32C06">
              <w:rPr>
                <w:color w:val="000000"/>
                <w:sz w:val="20"/>
              </w:rPr>
              <w:t xml:space="preserve">Mr. Edward </w:t>
            </w:r>
            <w:proofErr w:type="spellStart"/>
            <w:r w:rsidRPr="00B32C06">
              <w:rPr>
                <w:color w:val="000000"/>
                <w:sz w:val="20"/>
              </w:rPr>
              <w:t>Grenke</w:t>
            </w:r>
            <w:proofErr w:type="spellEnd"/>
            <w:r w:rsidRPr="00B32C06">
              <w:rPr>
                <w:color w:val="000000"/>
                <w:sz w:val="20"/>
              </w:rPr>
              <w:t xml:space="preserve"> owned the ‘937 patent for an improved seal assembly combination designed to fix leaking stuffing boxes on rotary progressive cavity oil pumps.  The device solved a common problem in the oil industry.  The oil being pumped from the ground contained dirt, salt and sand, creating friction that caused the stuffing boxes on the pumps to fail.  </w:t>
            </w:r>
          </w:p>
          <w:p w:rsidR="00352439" w:rsidRPr="00B32C06" w:rsidRDefault="00352439" w:rsidP="00352439">
            <w:pPr>
              <w:jc w:val="both"/>
              <w:rPr>
                <w:color w:val="000000"/>
                <w:sz w:val="20"/>
              </w:rPr>
            </w:pPr>
          </w:p>
          <w:p w:rsidR="00352439" w:rsidRPr="00B32C06" w:rsidRDefault="00352439" w:rsidP="00352439">
            <w:pPr>
              <w:jc w:val="both"/>
              <w:rPr>
                <w:color w:val="000000"/>
                <w:sz w:val="20"/>
              </w:rPr>
            </w:pPr>
            <w:r w:rsidRPr="00B32C06">
              <w:rPr>
                <w:color w:val="000000"/>
                <w:sz w:val="20"/>
              </w:rPr>
              <w:t xml:space="preserve">In consultation with others, </w:t>
            </w:r>
            <w:proofErr w:type="spellStart"/>
            <w:r w:rsidRPr="00B32C06">
              <w:rPr>
                <w:color w:val="000000"/>
                <w:sz w:val="20"/>
              </w:rPr>
              <w:t>Grenke</w:t>
            </w:r>
            <w:proofErr w:type="spellEnd"/>
            <w:r w:rsidRPr="00B32C06">
              <w:rPr>
                <w:color w:val="000000"/>
                <w:sz w:val="20"/>
              </w:rPr>
              <w:t xml:space="preserve"> had built a prototype that was disclosed to and used by two oil producers before he applied for patent protection in 1993. His claimed invention included a plurality of dynamic seals with a leak passage for each seal, and taught a method by which the passages were monitored for leaks. His initial application named Mr. </w:t>
            </w:r>
            <w:proofErr w:type="spellStart"/>
            <w:r w:rsidRPr="00B32C06">
              <w:rPr>
                <w:color w:val="000000"/>
                <w:sz w:val="20"/>
              </w:rPr>
              <w:t>Torfs</w:t>
            </w:r>
            <w:proofErr w:type="spellEnd"/>
            <w:r w:rsidRPr="00B32C06">
              <w:rPr>
                <w:color w:val="000000"/>
                <w:sz w:val="20"/>
              </w:rPr>
              <w:t xml:space="preserve"> as a co-inventor, but Mr. </w:t>
            </w:r>
            <w:proofErr w:type="spellStart"/>
            <w:r w:rsidRPr="00B32C06">
              <w:rPr>
                <w:color w:val="000000"/>
                <w:sz w:val="20"/>
              </w:rPr>
              <w:t>Torfs</w:t>
            </w:r>
            <w:proofErr w:type="spellEnd"/>
            <w:r w:rsidRPr="00B32C06">
              <w:rPr>
                <w:color w:val="000000"/>
                <w:sz w:val="20"/>
              </w:rPr>
              <w:t xml:space="preserve"> died before the patent was issued and Mr. </w:t>
            </w:r>
            <w:proofErr w:type="spellStart"/>
            <w:r w:rsidRPr="00B32C06">
              <w:rPr>
                <w:color w:val="000000"/>
                <w:sz w:val="20"/>
              </w:rPr>
              <w:t>Torfs</w:t>
            </w:r>
            <w:proofErr w:type="spellEnd"/>
            <w:r w:rsidRPr="00B32C06">
              <w:rPr>
                <w:color w:val="000000"/>
                <w:sz w:val="20"/>
              </w:rPr>
              <w:t xml:space="preserve">' employer agreed Mr. </w:t>
            </w:r>
            <w:proofErr w:type="spellStart"/>
            <w:r w:rsidRPr="00B32C06">
              <w:rPr>
                <w:color w:val="000000"/>
                <w:sz w:val="20"/>
              </w:rPr>
              <w:t>Grenke</w:t>
            </w:r>
            <w:proofErr w:type="spellEnd"/>
            <w:r w:rsidRPr="00B32C06">
              <w:rPr>
                <w:color w:val="000000"/>
                <w:sz w:val="20"/>
              </w:rPr>
              <w:t xml:space="preserve"> would take over the patent applications, including the one for the ‘937 patent.  Mr. </w:t>
            </w:r>
            <w:proofErr w:type="spellStart"/>
            <w:r w:rsidRPr="00B32C06">
              <w:rPr>
                <w:color w:val="000000"/>
                <w:sz w:val="20"/>
              </w:rPr>
              <w:t>Grenke</w:t>
            </w:r>
            <w:proofErr w:type="spellEnd"/>
            <w:r w:rsidRPr="00B32C06">
              <w:rPr>
                <w:color w:val="000000"/>
                <w:sz w:val="20"/>
              </w:rPr>
              <w:t xml:space="preserve"> was issued a patent in December 1998.  He licensed the patent rights to </w:t>
            </w:r>
            <w:proofErr w:type="spellStart"/>
            <w:r w:rsidRPr="00B32C06">
              <w:rPr>
                <w:color w:val="000000"/>
                <w:sz w:val="20"/>
              </w:rPr>
              <w:t>GrenCo</w:t>
            </w:r>
            <w:proofErr w:type="spellEnd"/>
            <w:r w:rsidRPr="00B32C06">
              <w:rPr>
                <w:color w:val="000000"/>
                <w:sz w:val="20"/>
              </w:rPr>
              <w:t>, a company in which he was the main shareholder, which in turn, sublicensed the rights to the Weatherford Respondents (collectively, “Weatherford”).</w:t>
            </w:r>
          </w:p>
          <w:p w:rsidR="00352439" w:rsidRPr="00B32C06" w:rsidRDefault="00352439" w:rsidP="00352439">
            <w:pPr>
              <w:jc w:val="both"/>
              <w:rPr>
                <w:color w:val="000000"/>
                <w:sz w:val="20"/>
              </w:rPr>
            </w:pPr>
          </w:p>
          <w:p w:rsidR="00352439" w:rsidRPr="00B32C06" w:rsidRDefault="00352439" w:rsidP="00352439">
            <w:pPr>
              <w:jc w:val="both"/>
              <w:rPr>
                <w:color w:val="000000"/>
                <w:sz w:val="20"/>
              </w:rPr>
            </w:pPr>
            <w:r w:rsidRPr="00B32C06">
              <w:rPr>
                <w:color w:val="000000"/>
                <w:sz w:val="20"/>
              </w:rPr>
              <w:t>In 1999, the Applicants (collectively “</w:t>
            </w:r>
            <w:proofErr w:type="spellStart"/>
            <w:r w:rsidRPr="00B32C06">
              <w:rPr>
                <w:color w:val="000000"/>
                <w:sz w:val="20"/>
              </w:rPr>
              <w:t>Corlac</w:t>
            </w:r>
            <w:proofErr w:type="spellEnd"/>
            <w:r w:rsidRPr="00B32C06">
              <w:rPr>
                <w:color w:val="000000"/>
                <w:sz w:val="20"/>
              </w:rPr>
              <w:t xml:space="preserve">”) began manufacturing a rotating stuffing box for oil wells. Weatherford brought an action against </w:t>
            </w:r>
            <w:proofErr w:type="spellStart"/>
            <w:r w:rsidRPr="00B32C06">
              <w:rPr>
                <w:color w:val="000000"/>
                <w:sz w:val="20"/>
              </w:rPr>
              <w:t>Corlac</w:t>
            </w:r>
            <w:proofErr w:type="spellEnd"/>
            <w:r w:rsidRPr="00B32C06">
              <w:rPr>
                <w:color w:val="000000"/>
                <w:sz w:val="20"/>
              </w:rPr>
              <w:t xml:space="preserve">, alleging that they had infringed the ‘937 patent from 1999 onward in the manufacture and sale of their drive systems for rotary oil well pumps, including an assembly for restraining oil leakage. </w:t>
            </w:r>
            <w:proofErr w:type="spellStart"/>
            <w:r w:rsidRPr="00B32C06">
              <w:rPr>
                <w:color w:val="000000"/>
                <w:sz w:val="20"/>
              </w:rPr>
              <w:t>Corlac</w:t>
            </w:r>
            <w:proofErr w:type="spellEnd"/>
            <w:r w:rsidRPr="00B32C06">
              <w:rPr>
                <w:color w:val="000000"/>
                <w:sz w:val="20"/>
              </w:rPr>
              <w:t xml:space="preserve"> denied the allegations, claiming that Mr. </w:t>
            </w:r>
            <w:proofErr w:type="spellStart"/>
            <w:r w:rsidRPr="00B32C06">
              <w:rPr>
                <w:color w:val="000000"/>
                <w:sz w:val="20"/>
              </w:rPr>
              <w:t>Grenke</w:t>
            </w:r>
            <w:proofErr w:type="spellEnd"/>
            <w:r w:rsidRPr="00B32C06">
              <w:rPr>
                <w:color w:val="000000"/>
                <w:sz w:val="20"/>
              </w:rPr>
              <w:t xml:space="preserve"> was not entitled to the ‘937 patent on the basis that he was not the inventor, and therefore, Weatherford had no valid rights under the patent. </w:t>
            </w:r>
            <w:proofErr w:type="spellStart"/>
            <w:r w:rsidRPr="00B32C06">
              <w:rPr>
                <w:color w:val="000000"/>
                <w:sz w:val="20"/>
              </w:rPr>
              <w:t>Corlac</w:t>
            </w:r>
            <w:proofErr w:type="spellEnd"/>
            <w:r w:rsidRPr="00B32C06">
              <w:rPr>
                <w:color w:val="000000"/>
                <w:sz w:val="20"/>
              </w:rPr>
              <w:t xml:space="preserve"> also attacked the validity of the patent on several grounds and counterclaimed on the basis that they were the owners of the ‘937 patent by assignment or license. </w:t>
            </w:r>
          </w:p>
          <w:p w:rsidR="00352439" w:rsidRPr="00B32C06" w:rsidRDefault="00352439" w:rsidP="00352439">
            <w:pPr>
              <w:jc w:val="both"/>
              <w:rPr>
                <w:color w:val="000000"/>
                <w:sz w:val="20"/>
              </w:rPr>
            </w:pPr>
          </w:p>
        </w:tc>
      </w:tr>
      <w:tr w:rsidR="00352439" w:rsidRPr="00B32C06" w:rsidTr="00352439">
        <w:tc>
          <w:tcPr>
            <w:tcW w:w="2427" w:type="pct"/>
          </w:tcPr>
          <w:p w:rsidR="00352439" w:rsidRPr="00B32C06" w:rsidRDefault="00352439" w:rsidP="00352439">
            <w:pPr>
              <w:jc w:val="both"/>
              <w:rPr>
                <w:rFonts w:eastAsia="Calibri"/>
                <w:sz w:val="20"/>
              </w:rPr>
            </w:pPr>
            <w:r w:rsidRPr="00B32C06">
              <w:rPr>
                <w:rFonts w:eastAsia="Calibri"/>
                <w:sz w:val="20"/>
              </w:rPr>
              <w:t>July 18, 2011</w:t>
            </w:r>
          </w:p>
          <w:p w:rsidR="00352439" w:rsidRPr="00B32C06" w:rsidRDefault="00352439" w:rsidP="00352439">
            <w:pPr>
              <w:jc w:val="both"/>
              <w:rPr>
                <w:rFonts w:eastAsia="Calibri"/>
                <w:sz w:val="20"/>
              </w:rPr>
            </w:pPr>
            <w:r w:rsidRPr="00B32C06">
              <w:rPr>
                <w:rFonts w:eastAsia="Calibri"/>
                <w:sz w:val="20"/>
              </w:rPr>
              <w:t>Federal Court of Appeal</w:t>
            </w:r>
          </w:p>
          <w:p w:rsidR="00352439" w:rsidRPr="00B32C06" w:rsidRDefault="00352439" w:rsidP="00352439">
            <w:pPr>
              <w:jc w:val="both"/>
              <w:rPr>
                <w:rFonts w:eastAsia="Calibri"/>
                <w:sz w:val="20"/>
              </w:rPr>
            </w:pPr>
            <w:r w:rsidRPr="00B32C06">
              <w:rPr>
                <w:rFonts w:eastAsia="Calibri"/>
                <w:sz w:val="20"/>
              </w:rPr>
              <w:t>(</w:t>
            </w:r>
            <w:proofErr w:type="spellStart"/>
            <w:r w:rsidRPr="00B32C06">
              <w:rPr>
                <w:rFonts w:eastAsia="Calibri"/>
                <w:sz w:val="20"/>
              </w:rPr>
              <w:t>Nadon</w:t>
            </w:r>
            <w:proofErr w:type="spellEnd"/>
            <w:r w:rsidRPr="00B32C06">
              <w:rPr>
                <w:rFonts w:eastAsia="Calibri"/>
                <w:sz w:val="20"/>
              </w:rPr>
              <w:t xml:space="preserve">, Evans, </w:t>
            </w:r>
            <w:proofErr w:type="spellStart"/>
            <w:r w:rsidRPr="00B32C06">
              <w:rPr>
                <w:rFonts w:eastAsia="Calibri"/>
                <w:sz w:val="20"/>
              </w:rPr>
              <w:t>Layden</w:t>
            </w:r>
            <w:proofErr w:type="spellEnd"/>
            <w:r w:rsidRPr="00B32C06">
              <w:rPr>
                <w:rFonts w:eastAsia="Calibri"/>
                <w:sz w:val="20"/>
              </w:rPr>
              <w:t>-Stevenson JJ.A.)</w:t>
            </w:r>
          </w:p>
          <w:p w:rsidR="00352439" w:rsidRPr="00B32C06" w:rsidRDefault="00352439" w:rsidP="00352439">
            <w:pPr>
              <w:jc w:val="both"/>
              <w:rPr>
                <w:rFonts w:eastAsia="Calibri"/>
                <w:sz w:val="20"/>
              </w:rPr>
            </w:pPr>
            <w:r w:rsidRPr="00B32C06">
              <w:rPr>
                <w:rFonts w:eastAsia="Calibri"/>
                <w:sz w:val="20"/>
              </w:rPr>
              <w:t>2011 FCA 228</w:t>
            </w:r>
          </w:p>
          <w:p w:rsidR="00352439" w:rsidRPr="00B32C06" w:rsidRDefault="00352439" w:rsidP="00352439">
            <w:pPr>
              <w:jc w:val="both"/>
              <w:rPr>
                <w:rFonts w:eastAsia="Calibri"/>
                <w:sz w:val="20"/>
              </w:rPr>
            </w:pPr>
          </w:p>
        </w:tc>
        <w:tc>
          <w:tcPr>
            <w:tcW w:w="243" w:type="pct"/>
          </w:tcPr>
          <w:p w:rsidR="00352439" w:rsidRPr="00B32C06" w:rsidRDefault="00352439" w:rsidP="00352439">
            <w:pPr>
              <w:jc w:val="both"/>
              <w:rPr>
                <w:rFonts w:eastAsia="Calibri"/>
                <w:sz w:val="20"/>
              </w:rPr>
            </w:pPr>
          </w:p>
        </w:tc>
        <w:tc>
          <w:tcPr>
            <w:tcW w:w="2330" w:type="pct"/>
          </w:tcPr>
          <w:p w:rsidR="00352439" w:rsidRPr="00B32C06" w:rsidRDefault="00352439" w:rsidP="00352439">
            <w:pPr>
              <w:jc w:val="both"/>
              <w:rPr>
                <w:rFonts w:eastAsia="Calibri"/>
                <w:sz w:val="20"/>
              </w:rPr>
            </w:pPr>
            <w:r w:rsidRPr="00B32C06">
              <w:rPr>
                <w:rFonts w:eastAsia="Calibri"/>
                <w:sz w:val="20"/>
              </w:rPr>
              <w:t>Applicants’ appeal allowed in part; question of infringement of Claim 17 of the ‘937 patent returned to Federal Court for determination; otherwise decision of trial judge upheld.</w:t>
            </w:r>
          </w:p>
        </w:tc>
      </w:tr>
      <w:tr w:rsidR="00352439" w:rsidRPr="00B32C06" w:rsidTr="00352439">
        <w:tc>
          <w:tcPr>
            <w:tcW w:w="2427" w:type="pct"/>
          </w:tcPr>
          <w:p w:rsidR="00352439" w:rsidRPr="00B32C06" w:rsidRDefault="00352439" w:rsidP="00352439">
            <w:pPr>
              <w:jc w:val="both"/>
              <w:rPr>
                <w:rFonts w:eastAsia="Calibri"/>
                <w:sz w:val="20"/>
              </w:rPr>
            </w:pPr>
            <w:r w:rsidRPr="00B32C06">
              <w:rPr>
                <w:rFonts w:eastAsia="Calibri"/>
                <w:sz w:val="20"/>
              </w:rPr>
              <w:t>September 28, 2011</w:t>
            </w:r>
          </w:p>
          <w:p w:rsidR="00352439" w:rsidRPr="00B32C06" w:rsidRDefault="00352439" w:rsidP="00352439">
            <w:pPr>
              <w:jc w:val="both"/>
              <w:rPr>
                <w:rFonts w:eastAsia="Calibri"/>
                <w:sz w:val="20"/>
              </w:rPr>
            </w:pPr>
            <w:r w:rsidRPr="00B32C06">
              <w:rPr>
                <w:rFonts w:eastAsia="Calibri"/>
                <w:sz w:val="20"/>
              </w:rPr>
              <w:t>Supreme Court of Canada</w:t>
            </w:r>
          </w:p>
        </w:tc>
        <w:tc>
          <w:tcPr>
            <w:tcW w:w="243" w:type="pct"/>
          </w:tcPr>
          <w:p w:rsidR="00352439" w:rsidRPr="00B32C06" w:rsidRDefault="00352439" w:rsidP="00352439">
            <w:pPr>
              <w:jc w:val="both"/>
              <w:rPr>
                <w:rFonts w:eastAsia="Calibri"/>
                <w:sz w:val="20"/>
              </w:rPr>
            </w:pPr>
          </w:p>
        </w:tc>
        <w:tc>
          <w:tcPr>
            <w:tcW w:w="2330" w:type="pct"/>
          </w:tcPr>
          <w:p w:rsidR="00352439" w:rsidRPr="00B32C06" w:rsidRDefault="00352439" w:rsidP="00352439">
            <w:pPr>
              <w:jc w:val="both"/>
              <w:rPr>
                <w:rFonts w:eastAsia="Calibri"/>
                <w:sz w:val="20"/>
              </w:rPr>
            </w:pPr>
            <w:r w:rsidRPr="00B32C06">
              <w:rPr>
                <w:rFonts w:eastAsia="Calibri"/>
                <w:sz w:val="20"/>
              </w:rPr>
              <w:t>Application for leave to appeal filed</w:t>
            </w:r>
          </w:p>
          <w:p w:rsidR="00352439" w:rsidRPr="00B32C06" w:rsidRDefault="00352439" w:rsidP="00352439">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63"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52439" w:rsidRPr="006112F1" w:rsidTr="00352439">
        <w:tc>
          <w:tcPr>
            <w:tcW w:w="5000" w:type="pct"/>
            <w:gridSpan w:val="3"/>
          </w:tcPr>
          <w:p w:rsidR="00352439" w:rsidRPr="00B32C06" w:rsidRDefault="00352439" w:rsidP="00352439">
            <w:pPr>
              <w:jc w:val="both"/>
              <w:rPr>
                <w:rFonts w:eastAsia="Calibri"/>
                <w:sz w:val="20"/>
                <w:lang w:val="fr-CA"/>
              </w:rPr>
            </w:pPr>
            <w:r w:rsidRPr="00B32C06">
              <w:rPr>
                <w:rFonts w:eastAsia="Calibri"/>
                <w:sz w:val="20"/>
                <w:lang w:val="fr-CA"/>
              </w:rPr>
              <w:t xml:space="preserve">Propriété intellectuelle – Brevets – Contrefaçon – Validité – Le titulaire du brevet a intenté une action en contrefaçon – Un brevet délivré peut-il être déclaré </w:t>
            </w:r>
            <w:proofErr w:type="gramStart"/>
            <w:r w:rsidRPr="00B32C06">
              <w:rPr>
                <w:rFonts w:eastAsia="Calibri"/>
                <w:sz w:val="20"/>
                <w:lang w:val="fr-CA"/>
              </w:rPr>
              <w:t>abandonné</w:t>
            </w:r>
            <w:proofErr w:type="gramEnd"/>
            <w:r w:rsidRPr="00B32C06">
              <w:rPr>
                <w:rFonts w:eastAsia="Calibri"/>
                <w:sz w:val="20"/>
                <w:lang w:val="fr-CA"/>
              </w:rPr>
              <w:t>, invalide ou inopposable en raison de déclarations inexactes faites intentionnellement au bureau des brevets pendant la poursuite? – Quelle est la norme juridique de « l'importance » et de la déclaration inexacte « volontairement faite pour induire en erreur » aux termes du par. 53(1) de la</w:t>
            </w:r>
            <w:r w:rsidRPr="00B32C06">
              <w:rPr>
                <w:rFonts w:eastAsia="Calibri"/>
                <w:i/>
                <w:sz w:val="20"/>
                <w:lang w:val="fr-CA"/>
              </w:rPr>
              <w:t xml:space="preserve"> Loi sur les brevets</w:t>
            </w:r>
            <w:r w:rsidRPr="00B32C06">
              <w:rPr>
                <w:rFonts w:eastAsia="Calibri"/>
                <w:sz w:val="20"/>
                <w:lang w:val="fr-CA"/>
              </w:rPr>
              <w:t>? – Quand une invention est-elle rendue accessible au public aux termes des al. 28.2(1)</w:t>
            </w:r>
            <w:r w:rsidRPr="00B32C06">
              <w:rPr>
                <w:rFonts w:eastAsia="Calibri"/>
                <w:i/>
                <w:sz w:val="20"/>
                <w:lang w:val="fr-CA"/>
              </w:rPr>
              <w:t>a</w:t>
            </w:r>
            <w:r w:rsidRPr="00B32C06">
              <w:rPr>
                <w:rFonts w:eastAsia="Calibri"/>
                <w:sz w:val="20"/>
                <w:lang w:val="fr-CA"/>
              </w:rPr>
              <w:t>) et 28.3</w:t>
            </w:r>
            <w:r w:rsidRPr="00B32C06">
              <w:rPr>
                <w:rFonts w:eastAsia="Calibri"/>
                <w:i/>
                <w:sz w:val="20"/>
                <w:lang w:val="fr-CA"/>
              </w:rPr>
              <w:t>a</w:t>
            </w:r>
            <w:r w:rsidRPr="00B32C06">
              <w:rPr>
                <w:rFonts w:eastAsia="Calibri"/>
                <w:sz w:val="20"/>
                <w:lang w:val="fr-CA"/>
              </w:rPr>
              <w:t>) de la</w:t>
            </w:r>
            <w:r w:rsidRPr="00B32C06">
              <w:rPr>
                <w:rFonts w:eastAsia="Calibri"/>
                <w:i/>
                <w:sz w:val="20"/>
                <w:lang w:val="fr-CA"/>
              </w:rPr>
              <w:t xml:space="preserve"> Loi sur les brevets </w:t>
            </w:r>
            <w:r w:rsidRPr="00B32C06">
              <w:rPr>
                <w:rFonts w:eastAsia="Calibri"/>
                <w:sz w:val="20"/>
                <w:lang w:val="fr-CA"/>
              </w:rPr>
              <w:t>?</w:t>
            </w:r>
          </w:p>
          <w:p w:rsidR="00352439" w:rsidRPr="00B32C06" w:rsidRDefault="00352439" w:rsidP="00352439">
            <w:pPr>
              <w:jc w:val="both"/>
              <w:rPr>
                <w:rFonts w:eastAsia="Calibri"/>
                <w:sz w:val="20"/>
                <w:lang w:val="fr-CA"/>
              </w:rPr>
            </w:pPr>
          </w:p>
        </w:tc>
      </w:tr>
      <w:tr w:rsidR="00352439" w:rsidRPr="002D3F55" w:rsidTr="00352439">
        <w:trPr>
          <w:trHeight w:val="20"/>
        </w:trPr>
        <w:tc>
          <w:tcPr>
            <w:tcW w:w="5000" w:type="pct"/>
            <w:gridSpan w:val="3"/>
          </w:tcPr>
          <w:p w:rsidR="00352439" w:rsidRPr="00B32C06" w:rsidRDefault="00352439" w:rsidP="00352439">
            <w:pPr>
              <w:jc w:val="both"/>
              <w:rPr>
                <w:color w:val="000000"/>
                <w:sz w:val="20"/>
                <w:lang w:val="fr-CA"/>
              </w:rPr>
            </w:pPr>
            <w:r w:rsidRPr="00B32C06">
              <w:rPr>
                <w:color w:val="000000"/>
                <w:sz w:val="20"/>
                <w:lang w:val="fr-CA"/>
              </w:rPr>
              <w:t xml:space="preserve">Monsieur Edward </w:t>
            </w:r>
            <w:proofErr w:type="spellStart"/>
            <w:r w:rsidRPr="00B32C06">
              <w:rPr>
                <w:color w:val="000000"/>
                <w:sz w:val="20"/>
                <w:lang w:val="fr-CA"/>
              </w:rPr>
              <w:t>Grenke</w:t>
            </w:r>
            <w:proofErr w:type="spellEnd"/>
            <w:r w:rsidRPr="00B32C06">
              <w:rPr>
                <w:color w:val="000000"/>
                <w:sz w:val="20"/>
                <w:lang w:val="fr-CA"/>
              </w:rPr>
              <w:t xml:space="preserve"> était titulaire du brevet 937 concernant un ensemble d’étanchéité amélioré conçu pour réparer les boîtes à garniture qui fuient sur les pompes de pétrole rotatives à rotor hélicoïdal. Le dispositif réglait un problème commun dans l'industrie du pétrole. Le pétrole pompé du sol contient de la saleté, du sel et du sable, créant du frottement qui entraine la défaillance des boîtes à garniture des pompes.  </w:t>
            </w:r>
          </w:p>
          <w:p w:rsidR="00352439" w:rsidRPr="00B32C06" w:rsidRDefault="00352439" w:rsidP="00352439">
            <w:pPr>
              <w:jc w:val="both"/>
              <w:rPr>
                <w:color w:val="000000"/>
                <w:sz w:val="20"/>
                <w:lang w:val="fr-CA"/>
              </w:rPr>
            </w:pPr>
          </w:p>
          <w:p w:rsidR="00352439" w:rsidRPr="00B32C06" w:rsidRDefault="00352439" w:rsidP="00352439">
            <w:pPr>
              <w:jc w:val="both"/>
              <w:rPr>
                <w:color w:val="000000"/>
                <w:sz w:val="20"/>
                <w:lang w:val="fr-CA"/>
              </w:rPr>
            </w:pPr>
            <w:r w:rsidRPr="00B32C06">
              <w:rPr>
                <w:color w:val="000000"/>
                <w:sz w:val="20"/>
                <w:lang w:val="fr-CA"/>
              </w:rPr>
              <w:t xml:space="preserve">En consultation avec d'autres, M. </w:t>
            </w:r>
            <w:proofErr w:type="spellStart"/>
            <w:r w:rsidRPr="00B32C06">
              <w:rPr>
                <w:color w:val="000000"/>
                <w:sz w:val="20"/>
                <w:lang w:val="fr-CA"/>
              </w:rPr>
              <w:t>Grenke</w:t>
            </w:r>
            <w:proofErr w:type="spellEnd"/>
            <w:r w:rsidRPr="00B32C06">
              <w:rPr>
                <w:color w:val="000000"/>
                <w:sz w:val="20"/>
                <w:lang w:val="fr-CA"/>
              </w:rPr>
              <w:t xml:space="preserve"> avait construit un prototype qui a été l'objet d'une communication à deux producteurs de pétrole qui l'ont utilisé avant qu'il ne demande la protection d'un brevet en 1993. L'invention qu'il revendiquait comprenait une pluralité de joints dynamiques munis d’un passage anti-fuite pour chaque joint et il a enseigné une méthode par laquelle les passages étaient surveillés pour détecter les fuites. Sa demande initiale indiquait que M. </w:t>
            </w:r>
            <w:proofErr w:type="spellStart"/>
            <w:r w:rsidRPr="00B32C06">
              <w:rPr>
                <w:color w:val="000000"/>
                <w:sz w:val="20"/>
                <w:lang w:val="fr-CA"/>
              </w:rPr>
              <w:t>Torfs</w:t>
            </w:r>
            <w:proofErr w:type="spellEnd"/>
            <w:r w:rsidRPr="00B32C06">
              <w:rPr>
                <w:color w:val="000000"/>
                <w:sz w:val="20"/>
                <w:lang w:val="fr-CA"/>
              </w:rPr>
              <w:t xml:space="preserve"> était </w:t>
            </w:r>
            <w:proofErr w:type="spellStart"/>
            <w:r w:rsidRPr="00B32C06">
              <w:rPr>
                <w:color w:val="000000"/>
                <w:sz w:val="20"/>
                <w:lang w:val="fr-CA"/>
              </w:rPr>
              <w:t>coinventeur</w:t>
            </w:r>
            <w:proofErr w:type="spellEnd"/>
            <w:r w:rsidRPr="00B32C06">
              <w:rPr>
                <w:color w:val="000000"/>
                <w:sz w:val="20"/>
                <w:lang w:val="fr-CA"/>
              </w:rPr>
              <w:t xml:space="preserve">, mais M. </w:t>
            </w:r>
            <w:proofErr w:type="spellStart"/>
            <w:r w:rsidRPr="00B32C06">
              <w:rPr>
                <w:color w:val="000000"/>
                <w:sz w:val="20"/>
                <w:lang w:val="fr-CA"/>
              </w:rPr>
              <w:t>Torfs</w:t>
            </w:r>
            <w:proofErr w:type="spellEnd"/>
            <w:r w:rsidRPr="00B32C06">
              <w:rPr>
                <w:color w:val="000000"/>
                <w:sz w:val="20"/>
                <w:lang w:val="fr-CA"/>
              </w:rPr>
              <w:t xml:space="preserve"> est décédé avant la délivrance du brevet et l'employeur de M. </w:t>
            </w:r>
            <w:proofErr w:type="spellStart"/>
            <w:r w:rsidRPr="00B32C06">
              <w:rPr>
                <w:color w:val="000000"/>
                <w:sz w:val="20"/>
                <w:lang w:val="fr-CA"/>
              </w:rPr>
              <w:t>Torfs</w:t>
            </w:r>
            <w:proofErr w:type="spellEnd"/>
            <w:r w:rsidRPr="00B32C06">
              <w:rPr>
                <w:color w:val="000000"/>
                <w:sz w:val="20"/>
                <w:lang w:val="fr-CA"/>
              </w:rPr>
              <w:t xml:space="preserve"> a accepté que M. </w:t>
            </w:r>
            <w:proofErr w:type="spellStart"/>
            <w:r w:rsidRPr="00B32C06">
              <w:rPr>
                <w:color w:val="000000"/>
                <w:sz w:val="20"/>
                <w:lang w:val="fr-CA"/>
              </w:rPr>
              <w:t>Grenke</w:t>
            </w:r>
            <w:proofErr w:type="spellEnd"/>
            <w:r w:rsidRPr="00B32C06">
              <w:rPr>
                <w:color w:val="000000"/>
                <w:sz w:val="20"/>
                <w:lang w:val="fr-CA"/>
              </w:rPr>
              <w:t xml:space="preserve"> reprenne les demandes de brevets, y compris celle qui concernait le brevet 937.  Monsieur </w:t>
            </w:r>
            <w:proofErr w:type="spellStart"/>
            <w:r w:rsidRPr="00B32C06">
              <w:rPr>
                <w:color w:val="000000"/>
                <w:sz w:val="20"/>
                <w:lang w:val="fr-CA"/>
              </w:rPr>
              <w:t>Grenke</w:t>
            </w:r>
            <w:proofErr w:type="spellEnd"/>
            <w:r w:rsidRPr="00B32C06">
              <w:rPr>
                <w:color w:val="000000"/>
                <w:sz w:val="20"/>
                <w:lang w:val="fr-CA"/>
              </w:rPr>
              <w:t xml:space="preserve"> s'est vu délivrer un brevet en décembre 1998. Il a cédé par licence les droits de brevet à </w:t>
            </w:r>
            <w:proofErr w:type="spellStart"/>
            <w:r w:rsidRPr="00B32C06">
              <w:rPr>
                <w:color w:val="000000"/>
                <w:sz w:val="20"/>
                <w:lang w:val="fr-CA"/>
              </w:rPr>
              <w:t>GrenCo</w:t>
            </w:r>
            <w:proofErr w:type="spellEnd"/>
            <w:r w:rsidRPr="00B32C06">
              <w:rPr>
                <w:color w:val="000000"/>
                <w:sz w:val="20"/>
                <w:lang w:val="fr-CA"/>
              </w:rPr>
              <w:t xml:space="preserve">, une compagnie dont il était le principal actionnaire, qui a ensuite cédé par sous-licence les droits aux intimées </w:t>
            </w:r>
            <w:proofErr w:type="spellStart"/>
            <w:r w:rsidRPr="00B32C06">
              <w:rPr>
                <w:color w:val="000000"/>
                <w:sz w:val="20"/>
                <w:lang w:val="fr-CA"/>
              </w:rPr>
              <w:t>Weatherford</w:t>
            </w:r>
            <w:proofErr w:type="spellEnd"/>
            <w:r w:rsidRPr="00B32C06">
              <w:rPr>
                <w:color w:val="000000"/>
                <w:sz w:val="20"/>
                <w:lang w:val="fr-CA"/>
              </w:rPr>
              <w:t xml:space="preserve"> (collectivement, « </w:t>
            </w:r>
            <w:proofErr w:type="spellStart"/>
            <w:r w:rsidRPr="00B32C06">
              <w:rPr>
                <w:color w:val="000000"/>
                <w:sz w:val="20"/>
                <w:lang w:val="fr-CA"/>
              </w:rPr>
              <w:t>Weatherford</w:t>
            </w:r>
            <w:proofErr w:type="spellEnd"/>
            <w:r w:rsidRPr="00B32C06">
              <w:rPr>
                <w:color w:val="000000"/>
                <w:sz w:val="20"/>
                <w:lang w:val="fr-CA"/>
              </w:rPr>
              <w:t> »).</w:t>
            </w:r>
          </w:p>
          <w:p w:rsidR="00352439" w:rsidRPr="00B32C06" w:rsidRDefault="00352439" w:rsidP="00352439">
            <w:pPr>
              <w:jc w:val="both"/>
              <w:rPr>
                <w:color w:val="000000"/>
                <w:sz w:val="20"/>
                <w:lang w:val="fr-CA"/>
              </w:rPr>
            </w:pPr>
          </w:p>
          <w:p w:rsidR="00352439" w:rsidRPr="00B32C06" w:rsidRDefault="00352439" w:rsidP="00352439">
            <w:pPr>
              <w:jc w:val="both"/>
              <w:rPr>
                <w:color w:val="000000"/>
                <w:sz w:val="20"/>
                <w:lang w:val="fr-CA"/>
              </w:rPr>
            </w:pPr>
            <w:r w:rsidRPr="00B32C06">
              <w:rPr>
                <w:color w:val="000000"/>
                <w:sz w:val="20"/>
                <w:lang w:val="fr-CA"/>
              </w:rPr>
              <w:t xml:space="preserve">En 1999, les </w:t>
            </w:r>
            <w:proofErr w:type="spellStart"/>
            <w:r w:rsidRPr="00B32C06">
              <w:rPr>
                <w:color w:val="000000"/>
                <w:sz w:val="20"/>
                <w:lang w:val="fr-CA"/>
              </w:rPr>
              <w:t>demanderesses</w:t>
            </w:r>
            <w:proofErr w:type="spellEnd"/>
            <w:r w:rsidRPr="00B32C06">
              <w:rPr>
                <w:color w:val="000000"/>
                <w:sz w:val="20"/>
                <w:lang w:val="fr-CA"/>
              </w:rPr>
              <w:t xml:space="preserve"> (collectivement « </w:t>
            </w:r>
            <w:proofErr w:type="spellStart"/>
            <w:r w:rsidRPr="00B32C06">
              <w:rPr>
                <w:color w:val="000000"/>
                <w:sz w:val="20"/>
                <w:lang w:val="fr-CA"/>
              </w:rPr>
              <w:t>Corlac</w:t>
            </w:r>
            <w:proofErr w:type="spellEnd"/>
            <w:r w:rsidRPr="00B32C06">
              <w:rPr>
                <w:color w:val="000000"/>
                <w:sz w:val="20"/>
                <w:lang w:val="fr-CA"/>
              </w:rPr>
              <w:t xml:space="preserve"> ») ont commencé à fabriquer une boîte à garniture rotative pour les puits de pétrole. </w:t>
            </w:r>
            <w:proofErr w:type="spellStart"/>
            <w:r w:rsidRPr="00B32C06">
              <w:rPr>
                <w:color w:val="000000"/>
                <w:sz w:val="20"/>
                <w:lang w:val="fr-CA"/>
              </w:rPr>
              <w:t>Weatherford</w:t>
            </w:r>
            <w:proofErr w:type="spellEnd"/>
            <w:r w:rsidRPr="00B32C06">
              <w:rPr>
                <w:color w:val="000000"/>
                <w:sz w:val="20"/>
                <w:lang w:val="fr-CA"/>
              </w:rPr>
              <w:t xml:space="preserve"> a intenté une action contre </w:t>
            </w:r>
            <w:proofErr w:type="spellStart"/>
            <w:r w:rsidRPr="00B32C06">
              <w:rPr>
                <w:color w:val="000000"/>
                <w:sz w:val="20"/>
                <w:lang w:val="fr-CA"/>
              </w:rPr>
              <w:t>Corlac</w:t>
            </w:r>
            <w:proofErr w:type="spellEnd"/>
            <w:r w:rsidRPr="00B32C06">
              <w:rPr>
                <w:color w:val="000000"/>
                <w:sz w:val="20"/>
                <w:lang w:val="fr-CA"/>
              </w:rPr>
              <w:t xml:space="preserve">, alléguant qu'elle avait contrefait le brevet 937 à partir de 1999 dans la fabrication et la vente de son système d’entraînement pour pompe rotative de puits de pétrole, y compris un assemblage pour empêcher les fuites de pétrole. </w:t>
            </w:r>
            <w:proofErr w:type="spellStart"/>
            <w:r w:rsidRPr="00B32C06">
              <w:rPr>
                <w:color w:val="000000"/>
                <w:sz w:val="20"/>
                <w:lang w:val="fr-CA"/>
              </w:rPr>
              <w:t>Corlac</w:t>
            </w:r>
            <w:proofErr w:type="spellEnd"/>
            <w:r w:rsidRPr="00B32C06">
              <w:rPr>
                <w:color w:val="000000"/>
                <w:sz w:val="20"/>
                <w:lang w:val="fr-CA"/>
              </w:rPr>
              <w:t xml:space="preserve"> a nié les allégations, alléguant que M. </w:t>
            </w:r>
            <w:proofErr w:type="spellStart"/>
            <w:r w:rsidRPr="00B32C06">
              <w:rPr>
                <w:color w:val="000000"/>
                <w:sz w:val="20"/>
                <w:lang w:val="fr-CA"/>
              </w:rPr>
              <w:t>Grenke</w:t>
            </w:r>
            <w:proofErr w:type="spellEnd"/>
            <w:r w:rsidRPr="00B32C06">
              <w:rPr>
                <w:color w:val="000000"/>
                <w:sz w:val="20"/>
                <w:lang w:val="fr-CA"/>
              </w:rPr>
              <w:t xml:space="preserve"> n'avait pas droit au brevet 937, vu qu'il n'était pas l'inventeur, si bien que </w:t>
            </w:r>
            <w:proofErr w:type="spellStart"/>
            <w:r w:rsidRPr="00B32C06">
              <w:rPr>
                <w:color w:val="000000"/>
                <w:sz w:val="20"/>
                <w:lang w:val="fr-CA"/>
              </w:rPr>
              <w:t>Weatherford</w:t>
            </w:r>
            <w:proofErr w:type="spellEnd"/>
            <w:r w:rsidRPr="00B32C06">
              <w:rPr>
                <w:color w:val="000000"/>
                <w:sz w:val="20"/>
                <w:lang w:val="fr-CA"/>
              </w:rPr>
              <w:t xml:space="preserve"> n'avait aucun droit valide en vertu du brevet. </w:t>
            </w:r>
            <w:proofErr w:type="spellStart"/>
            <w:r w:rsidRPr="00B32C06">
              <w:rPr>
                <w:color w:val="000000"/>
                <w:sz w:val="20"/>
                <w:lang w:val="fr-CA"/>
              </w:rPr>
              <w:t>Corlac</w:t>
            </w:r>
            <w:proofErr w:type="spellEnd"/>
            <w:r w:rsidRPr="00B32C06">
              <w:rPr>
                <w:color w:val="000000"/>
                <w:sz w:val="20"/>
                <w:lang w:val="fr-CA"/>
              </w:rPr>
              <w:t xml:space="preserve"> a également contesté la validité du brevet pour plusieurs motifs et a intenté une demande reconventionnelle, alléguant qu'elle était titulaire du brevet 937 par cession ou licence. </w:t>
            </w:r>
          </w:p>
          <w:p w:rsidR="00352439" w:rsidRPr="00B32C06" w:rsidRDefault="00352439" w:rsidP="00352439">
            <w:pPr>
              <w:jc w:val="both"/>
              <w:rPr>
                <w:color w:val="000000"/>
                <w:sz w:val="20"/>
                <w:lang w:val="fr-CA"/>
              </w:rPr>
            </w:pPr>
          </w:p>
        </w:tc>
      </w:tr>
      <w:tr w:rsidR="00352439" w:rsidRPr="002D3F55" w:rsidTr="00352439">
        <w:tc>
          <w:tcPr>
            <w:tcW w:w="2427" w:type="pct"/>
          </w:tcPr>
          <w:p w:rsidR="00352439" w:rsidRPr="00B32C06" w:rsidRDefault="00352439" w:rsidP="00352439">
            <w:pPr>
              <w:jc w:val="both"/>
              <w:rPr>
                <w:rFonts w:eastAsia="Calibri"/>
                <w:sz w:val="20"/>
                <w:lang w:val="fr-CA"/>
              </w:rPr>
            </w:pPr>
            <w:r w:rsidRPr="00B32C06">
              <w:rPr>
                <w:rFonts w:eastAsia="Calibri"/>
                <w:sz w:val="20"/>
                <w:lang w:val="fr-CA"/>
              </w:rPr>
              <w:t>18 juillet 2011</w:t>
            </w:r>
          </w:p>
          <w:p w:rsidR="00352439" w:rsidRPr="00B32C06" w:rsidRDefault="00352439" w:rsidP="00352439">
            <w:pPr>
              <w:jc w:val="both"/>
              <w:rPr>
                <w:rFonts w:eastAsia="Calibri"/>
                <w:sz w:val="20"/>
                <w:lang w:val="fr-CA"/>
              </w:rPr>
            </w:pPr>
            <w:r w:rsidRPr="00B32C06">
              <w:rPr>
                <w:rFonts w:eastAsia="Calibri"/>
                <w:sz w:val="20"/>
                <w:lang w:val="fr-CA"/>
              </w:rPr>
              <w:t xml:space="preserve">Cour d'appel fédérale </w:t>
            </w:r>
          </w:p>
          <w:p w:rsidR="00352439" w:rsidRPr="00B32C06" w:rsidRDefault="00352439" w:rsidP="00352439">
            <w:pPr>
              <w:jc w:val="both"/>
              <w:rPr>
                <w:rFonts w:eastAsia="Calibri"/>
                <w:sz w:val="20"/>
                <w:lang w:val="fr-CA"/>
              </w:rPr>
            </w:pPr>
            <w:r w:rsidRPr="00B32C06">
              <w:rPr>
                <w:rFonts w:eastAsia="Calibri"/>
                <w:sz w:val="20"/>
                <w:lang w:val="fr-CA"/>
              </w:rPr>
              <w:t xml:space="preserve">(Juges Nadon, Evans et </w:t>
            </w:r>
            <w:proofErr w:type="spellStart"/>
            <w:r w:rsidRPr="00B32C06">
              <w:rPr>
                <w:rFonts w:eastAsia="Calibri"/>
                <w:sz w:val="20"/>
                <w:lang w:val="fr-CA"/>
              </w:rPr>
              <w:t>Layden</w:t>
            </w:r>
            <w:proofErr w:type="spellEnd"/>
            <w:r w:rsidRPr="00B32C06">
              <w:rPr>
                <w:rFonts w:eastAsia="Calibri"/>
                <w:sz w:val="20"/>
                <w:lang w:val="fr-CA"/>
              </w:rPr>
              <w:t>-Stevenson)</w:t>
            </w:r>
          </w:p>
          <w:p w:rsidR="00352439" w:rsidRPr="00B32C06" w:rsidRDefault="00352439" w:rsidP="00352439">
            <w:pPr>
              <w:jc w:val="both"/>
              <w:rPr>
                <w:rFonts w:eastAsia="Calibri"/>
                <w:sz w:val="20"/>
                <w:lang w:val="fr-CA"/>
              </w:rPr>
            </w:pPr>
            <w:r w:rsidRPr="00B32C06">
              <w:rPr>
                <w:rFonts w:eastAsia="Calibri"/>
                <w:sz w:val="20"/>
                <w:lang w:val="fr-CA"/>
              </w:rPr>
              <w:t>2011 FCA 228</w:t>
            </w:r>
          </w:p>
          <w:p w:rsidR="00352439" w:rsidRPr="00B32C06" w:rsidRDefault="00352439" w:rsidP="00352439">
            <w:pPr>
              <w:jc w:val="both"/>
              <w:rPr>
                <w:rFonts w:eastAsia="Calibri"/>
                <w:sz w:val="20"/>
                <w:lang w:val="fr-CA"/>
              </w:rPr>
            </w:pPr>
          </w:p>
        </w:tc>
        <w:tc>
          <w:tcPr>
            <w:tcW w:w="243" w:type="pct"/>
          </w:tcPr>
          <w:p w:rsidR="00352439" w:rsidRPr="00B32C06" w:rsidRDefault="00352439" w:rsidP="00352439">
            <w:pPr>
              <w:jc w:val="both"/>
              <w:rPr>
                <w:rFonts w:eastAsia="Calibri"/>
                <w:sz w:val="20"/>
                <w:lang w:val="fr-CA"/>
              </w:rPr>
            </w:pPr>
          </w:p>
        </w:tc>
        <w:tc>
          <w:tcPr>
            <w:tcW w:w="2330" w:type="pct"/>
          </w:tcPr>
          <w:p w:rsidR="00352439" w:rsidRPr="00B32C06" w:rsidRDefault="00352439" w:rsidP="00352439">
            <w:pPr>
              <w:jc w:val="both"/>
              <w:rPr>
                <w:rFonts w:eastAsia="Calibri"/>
                <w:sz w:val="20"/>
                <w:lang w:val="fr-CA"/>
              </w:rPr>
            </w:pPr>
            <w:r w:rsidRPr="00B32C06">
              <w:rPr>
                <w:rFonts w:eastAsia="Calibri"/>
                <w:sz w:val="20"/>
                <w:lang w:val="fr-CA"/>
              </w:rPr>
              <w:t xml:space="preserve">Appel des </w:t>
            </w:r>
            <w:proofErr w:type="spellStart"/>
            <w:r w:rsidRPr="00B32C06">
              <w:rPr>
                <w:rFonts w:eastAsia="Calibri"/>
                <w:sz w:val="20"/>
                <w:lang w:val="fr-CA"/>
              </w:rPr>
              <w:t>demanderesses</w:t>
            </w:r>
            <w:proofErr w:type="spellEnd"/>
            <w:r w:rsidRPr="00B32C06">
              <w:rPr>
                <w:rFonts w:eastAsia="Calibri"/>
                <w:sz w:val="20"/>
                <w:lang w:val="fr-CA"/>
              </w:rPr>
              <w:t xml:space="preserve"> accueilli en partie; la question de la contrefaçon de la revendication 17 du brevet 937 est renvoyée à la Cour fédérale pour</w:t>
            </w:r>
            <w:r w:rsidRPr="00B32C06">
              <w:rPr>
                <w:rFonts w:eastAsia="Calibri"/>
                <w:color w:val="000000"/>
                <w:sz w:val="20"/>
                <w:lang w:val="fr-CA"/>
              </w:rPr>
              <w:t xml:space="preserve"> </w:t>
            </w:r>
            <w:r w:rsidRPr="00B32C06">
              <w:rPr>
                <w:rFonts w:eastAsia="Calibri"/>
                <w:sz w:val="20"/>
                <w:lang w:val="fr-CA"/>
              </w:rPr>
              <w:t>qu’elle rende une nouvelle décision; autrement. la décision du juge de première instance est confirmée.</w:t>
            </w:r>
          </w:p>
          <w:p w:rsidR="00352439" w:rsidRPr="00B32C06" w:rsidRDefault="00352439" w:rsidP="00352439">
            <w:pPr>
              <w:jc w:val="both"/>
              <w:rPr>
                <w:rFonts w:eastAsia="Calibri"/>
                <w:sz w:val="20"/>
                <w:lang w:val="fr-CA"/>
              </w:rPr>
            </w:pPr>
          </w:p>
        </w:tc>
      </w:tr>
      <w:tr w:rsidR="00352439" w:rsidRPr="00B32C06" w:rsidTr="00352439">
        <w:tc>
          <w:tcPr>
            <w:tcW w:w="2427" w:type="pct"/>
          </w:tcPr>
          <w:p w:rsidR="00352439" w:rsidRPr="00B32C06" w:rsidRDefault="00352439" w:rsidP="00352439">
            <w:pPr>
              <w:jc w:val="both"/>
              <w:rPr>
                <w:rFonts w:eastAsia="Calibri"/>
                <w:sz w:val="20"/>
                <w:lang w:val="fr-CA"/>
              </w:rPr>
            </w:pPr>
            <w:r w:rsidRPr="00B32C06">
              <w:rPr>
                <w:rFonts w:eastAsia="Calibri"/>
                <w:sz w:val="20"/>
                <w:lang w:val="fr-CA"/>
              </w:rPr>
              <w:t>28 septembre 2011</w:t>
            </w:r>
          </w:p>
          <w:p w:rsidR="00352439" w:rsidRPr="00B32C06" w:rsidRDefault="00352439" w:rsidP="00352439">
            <w:pPr>
              <w:jc w:val="both"/>
              <w:rPr>
                <w:rFonts w:eastAsia="Calibri"/>
                <w:sz w:val="20"/>
                <w:lang w:val="fr-CA"/>
              </w:rPr>
            </w:pPr>
            <w:r w:rsidRPr="00B32C06">
              <w:rPr>
                <w:rFonts w:eastAsia="Calibri"/>
                <w:sz w:val="20"/>
                <w:lang w:val="fr-CA"/>
              </w:rPr>
              <w:t>Cour suprême du Canada</w:t>
            </w:r>
          </w:p>
        </w:tc>
        <w:tc>
          <w:tcPr>
            <w:tcW w:w="243" w:type="pct"/>
          </w:tcPr>
          <w:p w:rsidR="00352439" w:rsidRPr="00B32C06" w:rsidRDefault="00352439" w:rsidP="00352439">
            <w:pPr>
              <w:jc w:val="both"/>
              <w:rPr>
                <w:rFonts w:eastAsia="Calibri"/>
                <w:sz w:val="20"/>
                <w:lang w:val="fr-CA"/>
              </w:rPr>
            </w:pPr>
          </w:p>
        </w:tc>
        <w:tc>
          <w:tcPr>
            <w:tcW w:w="2330" w:type="pct"/>
          </w:tcPr>
          <w:p w:rsidR="00352439" w:rsidRPr="00B32C06" w:rsidRDefault="00352439" w:rsidP="00352439">
            <w:pPr>
              <w:jc w:val="both"/>
              <w:rPr>
                <w:rFonts w:eastAsia="Calibri"/>
                <w:sz w:val="20"/>
                <w:lang w:val="fr-CA"/>
              </w:rPr>
            </w:pPr>
            <w:r w:rsidRPr="00B32C06">
              <w:rPr>
                <w:rFonts w:eastAsia="Calibri"/>
                <w:sz w:val="20"/>
                <w:lang w:val="fr-CA"/>
              </w:rPr>
              <w:t>Demande d'autorisation d'appel, déposée</w:t>
            </w:r>
          </w:p>
          <w:p w:rsidR="00352439" w:rsidRPr="00B32C06" w:rsidRDefault="00352439" w:rsidP="00352439">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64" style="width:2in;height:1pt" o:hrpct="0" o:hralign="center" o:hrstd="t" o:hrnoshade="t" o:hr="t" fillcolor="black [3213]" stroked="f"/>
        </w:pict>
      </w: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62EA" w:rsidRPr="00A54F27" w:rsidTr="00E062EA">
        <w:trPr>
          <w:cantSplit/>
        </w:trPr>
        <w:tc>
          <w:tcPr>
            <w:tcW w:w="1458" w:type="dxa"/>
          </w:tcPr>
          <w:p w:rsidR="00E062EA" w:rsidRPr="00A54F27" w:rsidRDefault="00E062EA" w:rsidP="00E062EA">
            <w:pPr>
              <w:rPr>
                <w:sz w:val="20"/>
                <w:szCs w:val="20"/>
              </w:rPr>
            </w:pPr>
            <w:r w:rsidRPr="00A54F27">
              <w:rPr>
                <w:rStyle w:val="SCCFileNumberChar"/>
                <w:sz w:val="20"/>
                <w:szCs w:val="20"/>
              </w:rPr>
              <w:t>34475</w:t>
            </w:r>
          </w:p>
          <w:p w:rsidR="00E062EA" w:rsidRPr="00A54F27" w:rsidRDefault="00E062EA" w:rsidP="00E062EA">
            <w:pPr>
              <w:rPr>
                <w:b/>
                <w:sz w:val="20"/>
                <w:szCs w:val="20"/>
                <w:lang w:val="fr-CA"/>
              </w:rPr>
            </w:pPr>
          </w:p>
        </w:tc>
        <w:tc>
          <w:tcPr>
            <w:tcW w:w="8118" w:type="dxa"/>
          </w:tcPr>
          <w:p w:rsidR="00E062EA" w:rsidRPr="00A54F27" w:rsidRDefault="00E062EA" w:rsidP="00E062EA">
            <w:pPr>
              <w:jc w:val="both"/>
              <w:rPr>
                <w:sz w:val="20"/>
                <w:szCs w:val="20"/>
              </w:rPr>
            </w:pPr>
            <w:r w:rsidRPr="00E062EA">
              <w:rPr>
                <w:rStyle w:val="SCCLsocChar"/>
                <w:sz w:val="20"/>
                <w:szCs w:val="20"/>
                <w:lang w:val="en-CA"/>
              </w:rPr>
              <w:t>Hal Neumann v. Attorney General of Canada and Canada Revenue Agency</w:t>
            </w:r>
            <w:r w:rsidRPr="00A54F27">
              <w:rPr>
                <w:sz w:val="20"/>
                <w:szCs w:val="20"/>
              </w:rPr>
              <w:t xml:space="preserve"> (B.C.) (Criminal) (By Leave)</w:t>
            </w:r>
          </w:p>
          <w:p w:rsidR="00E062EA" w:rsidRPr="00A54F27" w:rsidRDefault="00E062EA" w:rsidP="00E062EA">
            <w:pPr>
              <w:rPr>
                <w:sz w:val="20"/>
                <w:szCs w:val="20"/>
              </w:rPr>
            </w:pPr>
          </w:p>
        </w:tc>
      </w:tr>
      <w:tr w:rsidR="00E062EA" w:rsidRPr="00A54F27" w:rsidTr="00E062EA">
        <w:trPr>
          <w:cantSplit/>
        </w:trPr>
        <w:tc>
          <w:tcPr>
            <w:tcW w:w="1458" w:type="dxa"/>
          </w:tcPr>
          <w:p w:rsidR="00E062EA" w:rsidRPr="00A54F27" w:rsidRDefault="00E062EA" w:rsidP="00E062EA">
            <w:pPr>
              <w:rPr>
                <w:sz w:val="20"/>
                <w:szCs w:val="20"/>
              </w:rPr>
            </w:pPr>
            <w:r w:rsidRPr="00A54F27">
              <w:rPr>
                <w:sz w:val="20"/>
                <w:szCs w:val="20"/>
              </w:rPr>
              <w:t>Coram :</w:t>
            </w:r>
          </w:p>
        </w:tc>
        <w:tc>
          <w:tcPr>
            <w:tcW w:w="8118" w:type="dxa"/>
          </w:tcPr>
          <w:p w:rsidR="00E062EA" w:rsidRPr="00A54F27" w:rsidRDefault="00E062EA" w:rsidP="00E062EA">
            <w:pPr>
              <w:rPr>
                <w:sz w:val="20"/>
                <w:szCs w:val="20"/>
              </w:rPr>
            </w:pPr>
            <w:proofErr w:type="spellStart"/>
            <w:r w:rsidRPr="00E062EA">
              <w:rPr>
                <w:rStyle w:val="SCCCoramChar"/>
                <w:sz w:val="20"/>
                <w:szCs w:val="20"/>
                <w:lang w:val="en-CA"/>
              </w:rPr>
              <w:t>McLachlin</w:t>
            </w:r>
            <w:proofErr w:type="spellEnd"/>
            <w:r w:rsidRPr="00E062EA">
              <w:rPr>
                <w:rStyle w:val="SCCCoramChar"/>
                <w:sz w:val="20"/>
                <w:szCs w:val="20"/>
                <w:lang w:val="en-CA"/>
              </w:rPr>
              <w:t xml:space="preserve"> C.J. and Rothstein and </w:t>
            </w:r>
            <w:proofErr w:type="spellStart"/>
            <w:r w:rsidRPr="00E062EA">
              <w:rPr>
                <w:rStyle w:val="SCCCoramChar"/>
                <w:sz w:val="20"/>
                <w:szCs w:val="20"/>
                <w:lang w:val="en-CA"/>
              </w:rPr>
              <w:t>Moldaver</w:t>
            </w:r>
            <w:proofErr w:type="spellEnd"/>
            <w:r w:rsidRPr="00E062EA">
              <w:rPr>
                <w:rStyle w:val="SCCCoramChar"/>
                <w:sz w:val="20"/>
                <w:szCs w:val="20"/>
                <w:lang w:val="en-CA"/>
              </w:rPr>
              <w:t> JJ.</w:t>
            </w:r>
          </w:p>
          <w:p w:rsidR="00E062EA" w:rsidRPr="00A54F27" w:rsidRDefault="00E062EA" w:rsidP="00E062EA">
            <w:pPr>
              <w:rPr>
                <w:sz w:val="20"/>
                <w:szCs w:val="20"/>
                <w:u w:val="single"/>
              </w:rPr>
            </w:pPr>
          </w:p>
        </w:tc>
      </w:tr>
      <w:tr w:rsidR="00E062EA" w:rsidRPr="002D3F55" w:rsidTr="00E062EA">
        <w:trPr>
          <w:cantSplit/>
        </w:trPr>
        <w:tc>
          <w:tcPr>
            <w:tcW w:w="9576" w:type="dxa"/>
            <w:gridSpan w:val="2"/>
          </w:tcPr>
          <w:p w:rsidR="00E062EA" w:rsidRPr="00A54F27" w:rsidRDefault="00E062EA" w:rsidP="00E062EA">
            <w:pPr>
              <w:pStyle w:val="SCCShortJudgment"/>
              <w:rPr>
                <w:szCs w:val="20"/>
              </w:rPr>
            </w:pPr>
            <w:r w:rsidRPr="00A54F27">
              <w:rPr>
                <w:szCs w:val="20"/>
              </w:rPr>
              <w:lastRenderedPageBreak/>
              <w:t>The application for leave to appeal from the judgment of the Court of Appeal for British Columbia (Vancouver), Number CA036917, 2011 BCCA 313, dated July 6, 2011, is dismissed with costs.</w:t>
            </w:r>
          </w:p>
          <w:p w:rsidR="00E062EA" w:rsidRPr="00A54F27" w:rsidRDefault="00E062EA" w:rsidP="00E062EA">
            <w:pPr>
              <w:pStyle w:val="SCCShortJudgment"/>
              <w:ind w:firstLine="0"/>
              <w:rPr>
                <w:szCs w:val="20"/>
              </w:rPr>
            </w:pPr>
          </w:p>
          <w:p w:rsidR="00E062EA" w:rsidRPr="00A54F27" w:rsidRDefault="00E062EA" w:rsidP="00E062EA">
            <w:pPr>
              <w:pStyle w:val="SCCShortJudgment"/>
              <w:rPr>
                <w:szCs w:val="20"/>
                <w:lang w:val="fr-CA"/>
              </w:rPr>
            </w:pPr>
            <w:r w:rsidRPr="00A54F27">
              <w:rPr>
                <w:szCs w:val="20"/>
                <w:lang w:val="fr-CA"/>
              </w:rPr>
              <w:t>La demande d’autorisation d’appel de l’arrêt de la Cour d’appel de la Colombie-Britannique (Vancouver), numéro CA036917, 2011 BCCA 313, daté du 6 juillet 2011, est rejetée avec dépens.</w:t>
            </w:r>
          </w:p>
        </w:tc>
      </w:tr>
    </w:tbl>
    <w:p w:rsidR="00C64AFA" w:rsidRPr="00E062EA"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0039" w:rsidRPr="00B32C06" w:rsidTr="00CD0650">
        <w:tc>
          <w:tcPr>
            <w:tcW w:w="5000" w:type="pct"/>
            <w:gridSpan w:val="3"/>
          </w:tcPr>
          <w:p w:rsidR="00E10039" w:rsidRPr="00B32C06" w:rsidRDefault="00E10039" w:rsidP="00CD0650">
            <w:pPr>
              <w:jc w:val="both"/>
              <w:rPr>
                <w:rFonts w:eastAsia="Calibri"/>
                <w:sz w:val="20"/>
              </w:rPr>
            </w:pPr>
            <w:r w:rsidRPr="00B32C06">
              <w:rPr>
                <w:rFonts w:eastAsia="Calibri"/>
                <w:i/>
                <w:sz w:val="20"/>
              </w:rPr>
              <w:t>Charter of Rights and Freedoms</w:t>
            </w:r>
            <w:r w:rsidRPr="00B32C06">
              <w:rPr>
                <w:rFonts w:eastAsia="Calibri"/>
                <w:sz w:val="20"/>
              </w:rPr>
              <w:t xml:space="preserve"> — Search and seizure — Principles applicable to the right to be secure against unreasonable search or seizure — What is the standard of care applicable to Canada Revenue Agency investigators in relation to the tort of negligent investigation — Whether there was an obligation to consider the likelihood of foreseeable harm before obtaining and executing a search warrant — Whether the Court of Appeal erred by implicitly requiring the applicant to lead expert evidence as to what a reasonable investigator would have done in the circumstances — S. 8 of the </w:t>
            </w:r>
            <w:r w:rsidRPr="00B32C06">
              <w:rPr>
                <w:rFonts w:eastAsia="Calibri"/>
                <w:i/>
                <w:sz w:val="20"/>
              </w:rPr>
              <w:t>Charter</w:t>
            </w:r>
            <w:r w:rsidRPr="00B32C06">
              <w:rPr>
                <w:rFonts w:eastAsia="Calibri"/>
                <w:sz w:val="20"/>
              </w:rPr>
              <w:t>.</w:t>
            </w:r>
          </w:p>
        </w:tc>
      </w:tr>
      <w:tr w:rsidR="00E10039" w:rsidRPr="00B32C06" w:rsidTr="00CD0650">
        <w:tc>
          <w:tcPr>
            <w:tcW w:w="5000" w:type="pct"/>
            <w:gridSpan w:val="3"/>
          </w:tcPr>
          <w:p w:rsidR="00E10039" w:rsidRPr="00B32C06" w:rsidRDefault="00E10039" w:rsidP="00CD0650">
            <w:pPr>
              <w:jc w:val="both"/>
              <w:rPr>
                <w:rFonts w:eastAsia="Calibri"/>
                <w:sz w:val="20"/>
              </w:rPr>
            </w:pPr>
          </w:p>
        </w:tc>
      </w:tr>
      <w:tr w:rsidR="00E10039" w:rsidRPr="00B32C06" w:rsidTr="00CD0650">
        <w:tc>
          <w:tcPr>
            <w:tcW w:w="5000" w:type="pct"/>
            <w:gridSpan w:val="3"/>
          </w:tcPr>
          <w:p w:rsidR="00E10039" w:rsidRPr="00B32C06" w:rsidRDefault="00E10039" w:rsidP="00CD0650">
            <w:pPr>
              <w:jc w:val="both"/>
              <w:rPr>
                <w:rFonts w:eastAsia="Calibri"/>
                <w:sz w:val="20"/>
              </w:rPr>
            </w:pPr>
            <w:r w:rsidRPr="00B32C06">
              <w:rPr>
                <w:rFonts w:eastAsia="Calibri"/>
                <w:sz w:val="20"/>
              </w:rPr>
              <w:t xml:space="preserve">The applicant, Mr. Neumann, was the president of a company.  The company’s registered and records office was the address at Mr. Neumann’s residence.  One morning, agents from the Canada Revenue Agency (“CRA”) arrived at Mr. Neumann’s residence, unannounced, accompanied by two members of the </w:t>
            </w:r>
            <w:proofErr w:type="spellStart"/>
            <w:r w:rsidRPr="00B32C06">
              <w:rPr>
                <w:rFonts w:eastAsia="Calibri"/>
                <w:sz w:val="20"/>
              </w:rPr>
              <w:t>Saanich</w:t>
            </w:r>
            <w:proofErr w:type="spellEnd"/>
            <w:r w:rsidRPr="00B32C06">
              <w:rPr>
                <w:rFonts w:eastAsia="Calibri"/>
                <w:sz w:val="20"/>
              </w:rPr>
              <w:t xml:space="preserve"> police force and armed with a search warrant.  The purpose of the search was to seize cheques and other business documents relating to Ms. B., a person to whom the company had paid commissions.  The CRA was investigating Ms. B. for tax evasion.  The applicant commenced an action for damages for negligent investigation. Evidence was lead at trial that revealed that the search profoundly affected the applicant.  After a trial by judge and jury, the jury’s verdict was that the employees of the CRA had infringed the applicant’s right to be secure against unreasonable search or seizure contrary to s. 8 of the </w:t>
            </w:r>
            <w:r w:rsidRPr="00B32C06">
              <w:rPr>
                <w:rFonts w:eastAsia="Calibri"/>
                <w:i/>
                <w:sz w:val="20"/>
              </w:rPr>
              <w:t>Charter of Rights and Freedoms</w:t>
            </w:r>
            <w:r w:rsidRPr="00B32C06">
              <w:rPr>
                <w:rFonts w:eastAsia="Calibri"/>
                <w:sz w:val="20"/>
              </w:rPr>
              <w:t>, and they had also negligently obtained and executed a search warrant of his residential premises thereby causing him loss. The applicant was awarded damages in the amount of $1,300,000.00.  The Court of Appeal allowed the appeal and set aside the verdict and dismissed the case against the respondents.</w:t>
            </w:r>
          </w:p>
          <w:p w:rsidR="00E10039" w:rsidRPr="00B32C06" w:rsidRDefault="00E10039" w:rsidP="00CD0650">
            <w:pPr>
              <w:jc w:val="both"/>
              <w:rPr>
                <w:rFonts w:eastAsia="Calibri"/>
                <w:sz w:val="20"/>
              </w:rPr>
            </w:pPr>
          </w:p>
        </w:tc>
      </w:tr>
      <w:tr w:rsidR="00E10039" w:rsidRPr="00B32C06" w:rsidTr="00CD0650">
        <w:tc>
          <w:tcPr>
            <w:tcW w:w="2427" w:type="pct"/>
          </w:tcPr>
          <w:p w:rsidR="00E10039" w:rsidRPr="00B32C06" w:rsidRDefault="00E10039" w:rsidP="00CD0650">
            <w:pPr>
              <w:jc w:val="both"/>
              <w:rPr>
                <w:rFonts w:eastAsia="Calibri"/>
                <w:sz w:val="20"/>
              </w:rPr>
            </w:pPr>
            <w:r w:rsidRPr="00B32C06">
              <w:rPr>
                <w:rFonts w:eastAsia="Calibri"/>
                <w:sz w:val="20"/>
              </w:rPr>
              <w:t>February 10, 2009</w:t>
            </w:r>
          </w:p>
          <w:p w:rsidR="00E10039" w:rsidRPr="00B32C06" w:rsidRDefault="00E10039" w:rsidP="00CD0650">
            <w:pPr>
              <w:jc w:val="both"/>
              <w:rPr>
                <w:rFonts w:eastAsia="Calibri"/>
                <w:sz w:val="20"/>
              </w:rPr>
            </w:pPr>
            <w:r w:rsidRPr="00B32C06">
              <w:rPr>
                <w:rFonts w:eastAsia="Calibri"/>
                <w:sz w:val="20"/>
              </w:rPr>
              <w:t>Supreme Court of British Columbia</w:t>
            </w:r>
          </w:p>
          <w:p w:rsidR="00E10039" w:rsidRPr="00B32C06" w:rsidRDefault="00E10039" w:rsidP="00CD0650">
            <w:pPr>
              <w:jc w:val="both"/>
              <w:rPr>
                <w:rFonts w:eastAsia="Calibri"/>
                <w:sz w:val="20"/>
              </w:rPr>
            </w:pPr>
            <w:r w:rsidRPr="00B32C06">
              <w:rPr>
                <w:rFonts w:eastAsia="Calibri"/>
                <w:sz w:val="20"/>
              </w:rPr>
              <w:t>(Wilson J.)</w:t>
            </w:r>
          </w:p>
          <w:p w:rsidR="00E10039" w:rsidRPr="00B32C06" w:rsidRDefault="00E10039" w:rsidP="00CD0650">
            <w:pPr>
              <w:jc w:val="both"/>
              <w:rPr>
                <w:rFonts w:eastAsia="Calibri"/>
                <w:sz w:val="20"/>
              </w:rPr>
            </w:pPr>
          </w:p>
        </w:tc>
        <w:tc>
          <w:tcPr>
            <w:tcW w:w="243" w:type="pct"/>
          </w:tcPr>
          <w:p w:rsidR="00E10039" w:rsidRPr="00B32C06" w:rsidRDefault="00E10039" w:rsidP="00CD0650">
            <w:pPr>
              <w:jc w:val="both"/>
              <w:rPr>
                <w:rFonts w:eastAsia="Calibri"/>
                <w:sz w:val="20"/>
              </w:rPr>
            </w:pPr>
          </w:p>
        </w:tc>
        <w:tc>
          <w:tcPr>
            <w:tcW w:w="2330" w:type="pct"/>
          </w:tcPr>
          <w:p w:rsidR="00E10039" w:rsidRPr="00B32C06" w:rsidRDefault="00E10039" w:rsidP="00CD0650">
            <w:pPr>
              <w:jc w:val="both"/>
              <w:rPr>
                <w:rFonts w:eastAsia="Calibri"/>
                <w:sz w:val="20"/>
              </w:rPr>
            </w:pPr>
            <w:r w:rsidRPr="00B32C06">
              <w:rPr>
                <w:rFonts w:eastAsia="Calibri"/>
                <w:sz w:val="20"/>
              </w:rPr>
              <w:t xml:space="preserve">Applicant’s action for damages for a s. 8 </w:t>
            </w:r>
            <w:r w:rsidRPr="00B32C06">
              <w:rPr>
                <w:rFonts w:eastAsia="Calibri"/>
                <w:i/>
                <w:sz w:val="20"/>
              </w:rPr>
              <w:t>Charter</w:t>
            </w:r>
            <w:r w:rsidRPr="00B32C06">
              <w:rPr>
                <w:rFonts w:eastAsia="Calibri"/>
                <w:sz w:val="20"/>
              </w:rPr>
              <w:t xml:space="preserve"> breach allowed in part</w:t>
            </w:r>
          </w:p>
          <w:p w:rsidR="00E10039" w:rsidRPr="00B32C06" w:rsidRDefault="00E10039" w:rsidP="00CD0650">
            <w:pPr>
              <w:jc w:val="both"/>
              <w:rPr>
                <w:rFonts w:eastAsia="Calibri"/>
                <w:sz w:val="20"/>
              </w:rPr>
            </w:pPr>
          </w:p>
        </w:tc>
      </w:tr>
      <w:tr w:rsidR="00E10039" w:rsidRPr="00B32C06" w:rsidTr="00CD0650">
        <w:tc>
          <w:tcPr>
            <w:tcW w:w="2427" w:type="pct"/>
          </w:tcPr>
          <w:p w:rsidR="00E10039" w:rsidRPr="00B32C06" w:rsidRDefault="00E10039" w:rsidP="00CD0650">
            <w:pPr>
              <w:jc w:val="both"/>
              <w:rPr>
                <w:rFonts w:eastAsia="Calibri"/>
                <w:sz w:val="20"/>
              </w:rPr>
            </w:pPr>
            <w:r w:rsidRPr="00B32C06">
              <w:rPr>
                <w:rFonts w:eastAsia="Calibri"/>
                <w:sz w:val="20"/>
              </w:rPr>
              <w:t>July 6, 2011</w:t>
            </w:r>
          </w:p>
          <w:p w:rsidR="00E10039" w:rsidRPr="00B32C06" w:rsidRDefault="00E10039" w:rsidP="00CD0650">
            <w:pPr>
              <w:jc w:val="both"/>
              <w:rPr>
                <w:rFonts w:eastAsia="Calibri"/>
                <w:sz w:val="20"/>
              </w:rPr>
            </w:pPr>
            <w:r w:rsidRPr="00B32C06">
              <w:rPr>
                <w:rFonts w:eastAsia="Calibri"/>
                <w:sz w:val="20"/>
              </w:rPr>
              <w:t>Court of Appeal for British Columbia (Victoria)</w:t>
            </w:r>
          </w:p>
          <w:p w:rsidR="00E10039" w:rsidRPr="00B32C06" w:rsidRDefault="00E10039" w:rsidP="00CD0650">
            <w:pPr>
              <w:jc w:val="both"/>
              <w:rPr>
                <w:rFonts w:eastAsia="Calibri"/>
                <w:sz w:val="20"/>
              </w:rPr>
            </w:pPr>
            <w:r w:rsidRPr="00B32C06">
              <w:rPr>
                <w:rFonts w:eastAsia="Calibri"/>
                <w:sz w:val="20"/>
              </w:rPr>
              <w:t xml:space="preserve">(Ryan, Kirkpatrick, </w:t>
            </w:r>
            <w:proofErr w:type="spellStart"/>
            <w:r w:rsidRPr="00B32C06">
              <w:rPr>
                <w:rFonts w:eastAsia="Calibri"/>
                <w:sz w:val="20"/>
              </w:rPr>
              <w:t>Tysoe</w:t>
            </w:r>
            <w:proofErr w:type="spellEnd"/>
            <w:r w:rsidRPr="00B32C06">
              <w:rPr>
                <w:rFonts w:eastAsia="Calibri"/>
                <w:sz w:val="20"/>
              </w:rPr>
              <w:t> JJ.A.)</w:t>
            </w:r>
          </w:p>
          <w:p w:rsidR="00E10039" w:rsidRPr="00B32C06" w:rsidRDefault="00E10039" w:rsidP="00CD0650">
            <w:pPr>
              <w:jc w:val="both"/>
              <w:rPr>
                <w:rFonts w:eastAsia="Calibri"/>
                <w:sz w:val="20"/>
              </w:rPr>
            </w:pPr>
            <w:r w:rsidRPr="00B32C06">
              <w:rPr>
                <w:rFonts w:eastAsia="Calibri"/>
                <w:sz w:val="20"/>
              </w:rPr>
              <w:t>Neutral citation:  2011 BCCA 313</w:t>
            </w:r>
          </w:p>
          <w:p w:rsidR="00E10039" w:rsidRPr="00B32C06" w:rsidRDefault="00E10039" w:rsidP="00CD0650">
            <w:pPr>
              <w:jc w:val="both"/>
              <w:rPr>
                <w:rFonts w:eastAsia="Calibri"/>
                <w:sz w:val="20"/>
              </w:rPr>
            </w:pPr>
          </w:p>
        </w:tc>
        <w:tc>
          <w:tcPr>
            <w:tcW w:w="243" w:type="pct"/>
          </w:tcPr>
          <w:p w:rsidR="00E10039" w:rsidRPr="00B32C06" w:rsidRDefault="00E10039" w:rsidP="00CD0650">
            <w:pPr>
              <w:jc w:val="both"/>
              <w:rPr>
                <w:rFonts w:eastAsia="Calibri"/>
                <w:sz w:val="20"/>
              </w:rPr>
            </w:pPr>
          </w:p>
        </w:tc>
        <w:tc>
          <w:tcPr>
            <w:tcW w:w="2330" w:type="pct"/>
          </w:tcPr>
          <w:p w:rsidR="00E10039" w:rsidRPr="00B32C06" w:rsidRDefault="00E10039" w:rsidP="00CD0650">
            <w:pPr>
              <w:jc w:val="both"/>
              <w:rPr>
                <w:rFonts w:eastAsia="Calibri"/>
                <w:sz w:val="20"/>
              </w:rPr>
            </w:pPr>
            <w:r w:rsidRPr="00B32C06">
              <w:rPr>
                <w:rFonts w:eastAsia="Calibri"/>
                <w:sz w:val="20"/>
              </w:rPr>
              <w:t>Appeal allowed: verdict set aside, case against the respondents dismissed without costs</w:t>
            </w:r>
          </w:p>
          <w:p w:rsidR="00E10039" w:rsidRPr="00B32C06" w:rsidRDefault="00E10039" w:rsidP="00CD0650">
            <w:pPr>
              <w:jc w:val="both"/>
              <w:rPr>
                <w:rFonts w:eastAsia="Calibri"/>
                <w:sz w:val="20"/>
              </w:rPr>
            </w:pPr>
          </w:p>
        </w:tc>
      </w:tr>
      <w:tr w:rsidR="00E10039" w:rsidRPr="00B32C06" w:rsidTr="00CD0650">
        <w:tc>
          <w:tcPr>
            <w:tcW w:w="2427" w:type="pct"/>
          </w:tcPr>
          <w:p w:rsidR="00E10039" w:rsidRPr="00B32C06" w:rsidRDefault="00E10039" w:rsidP="00CD0650">
            <w:pPr>
              <w:jc w:val="both"/>
              <w:rPr>
                <w:rFonts w:eastAsia="Calibri"/>
                <w:sz w:val="20"/>
              </w:rPr>
            </w:pPr>
            <w:r w:rsidRPr="00B32C06">
              <w:rPr>
                <w:rFonts w:eastAsia="Calibri"/>
                <w:sz w:val="20"/>
              </w:rPr>
              <w:t>September 29, 2011</w:t>
            </w:r>
          </w:p>
          <w:p w:rsidR="00E10039" w:rsidRPr="00B32C06" w:rsidRDefault="00E10039" w:rsidP="00CD0650">
            <w:pPr>
              <w:jc w:val="both"/>
              <w:rPr>
                <w:rFonts w:eastAsia="Calibri"/>
                <w:sz w:val="20"/>
              </w:rPr>
            </w:pPr>
            <w:r w:rsidRPr="00B32C06">
              <w:rPr>
                <w:rFonts w:eastAsia="Calibri"/>
                <w:sz w:val="20"/>
              </w:rPr>
              <w:t>Supreme Court of Canada</w:t>
            </w:r>
          </w:p>
        </w:tc>
        <w:tc>
          <w:tcPr>
            <w:tcW w:w="243" w:type="pct"/>
          </w:tcPr>
          <w:p w:rsidR="00E10039" w:rsidRPr="00B32C06" w:rsidRDefault="00E10039" w:rsidP="00CD0650">
            <w:pPr>
              <w:jc w:val="both"/>
              <w:rPr>
                <w:rFonts w:eastAsia="Calibri"/>
                <w:sz w:val="20"/>
              </w:rPr>
            </w:pPr>
          </w:p>
        </w:tc>
        <w:tc>
          <w:tcPr>
            <w:tcW w:w="2330" w:type="pct"/>
          </w:tcPr>
          <w:p w:rsidR="00E10039" w:rsidRPr="00B32C06" w:rsidRDefault="00E10039" w:rsidP="00CD0650">
            <w:pPr>
              <w:jc w:val="both"/>
              <w:rPr>
                <w:rFonts w:eastAsia="Calibri"/>
                <w:sz w:val="20"/>
              </w:rPr>
            </w:pPr>
            <w:r w:rsidRPr="00B32C06">
              <w:rPr>
                <w:rFonts w:eastAsia="Calibri"/>
                <w:sz w:val="20"/>
              </w:rPr>
              <w:t>Application for leave to appeal filed</w:t>
            </w:r>
          </w:p>
          <w:p w:rsidR="00E10039" w:rsidRPr="00B32C06" w:rsidRDefault="00E10039" w:rsidP="00CD0650">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65"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0039" w:rsidRPr="002D3F55" w:rsidTr="00CD0650">
        <w:tc>
          <w:tcPr>
            <w:tcW w:w="5000" w:type="pct"/>
            <w:gridSpan w:val="3"/>
          </w:tcPr>
          <w:p w:rsidR="00E10039" w:rsidRPr="00B32C06" w:rsidRDefault="00E10039" w:rsidP="00CD0650">
            <w:pPr>
              <w:jc w:val="both"/>
              <w:rPr>
                <w:rFonts w:eastAsia="Calibri"/>
                <w:sz w:val="20"/>
                <w:lang w:val="fr-CA"/>
              </w:rPr>
            </w:pPr>
            <w:r w:rsidRPr="00B32C06">
              <w:rPr>
                <w:rFonts w:eastAsia="Calibri"/>
                <w:i/>
                <w:sz w:val="20"/>
                <w:lang w:val="fr-CA"/>
              </w:rPr>
              <w:t>Charte des droits et libertés</w:t>
            </w:r>
            <w:r w:rsidRPr="00B32C06">
              <w:rPr>
                <w:rFonts w:eastAsia="Calibri"/>
                <w:sz w:val="20"/>
                <w:lang w:val="fr-CA"/>
              </w:rPr>
              <w:t xml:space="preserve"> — Fouilles, perquisitions et saisies — Principes applicables au droit à la protection contre les fouilles, les perquisitions ou les saisies abusives — Quelle norme de diligence convient-il d’appliquer aux enquêteurs de l’Agence du revenu du Canada relativement au délit d’enquête négligente? — Existait-il une obligation de considérer la possibilité d’un préjudice prévisible avant l’obtention et l’exécution d’un mandat de perquisition? — La Cour d’appel a-t-elle commis une erreur en exigeant implicitement du demandeur qu’il produise une preuve d’expert quant à ce que l’enquêteur raisonnable aurait fait dans les circonstances? — Art. 8 de la </w:t>
            </w:r>
            <w:r w:rsidRPr="00B32C06">
              <w:rPr>
                <w:rFonts w:eastAsia="Calibri"/>
                <w:i/>
                <w:sz w:val="20"/>
                <w:lang w:val="fr-CA"/>
              </w:rPr>
              <w:t>Charte</w:t>
            </w:r>
            <w:r w:rsidRPr="00B32C06">
              <w:rPr>
                <w:rFonts w:eastAsia="Calibri"/>
                <w:sz w:val="20"/>
                <w:lang w:val="fr-CA"/>
              </w:rPr>
              <w:t>.</w:t>
            </w:r>
          </w:p>
        </w:tc>
      </w:tr>
      <w:tr w:rsidR="00E10039" w:rsidRPr="002D3F55" w:rsidTr="00CD0650">
        <w:tc>
          <w:tcPr>
            <w:tcW w:w="5000" w:type="pct"/>
            <w:gridSpan w:val="3"/>
          </w:tcPr>
          <w:p w:rsidR="00E10039" w:rsidRPr="00B32C06" w:rsidRDefault="00E10039" w:rsidP="00CD0650">
            <w:pPr>
              <w:jc w:val="both"/>
              <w:rPr>
                <w:rFonts w:eastAsia="Calibri"/>
                <w:sz w:val="20"/>
                <w:lang w:val="fr-CA"/>
              </w:rPr>
            </w:pPr>
          </w:p>
        </w:tc>
      </w:tr>
      <w:tr w:rsidR="00E10039" w:rsidRPr="002D3F55" w:rsidTr="00CD0650">
        <w:tc>
          <w:tcPr>
            <w:tcW w:w="5000" w:type="pct"/>
            <w:gridSpan w:val="3"/>
          </w:tcPr>
          <w:p w:rsidR="00E10039" w:rsidRPr="00B32C06" w:rsidRDefault="00E10039" w:rsidP="00CD0650">
            <w:pPr>
              <w:jc w:val="both"/>
              <w:rPr>
                <w:rFonts w:eastAsia="Calibri"/>
                <w:sz w:val="20"/>
                <w:lang w:val="fr-CA"/>
              </w:rPr>
            </w:pPr>
            <w:r w:rsidRPr="00B32C06">
              <w:rPr>
                <w:rFonts w:eastAsia="Calibri"/>
                <w:sz w:val="20"/>
                <w:lang w:val="fr-CA"/>
              </w:rPr>
              <w:lastRenderedPageBreak/>
              <w:t xml:space="preserve">Le demandeur, M. Neumann, était le président d’une société dont le siège social et les dossiers se trouvaient à l’adresse de sa résidence.  Un jour, des agents de l’Agence du revenu du Canada (« ARC ») se sont présentés sans s’annoncer à la résidence de M. Neumann, accompagnés de deux membres de la police de </w:t>
            </w:r>
            <w:proofErr w:type="spellStart"/>
            <w:r w:rsidRPr="00B32C06">
              <w:rPr>
                <w:rFonts w:eastAsia="Calibri"/>
                <w:sz w:val="20"/>
                <w:lang w:val="fr-CA"/>
              </w:rPr>
              <w:t>Saanich</w:t>
            </w:r>
            <w:proofErr w:type="spellEnd"/>
            <w:r w:rsidRPr="00B32C06">
              <w:rPr>
                <w:rFonts w:eastAsia="Calibri"/>
                <w:sz w:val="20"/>
                <w:lang w:val="fr-CA"/>
              </w:rPr>
              <w:t xml:space="preserve"> et dotés d’un mandat de perquisition.  La perquisition avait pour objectif de saisir des chèques et d’autres documents d’entreprise se rapportant à M</w:t>
            </w:r>
            <w:r w:rsidRPr="00B32C06">
              <w:rPr>
                <w:rFonts w:eastAsia="Calibri"/>
                <w:sz w:val="20"/>
                <w:vertAlign w:val="superscript"/>
                <w:lang w:val="fr-CA"/>
              </w:rPr>
              <w:t>me</w:t>
            </w:r>
            <w:r w:rsidRPr="00B32C06">
              <w:rPr>
                <w:rFonts w:eastAsia="Calibri"/>
                <w:sz w:val="20"/>
                <w:lang w:val="fr-CA"/>
              </w:rPr>
              <w:t> B, une personne à qui la société avait versé des commissions.  L’ARC menait une enquête au sujet de M</w:t>
            </w:r>
            <w:r w:rsidRPr="00B32C06">
              <w:rPr>
                <w:rFonts w:eastAsia="Calibri"/>
                <w:sz w:val="20"/>
                <w:vertAlign w:val="superscript"/>
                <w:lang w:val="fr-CA"/>
              </w:rPr>
              <w:t>me</w:t>
            </w:r>
            <w:r w:rsidRPr="00B32C06">
              <w:rPr>
                <w:rFonts w:eastAsia="Calibri"/>
                <w:sz w:val="20"/>
                <w:lang w:val="fr-CA"/>
              </w:rPr>
              <w:t xml:space="preserve"> B, qu’elle soupçonnait d’évasion fiscale.  Le demandeur a déposé une action en dommages-intérêts pour enquête négligente.  Au procès, des éléments de preuve établissant que la perquisition avait profondément marqué le demandeur ont été produits.  Au terme du procès, qui s’est déroulé devant juge et jury, le verdict du jury était que les employés de l’ARC avaient porté atteinte au droit à la protection contre les fouilles, les perquisitions ou les saisies abusives  que l’art. 8 de la </w:t>
            </w:r>
            <w:r w:rsidRPr="00B32C06">
              <w:rPr>
                <w:rFonts w:eastAsia="Calibri"/>
                <w:i/>
                <w:sz w:val="20"/>
                <w:lang w:val="fr-CA"/>
              </w:rPr>
              <w:t>Charte des droits et libertés</w:t>
            </w:r>
            <w:r w:rsidRPr="00B32C06">
              <w:rPr>
                <w:rFonts w:eastAsia="Calibri"/>
                <w:sz w:val="20"/>
                <w:lang w:val="fr-CA"/>
              </w:rPr>
              <w:t xml:space="preserve"> garantit au demandeur, et qu’ils avaient fait preuve de négligence en obtenant et exécutant un mandat de perquisition à la résidence de ce dernier, ce qui lui avait causé un préjudice.  Des dommages-intérêts s’élevant à 1 300 000 $ ont été accordés au demandeur.  La Cour d’appel a accueilli l’appel, annulé le verdict et rejeté l’action contre les intimés.</w:t>
            </w:r>
          </w:p>
          <w:p w:rsidR="00E10039" w:rsidRPr="00B32C06" w:rsidRDefault="00E10039" w:rsidP="00CD0650">
            <w:pPr>
              <w:jc w:val="both"/>
              <w:rPr>
                <w:rFonts w:eastAsia="Calibri"/>
                <w:sz w:val="20"/>
                <w:lang w:val="fr-CA"/>
              </w:rPr>
            </w:pPr>
          </w:p>
        </w:tc>
      </w:tr>
      <w:tr w:rsidR="00E10039" w:rsidRPr="00B32C06" w:rsidTr="00CD0650">
        <w:tc>
          <w:tcPr>
            <w:tcW w:w="2427" w:type="pct"/>
          </w:tcPr>
          <w:p w:rsidR="00E10039" w:rsidRPr="00B32C06" w:rsidRDefault="00E10039" w:rsidP="00CD0650">
            <w:pPr>
              <w:jc w:val="both"/>
              <w:rPr>
                <w:rFonts w:eastAsia="Calibri"/>
                <w:sz w:val="20"/>
                <w:lang w:val="fr-CA"/>
              </w:rPr>
            </w:pPr>
            <w:r w:rsidRPr="00B32C06">
              <w:rPr>
                <w:rFonts w:eastAsia="Calibri"/>
                <w:sz w:val="20"/>
                <w:lang w:val="fr-CA"/>
              </w:rPr>
              <w:t>10 février 2009</w:t>
            </w:r>
          </w:p>
          <w:p w:rsidR="00E10039" w:rsidRPr="00B32C06" w:rsidRDefault="00E10039" w:rsidP="00CD0650">
            <w:pPr>
              <w:jc w:val="both"/>
              <w:rPr>
                <w:rFonts w:eastAsia="Calibri"/>
                <w:sz w:val="20"/>
                <w:lang w:val="fr-CA"/>
              </w:rPr>
            </w:pPr>
            <w:r w:rsidRPr="00B32C06">
              <w:rPr>
                <w:rFonts w:eastAsia="Calibri"/>
                <w:sz w:val="20"/>
                <w:lang w:val="fr-CA"/>
              </w:rPr>
              <w:t>Cour suprême de la Colombie-Britannique</w:t>
            </w:r>
          </w:p>
          <w:p w:rsidR="00E10039" w:rsidRPr="00B32C06" w:rsidRDefault="00E10039" w:rsidP="00CD0650">
            <w:pPr>
              <w:jc w:val="both"/>
              <w:rPr>
                <w:rFonts w:eastAsia="Calibri"/>
                <w:sz w:val="20"/>
              </w:rPr>
            </w:pPr>
            <w:r w:rsidRPr="00B32C06">
              <w:rPr>
                <w:rFonts w:eastAsia="Calibri"/>
                <w:sz w:val="20"/>
              </w:rPr>
              <w:t>(</w:t>
            </w:r>
            <w:proofErr w:type="spellStart"/>
            <w:r w:rsidRPr="00B32C06">
              <w:rPr>
                <w:rFonts w:eastAsia="Calibri"/>
                <w:sz w:val="20"/>
              </w:rPr>
              <w:t>Juge</w:t>
            </w:r>
            <w:proofErr w:type="spellEnd"/>
            <w:r w:rsidRPr="00B32C06">
              <w:rPr>
                <w:rFonts w:eastAsia="Calibri"/>
                <w:sz w:val="20"/>
              </w:rPr>
              <w:t xml:space="preserve"> Wilson)</w:t>
            </w:r>
          </w:p>
          <w:p w:rsidR="00E10039" w:rsidRPr="00B32C06" w:rsidRDefault="00E10039" w:rsidP="00CD0650">
            <w:pPr>
              <w:jc w:val="both"/>
              <w:rPr>
                <w:rFonts w:eastAsia="Calibri"/>
                <w:sz w:val="20"/>
              </w:rPr>
            </w:pPr>
          </w:p>
        </w:tc>
        <w:tc>
          <w:tcPr>
            <w:tcW w:w="243" w:type="pct"/>
          </w:tcPr>
          <w:p w:rsidR="00E10039" w:rsidRPr="00B32C06" w:rsidRDefault="00E10039" w:rsidP="00CD0650">
            <w:pPr>
              <w:jc w:val="both"/>
              <w:rPr>
                <w:rFonts w:eastAsia="Calibri"/>
                <w:sz w:val="20"/>
              </w:rPr>
            </w:pPr>
          </w:p>
        </w:tc>
        <w:tc>
          <w:tcPr>
            <w:tcW w:w="2330" w:type="pct"/>
          </w:tcPr>
          <w:p w:rsidR="00E10039" w:rsidRPr="00B32C06" w:rsidRDefault="00E10039" w:rsidP="00CD0650">
            <w:pPr>
              <w:jc w:val="both"/>
              <w:rPr>
                <w:rFonts w:eastAsia="Calibri"/>
                <w:sz w:val="20"/>
                <w:lang w:val="fr-CA"/>
              </w:rPr>
            </w:pPr>
            <w:r w:rsidRPr="00B32C06">
              <w:rPr>
                <w:rFonts w:eastAsia="Calibri"/>
                <w:sz w:val="20"/>
                <w:lang w:val="fr-CA"/>
              </w:rPr>
              <w:t xml:space="preserve">Action du demandeur en dommages-intérêts pour atteinte au droit que garantit l’art.  8 de la </w:t>
            </w:r>
            <w:r w:rsidRPr="00B32C06">
              <w:rPr>
                <w:rFonts w:eastAsia="Calibri"/>
                <w:i/>
                <w:sz w:val="20"/>
                <w:lang w:val="fr-CA"/>
              </w:rPr>
              <w:t>Charte</w:t>
            </w:r>
            <w:r w:rsidRPr="00B32C06">
              <w:rPr>
                <w:rFonts w:eastAsia="Calibri"/>
                <w:sz w:val="20"/>
                <w:lang w:val="fr-CA"/>
              </w:rPr>
              <w:t>, accueillie en partie</w:t>
            </w:r>
          </w:p>
          <w:p w:rsidR="00E10039" w:rsidRPr="00B32C06" w:rsidRDefault="00E10039" w:rsidP="00CD0650">
            <w:pPr>
              <w:jc w:val="both"/>
              <w:rPr>
                <w:rFonts w:eastAsia="Calibri"/>
                <w:sz w:val="20"/>
                <w:lang w:val="fr-CA"/>
              </w:rPr>
            </w:pPr>
          </w:p>
        </w:tc>
      </w:tr>
      <w:tr w:rsidR="00E10039" w:rsidRPr="002D3F55" w:rsidTr="00CD0650">
        <w:tc>
          <w:tcPr>
            <w:tcW w:w="2427" w:type="pct"/>
          </w:tcPr>
          <w:p w:rsidR="00E10039" w:rsidRPr="00B32C06" w:rsidRDefault="00E10039" w:rsidP="00CD0650">
            <w:pPr>
              <w:jc w:val="both"/>
              <w:rPr>
                <w:rFonts w:eastAsia="Calibri"/>
                <w:sz w:val="20"/>
                <w:lang w:val="fr-CA"/>
              </w:rPr>
            </w:pPr>
            <w:r w:rsidRPr="00B32C06">
              <w:rPr>
                <w:rFonts w:eastAsia="Calibri"/>
                <w:sz w:val="20"/>
                <w:lang w:val="fr-CA"/>
              </w:rPr>
              <w:t>6 juillet 2011</w:t>
            </w:r>
          </w:p>
          <w:p w:rsidR="00E10039" w:rsidRPr="00B32C06" w:rsidRDefault="00E10039" w:rsidP="00CD0650">
            <w:pPr>
              <w:jc w:val="both"/>
              <w:rPr>
                <w:rFonts w:eastAsia="Calibri"/>
                <w:sz w:val="20"/>
                <w:lang w:val="fr-CA"/>
              </w:rPr>
            </w:pPr>
            <w:r w:rsidRPr="00B32C06">
              <w:rPr>
                <w:rFonts w:eastAsia="Calibri"/>
                <w:sz w:val="20"/>
                <w:lang w:val="fr-CA"/>
              </w:rPr>
              <w:t>Cour d’appel de la Colombie-Britannique (Victoria)</w:t>
            </w:r>
          </w:p>
          <w:p w:rsidR="00E10039" w:rsidRPr="00B32C06" w:rsidRDefault="00E10039" w:rsidP="00CD0650">
            <w:pPr>
              <w:jc w:val="both"/>
              <w:rPr>
                <w:rFonts w:eastAsia="Calibri"/>
                <w:sz w:val="20"/>
                <w:lang w:val="fr-CA"/>
              </w:rPr>
            </w:pPr>
            <w:r w:rsidRPr="00B32C06">
              <w:rPr>
                <w:rFonts w:eastAsia="Calibri"/>
                <w:sz w:val="20"/>
                <w:lang w:val="fr-CA"/>
              </w:rPr>
              <w:t xml:space="preserve">(Juges Ryan, </w:t>
            </w:r>
            <w:proofErr w:type="spellStart"/>
            <w:r w:rsidRPr="00B32C06">
              <w:rPr>
                <w:rFonts w:eastAsia="Calibri"/>
                <w:sz w:val="20"/>
                <w:lang w:val="fr-CA"/>
              </w:rPr>
              <w:t>Kirkpatrick</w:t>
            </w:r>
            <w:proofErr w:type="spellEnd"/>
            <w:r w:rsidRPr="00B32C06">
              <w:rPr>
                <w:rFonts w:eastAsia="Calibri"/>
                <w:sz w:val="20"/>
                <w:lang w:val="fr-CA"/>
              </w:rPr>
              <w:t xml:space="preserve"> et </w:t>
            </w:r>
            <w:proofErr w:type="spellStart"/>
            <w:r w:rsidRPr="00B32C06">
              <w:rPr>
                <w:rFonts w:eastAsia="Calibri"/>
                <w:sz w:val="20"/>
                <w:lang w:val="fr-CA"/>
              </w:rPr>
              <w:t>Tysoe</w:t>
            </w:r>
            <w:proofErr w:type="spellEnd"/>
            <w:r w:rsidRPr="00B32C06">
              <w:rPr>
                <w:rFonts w:eastAsia="Calibri"/>
                <w:sz w:val="20"/>
                <w:lang w:val="fr-CA"/>
              </w:rPr>
              <w:t>)</w:t>
            </w:r>
          </w:p>
          <w:p w:rsidR="00E10039" w:rsidRPr="00B32C06" w:rsidRDefault="00E10039" w:rsidP="00CD0650">
            <w:pPr>
              <w:jc w:val="both"/>
              <w:rPr>
                <w:rFonts w:eastAsia="Calibri"/>
                <w:sz w:val="20"/>
              </w:rPr>
            </w:pPr>
            <w:r w:rsidRPr="00B32C06">
              <w:rPr>
                <w:rFonts w:eastAsia="Calibri"/>
                <w:sz w:val="20"/>
                <w:lang w:val="fr-CA"/>
              </w:rPr>
              <w:t>Citation neutre : 201</w:t>
            </w:r>
            <w:r w:rsidRPr="00B32C06">
              <w:rPr>
                <w:rFonts w:eastAsia="Calibri"/>
                <w:sz w:val="20"/>
              </w:rPr>
              <w:t>1 BCCA 313</w:t>
            </w:r>
          </w:p>
          <w:p w:rsidR="00E10039" w:rsidRPr="00B32C06" w:rsidRDefault="00E10039" w:rsidP="00CD0650">
            <w:pPr>
              <w:jc w:val="both"/>
              <w:rPr>
                <w:rFonts w:eastAsia="Calibri"/>
                <w:sz w:val="20"/>
              </w:rPr>
            </w:pPr>
          </w:p>
        </w:tc>
        <w:tc>
          <w:tcPr>
            <w:tcW w:w="243" w:type="pct"/>
          </w:tcPr>
          <w:p w:rsidR="00E10039" w:rsidRPr="00B32C06" w:rsidRDefault="00E10039" w:rsidP="00CD0650">
            <w:pPr>
              <w:jc w:val="both"/>
              <w:rPr>
                <w:rFonts w:eastAsia="Calibri"/>
                <w:sz w:val="20"/>
              </w:rPr>
            </w:pPr>
          </w:p>
        </w:tc>
        <w:tc>
          <w:tcPr>
            <w:tcW w:w="2330" w:type="pct"/>
          </w:tcPr>
          <w:p w:rsidR="00E10039" w:rsidRPr="00B32C06" w:rsidRDefault="00E10039" w:rsidP="00CD0650">
            <w:pPr>
              <w:jc w:val="both"/>
              <w:rPr>
                <w:rFonts w:eastAsia="Calibri"/>
                <w:sz w:val="20"/>
                <w:lang w:val="fr-CA"/>
              </w:rPr>
            </w:pPr>
            <w:r w:rsidRPr="00B32C06">
              <w:rPr>
                <w:rFonts w:eastAsia="Calibri"/>
                <w:sz w:val="20"/>
                <w:lang w:val="fr-CA"/>
              </w:rPr>
              <w:t>Appel accueilli : verdict annulé, action contre les intimés rejetée sans dépens</w:t>
            </w:r>
          </w:p>
          <w:p w:rsidR="00E10039" w:rsidRPr="00B32C06" w:rsidRDefault="00E10039" w:rsidP="00CD0650">
            <w:pPr>
              <w:jc w:val="both"/>
              <w:rPr>
                <w:rFonts w:eastAsia="Calibri"/>
                <w:sz w:val="20"/>
                <w:lang w:val="fr-CA"/>
              </w:rPr>
            </w:pPr>
          </w:p>
        </w:tc>
      </w:tr>
      <w:tr w:rsidR="00E10039" w:rsidRPr="00B32C06" w:rsidTr="00CD0650">
        <w:tc>
          <w:tcPr>
            <w:tcW w:w="2427" w:type="pct"/>
          </w:tcPr>
          <w:p w:rsidR="00E10039" w:rsidRPr="00DA20EC" w:rsidRDefault="00E10039" w:rsidP="00CD0650">
            <w:pPr>
              <w:jc w:val="both"/>
              <w:rPr>
                <w:rFonts w:eastAsia="Calibri"/>
                <w:sz w:val="20"/>
                <w:lang w:val="fr-CA"/>
              </w:rPr>
            </w:pPr>
            <w:r w:rsidRPr="00DA20EC">
              <w:rPr>
                <w:rFonts w:eastAsia="Calibri"/>
                <w:sz w:val="20"/>
                <w:lang w:val="fr-CA"/>
              </w:rPr>
              <w:t>29 septembre 2011</w:t>
            </w:r>
          </w:p>
          <w:p w:rsidR="00E10039" w:rsidRPr="00DA20EC" w:rsidRDefault="00E10039" w:rsidP="00E10039">
            <w:pPr>
              <w:jc w:val="both"/>
              <w:rPr>
                <w:rFonts w:eastAsia="Calibri"/>
                <w:sz w:val="20"/>
                <w:lang w:val="fr-CA"/>
              </w:rPr>
            </w:pPr>
            <w:r w:rsidRPr="00DA20EC">
              <w:rPr>
                <w:rFonts w:eastAsia="Calibri"/>
                <w:sz w:val="20"/>
                <w:lang w:val="fr-CA"/>
              </w:rPr>
              <w:t>Cour suprême du Canada</w:t>
            </w:r>
          </w:p>
        </w:tc>
        <w:tc>
          <w:tcPr>
            <w:tcW w:w="243" w:type="pct"/>
          </w:tcPr>
          <w:p w:rsidR="00E10039" w:rsidRPr="00DA20EC" w:rsidRDefault="00E10039" w:rsidP="00CD0650">
            <w:pPr>
              <w:jc w:val="both"/>
              <w:rPr>
                <w:rFonts w:eastAsia="Calibri"/>
                <w:sz w:val="20"/>
                <w:lang w:val="fr-CA"/>
              </w:rPr>
            </w:pPr>
          </w:p>
        </w:tc>
        <w:tc>
          <w:tcPr>
            <w:tcW w:w="2330" w:type="pct"/>
          </w:tcPr>
          <w:p w:rsidR="00E10039" w:rsidRPr="00B32C06" w:rsidRDefault="00E10039" w:rsidP="00CD0650">
            <w:pPr>
              <w:jc w:val="both"/>
              <w:rPr>
                <w:rFonts w:eastAsia="Calibri"/>
                <w:sz w:val="20"/>
              </w:rPr>
            </w:pPr>
            <w:proofErr w:type="spellStart"/>
            <w:r w:rsidRPr="00B32C06">
              <w:rPr>
                <w:rFonts w:eastAsia="Calibri"/>
                <w:sz w:val="20"/>
              </w:rPr>
              <w:t>Demande</w:t>
            </w:r>
            <w:proofErr w:type="spellEnd"/>
            <w:r w:rsidRPr="00B32C06">
              <w:rPr>
                <w:rFonts w:eastAsia="Calibri"/>
                <w:sz w:val="20"/>
              </w:rPr>
              <w:t xml:space="preserve"> </w:t>
            </w:r>
            <w:proofErr w:type="spellStart"/>
            <w:r w:rsidRPr="00B32C06">
              <w:rPr>
                <w:rFonts w:eastAsia="Calibri"/>
                <w:sz w:val="20"/>
              </w:rPr>
              <w:t>d’autorisation</w:t>
            </w:r>
            <w:proofErr w:type="spellEnd"/>
            <w:r w:rsidRPr="00B32C06">
              <w:rPr>
                <w:rFonts w:eastAsia="Calibri"/>
                <w:sz w:val="20"/>
              </w:rPr>
              <w:t xml:space="preserve"> de </w:t>
            </w:r>
            <w:proofErr w:type="spellStart"/>
            <w:r w:rsidRPr="00B32C06">
              <w:rPr>
                <w:rFonts w:eastAsia="Calibri"/>
                <w:sz w:val="20"/>
              </w:rPr>
              <w:t>pourvoi</w:t>
            </w:r>
            <w:proofErr w:type="spellEnd"/>
            <w:r w:rsidRPr="00B32C06">
              <w:rPr>
                <w:rFonts w:eastAsia="Calibri"/>
                <w:sz w:val="20"/>
              </w:rPr>
              <w:t xml:space="preserve"> </w:t>
            </w:r>
            <w:proofErr w:type="spellStart"/>
            <w:r w:rsidRPr="00B32C06">
              <w:rPr>
                <w:rFonts w:eastAsia="Calibri"/>
                <w:sz w:val="20"/>
              </w:rPr>
              <w:t>déposée</w:t>
            </w:r>
            <w:proofErr w:type="spellEnd"/>
          </w:p>
          <w:p w:rsidR="00E10039" w:rsidRPr="00B32C06" w:rsidRDefault="00E10039" w:rsidP="00CD0650">
            <w:pPr>
              <w:jc w:val="both"/>
              <w:rPr>
                <w:rFonts w:eastAsia="Calibri"/>
                <w:sz w:val="20"/>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66" style="width:2in;height:1pt" o:hrpct="0" o:hralign="center" o:hrstd="t" o:hrnoshade="t" o:hr="t" fillcolor="black [3213]" stroked="f"/>
        </w:pict>
      </w: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62EA" w:rsidRPr="00A54F27" w:rsidTr="00E062EA">
        <w:trPr>
          <w:cantSplit/>
        </w:trPr>
        <w:tc>
          <w:tcPr>
            <w:tcW w:w="1458" w:type="dxa"/>
          </w:tcPr>
          <w:p w:rsidR="00E062EA" w:rsidRPr="00A54F27" w:rsidRDefault="00E062EA" w:rsidP="00E062EA">
            <w:pPr>
              <w:rPr>
                <w:sz w:val="20"/>
                <w:szCs w:val="20"/>
              </w:rPr>
            </w:pPr>
            <w:r w:rsidRPr="00A54F27">
              <w:rPr>
                <w:rStyle w:val="SCCFileNumberChar"/>
                <w:sz w:val="20"/>
                <w:szCs w:val="20"/>
              </w:rPr>
              <w:t>34484</w:t>
            </w:r>
          </w:p>
          <w:p w:rsidR="00E062EA" w:rsidRPr="00A54F27" w:rsidRDefault="00E062EA" w:rsidP="00E062EA">
            <w:pPr>
              <w:rPr>
                <w:b/>
                <w:sz w:val="20"/>
                <w:szCs w:val="20"/>
                <w:lang w:val="fr-CA"/>
              </w:rPr>
            </w:pPr>
          </w:p>
        </w:tc>
        <w:tc>
          <w:tcPr>
            <w:tcW w:w="8118" w:type="dxa"/>
          </w:tcPr>
          <w:p w:rsidR="00E062EA" w:rsidRPr="00A54F27" w:rsidRDefault="00E062EA" w:rsidP="00E062EA">
            <w:pPr>
              <w:rPr>
                <w:sz w:val="20"/>
                <w:szCs w:val="20"/>
              </w:rPr>
            </w:pPr>
            <w:r w:rsidRPr="00E062EA">
              <w:rPr>
                <w:rStyle w:val="SCCLsocChar"/>
                <w:sz w:val="20"/>
                <w:szCs w:val="20"/>
                <w:lang w:val="en-CA"/>
              </w:rPr>
              <w:t xml:space="preserve">Garth Howard </w:t>
            </w:r>
            <w:proofErr w:type="spellStart"/>
            <w:r w:rsidRPr="00E062EA">
              <w:rPr>
                <w:rStyle w:val="SCCLsocChar"/>
                <w:sz w:val="20"/>
                <w:szCs w:val="20"/>
                <w:lang w:val="en-CA"/>
              </w:rPr>
              <w:t>Drabinsky</w:t>
            </w:r>
            <w:proofErr w:type="spellEnd"/>
            <w:r w:rsidRPr="00E062EA">
              <w:rPr>
                <w:rStyle w:val="SCCLsocChar"/>
                <w:sz w:val="20"/>
                <w:szCs w:val="20"/>
                <w:lang w:val="en-CA"/>
              </w:rPr>
              <w:t xml:space="preserve"> v. Her Majesty the Queen</w:t>
            </w:r>
            <w:r w:rsidRPr="00A54F27">
              <w:rPr>
                <w:sz w:val="20"/>
                <w:szCs w:val="20"/>
              </w:rPr>
              <w:t xml:space="preserve"> (Ont.) (Criminal) (By Leave)</w:t>
            </w:r>
          </w:p>
          <w:p w:rsidR="00E062EA" w:rsidRPr="00A54F27" w:rsidRDefault="00E062EA" w:rsidP="00E062EA">
            <w:pPr>
              <w:rPr>
                <w:sz w:val="20"/>
                <w:szCs w:val="20"/>
              </w:rPr>
            </w:pPr>
          </w:p>
        </w:tc>
      </w:tr>
      <w:tr w:rsidR="00E062EA" w:rsidRPr="00A54F27" w:rsidTr="00E062EA">
        <w:trPr>
          <w:cantSplit/>
        </w:trPr>
        <w:tc>
          <w:tcPr>
            <w:tcW w:w="1458" w:type="dxa"/>
          </w:tcPr>
          <w:p w:rsidR="00E062EA" w:rsidRPr="00A54F27" w:rsidRDefault="00E062EA" w:rsidP="00E062EA">
            <w:pPr>
              <w:rPr>
                <w:sz w:val="20"/>
                <w:szCs w:val="20"/>
              </w:rPr>
            </w:pPr>
            <w:r w:rsidRPr="00A54F27">
              <w:rPr>
                <w:sz w:val="20"/>
                <w:szCs w:val="20"/>
              </w:rPr>
              <w:t>Coram :</w:t>
            </w:r>
          </w:p>
        </w:tc>
        <w:tc>
          <w:tcPr>
            <w:tcW w:w="8118" w:type="dxa"/>
          </w:tcPr>
          <w:p w:rsidR="00E062EA" w:rsidRPr="00A54F27" w:rsidRDefault="00E062EA" w:rsidP="00E062EA">
            <w:pPr>
              <w:rPr>
                <w:sz w:val="20"/>
                <w:szCs w:val="20"/>
              </w:rPr>
            </w:pPr>
            <w:proofErr w:type="spellStart"/>
            <w:r w:rsidRPr="00E062EA">
              <w:rPr>
                <w:rStyle w:val="SCCCoramChar"/>
                <w:sz w:val="20"/>
                <w:szCs w:val="20"/>
                <w:lang w:val="en-CA"/>
              </w:rPr>
              <w:t>McLachlin</w:t>
            </w:r>
            <w:proofErr w:type="spellEnd"/>
            <w:r w:rsidRPr="00E062EA">
              <w:rPr>
                <w:rStyle w:val="SCCCoramChar"/>
                <w:sz w:val="20"/>
                <w:szCs w:val="20"/>
                <w:lang w:val="en-CA"/>
              </w:rPr>
              <w:t xml:space="preserve"> C.J. and Rothstein and </w:t>
            </w:r>
            <w:proofErr w:type="spellStart"/>
            <w:r w:rsidRPr="00E062EA">
              <w:rPr>
                <w:rStyle w:val="SCCCoramChar"/>
                <w:sz w:val="20"/>
                <w:szCs w:val="20"/>
                <w:lang w:val="en-CA"/>
              </w:rPr>
              <w:t>Moldaver</w:t>
            </w:r>
            <w:proofErr w:type="spellEnd"/>
            <w:r w:rsidRPr="00E062EA">
              <w:rPr>
                <w:rStyle w:val="SCCCoramChar"/>
                <w:sz w:val="20"/>
                <w:szCs w:val="20"/>
                <w:lang w:val="en-CA"/>
              </w:rPr>
              <w:t> JJ.</w:t>
            </w:r>
          </w:p>
          <w:p w:rsidR="00E062EA" w:rsidRPr="00A54F27" w:rsidRDefault="00E062EA" w:rsidP="00E062EA">
            <w:pPr>
              <w:rPr>
                <w:sz w:val="20"/>
                <w:szCs w:val="20"/>
                <w:u w:val="single"/>
              </w:rPr>
            </w:pPr>
          </w:p>
        </w:tc>
      </w:tr>
      <w:tr w:rsidR="00E062EA" w:rsidRPr="002D3F55" w:rsidTr="00E062EA">
        <w:trPr>
          <w:cantSplit/>
        </w:trPr>
        <w:tc>
          <w:tcPr>
            <w:tcW w:w="9576" w:type="dxa"/>
            <w:gridSpan w:val="2"/>
          </w:tcPr>
          <w:p w:rsidR="00E062EA" w:rsidRPr="00A54F27" w:rsidRDefault="00E062EA" w:rsidP="00E062EA">
            <w:pPr>
              <w:pStyle w:val="SCCShortJudgment"/>
              <w:rPr>
                <w:szCs w:val="20"/>
              </w:rPr>
            </w:pPr>
            <w:r w:rsidRPr="00A54F27">
              <w:rPr>
                <w:szCs w:val="20"/>
              </w:rPr>
              <w:t>The application for leave to appeal from the judgment of the Court of Appeal for Ontario, Number C50830, 2011 ONCA 582, dated September 13, 2011, is dismissed without costs.</w:t>
            </w:r>
          </w:p>
          <w:p w:rsidR="00E062EA" w:rsidRPr="00A54F27" w:rsidRDefault="00E062EA" w:rsidP="00E062EA">
            <w:pPr>
              <w:pStyle w:val="SCCShortJudgment"/>
              <w:ind w:firstLine="0"/>
              <w:rPr>
                <w:szCs w:val="20"/>
              </w:rPr>
            </w:pPr>
          </w:p>
          <w:p w:rsidR="00E062EA" w:rsidRPr="00A54F27" w:rsidRDefault="00E062EA" w:rsidP="00E062EA">
            <w:pPr>
              <w:pStyle w:val="SCCShortJudgment"/>
              <w:rPr>
                <w:szCs w:val="20"/>
                <w:lang w:val="fr-CA"/>
              </w:rPr>
            </w:pPr>
            <w:r w:rsidRPr="00A54F27">
              <w:rPr>
                <w:szCs w:val="20"/>
                <w:lang w:val="fr-CA"/>
              </w:rPr>
              <w:t>La demande d’autorisation d’appel de l’arrêt de la Cour d’appel de l’Ontario, numéro C50830, 2011 ONCA 582, daté du 13 septembre 2011, est rejetée sans dépens.</w:t>
            </w:r>
          </w:p>
        </w:tc>
      </w:tr>
    </w:tbl>
    <w:p w:rsidR="00C64AFA" w:rsidRPr="00E062EA"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393274" w:rsidRPr="00B32C06" w:rsidTr="00352439">
        <w:trPr>
          <w:gridAfter w:val="1"/>
          <w:wAfter w:w="48" w:type="pct"/>
        </w:trPr>
        <w:tc>
          <w:tcPr>
            <w:tcW w:w="4952" w:type="pct"/>
            <w:gridSpan w:val="3"/>
          </w:tcPr>
          <w:p w:rsidR="00393274" w:rsidRPr="00B32C06" w:rsidRDefault="00393274" w:rsidP="00352439">
            <w:pPr>
              <w:jc w:val="both"/>
              <w:rPr>
                <w:rFonts w:eastAsia="Calibri"/>
                <w:sz w:val="20"/>
              </w:rPr>
            </w:pPr>
            <w:r w:rsidRPr="00B32C06">
              <w:rPr>
                <w:rFonts w:eastAsia="Calibri"/>
                <w:sz w:val="20"/>
              </w:rPr>
              <w:t xml:space="preserve">Criminal Law – Evidence – Collusion between witnesses – </w:t>
            </w:r>
            <w:proofErr w:type="spellStart"/>
            <w:r w:rsidRPr="00B32C06">
              <w:rPr>
                <w:rFonts w:eastAsia="Calibri"/>
                <w:i/>
                <w:sz w:val="20"/>
              </w:rPr>
              <w:t>Vetrovec</w:t>
            </w:r>
            <w:proofErr w:type="spellEnd"/>
            <w:r w:rsidRPr="00B32C06">
              <w:rPr>
                <w:rFonts w:eastAsia="Calibri"/>
                <w:sz w:val="20"/>
              </w:rPr>
              <w:t xml:space="preserve"> witnesses – Whether Court of appeal committed overriding and palpable factual error that would give rise to legal error reviewable by the Court – Whether trial judge erred in her approach to the issue of potential collusion between </w:t>
            </w:r>
            <w:proofErr w:type="spellStart"/>
            <w:r w:rsidRPr="00B32C06">
              <w:rPr>
                <w:rFonts w:eastAsia="Calibri"/>
                <w:i/>
                <w:sz w:val="20"/>
              </w:rPr>
              <w:t>Vetrovec</w:t>
            </w:r>
            <w:proofErr w:type="spellEnd"/>
            <w:r w:rsidRPr="00B32C06">
              <w:rPr>
                <w:rFonts w:eastAsia="Calibri"/>
                <w:sz w:val="20"/>
              </w:rPr>
              <w:t xml:space="preserve"> witnesses and in using the evidence of each witness to corroborate the other – Whether trial judge erred in relying on documentation to corroborate the evidence of </w:t>
            </w:r>
            <w:proofErr w:type="spellStart"/>
            <w:r w:rsidRPr="00B32C06">
              <w:rPr>
                <w:rFonts w:eastAsia="Calibri"/>
                <w:i/>
                <w:sz w:val="20"/>
              </w:rPr>
              <w:t>Vetrovec</w:t>
            </w:r>
            <w:proofErr w:type="spellEnd"/>
            <w:r w:rsidRPr="00B32C06">
              <w:rPr>
                <w:rFonts w:eastAsia="Calibri"/>
                <w:sz w:val="20"/>
              </w:rPr>
              <w:t xml:space="preserve"> witnesses when that documentation depended on the interpretation of the witnesses – Whether trial judge’s failure to refer to the potential of tainting among </w:t>
            </w:r>
            <w:proofErr w:type="spellStart"/>
            <w:r w:rsidRPr="00B32C06">
              <w:rPr>
                <w:rFonts w:eastAsia="Calibri"/>
                <w:i/>
                <w:sz w:val="20"/>
              </w:rPr>
              <w:t>Vetrovec</w:t>
            </w:r>
            <w:proofErr w:type="spellEnd"/>
            <w:r w:rsidRPr="00B32C06">
              <w:rPr>
                <w:rFonts w:eastAsia="Calibri"/>
                <w:sz w:val="20"/>
              </w:rPr>
              <w:t xml:space="preserve"> witnesses indicates a failure to consider it and whether the error was significant in light of the claim that there was actual collusion.</w:t>
            </w:r>
          </w:p>
        </w:tc>
      </w:tr>
      <w:tr w:rsidR="00393274" w:rsidRPr="00B32C06" w:rsidTr="00352439">
        <w:trPr>
          <w:gridAfter w:val="1"/>
          <w:wAfter w:w="48" w:type="pct"/>
        </w:trPr>
        <w:tc>
          <w:tcPr>
            <w:tcW w:w="4952" w:type="pct"/>
            <w:gridSpan w:val="3"/>
          </w:tcPr>
          <w:p w:rsidR="00393274" w:rsidRPr="00B32C06" w:rsidRDefault="00393274" w:rsidP="00352439">
            <w:pPr>
              <w:jc w:val="both"/>
              <w:rPr>
                <w:rFonts w:eastAsia="Calibri"/>
                <w:sz w:val="20"/>
              </w:rPr>
            </w:pPr>
          </w:p>
        </w:tc>
      </w:tr>
      <w:tr w:rsidR="00393274" w:rsidRPr="00B32C06" w:rsidTr="00352439">
        <w:trPr>
          <w:gridAfter w:val="1"/>
          <w:wAfter w:w="48" w:type="pct"/>
        </w:trPr>
        <w:tc>
          <w:tcPr>
            <w:tcW w:w="4952" w:type="pct"/>
            <w:gridSpan w:val="3"/>
          </w:tcPr>
          <w:p w:rsidR="00393274" w:rsidRPr="00B32C06" w:rsidRDefault="00393274" w:rsidP="00352439">
            <w:pPr>
              <w:jc w:val="both"/>
              <w:rPr>
                <w:rFonts w:eastAsia="Calibri"/>
                <w:sz w:val="20"/>
              </w:rPr>
            </w:pPr>
            <w:r w:rsidRPr="00B32C06">
              <w:rPr>
                <w:rFonts w:eastAsia="Calibri"/>
                <w:sz w:val="20"/>
              </w:rPr>
              <w:t xml:space="preserve">The applicant and a co-accused were convicted of fraud relating to a kickback scheme involving their company which misstated assets in a prospectus filed for an initial public offering of the company, fraud in relation to the company’s </w:t>
            </w:r>
            <w:r w:rsidRPr="00B32C06">
              <w:rPr>
                <w:rFonts w:eastAsia="Calibri"/>
                <w:sz w:val="20"/>
              </w:rPr>
              <w:lastRenderedPageBreak/>
              <w:t>accounting practices, and forgery in connection with the filing of false financial statements while at the company.  Financial statements and disclosures released by their company contained material misrepresentations overstating the company's value, underreporting expenses, and hiding a scheme of kickbacks and false invoices.  The company’s Chief Financial Officer, its vice-president in charge of accounting, and another accounting employee testified against the applicant and his co-accused.  All three had been involved in the fraud and forgery. The vice-president received a lesser sentence for offences in exchange for his cooperation.  The CFO and accounting employee avoided criminal charges and received civil immunity in exchange for their cooperation.</w:t>
            </w:r>
          </w:p>
          <w:p w:rsidR="00393274" w:rsidRPr="00B32C06" w:rsidRDefault="00393274" w:rsidP="00352439">
            <w:pPr>
              <w:jc w:val="both"/>
              <w:rPr>
                <w:rFonts w:eastAsia="Calibri"/>
                <w:sz w:val="20"/>
              </w:rPr>
            </w:pPr>
          </w:p>
        </w:tc>
      </w:tr>
      <w:tr w:rsidR="00393274" w:rsidRPr="00B32C06" w:rsidTr="00352439">
        <w:tblPrEx>
          <w:tblCellMar>
            <w:bottom w:w="0" w:type="dxa"/>
          </w:tblCellMar>
        </w:tblPrEx>
        <w:tc>
          <w:tcPr>
            <w:tcW w:w="2367" w:type="pct"/>
          </w:tcPr>
          <w:p w:rsidR="00393274" w:rsidRPr="00B32C06" w:rsidRDefault="00393274" w:rsidP="00352439">
            <w:pPr>
              <w:jc w:val="both"/>
              <w:rPr>
                <w:rFonts w:eastAsia="Calibri"/>
                <w:sz w:val="20"/>
              </w:rPr>
            </w:pPr>
            <w:r w:rsidRPr="00B32C06">
              <w:rPr>
                <w:rFonts w:eastAsia="Calibri"/>
                <w:sz w:val="20"/>
              </w:rPr>
              <w:lastRenderedPageBreak/>
              <w:t>March 25, 2009</w:t>
            </w:r>
          </w:p>
          <w:p w:rsidR="00393274" w:rsidRPr="00B32C06" w:rsidRDefault="00393274" w:rsidP="00352439">
            <w:pPr>
              <w:jc w:val="both"/>
              <w:rPr>
                <w:rFonts w:eastAsia="Calibri"/>
                <w:sz w:val="20"/>
              </w:rPr>
            </w:pPr>
            <w:r w:rsidRPr="00B32C06">
              <w:rPr>
                <w:rFonts w:eastAsia="Calibri"/>
                <w:sz w:val="20"/>
              </w:rPr>
              <w:t>Ontario Superior Court of Justice</w:t>
            </w:r>
          </w:p>
          <w:p w:rsidR="00393274" w:rsidRPr="00B32C06" w:rsidRDefault="00393274" w:rsidP="00352439">
            <w:pPr>
              <w:jc w:val="both"/>
              <w:rPr>
                <w:rFonts w:eastAsia="Calibri"/>
                <w:sz w:val="20"/>
              </w:rPr>
            </w:pPr>
            <w:r w:rsidRPr="00B32C06">
              <w:rPr>
                <w:rFonts w:eastAsia="Calibri"/>
                <w:sz w:val="20"/>
              </w:rPr>
              <w:t>(</w:t>
            </w:r>
            <w:proofErr w:type="spellStart"/>
            <w:r w:rsidRPr="00B32C06">
              <w:rPr>
                <w:rFonts w:eastAsia="Calibri"/>
                <w:sz w:val="20"/>
              </w:rPr>
              <w:t>Benotto</w:t>
            </w:r>
            <w:proofErr w:type="spellEnd"/>
            <w:r w:rsidRPr="00B32C06">
              <w:rPr>
                <w:rFonts w:eastAsia="Calibri"/>
                <w:sz w:val="20"/>
              </w:rPr>
              <w:t xml:space="preserve"> J.)</w:t>
            </w:r>
          </w:p>
          <w:p w:rsidR="00393274" w:rsidRPr="00B32C06" w:rsidRDefault="00393274" w:rsidP="00352439">
            <w:pPr>
              <w:jc w:val="both"/>
              <w:rPr>
                <w:rFonts w:eastAsia="Calibri"/>
                <w:sz w:val="20"/>
              </w:rPr>
            </w:pPr>
            <w:r w:rsidRPr="00B32C06">
              <w:rPr>
                <w:rFonts w:eastAsia="Calibri"/>
                <w:sz w:val="20"/>
              </w:rPr>
              <w:t xml:space="preserve"> </w:t>
            </w:r>
          </w:p>
        </w:tc>
        <w:tc>
          <w:tcPr>
            <w:tcW w:w="267" w:type="pct"/>
          </w:tcPr>
          <w:p w:rsidR="00393274" w:rsidRPr="00B32C06" w:rsidRDefault="00393274" w:rsidP="00352439">
            <w:pPr>
              <w:jc w:val="both"/>
              <w:rPr>
                <w:rFonts w:eastAsia="Calibri"/>
                <w:sz w:val="20"/>
              </w:rPr>
            </w:pPr>
          </w:p>
        </w:tc>
        <w:tc>
          <w:tcPr>
            <w:tcW w:w="2366" w:type="pct"/>
            <w:gridSpan w:val="2"/>
          </w:tcPr>
          <w:p w:rsidR="00393274" w:rsidRPr="00B32C06" w:rsidRDefault="00393274" w:rsidP="00352439">
            <w:pPr>
              <w:jc w:val="both"/>
              <w:rPr>
                <w:rFonts w:eastAsia="Calibri"/>
                <w:sz w:val="20"/>
              </w:rPr>
            </w:pPr>
            <w:r w:rsidRPr="00B32C06">
              <w:rPr>
                <w:rFonts w:eastAsia="Calibri"/>
                <w:sz w:val="20"/>
              </w:rPr>
              <w:t>Convictions on two counts of fraud and one count of forgery</w:t>
            </w:r>
          </w:p>
          <w:p w:rsidR="00393274" w:rsidRPr="00B32C06" w:rsidRDefault="00393274" w:rsidP="00352439">
            <w:pPr>
              <w:jc w:val="both"/>
              <w:rPr>
                <w:rFonts w:eastAsia="Calibri"/>
                <w:sz w:val="20"/>
              </w:rPr>
            </w:pPr>
          </w:p>
        </w:tc>
      </w:tr>
      <w:tr w:rsidR="00393274" w:rsidRPr="00B32C06" w:rsidTr="00352439">
        <w:tblPrEx>
          <w:tblCellMar>
            <w:bottom w:w="0" w:type="dxa"/>
          </w:tblCellMar>
        </w:tblPrEx>
        <w:tc>
          <w:tcPr>
            <w:tcW w:w="2367" w:type="pct"/>
          </w:tcPr>
          <w:p w:rsidR="00393274" w:rsidRPr="00B32C06" w:rsidRDefault="00393274" w:rsidP="00352439">
            <w:pPr>
              <w:jc w:val="both"/>
              <w:rPr>
                <w:rFonts w:eastAsia="Calibri"/>
                <w:sz w:val="20"/>
              </w:rPr>
            </w:pPr>
            <w:r w:rsidRPr="00B32C06">
              <w:rPr>
                <w:rFonts w:eastAsia="Calibri"/>
                <w:sz w:val="20"/>
              </w:rPr>
              <w:t>September 13, 2011</w:t>
            </w:r>
          </w:p>
          <w:p w:rsidR="00393274" w:rsidRPr="00B32C06" w:rsidRDefault="00393274" w:rsidP="00352439">
            <w:pPr>
              <w:jc w:val="both"/>
              <w:rPr>
                <w:rFonts w:eastAsia="Calibri"/>
                <w:sz w:val="20"/>
              </w:rPr>
            </w:pPr>
            <w:r w:rsidRPr="00B32C06">
              <w:rPr>
                <w:rFonts w:eastAsia="Calibri"/>
                <w:sz w:val="20"/>
              </w:rPr>
              <w:t>Court of Appeal for Ontario</w:t>
            </w:r>
          </w:p>
          <w:p w:rsidR="00393274" w:rsidRPr="00B32C06" w:rsidRDefault="00393274" w:rsidP="00352439">
            <w:pPr>
              <w:jc w:val="both"/>
              <w:rPr>
                <w:rFonts w:eastAsia="Calibri"/>
                <w:sz w:val="20"/>
              </w:rPr>
            </w:pPr>
            <w:r w:rsidRPr="00B32C06">
              <w:rPr>
                <w:rFonts w:eastAsia="Calibri"/>
                <w:sz w:val="20"/>
              </w:rPr>
              <w:t xml:space="preserve">(Doherty, </w:t>
            </w:r>
            <w:proofErr w:type="spellStart"/>
            <w:r w:rsidRPr="00B32C06">
              <w:rPr>
                <w:rFonts w:eastAsia="Calibri"/>
                <w:sz w:val="20"/>
              </w:rPr>
              <w:t>Goudge</w:t>
            </w:r>
            <w:proofErr w:type="spellEnd"/>
            <w:r w:rsidRPr="00B32C06">
              <w:rPr>
                <w:rFonts w:eastAsia="Calibri"/>
                <w:sz w:val="20"/>
              </w:rPr>
              <w:t>, Armstrong JJ.A.)</w:t>
            </w:r>
          </w:p>
          <w:p w:rsidR="00393274" w:rsidRPr="00B32C06" w:rsidRDefault="00393274" w:rsidP="00352439">
            <w:pPr>
              <w:jc w:val="both"/>
              <w:rPr>
                <w:rFonts w:eastAsia="Calibri"/>
                <w:sz w:val="20"/>
              </w:rPr>
            </w:pPr>
            <w:r w:rsidRPr="00B32C06">
              <w:rPr>
                <w:rFonts w:eastAsia="Calibri"/>
                <w:sz w:val="20"/>
              </w:rPr>
              <w:t>2011 ONCA 582; C50830</w:t>
            </w:r>
          </w:p>
          <w:p w:rsidR="00393274" w:rsidRPr="00B32C06" w:rsidRDefault="00393274" w:rsidP="00352439">
            <w:pPr>
              <w:jc w:val="both"/>
              <w:rPr>
                <w:rFonts w:eastAsia="Calibri"/>
                <w:sz w:val="20"/>
              </w:rPr>
            </w:pPr>
          </w:p>
        </w:tc>
        <w:tc>
          <w:tcPr>
            <w:tcW w:w="267" w:type="pct"/>
          </w:tcPr>
          <w:p w:rsidR="00393274" w:rsidRPr="00B32C06" w:rsidRDefault="00393274" w:rsidP="00352439">
            <w:pPr>
              <w:jc w:val="both"/>
              <w:rPr>
                <w:rFonts w:eastAsia="Calibri"/>
                <w:sz w:val="20"/>
              </w:rPr>
            </w:pPr>
          </w:p>
        </w:tc>
        <w:tc>
          <w:tcPr>
            <w:tcW w:w="2366" w:type="pct"/>
            <w:gridSpan w:val="2"/>
          </w:tcPr>
          <w:p w:rsidR="00393274" w:rsidRPr="00B32C06" w:rsidRDefault="00393274" w:rsidP="00352439">
            <w:pPr>
              <w:jc w:val="both"/>
              <w:rPr>
                <w:rFonts w:eastAsia="Calibri"/>
                <w:sz w:val="20"/>
              </w:rPr>
            </w:pPr>
            <w:r w:rsidRPr="00B32C06">
              <w:rPr>
                <w:rFonts w:eastAsia="Calibri"/>
                <w:sz w:val="20"/>
              </w:rPr>
              <w:t>Appeal dismissed</w:t>
            </w:r>
          </w:p>
          <w:p w:rsidR="00393274" w:rsidRPr="00B32C06" w:rsidRDefault="00393274" w:rsidP="00352439">
            <w:pPr>
              <w:jc w:val="both"/>
              <w:rPr>
                <w:rFonts w:eastAsia="Calibri"/>
                <w:sz w:val="20"/>
              </w:rPr>
            </w:pPr>
          </w:p>
        </w:tc>
      </w:tr>
      <w:tr w:rsidR="00393274" w:rsidRPr="00B32C06" w:rsidTr="00352439">
        <w:tblPrEx>
          <w:tblCellMar>
            <w:bottom w:w="0" w:type="dxa"/>
          </w:tblCellMar>
        </w:tblPrEx>
        <w:tc>
          <w:tcPr>
            <w:tcW w:w="2367" w:type="pct"/>
          </w:tcPr>
          <w:p w:rsidR="00393274" w:rsidRPr="00B32C06" w:rsidRDefault="00393274" w:rsidP="00352439">
            <w:pPr>
              <w:jc w:val="both"/>
              <w:rPr>
                <w:rFonts w:eastAsia="Calibri"/>
                <w:sz w:val="20"/>
              </w:rPr>
            </w:pPr>
            <w:r w:rsidRPr="00B32C06">
              <w:rPr>
                <w:rFonts w:eastAsia="Calibri"/>
                <w:sz w:val="20"/>
              </w:rPr>
              <w:t>November 14, 2011</w:t>
            </w:r>
          </w:p>
          <w:p w:rsidR="00393274" w:rsidRPr="00B32C06" w:rsidRDefault="00393274" w:rsidP="00393274">
            <w:pPr>
              <w:jc w:val="both"/>
              <w:rPr>
                <w:rFonts w:eastAsia="Calibri"/>
                <w:sz w:val="20"/>
              </w:rPr>
            </w:pPr>
            <w:r w:rsidRPr="00B32C06">
              <w:rPr>
                <w:rFonts w:eastAsia="Calibri"/>
                <w:sz w:val="20"/>
              </w:rPr>
              <w:t>Supreme Court of Canada</w:t>
            </w:r>
          </w:p>
        </w:tc>
        <w:tc>
          <w:tcPr>
            <w:tcW w:w="267" w:type="pct"/>
          </w:tcPr>
          <w:p w:rsidR="00393274" w:rsidRPr="00B32C06" w:rsidRDefault="00393274" w:rsidP="00352439">
            <w:pPr>
              <w:jc w:val="both"/>
              <w:rPr>
                <w:rFonts w:eastAsia="Calibri"/>
                <w:sz w:val="20"/>
              </w:rPr>
            </w:pPr>
          </w:p>
        </w:tc>
        <w:tc>
          <w:tcPr>
            <w:tcW w:w="2366" w:type="pct"/>
            <w:gridSpan w:val="2"/>
          </w:tcPr>
          <w:p w:rsidR="00393274" w:rsidRPr="00B32C06" w:rsidRDefault="00393274" w:rsidP="00352439">
            <w:pPr>
              <w:jc w:val="both"/>
              <w:rPr>
                <w:rFonts w:eastAsia="Calibri"/>
                <w:sz w:val="20"/>
              </w:rPr>
            </w:pPr>
            <w:r w:rsidRPr="00B32C06">
              <w:rPr>
                <w:rFonts w:eastAsia="Calibri"/>
                <w:sz w:val="20"/>
              </w:rPr>
              <w:t>Application for leave to appeal filed</w:t>
            </w:r>
          </w:p>
          <w:p w:rsidR="00393274" w:rsidRPr="00B32C06" w:rsidRDefault="00393274" w:rsidP="00352439">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67"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393274" w:rsidRPr="002D3F55" w:rsidTr="00352439">
        <w:trPr>
          <w:gridAfter w:val="1"/>
          <w:wAfter w:w="48" w:type="pct"/>
        </w:trPr>
        <w:tc>
          <w:tcPr>
            <w:tcW w:w="4952" w:type="pct"/>
            <w:gridSpan w:val="3"/>
          </w:tcPr>
          <w:p w:rsidR="00393274" w:rsidRPr="00B32C06" w:rsidRDefault="00393274" w:rsidP="00352439">
            <w:pPr>
              <w:jc w:val="both"/>
              <w:rPr>
                <w:rFonts w:eastAsia="Calibri"/>
                <w:sz w:val="20"/>
                <w:lang w:val="fr-CA"/>
              </w:rPr>
            </w:pPr>
            <w:r w:rsidRPr="00B32C06">
              <w:rPr>
                <w:rFonts w:eastAsia="Calibri"/>
                <w:sz w:val="20"/>
                <w:lang w:val="fr-CA"/>
              </w:rPr>
              <w:t xml:space="preserve">Droit criminel – Preuve – Collusion entre témoins – Témoins visés par </w:t>
            </w:r>
            <w:proofErr w:type="spellStart"/>
            <w:r w:rsidRPr="00B32C06">
              <w:rPr>
                <w:rFonts w:eastAsia="Calibri"/>
                <w:i/>
                <w:sz w:val="20"/>
                <w:lang w:val="fr-CA"/>
              </w:rPr>
              <w:t>Vetrovec</w:t>
            </w:r>
            <w:proofErr w:type="spellEnd"/>
            <w:r w:rsidRPr="00B32C06">
              <w:rPr>
                <w:rFonts w:eastAsia="Calibri"/>
                <w:sz w:val="20"/>
                <w:lang w:val="fr-CA"/>
              </w:rPr>
              <w:t xml:space="preserve"> – La Cour d'appel a-t-elle commis une erreur factuelle manifeste et dominante qui donnerait lieu à une erreur de droit susceptible de révision par la Cour? – La juge du procès a-t-elle commis une erreur dans sa façon d'aborder la question de la collusion éventuelle entre témoins visés par </w:t>
            </w:r>
            <w:proofErr w:type="spellStart"/>
            <w:r w:rsidRPr="00B32C06">
              <w:rPr>
                <w:rFonts w:eastAsia="Calibri"/>
                <w:i/>
                <w:sz w:val="20"/>
                <w:lang w:val="fr-CA"/>
              </w:rPr>
              <w:t>Vetrovec</w:t>
            </w:r>
            <w:proofErr w:type="spellEnd"/>
            <w:r w:rsidRPr="00B32C06">
              <w:rPr>
                <w:rFonts w:eastAsia="Calibri"/>
                <w:sz w:val="20"/>
                <w:lang w:val="fr-CA"/>
              </w:rPr>
              <w:t xml:space="preserve"> et en utilisant la preuve de chaque témoin pour corroborer celle de l’autre? – La juge du procès a-t-elle eu tort de s'appuyer sur des documents pour corroborer la preuve des témoins visés par </w:t>
            </w:r>
            <w:proofErr w:type="spellStart"/>
            <w:r w:rsidRPr="00B32C06">
              <w:rPr>
                <w:rFonts w:eastAsia="Calibri"/>
                <w:i/>
                <w:sz w:val="20"/>
                <w:lang w:val="fr-CA"/>
              </w:rPr>
              <w:t>Vetrovec</w:t>
            </w:r>
            <w:proofErr w:type="spellEnd"/>
            <w:r w:rsidRPr="00B32C06">
              <w:rPr>
                <w:rFonts w:eastAsia="Calibri"/>
                <w:sz w:val="20"/>
                <w:lang w:val="fr-CA"/>
              </w:rPr>
              <w:t xml:space="preserve"> alors que ces documents dépendaient de l'interprétation des témoins? – Le fait que la juge du procès n'ait pas mentionné la possibilité que la preuve soit viciée en raison d’un lien entre les témoins visés par </w:t>
            </w:r>
            <w:proofErr w:type="spellStart"/>
            <w:r w:rsidRPr="00B32C06">
              <w:rPr>
                <w:rFonts w:eastAsia="Calibri"/>
                <w:i/>
                <w:sz w:val="20"/>
                <w:lang w:val="fr-CA"/>
              </w:rPr>
              <w:t>Vetrovec</w:t>
            </w:r>
            <w:proofErr w:type="spellEnd"/>
            <w:r w:rsidRPr="00B32C06">
              <w:rPr>
                <w:rFonts w:eastAsia="Calibri"/>
                <w:sz w:val="20"/>
                <w:lang w:val="fr-CA"/>
              </w:rPr>
              <w:t xml:space="preserve"> indique-t-il qu'elle n'a pas considéré cette possibilité et l'erreur était-elle importante, vu l'allégation qu'il y avait effectivement eu collusion?</w:t>
            </w:r>
          </w:p>
        </w:tc>
      </w:tr>
      <w:tr w:rsidR="00393274" w:rsidRPr="002D3F55" w:rsidTr="00352439">
        <w:trPr>
          <w:gridAfter w:val="1"/>
          <w:wAfter w:w="48" w:type="pct"/>
        </w:trPr>
        <w:tc>
          <w:tcPr>
            <w:tcW w:w="4952" w:type="pct"/>
            <w:gridSpan w:val="3"/>
          </w:tcPr>
          <w:p w:rsidR="00393274" w:rsidRPr="00B32C06" w:rsidRDefault="00393274" w:rsidP="00352439">
            <w:pPr>
              <w:jc w:val="both"/>
              <w:rPr>
                <w:rFonts w:eastAsia="Calibri"/>
                <w:sz w:val="20"/>
                <w:lang w:val="fr-CA"/>
              </w:rPr>
            </w:pPr>
          </w:p>
        </w:tc>
      </w:tr>
      <w:tr w:rsidR="00393274" w:rsidRPr="002D3F55" w:rsidTr="00352439">
        <w:trPr>
          <w:gridAfter w:val="1"/>
          <w:wAfter w:w="48" w:type="pct"/>
        </w:trPr>
        <w:tc>
          <w:tcPr>
            <w:tcW w:w="4952" w:type="pct"/>
            <w:gridSpan w:val="3"/>
          </w:tcPr>
          <w:p w:rsidR="00393274" w:rsidRPr="00B32C06" w:rsidRDefault="00393274" w:rsidP="00352439">
            <w:pPr>
              <w:jc w:val="both"/>
              <w:rPr>
                <w:rFonts w:eastAsia="Calibri"/>
                <w:sz w:val="20"/>
                <w:lang w:val="fr-CA"/>
              </w:rPr>
            </w:pPr>
            <w:r w:rsidRPr="00B32C06">
              <w:rPr>
                <w:rFonts w:eastAsia="Calibri"/>
                <w:sz w:val="20"/>
                <w:lang w:val="fr-CA"/>
              </w:rPr>
              <w:t>Le demandeur et un coaccusé ont été déclarés coupables de fraude en lien avec un stratagème de pots-de-vin par lequel leur compagnie faisait de fausses déclarations au sujet de biens dans un prospectus déposé en vue d'un premier appel public à l'épargne de la compagnie, de fraude en lien avec les pratiques comptables de la compagnie et de faux en lien avec le dépôt de faux états financiers pendant qu'ils étaient au service de la compagnie. Les états financiers et les communications d'informations publiées par leur compagnie renfermaient des inexactitudes importantes qui surestimaient la valeur de la compagnie, sous-estimaient les charges et cachaient un stratagème de pots-de-vin et de fausses factures. Le directeur financier de la compagnie, son vice-président directeur de la comptabilité et un autre employé de la comptabilité ont témoigné contre le demandeur et son coaccusé. Les trois avaient participé à la fraude et au faux. Le vice-président s'est vu imposer une peine moindre pour les infractions en échange de sa collaboration. Le directeur financier et l'employé de la comptabilité ont évité des accusations au criminel et ont obtenu l'immunité au civil en échange de leur collaboration.</w:t>
            </w:r>
          </w:p>
          <w:p w:rsidR="00393274" w:rsidRPr="00B32C06" w:rsidRDefault="00393274" w:rsidP="00352439">
            <w:pPr>
              <w:jc w:val="both"/>
              <w:rPr>
                <w:rFonts w:eastAsia="Calibri"/>
                <w:sz w:val="20"/>
                <w:lang w:val="fr-CA"/>
              </w:rPr>
            </w:pPr>
          </w:p>
        </w:tc>
      </w:tr>
      <w:tr w:rsidR="00393274" w:rsidRPr="002D3F55" w:rsidTr="00352439">
        <w:tblPrEx>
          <w:tblCellMar>
            <w:bottom w:w="0" w:type="dxa"/>
          </w:tblCellMar>
        </w:tblPrEx>
        <w:tc>
          <w:tcPr>
            <w:tcW w:w="2367" w:type="pct"/>
          </w:tcPr>
          <w:p w:rsidR="00393274" w:rsidRPr="00B32C06" w:rsidRDefault="00393274" w:rsidP="00352439">
            <w:pPr>
              <w:jc w:val="both"/>
              <w:rPr>
                <w:rFonts w:eastAsia="Calibri"/>
                <w:sz w:val="20"/>
                <w:lang w:val="fr-CA"/>
              </w:rPr>
            </w:pPr>
            <w:r w:rsidRPr="00B32C06">
              <w:rPr>
                <w:rFonts w:eastAsia="Calibri"/>
                <w:sz w:val="20"/>
                <w:lang w:val="fr-CA"/>
              </w:rPr>
              <w:t>25 mars 2009</w:t>
            </w:r>
          </w:p>
          <w:p w:rsidR="00393274" w:rsidRPr="00B32C06" w:rsidRDefault="00393274" w:rsidP="00352439">
            <w:pPr>
              <w:jc w:val="both"/>
              <w:rPr>
                <w:rFonts w:eastAsia="Calibri"/>
                <w:sz w:val="20"/>
                <w:lang w:val="fr-CA"/>
              </w:rPr>
            </w:pPr>
            <w:r w:rsidRPr="00B32C06">
              <w:rPr>
                <w:rFonts w:eastAsia="Calibri"/>
                <w:sz w:val="20"/>
                <w:lang w:val="fr-CA"/>
              </w:rPr>
              <w:t xml:space="preserve">Cour supérieure de justice de l'Ontario </w:t>
            </w:r>
          </w:p>
          <w:p w:rsidR="00393274" w:rsidRPr="00B32C06" w:rsidRDefault="00393274" w:rsidP="00352439">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Benotto</w:t>
            </w:r>
            <w:proofErr w:type="spellEnd"/>
            <w:r w:rsidRPr="00B32C06">
              <w:rPr>
                <w:rFonts w:eastAsia="Calibri"/>
                <w:sz w:val="20"/>
                <w:lang w:val="fr-CA"/>
              </w:rPr>
              <w:t>)</w:t>
            </w:r>
          </w:p>
          <w:p w:rsidR="00393274" w:rsidRPr="00B32C06" w:rsidRDefault="00393274" w:rsidP="00352439">
            <w:pPr>
              <w:jc w:val="both"/>
              <w:rPr>
                <w:rFonts w:eastAsia="Calibri"/>
                <w:sz w:val="20"/>
                <w:lang w:val="fr-CA"/>
              </w:rPr>
            </w:pPr>
          </w:p>
        </w:tc>
        <w:tc>
          <w:tcPr>
            <w:tcW w:w="267" w:type="pct"/>
          </w:tcPr>
          <w:p w:rsidR="00393274" w:rsidRPr="00B32C06" w:rsidRDefault="00393274" w:rsidP="00352439">
            <w:pPr>
              <w:jc w:val="both"/>
              <w:rPr>
                <w:rFonts w:eastAsia="Calibri"/>
                <w:sz w:val="20"/>
                <w:lang w:val="fr-CA"/>
              </w:rPr>
            </w:pPr>
          </w:p>
        </w:tc>
        <w:tc>
          <w:tcPr>
            <w:tcW w:w="2366" w:type="pct"/>
            <w:gridSpan w:val="2"/>
          </w:tcPr>
          <w:p w:rsidR="00393274" w:rsidRPr="00B32C06" w:rsidRDefault="00393274" w:rsidP="00352439">
            <w:pPr>
              <w:jc w:val="both"/>
              <w:rPr>
                <w:rFonts w:eastAsia="Calibri"/>
                <w:sz w:val="20"/>
                <w:lang w:val="fr-CA"/>
              </w:rPr>
            </w:pPr>
            <w:r w:rsidRPr="00B32C06">
              <w:rPr>
                <w:rFonts w:eastAsia="Calibri"/>
                <w:sz w:val="20"/>
                <w:lang w:val="fr-CA"/>
              </w:rPr>
              <w:t>Déclaration de culpabilité sous deux chefs de fraude et un chef de faux</w:t>
            </w:r>
          </w:p>
          <w:p w:rsidR="00393274" w:rsidRPr="00B32C06" w:rsidRDefault="00393274" w:rsidP="00352439">
            <w:pPr>
              <w:jc w:val="both"/>
              <w:rPr>
                <w:rFonts w:eastAsia="Calibri"/>
                <w:sz w:val="20"/>
                <w:lang w:val="fr-CA"/>
              </w:rPr>
            </w:pPr>
          </w:p>
        </w:tc>
      </w:tr>
      <w:tr w:rsidR="00393274" w:rsidRPr="00B32C06" w:rsidTr="00DA20EC">
        <w:tblPrEx>
          <w:tblCellMar>
            <w:bottom w:w="0" w:type="dxa"/>
          </w:tblCellMar>
        </w:tblPrEx>
        <w:trPr>
          <w:cantSplit/>
        </w:trPr>
        <w:tc>
          <w:tcPr>
            <w:tcW w:w="2367" w:type="pct"/>
          </w:tcPr>
          <w:p w:rsidR="00393274" w:rsidRPr="00B32C06" w:rsidRDefault="00393274" w:rsidP="00352439">
            <w:pPr>
              <w:jc w:val="both"/>
              <w:rPr>
                <w:rFonts w:eastAsia="Calibri"/>
                <w:sz w:val="20"/>
                <w:lang w:val="fr-CA"/>
              </w:rPr>
            </w:pPr>
            <w:r w:rsidRPr="00B32C06">
              <w:rPr>
                <w:rFonts w:eastAsia="Calibri"/>
                <w:sz w:val="20"/>
                <w:lang w:val="fr-CA"/>
              </w:rPr>
              <w:lastRenderedPageBreak/>
              <w:t>13 septembre 2011</w:t>
            </w:r>
          </w:p>
          <w:p w:rsidR="00393274" w:rsidRPr="00B32C06" w:rsidRDefault="00393274" w:rsidP="00352439">
            <w:pPr>
              <w:jc w:val="both"/>
              <w:rPr>
                <w:rFonts w:eastAsia="Calibri"/>
                <w:sz w:val="20"/>
                <w:lang w:val="fr-CA"/>
              </w:rPr>
            </w:pPr>
            <w:r w:rsidRPr="00B32C06">
              <w:rPr>
                <w:rFonts w:eastAsia="Calibri"/>
                <w:sz w:val="20"/>
                <w:lang w:val="fr-CA"/>
              </w:rPr>
              <w:t>Cour d'appel de l’Ontario</w:t>
            </w:r>
          </w:p>
          <w:p w:rsidR="00393274" w:rsidRPr="00B32C06" w:rsidRDefault="00393274" w:rsidP="00352439">
            <w:pPr>
              <w:jc w:val="both"/>
              <w:rPr>
                <w:rFonts w:eastAsia="Calibri"/>
                <w:sz w:val="20"/>
                <w:lang w:val="fr-CA"/>
              </w:rPr>
            </w:pPr>
            <w:r w:rsidRPr="00B32C06">
              <w:rPr>
                <w:rFonts w:eastAsia="Calibri"/>
                <w:sz w:val="20"/>
                <w:lang w:val="fr-CA"/>
              </w:rPr>
              <w:t xml:space="preserve">(Juges Doherty, </w:t>
            </w:r>
            <w:proofErr w:type="spellStart"/>
            <w:r w:rsidRPr="00B32C06">
              <w:rPr>
                <w:rFonts w:eastAsia="Calibri"/>
                <w:sz w:val="20"/>
                <w:lang w:val="fr-CA"/>
              </w:rPr>
              <w:t>Goudge</w:t>
            </w:r>
            <w:proofErr w:type="spellEnd"/>
            <w:r w:rsidRPr="00B32C06">
              <w:rPr>
                <w:rFonts w:eastAsia="Calibri"/>
                <w:sz w:val="20"/>
                <w:lang w:val="fr-CA"/>
              </w:rPr>
              <w:t xml:space="preserve"> et Armstrong)</w:t>
            </w:r>
          </w:p>
          <w:p w:rsidR="00393274" w:rsidRPr="00B32C06" w:rsidRDefault="00393274" w:rsidP="00352439">
            <w:pPr>
              <w:jc w:val="both"/>
              <w:rPr>
                <w:rFonts w:eastAsia="Calibri"/>
                <w:sz w:val="20"/>
                <w:lang w:val="fr-CA"/>
              </w:rPr>
            </w:pPr>
            <w:r w:rsidRPr="00B32C06">
              <w:rPr>
                <w:rFonts w:eastAsia="Calibri"/>
                <w:sz w:val="20"/>
                <w:lang w:val="fr-CA"/>
              </w:rPr>
              <w:t>2011 ONCA 582; C50830</w:t>
            </w:r>
          </w:p>
          <w:p w:rsidR="00393274" w:rsidRPr="00B32C06" w:rsidRDefault="00393274" w:rsidP="00352439">
            <w:pPr>
              <w:jc w:val="both"/>
              <w:rPr>
                <w:rFonts w:eastAsia="Calibri"/>
                <w:sz w:val="20"/>
                <w:lang w:val="fr-CA"/>
              </w:rPr>
            </w:pPr>
          </w:p>
        </w:tc>
        <w:tc>
          <w:tcPr>
            <w:tcW w:w="267" w:type="pct"/>
          </w:tcPr>
          <w:p w:rsidR="00393274" w:rsidRPr="00B32C06" w:rsidRDefault="00393274" w:rsidP="00352439">
            <w:pPr>
              <w:jc w:val="both"/>
              <w:rPr>
                <w:rFonts w:eastAsia="Calibri"/>
                <w:sz w:val="20"/>
                <w:lang w:val="fr-CA"/>
              </w:rPr>
            </w:pPr>
          </w:p>
        </w:tc>
        <w:tc>
          <w:tcPr>
            <w:tcW w:w="2366" w:type="pct"/>
            <w:gridSpan w:val="2"/>
          </w:tcPr>
          <w:p w:rsidR="00393274" w:rsidRPr="00B32C06" w:rsidRDefault="00393274" w:rsidP="00352439">
            <w:pPr>
              <w:jc w:val="both"/>
              <w:rPr>
                <w:rFonts w:eastAsia="Calibri"/>
                <w:sz w:val="20"/>
                <w:lang w:val="fr-CA"/>
              </w:rPr>
            </w:pPr>
            <w:r w:rsidRPr="00B32C06">
              <w:rPr>
                <w:rFonts w:eastAsia="Calibri"/>
                <w:sz w:val="20"/>
                <w:lang w:val="fr-CA"/>
              </w:rPr>
              <w:t>Appel rejeté</w:t>
            </w:r>
          </w:p>
          <w:p w:rsidR="00393274" w:rsidRPr="00B32C06" w:rsidRDefault="00393274" w:rsidP="00352439">
            <w:pPr>
              <w:jc w:val="both"/>
              <w:rPr>
                <w:rFonts w:eastAsia="Calibri"/>
                <w:sz w:val="20"/>
                <w:lang w:val="fr-CA"/>
              </w:rPr>
            </w:pPr>
          </w:p>
        </w:tc>
      </w:tr>
      <w:tr w:rsidR="00393274" w:rsidRPr="00B32C06" w:rsidTr="00DA20EC">
        <w:tblPrEx>
          <w:tblCellMar>
            <w:bottom w:w="0" w:type="dxa"/>
          </w:tblCellMar>
        </w:tblPrEx>
        <w:trPr>
          <w:cantSplit/>
        </w:trPr>
        <w:tc>
          <w:tcPr>
            <w:tcW w:w="2367" w:type="pct"/>
          </w:tcPr>
          <w:p w:rsidR="00393274" w:rsidRPr="00B32C06" w:rsidRDefault="00393274" w:rsidP="00352439">
            <w:pPr>
              <w:jc w:val="both"/>
              <w:rPr>
                <w:rFonts w:eastAsia="Calibri"/>
                <w:sz w:val="20"/>
                <w:lang w:val="fr-CA"/>
              </w:rPr>
            </w:pPr>
            <w:r w:rsidRPr="00B32C06">
              <w:rPr>
                <w:rFonts w:eastAsia="Calibri"/>
                <w:sz w:val="20"/>
                <w:lang w:val="fr-CA"/>
              </w:rPr>
              <w:t>14 novembre 2011</w:t>
            </w:r>
          </w:p>
          <w:p w:rsidR="00393274" w:rsidRPr="00B32C06" w:rsidRDefault="00393274" w:rsidP="00352439">
            <w:pPr>
              <w:jc w:val="both"/>
              <w:rPr>
                <w:rFonts w:eastAsia="Calibri"/>
                <w:sz w:val="20"/>
                <w:lang w:val="fr-CA"/>
              </w:rPr>
            </w:pPr>
            <w:r w:rsidRPr="00B32C06">
              <w:rPr>
                <w:rFonts w:eastAsia="Calibri"/>
                <w:sz w:val="20"/>
                <w:lang w:val="fr-CA"/>
              </w:rPr>
              <w:t>Cour suprême du Canada</w:t>
            </w:r>
          </w:p>
        </w:tc>
        <w:tc>
          <w:tcPr>
            <w:tcW w:w="267" w:type="pct"/>
          </w:tcPr>
          <w:p w:rsidR="00393274" w:rsidRPr="00B32C06" w:rsidRDefault="00393274" w:rsidP="00352439">
            <w:pPr>
              <w:jc w:val="both"/>
              <w:rPr>
                <w:rFonts w:eastAsia="Calibri"/>
                <w:sz w:val="20"/>
                <w:lang w:val="fr-CA"/>
              </w:rPr>
            </w:pPr>
          </w:p>
        </w:tc>
        <w:tc>
          <w:tcPr>
            <w:tcW w:w="2366" w:type="pct"/>
            <w:gridSpan w:val="2"/>
          </w:tcPr>
          <w:p w:rsidR="00393274" w:rsidRPr="00B32C06" w:rsidRDefault="00393274" w:rsidP="00352439">
            <w:pPr>
              <w:jc w:val="both"/>
              <w:rPr>
                <w:rFonts w:eastAsia="Calibri"/>
                <w:sz w:val="20"/>
                <w:lang w:val="fr-CA"/>
              </w:rPr>
            </w:pPr>
            <w:r w:rsidRPr="00B32C06">
              <w:rPr>
                <w:rFonts w:eastAsia="Calibri"/>
                <w:sz w:val="20"/>
                <w:lang w:val="fr-CA"/>
              </w:rPr>
              <w:t>Demande d'autorisation d'appel, déposée</w:t>
            </w:r>
          </w:p>
          <w:p w:rsidR="00393274" w:rsidRPr="00B32C06" w:rsidRDefault="00393274" w:rsidP="00352439">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68"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62EA" w:rsidRPr="002D3F55" w:rsidTr="00E062EA">
        <w:trPr>
          <w:cantSplit/>
        </w:trPr>
        <w:tc>
          <w:tcPr>
            <w:tcW w:w="1458" w:type="dxa"/>
          </w:tcPr>
          <w:p w:rsidR="00E062EA" w:rsidRPr="00A54F27" w:rsidRDefault="00E062EA" w:rsidP="00E062EA">
            <w:pPr>
              <w:rPr>
                <w:sz w:val="20"/>
                <w:szCs w:val="20"/>
              </w:rPr>
            </w:pPr>
            <w:r w:rsidRPr="00A54F27">
              <w:rPr>
                <w:rStyle w:val="SCCFileNumberChar"/>
                <w:sz w:val="20"/>
                <w:szCs w:val="20"/>
              </w:rPr>
              <w:t>34505</w:t>
            </w:r>
          </w:p>
          <w:p w:rsidR="00E062EA" w:rsidRPr="00A54F27" w:rsidRDefault="00E062EA" w:rsidP="00E062EA">
            <w:pPr>
              <w:rPr>
                <w:b/>
                <w:sz w:val="20"/>
                <w:szCs w:val="20"/>
                <w:lang w:val="fr-CA"/>
              </w:rPr>
            </w:pPr>
          </w:p>
        </w:tc>
        <w:tc>
          <w:tcPr>
            <w:tcW w:w="8118" w:type="dxa"/>
          </w:tcPr>
          <w:p w:rsidR="00E062EA" w:rsidRPr="00A54F27" w:rsidRDefault="00E062EA" w:rsidP="00E062EA">
            <w:pPr>
              <w:jc w:val="both"/>
              <w:rPr>
                <w:sz w:val="20"/>
                <w:szCs w:val="20"/>
                <w:lang w:val="fr-CA"/>
              </w:rPr>
            </w:pPr>
            <w:r w:rsidRPr="00A54F27">
              <w:rPr>
                <w:rStyle w:val="SCCLsocChar"/>
                <w:sz w:val="20"/>
                <w:szCs w:val="20"/>
              </w:rPr>
              <w:t xml:space="preserve">Régie des rentes du Québec c. Canada </w:t>
            </w:r>
            <w:proofErr w:type="spellStart"/>
            <w:r w:rsidRPr="00A54F27">
              <w:rPr>
                <w:rStyle w:val="SCCLsocChar"/>
                <w:sz w:val="20"/>
                <w:szCs w:val="20"/>
              </w:rPr>
              <w:t>Bread</w:t>
            </w:r>
            <w:proofErr w:type="spellEnd"/>
            <w:r w:rsidRPr="00A54F27">
              <w:rPr>
                <w:rStyle w:val="SCCLsocChar"/>
                <w:sz w:val="20"/>
                <w:szCs w:val="20"/>
              </w:rPr>
              <w:t xml:space="preserve"> </w:t>
            </w:r>
            <w:proofErr w:type="spellStart"/>
            <w:r w:rsidRPr="00A54F27">
              <w:rPr>
                <w:rStyle w:val="SCCLsocChar"/>
                <w:sz w:val="20"/>
                <w:szCs w:val="20"/>
              </w:rPr>
              <w:t>Company</w:t>
            </w:r>
            <w:proofErr w:type="spellEnd"/>
            <w:r w:rsidRPr="00A54F27">
              <w:rPr>
                <w:rStyle w:val="SCCLsocChar"/>
                <w:sz w:val="20"/>
                <w:szCs w:val="20"/>
              </w:rPr>
              <w:t xml:space="preserve"> Ltd., Sean Kelly en sa qualité de fiduciaire du </w:t>
            </w:r>
            <w:proofErr w:type="spellStart"/>
            <w:r w:rsidRPr="00A54F27">
              <w:rPr>
                <w:rStyle w:val="SCCLsocChar"/>
                <w:sz w:val="20"/>
                <w:szCs w:val="20"/>
              </w:rPr>
              <w:t>Bakery</w:t>
            </w:r>
            <w:proofErr w:type="spellEnd"/>
            <w:r w:rsidRPr="00A54F27">
              <w:rPr>
                <w:rStyle w:val="SCCLsocChar"/>
                <w:sz w:val="20"/>
                <w:szCs w:val="20"/>
              </w:rPr>
              <w:t xml:space="preserve"> and </w:t>
            </w:r>
            <w:proofErr w:type="spellStart"/>
            <w:r w:rsidRPr="00A54F27">
              <w:rPr>
                <w:rStyle w:val="SCCLsocChar"/>
                <w:sz w:val="20"/>
                <w:szCs w:val="20"/>
              </w:rPr>
              <w:t>Confectionery</w:t>
            </w:r>
            <w:proofErr w:type="spellEnd"/>
            <w:r w:rsidRPr="00A54F27">
              <w:rPr>
                <w:rStyle w:val="SCCLsocChar"/>
                <w:sz w:val="20"/>
                <w:szCs w:val="20"/>
              </w:rPr>
              <w:t xml:space="preserve"> Union and </w:t>
            </w:r>
            <w:proofErr w:type="spellStart"/>
            <w:r w:rsidRPr="00A54F27">
              <w:rPr>
                <w:rStyle w:val="SCCLsocChar"/>
                <w:sz w:val="20"/>
                <w:szCs w:val="20"/>
              </w:rPr>
              <w:t>Industry</w:t>
            </w:r>
            <w:proofErr w:type="spellEnd"/>
            <w:r w:rsidRPr="00A54F27">
              <w:rPr>
                <w:rStyle w:val="SCCLsocChar"/>
                <w:sz w:val="20"/>
                <w:szCs w:val="20"/>
              </w:rPr>
              <w:t xml:space="preserve"> Canadian Pension </w:t>
            </w:r>
            <w:proofErr w:type="spellStart"/>
            <w:r w:rsidRPr="00A54F27">
              <w:rPr>
                <w:rStyle w:val="SCCLsocChar"/>
                <w:sz w:val="20"/>
                <w:szCs w:val="20"/>
              </w:rPr>
              <w:t>Fund</w:t>
            </w:r>
            <w:proofErr w:type="spellEnd"/>
            <w:r w:rsidRPr="00A54F27">
              <w:rPr>
                <w:rStyle w:val="SCCLsocChar"/>
                <w:sz w:val="20"/>
                <w:szCs w:val="20"/>
              </w:rPr>
              <w:t xml:space="preserve">, </w:t>
            </w:r>
            <w:proofErr w:type="spellStart"/>
            <w:r w:rsidRPr="00A54F27">
              <w:rPr>
                <w:rStyle w:val="SCCLsocChar"/>
                <w:sz w:val="20"/>
                <w:szCs w:val="20"/>
              </w:rPr>
              <w:t>Multi-Marques</w:t>
            </w:r>
            <w:proofErr w:type="spellEnd"/>
            <w:r w:rsidRPr="00A54F27">
              <w:rPr>
                <w:rStyle w:val="SCCLsocChar"/>
                <w:sz w:val="20"/>
                <w:szCs w:val="20"/>
              </w:rPr>
              <w:t xml:space="preserve"> Inc., </w:t>
            </w:r>
            <w:proofErr w:type="spellStart"/>
            <w:r w:rsidRPr="00A54F27">
              <w:rPr>
                <w:rStyle w:val="SCCLsocChar"/>
                <w:sz w:val="20"/>
                <w:szCs w:val="20"/>
              </w:rPr>
              <w:t>Multi-Marques</w:t>
            </w:r>
            <w:proofErr w:type="spellEnd"/>
            <w:r w:rsidRPr="00A54F27">
              <w:rPr>
                <w:rStyle w:val="SCCLsocChar"/>
                <w:sz w:val="20"/>
                <w:szCs w:val="20"/>
              </w:rPr>
              <w:t xml:space="preserve"> Distribution Inc., Tribunal administratif du Québec, </w:t>
            </w:r>
            <w:r w:rsidR="002364CF">
              <w:rPr>
                <w:rStyle w:val="SCCLsocChar"/>
                <w:sz w:val="20"/>
                <w:szCs w:val="20"/>
              </w:rPr>
              <w:t xml:space="preserve">Robert </w:t>
            </w:r>
            <w:proofErr w:type="spellStart"/>
            <w:r w:rsidR="002364CF">
              <w:rPr>
                <w:rStyle w:val="SCCLsocChar"/>
                <w:sz w:val="20"/>
                <w:szCs w:val="20"/>
              </w:rPr>
              <w:t>Thauvette</w:t>
            </w:r>
            <w:proofErr w:type="spellEnd"/>
            <w:r w:rsidR="002364CF">
              <w:rPr>
                <w:rStyle w:val="SCCLsocChar"/>
                <w:sz w:val="20"/>
                <w:szCs w:val="20"/>
              </w:rPr>
              <w:t xml:space="preserve"> et </w:t>
            </w:r>
            <w:proofErr w:type="spellStart"/>
            <w:r w:rsidRPr="00A54F27">
              <w:rPr>
                <w:rStyle w:val="SCCLsocChar"/>
                <w:sz w:val="20"/>
                <w:szCs w:val="20"/>
              </w:rPr>
              <w:t>Bakery</w:t>
            </w:r>
            <w:proofErr w:type="spellEnd"/>
            <w:r w:rsidRPr="00A54F27">
              <w:rPr>
                <w:rStyle w:val="SCCLsocChar"/>
                <w:sz w:val="20"/>
                <w:szCs w:val="20"/>
              </w:rPr>
              <w:t xml:space="preserve">, </w:t>
            </w:r>
            <w:proofErr w:type="spellStart"/>
            <w:r w:rsidRPr="00A54F27">
              <w:rPr>
                <w:rStyle w:val="SCCLsocChar"/>
                <w:sz w:val="20"/>
                <w:szCs w:val="20"/>
              </w:rPr>
              <w:t>Confectionery</w:t>
            </w:r>
            <w:proofErr w:type="spellEnd"/>
            <w:r w:rsidRPr="00A54F27">
              <w:rPr>
                <w:rStyle w:val="SCCLsocChar"/>
                <w:sz w:val="20"/>
                <w:szCs w:val="20"/>
              </w:rPr>
              <w:t xml:space="preserve"> Tobacco </w:t>
            </w:r>
            <w:proofErr w:type="spellStart"/>
            <w:r w:rsidRPr="00A54F27">
              <w:rPr>
                <w:rStyle w:val="SCCLsocChar"/>
                <w:sz w:val="20"/>
                <w:szCs w:val="20"/>
              </w:rPr>
              <w:t>Workers</w:t>
            </w:r>
            <w:proofErr w:type="spellEnd"/>
            <w:r w:rsidRPr="00A54F27">
              <w:rPr>
                <w:rStyle w:val="SCCLsocChar"/>
                <w:sz w:val="20"/>
                <w:szCs w:val="20"/>
              </w:rPr>
              <w:t xml:space="preserve"> and Grain </w:t>
            </w:r>
            <w:proofErr w:type="spellStart"/>
            <w:r w:rsidRPr="00A54F27">
              <w:rPr>
                <w:rStyle w:val="SCCLsocChar"/>
                <w:sz w:val="20"/>
                <w:szCs w:val="20"/>
              </w:rPr>
              <w:t>Millers</w:t>
            </w:r>
            <w:proofErr w:type="spellEnd"/>
            <w:r w:rsidRPr="00A54F27">
              <w:rPr>
                <w:rStyle w:val="SCCLsocChar"/>
                <w:sz w:val="20"/>
                <w:szCs w:val="20"/>
              </w:rPr>
              <w:t xml:space="preserve"> International Union, Local 468</w:t>
            </w:r>
            <w:r w:rsidRPr="00A54F27">
              <w:rPr>
                <w:sz w:val="20"/>
                <w:szCs w:val="20"/>
                <w:lang w:val="fr-CA"/>
              </w:rPr>
              <w:t xml:space="preserve"> (</w:t>
            </w:r>
            <w:proofErr w:type="spellStart"/>
            <w:r w:rsidRPr="00A54F27">
              <w:rPr>
                <w:sz w:val="20"/>
                <w:szCs w:val="20"/>
                <w:lang w:val="fr-CA"/>
              </w:rPr>
              <w:t>Qc</w:t>
            </w:r>
            <w:proofErr w:type="spellEnd"/>
            <w:r w:rsidRPr="00A54F27">
              <w:rPr>
                <w:sz w:val="20"/>
                <w:szCs w:val="20"/>
                <w:lang w:val="fr-CA"/>
              </w:rPr>
              <w:t>) (Civile) (Autorisation)</w:t>
            </w:r>
          </w:p>
          <w:p w:rsidR="00E062EA" w:rsidRPr="00A54F27" w:rsidRDefault="00E062EA" w:rsidP="00E062EA">
            <w:pPr>
              <w:rPr>
                <w:sz w:val="20"/>
                <w:szCs w:val="20"/>
                <w:lang w:val="fr-CA"/>
              </w:rPr>
            </w:pPr>
          </w:p>
        </w:tc>
      </w:tr>
      <w:tr w:rsidR="00E062EA" w:rsidRPr="002D3F55" w:rsidTr="00E062EA">
        <w:trPr>
          <w:cantSplit/>
        </w:trPr>
        <w:tc>
          <w:tcPr>
            <w:tcW w:w="1458" w:type="dxa"/>
          </w:tcPr>
          <w:p w:rsidR="00E062EA" w:rsidRPr="00A54F27" w:rsidRDefault="00E062EA" w:rsidP="00E062EA">
            <w:pPr>
              <w:rPr>
                <w:sz w:val="20"/>
                <w:szCs w:val="20"/>
              </w:rPr>
            </w:pPr>
            <w:r w:rsidRPr="00A54F27">
              <w:rPr>
                <w:sz w:val="20"/>
                <w:szCs w:val="20"/>
              </w:rPr>
              <w:t>Coram :</w:t>
            </w:r>
          </w:p>
        </w:tc>
        <w:tc>
          <w:tcPr>
            <w:tcW w:w="8118" w:type="dxa"/>
          </w:tcPr>
          <w:p w:rsidR="00E062EA" w:rsidRPr="00A54F27" w:rsidRDefault="00E062EA" w:rsidP="00E062EA">
            <w:pPr>
              <w:rPr>
                <w:sz w:val="20"/>
                <w:szCs w:val="20"/>
                <w:lang w:val="fr-CA"/>
              </w:rPr>
            </w:pPr>
            <w:r w:rsidRPr="00A54F27">
              <w:rPr>
                <w:rStyle w:val="SCCCoramChar"/>
                <w:sz w:val="20"/>
                <w:szCs w:val="20"/>
              </w:rPr>
              <w:t>Les juges Deschamps, Abella et Cromwell</w:t>
            </w:r>
          </w:p>
          <w:p w:rsidR="00E062EA" w:rsidRPr="00A54F27" w:rsidRDefault="00E062EA" w:rsidP="00E062EA">
            <w:pPr>
              <w:rPr>
                <w:sz w:val="20"/>
                <w:szCs w:val="20"/>
                <w:u w:val="single"/>
                <w:lang w:val="fr-CA"/>
              </w:rPr>
            </w:pPr>
          </w:p>
        </w:tc>
      </w:tr>
      <w:tr w:rsidR="00E062EA" w:rsidRPr="00A54F27" w:rsidTr="00E062EA">
        <w:trPr>
          <w:cantSplit/>
        </w:trPr>
        <w:tc>
          <w:tcPr>
            <w:tcW w:w="9576" w:type="dxa"/>
            <w:gridSpan w:val="2"/>
          </w:tcPr>
          <w:p w:rsidR="00E062EA" w:rsidRPr="00A54F27" w:rsidRDefault="00E062EA" w:rsidP="00E062EA">
            <w:pPr>
              <w:pStyle w:val="SCCShortJudgment"/>
              <w:rPr>
                <w:szCs w:val="20"/>
                <w:lang w:val="fr-CA"/>
              </w:rPr>
            </w:pPr>
            <w:r w:rsidRPr="00A54F27">
              <w:rPr>
                <w:szCs w:val="20"/>
                <w:lang w:val="fr-CA"/>
              </w:rPr>
              <w:t>La demande d’autorisation d’appel de l’arrêt de la Cour d’appel du Québec (Montréal), numéro 500-09-021319-116, 2011 QCCA 1518, daté du 22 août 2011, est accueillie avec dépens selon l’issue de la cause.</w:t>
            </w:r>
          </w:p>
          <w:p w:rsidR="00E062EA" w:rsidRPr="00A54F27" w:rsidRDefault="00E062EA" w:rsidP="00E062EA">
            <w:pPr>
              <w:pStyle w:val="SCCShortJudgment"/>
              <w:ind w:firstLine="0"/>
              <w:rPr>
                <w:szCs w:val="20"/>
                <w:lang w:val="fr-CA"/>
              </w:rPr>
            </w:pPr>
          </w:p>
          <w:p w:rsidR="00E062EA" w:rsidRPr="00A54F27" w:rsidRDefault="00E062EA" w:rsidP="004C114E">
            <w:pPr>
              <w:pStyle w:val="SCCShortJudgment"/>
              <w:rPr>
                <w:szCs w:val="20"/>
              </w:rPr>
            </w:pPr>
            <w:r w:rsidRPr="00A54F27">
              <w:rPr>
                <w:szCs w:val="20"/>
              </w:rPr>
              <w:t>The application for leave to appeal from the judgment of the Court of Appeal of Quebec (Montréal), Number 500-09-021319-116, 2011 QCCA 1518, dated August 22, 2011, is granted with costs in the cause.</w:t>
            </w:r>
          </w:p>
        </w:tc>
      </w:tr>
    </w:tbl>
    <w:p w:rsidR="00C64AFA" w:rsidRDefault="00C64AFA" w:rsidP="00C64AFA">
      <w:pPr>
        <w:rPr>
          <w:sz w:val="20"/>
          <w:szCs w:val="20"/>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A20EC" w:rsidRPr="0051165D" w:rsidTr="00DA20EC">
        <w:tc>
          <w:tcPr>
            <w:tcW w:w="5000" w:type="pct"/>
            <w:gridSpan w:val="3"/>
          </w:tcPr>
          <w:p w:rsidR="00DA20EC" w:rsidRPr="0051165D" w:rsidRDefault="00DA20EC" w:rsidP="00DA20EC">
            <w:pPr>
              <w:jc w:val="both"/>
              <w:rPr>
                <w:rFonts w:eastAsia="Calibri"/>
                <w:sz w:val="20"/>
                <w:szCs w:val="20"/>
              </w:rPr>
            </w:pPr>
            <w:r w:rsidRPr="0051165D">
              <w:rPr>
                <w:rFonts w:eastAsia="Calibri"/>
                <w:sz w:val="20"/>
                <w:szCs w:val="20"/>
              </w:rPr>
              <w:t xml:space="preserve">Legislation – Scope of declaratory statute – Judgments – Impact of application for leave to appeal on status of case – Incompatibility of pension plan provision of collective agreement found by administrative tribunals and affirmed by Superior Court – Court of Appeal reversing that finding and remitting matter to initial administrative tribunal – Application made for leave to appeal that judgment to country’s highest court – Declaratory legislation clarifying interpretation contrary to judgment of Court of Appeal prior to dismissal of application for leave to appeal – Administrative tribunal applying declaratory provision – That choice challenged – Whether declaratory statute must be applied immediately only to cases in which judgment on merits pending or to any case in which judgment not yet </w:t>
            </w:r>
            <w:r w:rsidRPr="0051165D">
              <w:rPr>
                <w:rFonts w:eastAsia="Calibri"/>
                <w:i/>
                <w:sz w:val="20"/>
                <w:szCs w:val="20"/>
              </w:rPr>
              <w:t>res </w:t>
            </w:r>
            <w:proofErr w:type="spellStart"/>
            <w:r w:rsidRPr="0051165D">
              <w:rPr>
                <w:rFonts w:eastAsia="Calibri"/>
                <w:i/>
                <w:sz w:val="20"/>
                <w:szCs w:val="20"/>
              </w:rPr>
              <w:t>judicata</w:t>
            </w:r>
            <w:proofErr w:type="spellEnd"/>
            <w:r w:rsidRPr="0051165D">
              <w:rPr>
                <w:rFonts w:eastAsia="Calibri"/>
                <w:sz w:val="20"/>
                <w:szCs w:val="20"/>
              </w:rPr>
              <w:t xml:space="preserve"> – Whether case is pending when leave has been sought to appeal judgment – Whether Court of Appeal could use parliamentary debates to support its legal conclusions – </w:t>
            </w:r>
            <w:r w:rsidRPr="0051165D">
              <w:rPr>
                <w:rFonts w:eastAsia="Calibri"/>
                <w:i/>
                <w:sz w:val="20"/>
                <w:szCs w:val="20"/>
              </w:rPr>
              <w:t>Supplemental Pension Plans Act</w:t>
            </w:r>
            <w:r w:rsidRPr="0051165D">
              <w:rPr>
                <w:rFonts w:eastAsia="Calibri"/>
                <w:sz w:val="20"/>
                <w:szCs w:val="20"/>
              </w:rPr>
              <w:t>, R.S.Q. c. R</w:t>
            </w:r>
            <w:r w:rsidRPr="0051165D">
              <w:rPr>
                <w:rFonts w:eastAsia="Calibri"/>
                <w:sz w:val="20"/>
                <w:szCs w:val="20"/>
              </w:rPr>
              <w:noBreakHyphen/>
              <w:t>15.1, ss. 5, 14.1, 211, 228.</w:t>
            </w:r>
          </w:p>
        </w:tc>
      </w:tr>
      <w:tr w:rsidR="00DA20EC" w:rsidRPr="0051165D" w:rsidTr="00DA20EC">
        <w:tc>
          <w:tcPr>
            <w:tcW w:w="5000" w:type="pct"/>
            <w:gridSpan w:val="3"/>
          </w:tcPr>
          <w:p w:rsidR="00DA20EC" w:rsidRPr="0051165D" w:rsidRDefault="00DA20EC" w:rsidP="00DA20EC">
            <w:pPr>
              <w:jc w:val="both"/>
              <w:rPr>
                <w:rFonts w:eastAsia="Calibri"/>
                <w:sz w:val="20"/>
                <w:szCs w:val="20"/>
              </w:rPr>
            </w:pPr>
          </w:p>
        </w:tc>
      </w:tr>
      <w:tr w:rsidR="00DA20EC" w:rsidRPr="0051165D" w:rsidTr="00DA20EC">
        <w:tc>
          <w:tcPr>
            <w:tcW w:w="5000" w:type="pct"/>
            <w:gridSpan w:val="3"/>
          </w:tcPr>
          <w:p w:rsidR="00DA20EC" w:rsidRPr="0051165D" w:rsidRDefault="00DA20EC" w:rsidP="00DA20EC">
            <w:pPr>
              <w:jc w:val="both"/>
              <w:rPr>
                <w:rFonts w:eastAsia="Calibri"/>
                <w:sz w:val="20"/>
                <w:szCs w:val="20"/>
              </w:rPr>
            </w:pPr>
            <w:r w:rsidRPr="0051165D">
              <w:rPr>
                <w:rFonts w:eastAsia="Calibri"/>
                <w:sz w:val="20"/>
                <w:szCs w:val="20"/>
              </w:rPr>
              <w:t xml:space="preserve">In April 2008, the Court of Appeal reversed a decision of the </w:t>
            </w:r>
            <w:proofErr w:type="spellStart"/>
            <w:r w:rsidRPr="0051165D">
              <w:rPr>
                <w:rFonts w:eastAsia="Calibri"/>
                <w:sz w:val="20"/>
                <w:szCs w:val="20"/>
              </w:rPr>
              <w:t>Régie</w:t>
            </w:r>
            <w:proofErr w:type="spellEnd"/>
            <w:r w:rsidRPr="0051165D">
              <w:rPr>
                <w:rFonts w:eastAsia="Calibri"/>
                <w:sz w:val="20"/>
                <w:szCs w:val="20"/>
              </w:rPr>
              <w:t xml:space="preserve"> des </w:t>
            </w:r>
            <w:proofErr w:type="spellStart"/>
            <w:r w:rsidRPr="0051165D">
              <w:rPr>
                <w:rFonts w:eastAsia="Calibri"/>
                <w:sz w:val="20"/>
                <w:szCs w:val="20"/>
              </w:rPr>
              <w:t>rentes</w:t>
            </w:r>
            <w:proofErr w:type="spellEnd"/>
            <w:r w:rsidRPr="0051165D">
              <w:rPr>
                <w:rFonts w:eastAsia="Calibri"/>
                <w:sz w:val="20"/>
                <w:szCs w:val="20"/>
              </w:rPr>
              <w:t xml:space="preserve"> finding that certain clauses of a private pension plan authorizing the employer to reduce pensions after closing down were unlawful; it remitted the matter to the </w:t>
            </w:r>
            <w:proofErr w:type="spellStart"/>
            <w:r w:rsidRPr="0051165D">
              <w:rPr>
                <w:rFonts w:eastAsia="Calibri"/>
                <w:sz w:val="20"/>
                <w:szCs w:val="20"/>
              </w:rPr>
              <w:t>Régie</w:t>
            </w:r>
            <w:proofErr w:type="spellEnd"/>
            <w:r w:rsidRPr="0051165D">
              <w:rPr>
                <w:rFonts w:eastAsia="Calibri"/>
                <w:sz w:val="20"/>
                <w:szCs w:val="20"/>
              </w:rPr>
              <w:t xml:space="preserve"> to be </w:t>
            </w:r>
            <w:proofErr w:type="spellStart"/>
            <w:r w:rsidRPr="0051165D">
              <w:rPr>
                <w:rFonts w:eastAsia="Calibri"/>
                <w:sz w:val="20"/>
                <w:szCs w:val="20"/>
              </w:rPr>
              <w:t>redetermined</w:t>
            </w:r>
            <w:proofErr w:type="spellEnd"/>
            <w:r w:rsidRPr="0051165D">
              <w:rPr>
                <w:rFonts w:eastAsia="Calibri"/>
                <w:sz w:val="20"/>
                <w:szCs w:val="20"/>
              </w:rPr>
              <w:t xml:space="preserve"> accordingly.  On May 29, the </w:t>
            </w:r>
            <w:proofErr w:type="spellStart"/>
            <w:r w:rsidRPr="0051165D">
              <w:rPr>
                <w:rFonts w:eastAsia="Calibri"/>
                <w:sz w:val="20"/>
                <w:szCs w:val="20"/>
              </w:rPr>
              <w:t>Régie</w:t>
            </w:r>
            <w:proofErr w:type="spellEnd"/>
            <w:r w:rsidRPr="0051165D">
              <w:rPr>
                <w:rFonts w:eastAsia="Calibri"/>
                <w:sz w:val="20"/>
                <w:szCs w:val="20"/>
              </w:rPr>
              <w:t xml:space="preserve"> applied to the Court for leave to appeal.  On June 8, the Quebec legislature enacted a declaratory statute imposing the </w:t>
            </w:r>
            <w:proofErr w:type="spellStart"/>
            <w:r w:rsidRPr="0051165D">
              <w:rPr>
                <w:rFonts w:eastAsia="Calibri"/>
                <w:sz w:val="20"/>
                <w:szCs w:val="20"/>
              </w:rPr>
              <w:t>Régie’s</w:t>
            </w:r>
            <w:proofErr w:type="spellEnd"/>
            <w:r w:rsidRPr="0051165D">
              <w:rPr>
                <w:rFonts w:eastAsia="Calibri"/>
                <w:sz w:val="20"/>
                <w:szCs w:val="20"/>
              </w:rPr>
              <w:t xml:space="preserve"> interpretation of the relevant statute and excluding the Court of Appeal’s interpretation.  In October 2008, the application for leave to appeal was dismissed.  In August 2009, the </w:t>
            </w:r>
            <w:proofErr w:type="spellStart"/>
            <w:r w:rsidRPr="0051165D">
              <w:rPr>
                <w:rFonts w:eastAsia="Calibri"/>
                <w:sz w:val="20"/>
                <w:szCs w:val="20"/>
              </w:rPr>
              <w:t>Régie</w:t>
            </w:r>
            <w:proofErr w:type="spellEnd"/>
            <w:r w:rsidRPr="0051165D">
              <w:rPr>
                <w:rFonts w:eastAsia="Calibri"/>
                <w:sz w:val="20"/>
                <w:szCs w:val="20"/>
              </w:rPr>
              <w:t xml:space="preserve"> made its new decision and applied the declaratory statute.  The employer challenged that decision on the ground that the case was no longer pending when the declaratory statute came into force.</w:t>
            </w:r>
          </w:p>
          <w:p w:rsidR="00DA20EC" w:rsidRPr="0051165D" w:rsidRDefault="00DA20EC" w:rsidP="00DA20EC">
            <w:pPr>
              <w:jc w:val="both"/>
              <w:rPr>
                <w:rFonts w:eastAsia="Calibri"/>
                <w:sz w:val="20"/>
                <w:szCs w:val="20"/>
              </w:rPr>
            </w:pPr>
          </w:p>
        </w:tc>
      </w:tr>
      <w:tr w:rsidR="00DA20EC" w:rsidRPr="0051165D" w:rsidTr="00DA20EC">
        <w:tc>
          <w:tcPr>
            <w:tcW w:w="2427" w:type="pct"/>
          </w:tcPr>
          <w:p w:rsidR="00DA20EC" w:rsidRPr="0051165D" w:rsidRDefault="00DA20EC" w:rsidP="00DA20EC">
            <w:pPr>
              <w:jc w:val="both"/>
              <w:rPr>
                <w:rFonts w:eastAsia="Calibri"/>
                <w:sz w:val="20"/>
                <w:szCs w:val="20"/>
              </w:rPr>
            </w:pPr>
            <w:r w:rsidRPr="0051165D">
              <w:rPr>
                <w:rFonts w:eastAsia="Calibri"/>
                <w:sz w:val="20"/>
                <w:szCs w:val="20"/>
              </w:rPr>
              <w:t>April 20, 2010</w:t>
            </w:r>
          </w:p>
          <w:p w:rsidR="00DA20EC" w:rsidRPr="0051165D" w:rsidRDefault="00DA20EC" w:rsidP="00DA20EC">
            <w:pPr>
              <w:jc w:val="both"/>
              <w:rPr>
                <w:rFonts w:eastAsia="Calibri"/>
                <w:sz w:val="20"/>
                <w:szCs w:val="20"/>
              </w:rPr>
            </w:pPr>
            <w:r w:rsidRPr="0051165D">
              <w:rPr>
                <w:rFonts w:eastAsia="Calibri"/>
                <w:sz w:val="20"/>
                <w:szCs w:val="20"/>
              </w:rPr>
              <w:t>Administrative Tribunal of Québec</w:t>
            </w:r>
          </w:p>
          <w:p w:rsidR="00DA20EC" w:rsidRPr="0051165D" w:rsidRDefault="00DA20EC" w:rsidP="00DA20EC">
            <w:pPr>
              <w:jc w:val="both"/>
              <w:rPr>
                <w:rFonts w:eastAsia="Calibri"/>
                <w:sz w:val="20"/>
                <w:szCs w:val="20"/>
              </w:rPr>
            </w:pPr>
            <w:r w:rsidRPr="0051165D">
              <w:rPr>
                <w:rFonts w:eastAsia="Calibri"/>
                <w:sz w:val="20"/>
                <w:szCs w:val="20"/>
              </w:rPr>
              <w:t>(Judges Cormier and Lévesque)</w:t>
            </w:r>
          </w:p>
          <w:p w:rsidR="00DA20EC" w:rsidRPr="0051165D" w:rsidRDefault="00DA20EC" w:rsidP="00DA20EC">
            <w:pPr>
              <w:jc w:val="both"/>
              <w:rPr>
                <w:rFonts w:eastAsia="Calibri"/>
                <w:sz w:val="20"/>
                <w:szCs w:val="20"/>
              </w:rPr>
            </w:pPr>
            <w:r w:rsidRPr="0051165D">
              <w:rPr>
                <w:rFonts w:eastAsia="Calibri"/>
                <w:sz w:val="20"/>
                <w:szCs w:val="20"/>
              </w:rPr>
              <w:t>Neutral citation: 2010 QCTAQ 04423</w:t>
            </w:r>
          </w:p>
          <w:p w:rsidR="00DA20EC" w:rsidRPr="0051165D" w:rsidRDefault="00DA20EC" w:rsidP="00DA20EC">
            <w:pPr>
              <w:jc w:val="both"/>
              <w:rPr>
                <w:rFonts w:eastAsia="Calibri"/>
                <w:sz w:val="20"/>
                <w:szCs w:val="20"/>
              </w:rPr>
            </w:pPr>
          </w:p>
        </w:tc>
        <w:tc>
          <w:tcPr>
            <w:tcW w:w="243" w:type="pct"/>
          </w:tcPr>
          <w:p w:rsidR="00DA20EC" w:rsidRPr="0051165D" w:rsidRDefault="00DA20EC" w:rsidP="00DA20EC">
            <w:pPr>
              <w:jc w:val="both"/>
              <w:rPr>
                <w:rFonts w:eastAsia="Calibri"/>
                <w:sz w:val="20"/>
                <w:szCs w:val="20"/>
              </w:rPr>
            </w:pPr>
          </w:p>
        </w:tc>
        <w:tc>
          <w:tcPr>
            <w:tcW w:w="2330" w:type="pct"/>
          </w:tcPr>
          <w:p w:rsidR="00DA20EC" w:rsidRPr="0051165D" w:rsidRDefault="00DA20EC" w:rsidP="00DA20EC">
            <w:pPr>
              <w:jc w:val="both"/>
              <w:rPr>
                <w:rFonts w:eastAsia="Calibri"/>
                <w:sz w:val="20"/>
                <w:szCs w:val="20"/>
              </w:rPr>
            </w:pPr>
            <w:r w:rsidRPr="0051165D">
              <w:rPr>
                <w:rFonts w:eastAsia="Calibri"/>
                <w:sz w:val="20"/>
                <w:szCs w:val="20"/>
              </w:rPr>
              <w:t>Administrative decision to apply declaratory statute confirmed</w:t>
            </w:r>
          </w:p>
          <w:p w:rsidR="00DA20EC" w:rsidRPr="0051165D" w:rsidRDefault="00DA20EC" w:rsidP="00DA20EC">
            <w:pPr>
              <w:jc w:val="both"/>
              <w:rPr>
                <w:rFonts w:eastAsia="Calibri"/>
                <w:sz w:val="20"/>
                <w:szCs w:val="20"/>
              </w:rPr>
            </w:pPr>
          </w:p>
        </w:tc>
      </w:tr>
      <w:tr w:rsidR="00DA20EC" w:rsidRPr="0051165D" w:rsidTr="00DA20EC">
        <w:trPr>
          <w:cantSplit/>
        </w:trPr>
        <w:tc>
          <w:tcPr>
            <w:tcW w:w="2427" w:type="pct"/>
          </w:tcPr>
          <w:p w:rsidR="00DA20EC" w:rsidRPr="0051165D" w:rsidRDefault="00DA20EC" w:rsidP="00DA20EC">
            <w:pPr>
              <w:jc w:val="both"/>
              <w:rPr>
                <w:rFonts w:eastAsia="Calibri"/>
                <w:sz w:val="20"/>
                <w:szCs w:val="20"/>
              </w:rPr>
            </w:pPr>
            <w:r w:rsidRPr="0051165D">
              <w:rPr>
                <w:rFonts w:eastAsia="Calibri"/>
                <w:sz w:val="20"/>
                <w:szCs w:val="20"/>
              </w:rPr>
              <w:lastRenderedPageBreak/>
              <w:t>December 10, 2010</w:t>
            </w:r>
          </w:p>
          <w:p w:rsidR="00DA20EC" w:rsidRPr="0051165D" w:rsidRDefault="00DA20EC" w:rsidP="00DA20EC">
            <w:pPr>
              <w:jc w:val="both"/>
              <w:rPr>
                <w:rFonts w:eastAsia="Calibri"/>
                <w:sz w:val="20"/>
                <w:szCs w:val="20"/>
              </w:rPr>
            </w:pPr>
            <w:r w:rsidRPr="0051165D">
              <w:rPr>
                <w:rFonts w:eastAsia="Calibri"/>
                <w:sz w:val="20"/>
                <w:szCs w:val="20"/>
              </w:rPr>
              <w:t>Quebec Superior Court</w:t>
            </w:r>
          </w:p>
          <w:p w:rsidR="00DA20EC" w:rsidRPr="0051165D" w:rsidRDefault="00DA20EC" w:rsidP="00DA20EC">
            <w:pPr>
              <w:jc w:val="both"/>
              <w:rPr>
                <w:rFonts w:eastAsia="Calibri"/>
                <w:sz w:val="20"/>
                <w:szCs w:val="20"/>
              </w:rPr>
            </w:pPr>
            <w:r w:rsidRPr="0051165D">
              <w:rPr>
                <w:rFonts w:eastAsia="Calibri"/>
                <w:sz w:val="20"/>
                <w:szCs w:val="20"/>
              </w:rPr>
              <w:t>(</w:t>
            </w:r>
            <w:proofErr w:type="spellStart"/>
            <w:r w:rsidRPr="0051165D">
              <w:rPr>
                <w:rFonts w:eastAsia="Calibri"/>
                <w:sz w:val="20"/>
                <w:szCs w:val="20"/>
              </w:rPr>
              <w:t>Grenier</w:t>
            </w:r>
            <w:proofErr w:type="spellEnd"/>
            <w:r w:rsidRPr="0051165D">
              <w:rPr>
                <w:rFonts w:eastAsia="Calibri"/>
                <w:sz w:val="20"/>
                <w:szCs w:val="20"/>
              </w:rPr>
              <w:t xml:space="preserve"> J.)</w:t>
            </w:r>
          </w:p>
          <w:p w:rsidR="00DA20EC" w:rsidRPr="0051165D" w:rsidRDefault="00DA20EC" w:rsidP="00DA20EC">
            <w:pPr>
              <w:jc w:val="both"/>
              <w:rPr>
                <w:rFonts w:eastAsia="Calibri"/>
                <w:sz w:val="20"/>
                <w:szCs w:val="20"/>
              </w:rPr>
            </w:pPr>
            <w:r w:rsidRPr="0051165D">
              <w:rPr>
                <w:rFonts w:eastAsia="Calibri"/>
                <w:sz w:val="20"/>
                <w:szCs w:val="20"/>
              </w:rPr>
              <w:t>Neutral citation: 2010 QCCS 6104</w:t>
            </w:r>
          </w:p>
          <w:p w:rsidR="00DA20EC" w:rsidRPr="0051165D" w:rsidRDefault="00DA20EC" w:rsidP="00DA20EC">
            <w:pPr>
              <w:jc w:val="both"/>
              <w:rPr>
                <w:rFonts w:eastAsia="Calibri"/>
                <w:sz w:val="20"/>
                <w:szCs w:val="20"/>
              </w:rPr>
            </w:pPr>
          </w:p>
        </w:tc>
        <w:tc>
          <w:tcPr>
            <w:tcW w:w="243" w:type="pct"/>
          </w:tcPr>
          <w:p w:rsidR="00DA20EC" w:rsidRPr="0051165D" w:rsidRDefault="00DA20EC" w:rsidP="00DA20EC">
            <w:pPr>
              <w:jc w:val="both"/>
              <w:rPr>
                <w:rFonts w:eastAsia="Calibri"/>
                <w:sz w:val="20"/>
                <w:szCs w:val="20"/>
              </w:rPr>
            </w:pPr>
          </w:p>
        </w:tc>
        <w:tc>
          <w:tcPr>
            <w:tcW w:w="2330" w:type="pct"/>
          </w:tcPr>
          <w:p w:rsidR="00DA20EC" w:rsidRPr="0051165D" w:rsidRDefault="00DA20EC" w:rsidP="00DA20EC">
            <w:pPr>
              <w:jc w:val="both"/>
              <w:rPr>
                <w:rFonts w:eastAsia="Calibri"/>
                <w:sz w:val="20"/>
                <w:szCs w:val="20"/>
              </w:rPr>
            </w:pPr>
            <w:r w:rsidRPr="0051165D">
              <w:rPr>
                <w:rFonts w:eastAsia="Calibri"/>
                <w:sz w:val="20"/>
                <w:szCs w:val="20"/>
              </w:rPr>
              <w:t xml:space="preserve">Administrative Tribunal’s decision judicially reviewed; matter remitted to </w:t>
            </w:r>
            <w:proofErr w:type="spellStart"/>
            <w:r w:rsidRPr="0051165D">
              <w:rPr>
                <w:rFonts w:eastAsia="Calibri"/>
                <w:sz w:val="20"/>
                <w:szCs w:val="20"/>
              </w:rPr>
              <w:t>Régie</w:t>
            </w:r>
            <w:proofErr w:type="spellEnd"/>
            <w:r w:rsidRPr="0051165D">
              <w:rPr>
                <w:rFonts w:eastAsia="Calibri"/>
                <w:sz w:val="20"/>
                <w:szCs w:val="20"/>
              </w:rPr>
              <w:t xml:space="preserve"> des </w:t>
            </w:r>
            <w:proofErr w:type="spellStart"/>
            <w:r w:rsidRPr="0051165D">
              <w:rPr>
                <w:rFonts w:eastAsia="Calibri"/>
                <w:sz w:val="20"/>
                <w:szCs w:val="20"/>
              </w:rPr>
              <w:t>rentes</w:t>
            </w:r>
            <w:proofErr w:type="spellEnd"/>
            <w:r w:rsidRPr="0051165D">
              <w:rPr>
                <w:rFonts w:eastAsia="Calibri"/>
                <w:sz w:val="20"/>
                <w:szCs w:val="20"/>
              </w:rPr>
              <w:t xml:space="preserve"> so it could apply April 2008 judgment of Court of Appeal</w:t>
            </w:r>
          </w:p>
        </w:tc>
      </w:tr>
      <w:tr w:rsidR="00DA20EC" w:rsidRPr="0051165D" w:rsidTr="00DA20EC">
        <w:trPr>
          <w:cantSplit/>
        </w:trPr>
        <w:tc>
          <w:tcPr>
            <w:tcW w:w="2427" w:type="pct"/>
          </w:tcPr>
          <w:p w:rsidR="00DA20EC" w:rsidRPr="0051165D" w:rsidRDefault="00DA20EC" w:rsidP="00DA20EC">
            <w:pPr>
              <w:jc w:val="both"/>
              <w:rPr>
                <w:rFonts w:eastAsia="Calibri"/>
                <w:sz w:val="20"/>
                <w:szCs w:val="20"/>
              </w:rPr>
            </w:pPr>
            <w:r w:rsidRPr="0051165D">
              <w:rPr>
                <w:rFonts w:eastAsia="Calibri"/>
                <w:sz w:val="20"/>
                <w:szCs w:val="20"/>
              </w:rPr>
              <w:t>August 22, 2011</w:t>
            </w:r>
          </w:p>
          <w:p w:rsidR="00DA20EC" w:rsidRPr="0051165D" w:rsidRDefault="00DA20EC" w:rsidP="00DA20EC">
            <w:pPr>
              <w:jc w:val="both"/>
              <w:rPr>
                <w:rFonts w:eastAsia="Calibri"/>
                <w:sz w:val="20"/>
                <w:szCs w:val="20"/>
              </w:rPr>
            </w:pPr>
            <w:r w:rsidRPr="0051165D">
              <w:rPr>
                <w:rFonts w:eastAsia="Calibri"/>
                <w:sz w:val="20"/>
                <w:szCs w:val="20"/>
              </w:rPr>
              <w:t>Quebec Court of Appeal (Montréal)</w:t>
            </w:r>
          </w:p>
          <w:p w:rsidR="00DA20EC" w:rsidRPr="0051165D" w:rsidRDefault="00DA20EC" w:rsidP="00DA20EC">
            <w:pPr>
              <w:jc w:val="both"/>
              <w:rPr>
                <w:rFonts w:eastAsia="Calibri"/>
                <w:sz w:val="20"/>
                <w:szCs w:val="20"/>
              </w:rPr>
            </w:pPr>
            <w:r w:rsidRPr="0051165D">
              <w:rPr>
                <w:rFonts w:eastAsia="Calibri"/>
                <w:sz w:val="20"/>
                <w:szCs w:val="20"/>
              </w:rPr>
              <w:t xml:space="preserve">(Thibault, </w:t>
            </w:r>
            <w:proofErr w:type="spellStart"/>
            <w:r w:rsidRPr="0051165D">
              <w:rPr>
                <w:rFonts w:eastAsia="Calibri"/>
                <w:sz w:val="20"/>
                <w:szCs w:val="20"/>
              </w:rPr>
              <w:t>Rochette</w:t>
            </w:r>
            <w:proofErr w:type="spellEnd"/>
            <w:r w:rsidRPr="0051165D">
              <w:rPr>
                <w:rFonts w:eastAsia="Calibri"/>
                <w:sz w:val="20"/>
                <w:szCs w:val="20"/>
              </w:rPr>
              <w:t xml:space="preserve"> and </w:t>
            </w:r>
            <w:proofErr w:type="spellStart"/>
            <w:r w:rsidRPr="0051165D">
              <w:rPr>
                <w:rFonts w:eastAsia="Calibri"/>
                <w:sz w:val="20"/>
                <w:szCs w:val="20"/>
              </w:rPr>
              <w:t>Kasirer</w:t>
            </w:r>
            <w:proofErr w:type="spellEnd"/>
            <w:r w:rsidRPr="0051165D">
              <w:rPr>
                <w:rFonts w:eastAsia="Calibri"/>
                <w:sz w:val="20"/>
                <w:szCs w:val="20"/>
              </w:rPr>
              <w:t xml:space="preserve"> JJ.A.)</w:t>
            </w:r>
          </w:p>
          <w:p w:rsidR="00DA20EC" w:rsidRPr="0051165D" w:rsidRDefault="00DA20EC" w:rsidP="00DA20EC">
            <w:pPr>
              <w:jc w:val="both"/>
              <w:rPr>
                <w:rFonts w:eastAsia="Calibri"/>
                <w:sz w:val="20"/>
                <w:szCs w:val="20"/>
              </w:rPr>
            </w:pPr>
            <w:r w:rsidRPr="0051165D">
              <w:rPr>
                <w:rFonts w:eastAsia="Calibri"/>
                <w:sz w:val="20"/>
                <w:szCs w:val="20"/>
              </w:rPr>
              <w:t>Neutral citation: 2011 QCCA 1518</w:t>
            </w:r>
          </w:p>
          <w:p w:rsidR="00DA20EC" w:rsidRPr="0051165D" w:rsidRDefault="00DA20EC" w:rsidP="00DA20EC">
            <w:pPr>
              <w:jc w:val="both"/>
              <w:rPr>
                <w:rFonts w:eastAsia="Calibri"/>
                <w:sz w:val="20"/>
                <w:szCs w:val="20"/>
              </w:rPr>
            </w:pPr>
          </w:p>
        </w:tc>
        <w:tc>
          <w:tcPr>
            <w:tcW w:w="243" w:type="pct"/>
          </w:tcPr>
          <w:p w:rsidR="00DA20EC" w:rsidRPr="0051165D" w:rsidRDefault="00DA20EC" w:rsidP="00DA20EC">
            <w:pPr>
              <w:jc w:val="both"/>
              <w:rPr>
                <w:rFonts w:eastAsia="Calibri"/>
                <w:sz w:val="20"/>
                <w:szCs w:val="20"/>
              </w:rPr>
            </w:pPr>
          </w:p>
        </w:tc>
        <w:tc>
          <w:tcPr>
            <w:tcW w:w="2330" w:type="pct"/>
          </w:tcPr>
          <w:p w:rsidR="00DA20EC" w:rsidRPr="0051165D" w:rsidRDefault="00DA20EC" w:rsidP="00DA20EC">
            <w:pPr>
              <w:jc w:val="both"/>
              <w:rPr>
                <w:rFonts w:eastAsia="Calibri"/>
                <w:sz w:val="20"/>
                <w:szCs w:val="20"/>
              </w:rPr>
            </w:pPr>
            <w:r w:rsidRPr="0051165D">
              <w:rPr>
                <w:rFonts w:eastAsia="Calibri"/>
                <w:sz w:val="20"/>
                <w:szCs w:val="20"/>
              </w:rPr>
              <w:t>Appeal dismissed</w:t>
            </w:r>
          </w:p>
        </w:tc>
      </w:tr>
      <w:tr w:rsidR="00DA20EC" w:rsidRPr="0051165D" w:rsidTr="00DA20EC">
        <w:trPr>
          <w:cantSplit/>
        </w:trPr>
        <w:tc>
          <w:tcPr>
            <w:tcW w:w="2427" w:type="pct"/>
          </w:tcPr>
          <w:p w:rsidR="00DA20EC" w:rsidRPr="0051165D" w:rsidRDefault="00DA20EC" w:rsidP="00DA20EC">
            <w:pPr>
              <w:jc w:val="both"/>
              <w:rPr>
                <w:rFonts w:eastAsia="Calibri"/>
                <w:sz w:val="20"/>
                <w:szCs w:val="20"/>
              </w:rPr>
            </w:pPr>
            <w:r w:rsidRPr="0051165D">
              <w:rPr>
                <w:rFonts w:eastAsia="Calibri"/>
                <w:sz w:val="20"/>
                <w:szCs w:val="20"/>
              </w:rPr>
              <w:t>October 20, 2011</w:t>
            </w:r>
          </w:p>
          <w:p w:rsidR="00DA20EC" w:rsidRPr="0051165D" w:rsidRDefault="00DA20EC" w:rsidP="00DA20EC">
            <w:pPr>
              <w:jc w:val="both"/>
              <w:rPr>
                <w:rFonts w:eastAsia="Calibri"/>
                <w:sz w:val="20"/>
                <w:szCs w:val="20"/>
              </w:rPr>
            </w:pPr>
            <w:r w:rsidRPr="0051165D">
              <w:rPr>
                <w:rFonts w:eastAsia="Calibri"/>
                <w:sz w:val="20"/>
                <w:szCs w:val="20"/>
              </w:rPr>
              <w:t>Supreme Court of Canada</w:t>
            </w:r>
          </w:p>
        </w:tc>
        <w:tc>
          <w:tcPr>
            <w:tcW w:w="243" w:type="pct"/>
          </w:tcPr>
          <w:p w:rsidR="00DA20EC" w:rsidRPr="0051165D" w:rsidRDefault="00DA20EC" w:rsidP="00DA20EC">
            <w:pPr>
              <w:jc w:val="both"/>
              <w:rPr>
                <w:rFonts w:eastAsia="Calibri"/>
                <w:sz w:val="20"/>
                <w:szCs w:val="20"/>
              </w:rPr>
            </w:pPr>
          </w:p>
        </w:tc>
        <w:tc>
          <w:tcPr>
            <w:tcW w:w="2330" w:type="pct"/>
          </w:tcPr>
          <w:p w:rsidR="00DA20EC" w:rsidRPr="0051165D" w:rsidRDefault="00DA20EC" w:rsidP="00DA20EC">
            <w:pPr>
              <w:jc w:val="both"/>
              <w:rPr>
                <w:rFonts w:eastAsia="Calibri"/>
                <w:sz w:val="20"/>
                <w:szCs w:val="20"/>
              </w:rPr>
            </w:pPr>
            <w:r w:rsidRPr="0051165D">
              <w:rPr>
                <w:rFonts w:eastAsia="Calibri"/>
                <w:sz w:val="20"/>
                <w:szCs w:val="20"/>
              </w:rPr>
              <w:t>Application for leave to appeal filed</w:t>
            </w:r>
          </w:p>
          <w:p w:rsidR="00DA20EC" w:rsidRPr="0051165D" w:rsidRDefault="00DA20EC" w:rsidP="00DA20EC">
            <w:pPr>
              <w:jc w:val="both"/>
              <w:rPr>
                <w:rFonts w:eastAsia="Calibri"/>
                <w:sz w:val="20"/>
                <w:szCs w:val="20"/>
              </w:rPr>
            </w:pPr>
          </w:p>
        </w:tc>
      </w:tr>
    </w:tbl>
    <w:p w:rsidR="00DA20EC" w:rsidRPr="00AF26C7" w:rsidRDefault="00DA20EC" w:rsidP="00C64AFA">
      <w:pPr>
        <w:rPr>
          <w:sz w:val="20"/>
          <w:szCs w:val="20"/>
        </w:rPr>
      </w:pPr>
    </w:p>
    <w:p w:rsidR="00C64AFA" w:rsidRPr="00C50A5C" w:rsidRDefault="007505E6" w:rsidP="00C64AFA">
      <w:pPr>
        <w:rPr>
          <w:sz w:val="20"/>
          <w:szCs w:val="20"/>
        </w:rPr>
      </w:pPr>
      <w:r w:rsidRPr="007505E6">
        <w:rPr>
          <w:sz w:val="20"/>
          <w:szCs w:val="20"/>
          <w:lang w:val="fr-CA"/>
        </w:rPr>
        <w:pict>
          <v:rect id="_x0000_i1069"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A20EC" w:rsidRPr="0051165D" w:rsidTr="00DA20EC">
        <w:tc>
          <w:tcPr>
            <w:tcW w:w="5000" w:type="pct"/>
            <w:gridSpan w:val="3"/>
          </w:tcPr>
          <w:p w:rsidR="00DA20EC" w:rsidRPr="0051165D" w:rsidRDefault="00DA20EC" w:rsidP="00DA20EC">
            <w:pPr>
              <w:jc w:val="both"/>
              <w:rPr>
                <w:rFonts w:eastAsia="Calibri"/>
                <w:sz w:val="20"/>
                <w:szCs w:val="20"/>
                <w:lang w:val="fr-FR"/>
              </w:rPr>
            </w:pPr>
            <w:r w:rsidRPr="0051165D">
              <w:rPr>
                <w:rFonts w:eastAsia="Calibri"/>
                <w:sz w:val="20"/>
                <w:szCs w:val="20"/>
                <w:lang w:val="fr-CA"/>
              </w:rPr>
              <w:t xml:space="preserve">Législation – Portée d’une loi déclaratoire – Jugements – Effet d’une demande d’autorisation d’appel sur l’état d’une cause – Incompatibilité d’une disposition de convention collective en matière de régime de retraite déclarée par les tribunaux administratifs et confirmée par la Cour supérieure – Renversement de cette conclusion par la Cour d’appel et renvoi au tribunal administratif initial - Demande d’autorisation d’en appeler de ce jugement au plus haut tribunal du pays – Précision interprétative contraire au jugement de la Cour d’appel apportée par législation déclaratoire avant le rejet de la demande d’autorisation d’appel – Tribunal administratif appliquant la disposition déclaratoire – Contestation de ce choix - Une loi déclaratoire exige-t-elle son application immédiate aux seules causes en attente de jugement au fond ou à toute cause dans laquelle le jugement n’a pas encore acquis l’autorité de la chose jugée? – Une cause est-elle pendante quand un jugement fait l’objet d’une demande d’autorisation d’appel? – La Cour d’appel pouvait-elle utiliser les débats parlementaires pour appuyer ses conclusions en droit? - </w:t>
            </w:r>
            <w:r w:rsidRPr="0051165D">
              <w:rPr>
                <w:rFonts w:eastAsia="Calibri"/>
                <w:i/>
                <w:sz w:val="20"/>
                <w:szCs w:val="20"/>
                <w:lang w:val="fr-CA"/>
              </w:rPr>
              <w:t>Loi sur les régimes complémentaires de retraite</w:t>
            </w:r>
            <w:r w:rsidRPr="0051165D">
              <w:rPr>
                <w:rFonts w:eastAsia="Calibri"/>
                <w:sz w:val="20"/>
                <w:szCs w:val="20"/>
                <w:lang w:val="fr-CA"/>
              </w:rPr>
              <w:t>, L.R.Q. ch. R-15.1, art. 5, 14.1, 211, 228.</w:t>
            </w:r>
          </w:p>
        </w:tc>
      </w:tr>
      <w:tr w:rsidR="00DA20EC" w:rsidRPr="0051165D" w:rsidTr="00DA20EC">
        <w:tc>
          <w:tcPr>
            <w:tcW w:w="5000" w:type="pct"/>
            <w:gridSpan w:val="3"/>
          </w:tcPr>
          <w:p w:rsidR="00DA20EC" w:rsidRPr="0051165D" w:rsidRDefault="00DA20EC" w:rsidP="00DA20EC">
            <w:pPr>
              <w:jc w:val="both"/>
              <w:rPr>
                <w:rFonts w:eastAsia="Calibri"/>
                <w:sz w:val="20"/>
                <w:szCs w:val="20"/>
                <w:lang w:val="fr-CA"/>
              </w:rPr>
            </w:pPr>
          </w:p>
        </w:tc>
      </w:tr>
      <w:tr w:rsidR="00DA20EC" w:rsidRPr="002D3F55" w:rsidTr="00DA20EC">
        <w:tc>
          <w:tcPr>
            <w:tcW w:w="5000" w:type="pct"/>
            <w:gridSpan w:val="3"/>
          </w:tcPr>
          <w:p w:rsidR="00DA20EC" w:rsidRPr="0051165D" w:rsidRDefault="00DA20EC" w:rsidP="00DA20EC">
            <w:pPr>
              <w:jc w:val="both"/>
              <w:rPr>
                <w:rFonts w:eastAsia="Calibri"/>
                <w:sz w:val="20"/>
                <w:szCs w:val="20"/>
                <w:lang w:val="fr-CA"/>
              </w:rPr>
            </w:pPr>
            <w:r w:rsidRPr="0051165D">
              <w:rPr>
                <w:rFonts w:eastAsia="Calibri"/>
                <w:sz w:val="20"/>
                <w:szCs w:val="20"/>
                <w:lang w:val="fr-CA"/>
              </w:rPr>
              <w:t>La Cour d’appel renverse, en avril 2008, une décision de la Régie des rentes ayant déclaré illégales certaines clauses d’un régime de retraite privé permettant à l’employeur de réduire les rentes à l’issue d’une fermeture; elle retourne le dossier à la Régie pour que celle-ci rende une nouvelle décision conséquente. Le 29 mai, cette dernière dépose une demande d’autorisation d’appel à la Cour. Le 8 juin, le législateur québécois adopte une loi déclaratoire qui impose l’interprétation donnée par la Régie au texte de loi pertinent et qui exclut celle de la Cour d’appel. En octobre 2008, la demande d’autorisation d’appel est rejetée. En août 2009, la Régie rend sa nouvelle décision et applique la loi déclaratoire. L’employeur conteste cette décision au motif que la cause n’était plus pendante lorsque la loi déclaratoire est entrée en vigueur.</w:t>
            </w:r>
          </w:p>
          <w:p w:rsidR="00DA20EC" w:rsidRPr="0051165D" w:rsidRDefault="00DA20EC" w:rsidP="00DA20EC">
            <w:pPr>
              <w:jc w:val="both"/>
              <w:rPr>
                <w:rFonts w:eastAsia="Calibri"/>
                <w:sz w:val="20"/>
                <w:szCs w:val="20"/>
                <w:lang w:val="fr-CA"/>
              </w:rPr>
            </w:pPr>
          </w:p>
        </w:tc>
      </w:tr>
      <w:tr w:rsidR="00DA20EC" w:rsidRPr="002D3F55" w:rsidTr="00DA20EC">
        <w:tc>
          <w:tcPr>
            <w:tcW w:w="2427"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t>Le 20 avril 2010</w:t>
            </w:r>
          </w:p>
          <w:p w:rsidR="00DA20EC" w:rsidRPr="0051165D" w:rsidRDefault="00DA20EC" w:rsidP="00DA20EC">
            <w:pPr>
              <w:jc w:val="both"/>
              <w:rPr>
                <w:rFonts w:eastAsia="Calibri"/>
                <w:sz w:val="20"/>
                <w:szCs w:val="20"/>
                <w:lang w:val="fr-CA"/>
              </w:rPr>
            </w:pPr>
            <w:r w:rsidRPr="0051165D">
              <w:rPr>
                <w:rFonts w:eastAsia="Calibri"/>
                <w:sz w:val="20"/>
                <w:szCs w:val="20"/>
                <w:lang w:val="fr-CA"/>
              </w:rPr>
              <w:t>Tribunal administratif  du Québec</w:t>
            </w:r>
          </w:p>
          <w:p w:rsidR="00DA20EC" w:rsidRPr="0051165D" w:rsidRDefault="00DA20EC" w:rsidP="00DA20EC">
            <w:pPr>
              <w:jc w:val="both"/>
              <w:rPr>
                <w:rFonts w:eastAsia="Calibri"/>
                <w:sz w:val="20"/>
                <w:szCs w:val="20"/>
                <w:lang w:val="fr-CA"/>
              </w:rPr>
            </w:pPr>
            <w:r w:rsidRPr="0051165D">
              <w:rPr>
                <w:rFonts w:eastAsia="Calibri"/>
                <w:sz w:val="20"/>
                <w:szCs w:val="20"/>
                <w:lang w:val="fr-CA"/>
              </w:rPr>
              <w:t>(Les juges Cormier et Lévesque)</w:t>
            </w:r>
          </w:p>
          <w:p w:rsidR="00DA20EC" w:rsidRPr="0051165D" w:rsidRDefault="00DA20EC" w:rsidP="00DA20EC">
            <w:pPr>
              <w:jc w:val="both"/>
              <w:rPr>
                <w:rFonts w:eastAsia="Calibri"/>
                <w:sz w:val="20"/>
                <w:szCs w:val="20"/>
                <w:lang w:val="fr-CA"/>
              </w:rPr>
            </w:pPr>
            <w:r w:rsidRPr="0051165D">
              <w:rPr>
                <w:rFonts w:eastAsia="Calibri"/>
                <w:sz w:val="20"/>
                <w:szCs w:val="20"/>
                <w:lang w:val="fr-CA"/>
              </w:rPr>
              <w:t>Référence neutre : 2010 QCTAQ 04423</w:t>
            </w:r>
          </w:p>
          <w:p w:rsidR="00DA20EC" w:rsidRPr="0051165D" w:rsidRDefault="00DA20EC" w:rsidP="00DA20EC">
            <w:pPr>
              <w:jc w:val="both"/>
              <w:rPr>
                <w:rFonts w:eastAsia="Calibri"/>
                <w:sz w:val="20"/>
                <w:szCs w:val="20"/>
                <w:lang w:val="fr-FR"/>
              </w:rPr>
            </w:pPr>
          </w:p>
        </w:tc>
        <w:tc>
          <w:tcPr>
            <w:tcW w:w="243" w:type="pct"/>
          </w:tcPr>
          <w:p w:rsidR="00DA20EC" w:rsidRPr="0051165D" w:rsidRDefault="00DA20EC" w:rsidP="00DA20EC">
            <w:pPr>
              <w:jc w:val="both"/>
              <w:rPr>
                <w:rFonts w:eastAsia="Calibri"/>
                <w:sz w:val="20"/>
                <w:szCs w:val="20"/>
                <w:lang w:val="fr-FR"/>
              </w:rPr>
            </w:pPr>
          </w:p>
        </w:tc>
        <w:tc>
          <w:tcPr>
            <w:tcW w:w="2330"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t>Décision administrative d’appliquer la loi déclaratoire confirmée.</w:t>
            </w:r>
          </w:p>
          <w:p w:rsidR="00DA20EC" w:rsidRPr="0051165D" w:rsidRDefault="00DA20EC" w:rsidP="00DA20EC">
            <w:pPr>
              <w:jc w:val="both"/>
              <w:rPr>
                <w:rFonts w:eastAsia="Calibri"/>
                <w:sz w:val="20"/>
                <w:szCs w:val="20"/>
                <w:lang w:val="fr-CA"/>
              </w:rPr>
            </w:pPr>
          </w:p>
        </w:tc>
      </w:tr>
      <w:tr w:rsidR="00DA20EC" w:rsidRPr="002D3F55" w:rsidTr="00DA20EC">
        <w:tc>
          <w:tcPr>
            <w:tcW w:w="2427"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t>Le 10 décembre 2010</w:t>
            </w:r>
          </w:p>
          <w:p w:rsidR="00DA20EC" w:rsidRPr="0051165D" w:rsidRDefault="00DA20EC" w:rsidP="00DA20EC">
            <w:pPr>
              <w:jc w:val="both"/>
              <w:rPr>
                <w:rFonts w:eastAsia="Calibri"/>
                <w:sz w:val="20"/>
                <w:szCs w:val="20"/>
                <w:lang w:val="fr-CA"/>
              </w:rPr>
            </w:pPr>
            <w:r w:rsidRPr="0051165D">
              <w:rPr>
                <w:rFonts w:eastAsia="Calibri"/>
                <w:sz w:val="20"/>
                <w:szCs w:val="20"/>
                <w:lang w:val="fr-CA"/>
              </w:rPr>
              <w:t>Cour supérieure du Québec</w:t>
            </w:r>
          </w:p>
          <w:p w:rsidR="00DA20EC" w:rsidRPr="0051165D" w:rsidRDefault="00DA20EC" w:rsidP="00DA20EC">
            <w:pPr>
              <w:jc w:val="both"/>
              <w:rPr>
                <w:rFonts w:eastAsia="Calibri"/>
                <w:sz w:val="20"/>
                <w:szCs w:val="20"/>
                <w:lang w:val="fr-CA"/>
              </w:rPr>
            </w:pPr>
            <w:r w:rsidRPr="0051165D">
              <w:rPr>
                <w:rFonts w:eastAsia="Calibri"/>
                <w:sz w:val="20"/>
                <w:szCs w:val="20"/>
                <w:lang w:val="fr-CA"/>
              </w:rPr>
              <w:t>(La juge Grenier)</w:t>
            </w:r>
          </w:p>
          <w:p w:rsidR="00DA20EC" w:rsidRPr="0051165D" w:rsidRDefault="00DA20EC" w:rsidP="00DA20EC">
            <w:pPr>
              <w:jc w:val="both"/>
              <w:rPr>
                <w:rFonts w:eastAsia="Calibri"/>
                <w:sz w:val="20"/>
                <w:szCs w:val="20"/>
                <w:lang w:val="fr-CA"/>
              </w:rPr>
            </w:pPr>
            <w:r w:rsidRPr="0051165D">
              <w:rPr>
                <w:rFonts w:eastAsia="Calibri"/>
                <w:sz w:val="20"/>
                <w:szCs w:val="20"/>
                <w:lang w:val="fr-CA"/>
              </w:rPr>
              <w:t>Référence neutre : 2010 QCCS 6104</w:t>
            </w:r>
          </w:p>
          <w:p w:rsidR="00DA20EC" w:rsidRPr="0051165D" w:rsidRDefault="00DA20EC" w:rsidP="00DA20EC">
            <w:pPr>
              <w:jc w:val="both"/>
              <w:rPr>
                <w:rFonts w:eastAsia="Calibri"/>
                <w:sz w:val="20"/>
                <w:szCs w:val="20"/>
                <w:lang w:val="fr-CA"/>
              </w:rPr>
            </w:pPr>
          </w:p>
        </w:tc>
        <w:tc>
          <w:tcPr>
            <w:tcW w:w="243" w:type="pct"/>
          </w:tcPr>
          <w:p w:rsidR="00DA20EC" w:rsidRPr="0051165D" w:rsidRDefault="00DA20EC" w:rsidP="00DA20EC">
            <w:pPr>
              <w:jc w:val="both"/>
              <w:rPr>
                <w:rFonts w:eastAsia="Calibri"/>
                <w:sz w:val="20"/>
                <w:szCs w:val="20"/>
                <w:lang w:val="fr-FR"/>
              </w:rPr>
            </w:pPr>
          </w:p>
        </w:tc>
        <w:tc>
          <w:tcPr>
            <w:tcW w:w="2330"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t xml:space="preserve">Contrôle judiciaire exercé sur la décision du Tribunal administratif; dossier retourné à la Régie des rentes pour qu’elle applique le jugement de la Cour d’appel d’avril 2008. </w:t>
            </w:r>
          </w:p>
        </w:tc>
      </w:tr>
      <w:tr w:rsidR="00DA20EC" w:rsidRPr="0051165D" w:rsidTr="00DA20EC">
        <w:trPr>
          <w:cantSplit/>
        </w:trPr>
        <w:tc>
          <w:tcPr>
            <w:tcW w:w="2427"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lastRenderedPageBreak/>
              <w:t>Le 22 août 2011</w:t>
            </w:r>
          </w:p>
          <w:p w:rsidR="00DA20EC" w:rsidRPr="0051165D" w:rsidRDefault="00DA20EC" w:rsidP="00DA20EC">
            <w:pPr>
              <w:jc w:val="both"/>
              <w:rPr>
                <w:rFonts w:eastAsia="Calibri"/>
                <w:sz w:val="20"/>
                <w:szCs w:val="20"/>
                <w:lang w:val="fr-CA"/>
              </w:rPr>
            </w:pPr>
            <w:r w:rsidRPr="0051165D">
              <w:rPr>
                <w:rFonts w:eastAsia="Calibri"/>
                <w:sz w:val="20"/>
                <w:szCs w:val="20"/>
                <w:lang w:val="fr-CA"/>
              </w:rPr>
              <w:t>Cour d’appel du Québec (Montréal)</w:t>
            </w:r>
          </w:p>
          <w:p w:rsidR="00DA20EC" w:rsidRPr="0051165D" w:rsidRDefault="00DA20EC" w:rsidP="00DA20EC">
            <w:pPr>
              <w:jc w:val="both"/>
              <w:rPr>
                <w:rFonts w:eastAsia="Calibri"/>
                <w:sz w:val="20"/>
                <w:szCs w:val="20"/>
                <w:lang w:val="fr-CA"/>
              </w:rPr>
            </w:pPr>
            <w:r w:rsidRPr="0051165D">
              <w:rPr>
                <w:rFonts w:eastAsia="Calibri"/>
                <w:sz w:val="20"/>
                <w:szCs w:val="20"/>
                <w:lang w:val="fr-CA"/>
              </w:rPr>
              <w:t xml:space="preserve">(Les juges Thibault, Rochette et </w:t>
            </w:r>
            <w:proofErr w:type="spellStart"/>
            <w:r w:rsidRPr="0051165D">
              <w:rPr>
                <w:rFonts w:eastAsia="Calibri"/>
                <w:sz w:val="20"/>
                <w:szCs w:val="20"/>
                <w:lang w:val="fr-CA"/>
              </w:rPr>
              <w:t>Kasirer</w:t>
            </w:r>
            <w:proofErr w:type="spellEnd"/>
            <w:r w:rsidRPr="0051165D">
              <w:rPr>
                <w:rFonts w:eastAsia="Calibri"/>
                <w:sz w:val="20"/>
                <w:szCs w:val="20"/>
                <w:lang w:val="fr-CA"/>
              </w:rPr>
              <w:t>)</w:t>
            </w:r>
          </w:p>
          <w:p w:rsidR="00DA20EC" w:rsidRPr="0051165D" w:rsidRDefault="00DA20EC" w:rsidP="00DA20EC">
            <w:pPr>
              <w:jc w:val="both"/>
              <w:rPr>
                <w:rFonts w:eastAsia="Calibri"/>
                <w:sz w:val="20"/>
                <w:szCs w:val="20"/>
                <w:lang w:val="fr-CA"/>
              </w:rPr>
            </w:pPr>
            <w:r w:rsidRPr="0051165D">
              <w:rPr>
                <w:rFonts w:eastAsia="Calibri"/>
                <w:sz w:val="20"/>
                <w:szCs w:val="20"/>
                <w:lang w:val="fr-CA"/>
              </w:rPr>
              <w:t>Référence neutre : 2011 QCCA 1518</w:t>
            </w:r>
          </w:p>
          <w:p w:rsidR="00DA20EC" w:rsidRPr="0051165D" w:rsidRDefault="00DA20EC" w:rsidP="00DA20EC">
            <w:pPr>
              <w:jc w:val="both"/>
              <w:rPr>
                <w:rFonts w:eastAsia="Calibri"/>
                <w:sz w:val="20"/>
                <w:szCs w:val="20"/>
                <w:lang w:val="fr-FR"/>
              </w:rPr>
            </w:pPr>
          </w:p>
        </w:tc>
        <w:tc>
          <w:tcPr>
            <w:tcW w:w="243" w:type="pct"/>
          </w:tcPr>
          <w:p w:rsidR="00DA20EC" w:rsidRPr="0051165D" w:rsidRDefault="00DA20EC" w:rsidP="00DA20EC">
            <w:pPr>
              <w:jc w:val="both"/>
              <w:rPr>
                <w:rFonts w:eastAsia="Calibri"/>
                <w:sz w:val="20"/>
                <w:szCs w:val="20"/>
                <w:lang w:val="fr-FR"/>
              </w:rPr>
            </w:pPr>
          </w:p>
        </w:tc>
        <w:tc>
          <w:tcPr>
            <w:tcW w:w="2330"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t>Appel rejeté.</w:t>
            </w:r>
          </w:p>
        </w:tc>
      </w:tr>
      <w:tr w:rsidR="00DA20EC" w:rsidRPr="0051165D" w:rsidTr="00DA20EC">
        <w:trPr>
          <w:cantSplit/>
        </w:trPr>
        <w:tc>
          <w:tcPr>
            <w:tcW w:w="2427"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t>Le 20 octobre 2011</w:t>
            </w:r>
          </w:p>
          <w:p w:rsidR="00DA20EC" w:rsidRPr="0051165D" w:rsidRDefault="00DA20EC" w:rsidP="00DA20EC">
            <w:pPr>
              <w:jc w:val="both"/>
              <w:rPr>
                <w:rFonts w:eastAsia="Calibri"/>
                <w:sz w:val="20"/>
                <w:szCs w:val="20"/>
                <w:lang w:val="fr-FR"/>
              </w:rPr>
            </w:pPr>
            <w:r w:rsidRPr="0051165D">
              <w:rPr>
                <w:rFonts w:eastAsia="Calibri"/>
                <w:sz w:val="20"/>
                <w:szCs w:val="20"/>
                <w:lang w:val="fr-CA"/>
              </w:rPr>
              <w:t>Cour suprême du Canada</w:t>
            </w:r>
          </w:p>
        </w:tc>
        <w:tc>
          <w:tcPr>
            <w:tcW w:w="243" w:type="pct"/>
          </w:tcPr>
          <w:p w:rsidR="00DA20EC" w:rsidRPr="0051165D" w:rsidRDefault="00DA20EC" w:rsidP="00DA20EC">
            <w:pPr>
              <w:jc w:val="both"/>
              <w:rPr>
                <w:rFonts w:eastAsia="Calibri"/>
                <w:sz w:val="20"/>
                <w:szCs w:val="20"/>
                <w:lang w:val="fr-FR"/>
              </w:rPr>
            </w:pPr>
          </w:p>
        </w:tc>
        <w:tc>
          <w:tcPr>
            <w:tcW w:w="2330" w:type="pct"/>
          </w:tcPr>
          <w:p w:rsidR="00DA20EC" w:rsidRPr="0051165D" w:rsidRDefault="00DA20EC" w:rsidP="00DA20EC">
            <w:pPr>
              <w:jc w:val="both"/>
              <w:rPr>
                <w:rFonts w:eastAsia="Calibri"/>
                <w:sz w:val="20"/>
                <w:szCs w:val="20"/>
                <w:lang w:val="fr-CA"/>
              </w:rPr>
            </w:pPr>
            <w:r w:rsidRPr="0051165D">
              <w:rPr>
                <w:rFonts w:eastAsia="Calibri"/>
                <w:sz w:val="20"/>
                <w:szCs w:val="20"/>
                <w:lang w:val="fr-CA"/>
              </w:rPr>
              <w:t>Demande d'autorisation d'appel déposée.</w:t>
            </w:r>
          </w:p>
          <w:p w:rsidR="00DA20EC" w:rsidRPr="0051165D" w:rsidRDefault="00DA20EC" w:rsidP="00DA20EC">
            <w:pPr>
              <w:jc w:val="both"/>
              <w:rPr>
                <w:rFonts w:eastAsia="Calibri"/>
                <w:sz w:val="20"/>
                <w:szCs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70" style="width:2in;height:1pt" o:hrpct="0" o:hralign="center" o:hrstd="t" o:hrnoshade="t" o:hr="t" fillcolor="black [3213]" stroked="f"/>
        </w:pict>
      </w:r>
    </w:p>
    <w:p w:rsidR="00C64AFA" w:rsidRDefault="00C64AFA" w:rsidP="00C64AF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62EA" w:rsidRPr="002D3F55" w:rsidTr="00E062EA">
        <w:trPr>
          <w:cantSplit/>
        </w:trPr>
        <w:tc>
          <w:tcPr>
            <w:tcW w:w="1458" w:type="dxa"/>
          </w:tcPr>
          <w:p w:rsidR="00E062EA" w:rsidRPr="00A54F27" w:rsidRDefault="00E062EA" w:rsidP="00E062EA">
            <w:pPr>
              <w:rPr>
                <w:sz w:val="20"/>
                <w:szCs w:val="20"/>
              </w:rPr>
            </w:pPr>
            <w:r w:rsidRPr="00A54F27">
              <w:rPr>
                <w:rStyle w:val="SCCFileNumberChar"/>
                <w:sz w:val="20"/>
                <w:szCs w:val="20"/>
              </w:rPr>
              <w:t>34519</w:t>
            </w:r>
          </w:p>
          <w:p w:rsidR="00E062EA" w:rsidRPr="00A54F27" w:rsidRDefault="00E062EA" w:rsidP="00E062EA">
            <w:pPr>
              <w:rPr>
                <w:b/>
                <w:sz w:val="20"/>
                <w:szCs w:val="20"/>
                <w:lang w:val="fr-CA"/>
              </w:rPr>
            </w:pPr>
          </w:p>
        </w:tc>
        <w:tc>
          <w:tcPr>
            <w:tcW w:w="8118" w:type="dxa"/>
          </w:tcPr>
          <w:p w:rsidR="00E062EA" w:rsidRPr="00A54F27" w:rsidRDefault="00E062EA" w:rsidP="00E062EA">
            <w:pPr>
              <w:rPr>
                <w:sz w:val="20"/>
                <w:szCs w:val="20"/>
                <w:lang w:val="fr-CA"/>
              </w:rPr>
            </w:pPr>
            <w:r w:rsidRPr="00A54F27">
              <w:rPr>
                <w:rStyle w:val="SCCLsocChar"/>
                <w:sz w:val="20"/>
                <w:szCs w:val="20"/>
              </w:rPr>
              <w:t xml:space="preserve">Ricardo </w:t>
            </w:r>
            <w:proofErr w:type="spellStart"/>
            <w:r w:rsidRPr="00A54F27">
              <w:rPr>
                <w:rStyle w:val="SCCLsocChar"/>
                <w:sz w:val="20"/>
                <w:szCs w:val="20"/>
              </w:rPr>
              <w:t>Leporé</w:t>
            </w:r>
            <w:proofErr w:type="spellEnd"/>
            <w:r w:rsidRPr="00A54F27">
              <w:rPr>
                <w:rStyle w:val="SCCLsocChar"/>
                <w:sz w:val="20"/>
                <w:szCs w:val="20"/>
              </w:rPr>
              <w:t xml:space="preserve"> c. Sa Majesté la Reine</w:t>
            </w:r>
            <w:r w:rsidRPr="00A54F27">
              <w:rPr>
                <w:sz w:val="20"/>
                <w:szCs w:val="20"/>
                <w:lang w:val="fr-CA"/>
              </w:rPr>
              <w:t xml:space="preserve"> (</w:t>
            </w:r>
            <w:proofErr w:type="spellStart"/>
            <w:r w:rsidRPr="00A54F27">
              <w:rPr>
                <w:sz w:val="20"/>
                <w:szCs w:val="20"/>
                <w:lang w:val="fr-CA"/>
              </w:rPr>
              <w:t>Qc</w:t>
            </w:r>
            <w:proofErr w:type="spellEnd"/>
            <w:r w:rsidRPr="00A54F27">
              <w:rPr>
                <w:sz w:val="20"/>
                <w:szCs w:val="20"/>
                <w:lang w:val="fr-CA"/>
              </w:rPr>
              <w:t>) (Criminelle) (Autorisation)</w:t>
            </w:r>
          </w:p>
          <w:p w:rsidR="00E062EA" w:rsidRPr="00A54F27" w:rsidRDefault="00E062EA" w:rsidP="00E062EA">
            <w:pPr>
              <w:rPr>
                <w:sz w:val="20"/>
                <w:szCs w:val="20"/>
                <w:lang w:val="fr-CA"/>
              </w:rPr>
            </w:pPr>
          </w:p>
        </w:tc>
      </w:tr>
      <w:tr w:rsidR="00E062EA" w:rsidRPr="002D3F55" w:rsidTr="00E062EA">
        <w:trPr>
          <w:cantSplit/>
        </w:trPr>
        <w:tc>
          <w:tcPr>
            <w:tcW w:w="1458" w:type="dxa"/>
          </w:tcPr>
          <w:p w:rsidR="00E062EA" w:rsidRPr="00A54F27" w:rsidRDefault="00E062EA" w:rsidP="00E062EA">
            <w:pPr>
              <w:rPr>
                <w:sz w:val="20"/>
                <w:szCs w:val="20"/>
              </w:rPr>
            </w:pPr>
            <w:r w:rsidRPr="00A54F27">
              <w:rPr>
                <w:sz w:val="20"/>
                <w:szCs w:val="20"/>
              </w:rPr>
              <w:t>Coram :</w:t>
            </w:r>
          </w:p>
        </w:tc>
        <w:tc>
          <w:tcPr>
            <w:tcW w:w="8118" w:type="dxa"/>
          </w:tcPr>
          <w:p w:rsidR="00E062EA" w:rsidRPr="00A54F27" w:rsidRDefault="00E062EA" w:rsidP="00E062EA">
            <w:pPr>
              <w:rPr>
                <w:sz w:val="20"/>
                <w:szCs w:val="20"/>
                <w:lang w:val="fr-CA"/>
              </w:rPr>
            </w:pPr>
            <w:r w:rsidRPr="00A54F27">
              <w:rPr>
                <w:rStyle w:val="SCCCoramChar"/>
                <w:sz w:val="20"/>
                <w:szCs w:val="20"/>
              </w:rPr>
              <w:t xml:space="preserve">Les juges Deschamps, Fish et </w:t>
            </w:r>
            <w:proofErr w:type="spellStart"/>
            <w:r w:rsidRPr="00A54F27">
              <w:rPr>
                <w:rStyle w:val="SCCCoramChar"/>
                <w:sz w:val="20"/>
                <w:szCs w:val="20"/>
              </w:rPr>
              <w:t>Karakatsanis</w:t>
            </w:r>
            <w:proofErr w:type="spellEnd"/>
          </w:p>
          <w:p w:rsidR="00E062EA" w:rsidRPr="00A54F27" w:rsidRDefault="00E062EA" w:rsidP="00E062EA">
            <w:pPr>
              <w:rPr>
                <w:sz w:val="20"/>
                <w:szCs w:val="20"/>
                <w:u w:val="single"/>
                <w:lang w:val="fr-CA"/>
              </w:rPr>
            </w:pPr>
          </w:p>
        </w:tc>
      </w:tr>
      <w:tr w:rsidR="00E062EA" w:rsidRPr="00A54F27" w:rsidTr="00E062EA">
        <w:trPr>
          <w:cantSplit/>
        </w:trPr>
        <w:tc>
          <w:tcPr>
            <w:tcW w:w="9576" w:type="dxa"/>
            <w:gridSpan w:val="2"/>
          </w:tcPr>
          <w:p w:rsidR="00E062EA" w:rsidRPr="00A54F27" w:rsidRDefault="00E062EA" w:rsidP="00E062EA">
            <w:pPr>
              <w:pStyle w:val="SCCShortJudgment"/>
              <w:rPr>
                <w:szCs w:val="20"/>
                <w:lang w:val="fr-CA"/>
              </w:rPr>
            </w:pPr>
            <w:r w:rsidRPr="00A54F27">
              <w:rPr>
                <w:szCs w:val="20"/>
                <w:lang w:val="fr-CA"/>
              </w:rPr>
              <w:t>La demande d’autorisation d’appel de l’arrêt de la Cour d’appel du Québec (Montréal), numéro 500-10-003848-072, 2011 QCCA 1607, daté du 9 septembre 2011, est rejetée sans dépens.</w:t>
            </w:r>
          </w:p>
          <w:p w:rsidR="00E062EA" w:rsidRPr="00A54F27" w:rsidRDefault="00E062EA" w:rsidP="00E062EA">
            <w:pPr>
              <w:pStyle w:val="SCCShortJudgment"/>
              <w:ind w:firstLine="0"/>
              <w:rPr>
                <w:szCs w:val="20"/>
                <w:lang w:val="fr-CA"/>
              </w:rPr>
            </w:pPr>
          </w:p>
          <w:p w:rsidR="00E062EA" w:rsidRPr="00A54F27" w:rsidRDefault="00E062EA" w:rsidP="00E062EA">
            <w:pPr>
              <w:pStyle w:val="SCCShortJudgment"/>
              <w:rPr>
                <w:szCs w:val="20"/>
              </w:rPr>
            </w:pPr>
            <w:r w:rsidRPr="00A54F27">
              <w:rPr>
                <w:szCs w:val="20"/>
              </w:rPr>
              <w:t>The application for leave to appeal from the judgment of the Court of Appeal of Quebec (Montréal), Number 500-10-003848-072, 2011 QCCA 1607, dated September 9, 2011, is dismissed without costs.</w:t>
            </w:r>
          </w:p>
        </w:tc>
      </w:tr>
    </w:tbl>
    <w:p w:rsidR="00C64AFA" w:rsidRDefault="00C64AFA" w:rsidP="008D292F">
      <w:pPr>
        <w:rPr>
          <w:sz w:val="20"/>
          <w:szCs w:val="20"/>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E71D6" w:rsidRPr="00B32C06" w:rsidTr="00CE71D6">
        <w:tc>
          <w:tcPr>
            <w:tcW w:w="5000" w:type="pct"/>
            <w:gridSpan w:val="3"/>
          </w:tcPr>
          <w:p w:rsidR="00CE71D6" w:rsidRPr="00B32C06" w:rsidRDefault="00CE71D6" w:rsidP="00CE71D6">
            <w:pPr>
              <w:jc w:val="both"/>
              <w:rPr>
                <w:rFonts w:eastAsia="Calibri"/>
                <w:sz w:val="20"/>
              </w:rPr>
            </w:pPr>
            <w:r w:rsidRPr="00B32C06">
              <w:rPr>
                <w:rFonts w:eastAsia="Calibri"/>
                <w:sz w:val="20"/>
              </w:rPr>
              <w:t xml:space="preserve">Criminal law – Evidence – Murder – Accessory – Defences – Whether Quebec Court of Appeal erred in law in holding that standard for putting alternative theory of liability to jury is “air of reality” standard as applied in determining whether defence must be put to jury – Whether Court of Appeal wrongly concluded that trial judge had not erred in law in instructing jury that it could convict applicant of first degree murder as accessory through forcible confinement under s. 231(5) of </w:t>
            </w:r>
            <w:r w:rsidRPr="00B32C06">
              <w:rPr>
                <w:rFonts w:eastAsia="Calibri"/>
                <w:i/>
                <w:sz w:val="20"/>
              </w:rPr>
              <w:t>Criminal Code</w:t>
            </w:r>
            <w:r w:rsidRPr="00B32C06">
              <w:rPr>
                <w:rFonts w:eastAsia="Calibri"/>
                <w:sz w:val="20"/>
              </w:rPr>
              <w:t xml:space="preserve"> even though no evidence supported that theory – Whether Court of Appeal wrongly concluded that trial judge had not erred in law in instructing jury that murder could have resulted from prior arrangement between applicant and witness Mr. </w:t>
            </w:r>
            <w:proofErr w:type="spellStart"/>
            <w:r w:rsidRPr="00B32C06">
              <w:rPr>
                <w:rFonts w:eastAsia="Calibri"/>
                <w:sz w:val="20"/>
              </w:rPr>
              <w:t>Guay</w:t>
            </w:r>
            <w:proofErr w:type="spellEnd"/>
            <w:r w:rsidRPr="00B32C06">
              <w:rPr>
                <w:rFonts w:eastAsia="Calibri"/>
                <w:sz w:val="20"/>
              </w:rPr>
              <w:t xml:space="preserve"> to kill victim even though no evidence supported that theory.</w:t>
            </w:r>
          </w:p>
        </w:tc>
      </w:tr>
      <w:tr w:rsidR="00CE71D6" w:rsidRPr="00B32C06" w:rsidTr="00CE71D6">
        <w:tc>
          <w:tcPr>
            <w:tcW w:w="5000" w:type="pct"/>
            <w:gridSpan w:val="3"/>
          </w:tcPr>
          <w:p w:rsidR="00CE71D6" w:rsidRPr="00B32C06" w:rsidRDefault="00CE71D6" w:rsidP="00CE71D6">
            <w:pPr>
              <w:jc w:val="both"/>
              <w:rPr>
                <w:rFonts w:eastAsia="Calibri"/>
                <w:sz w:val="20"/>
              </w:rPr>
            </w:pPr>
          </w:p>
        </w:tc>
      </w:tr>
      <w:tr w:rsidR="00CE71D6" w:rsidRPr="00B32C06" w:rsidTr="00CE71D6">
        <w:tc>
          <w:tcPr>
            <w:tcW w:w="5000" w:type="pct"/>
            <w:gridSpan w:val="3"/>
          </w:tcPr>
          <w:p w:rsidR="00CE71D6" w:rsidRPr="00B32C06" w:rsidRDefault="00CE71D6" w:rsidP="00CE71D6">
            <w:pPr>
              <w:jc w:val="both"/>
              <w:rPr>
                <w:rFonts w:eastAsia="Calibri"/>
                <w:sz w:val="20"/>
              </w:rPr>
            </w:pPr>
            <w:r w:rsidRPr="00B32C06">
              <w:rPr>
                <w:rFonts w:eastAsia="Calibri"/>
                <w:sz w:val="20"/>
              </w:rPr>
              <w:t>Mr. </w:t>
            </w:r>
            <w:proofErr w:type="spellStart"/>
            <w:r w:rsidRPr="00B32C06">
              <w:rPr>
                <w:rFonts w:eastAsia="Calibri"/>
                <w:sz w:val="20"/>
              </w:rPr>
              <w:t>Leporé</w:t>
            </w:r>
            <w:proofErr w:type="spellEnd"/>
            <w:r w:rsidRPr="00B32C06">
              <w:rPr>
                <w:rFonts w:eastAsia="Calibri"/>
                <w:sz w:val="20"/>
              </w:rPr>
              <w:t xml:space="preserve"> and Mr. </w:t>
            </w:r>
            <w:proofErr w:type="spellStart"/>
            <w:r w:rsidRPr="00B32C06">
              <w:rPr>
                <w:rFonts w:eastAsia="Calibri"/>
                <w:sz w:val="20"/>
              </w:rPr>
              <w:t>Guay</w:t>
            </w:r>
            <w:proofErr w:type="spellEnd"/>
            <w:r w:rsidRPr="00B32C06">
              <w:rPr>
                <w:rFonts w:eastAsia="Calibri"/>
                <w:sz w:val="20"/>
              </w:rPr>
              <w:t xml:space="preserve"> entered a cottage to recover some cannabis while two accomplices waited outside.  The victim was inside the cottage.  According to Mr. </w:t>
            </w:r>
            <w:proofErr w:type="spellStart"/>
            <w:r w:rsidRPr="00B32C06">
              <w:rPr>
                <w:rFonts w:eastAsia="Calibri"/>
                <w:sz w:val="20"/>
              </w:rPr>
              <w:t>Leporé</w:t>
            </w:r>
            <w:proofErr w:type="spellEnd"/>
            <w:r w:rsidRPr="00B32C06">
              <w:rPr>
                <w:rFonts w:eastAsia="Calibri"/>
                <w:sz w:val="20"/>
              </w:rPr>
              <w:t>, Mr. </w:t>
            </w:r>
            <w:proofErr w:type="spellStart"/>
            <w:r w:rsidRPr="00B32C06">
              <w:rPr>
                <w:rFonts w:eastAsia="Calibri"/>
                <w:sz w:val="20"/>
              </w:rPr>
              <w:t>Guay</w:t>
            </w:r>
            <w:proofErr w:type="spellEnd"/>
            <w:r w:rsidRPr="00B32C06">
              <w:rPr>
                <w:rFonts w:eastAsia="Calibri"/>
                <w:sz w:val="20"/>
              </w:rPr>
              <w:t xml:space="preserve"> shot the victim twice after overpowering him.  According to Mr. </w:t>
            </w:r>
            <w:proofErr w:type="spellStart"/>
            <w:r w:rsidRPr="00B32C06">
              <w:rPr>
                <w:rFonts w:eastAsia="Calibri"/>
                <w:sz w:val="20"/>
              </w:rPr>
              <w:t>Guay</w:t>
            </w:r>
            <w:proofErr w:type="spellEnd"/>
            <w:r w:rsidRPr="00B32C06">
              <w:rPr>
                <w:rFonts w:eastAsia="Calibri"/>
                <w:sz w:val="20"/>
              </w:rPr>
              <w:t>, it was Mr. </w:t>
            </w:r>
            <w:proofErr w:type="spellStart"/>
            <w:r w:rsidRPr="00B32C06">
              <w:rPr>
                <w:rFonts w:eastAsia="Calibri"/>
                <w:sz w:val="20"/>
              </w:rPr>
              <w:t>Leporé</w:t>
            </w:r>
            <w:proofErr w:type="spellEnd"/>
            <w:r w:rsidRPr="00B32C06">
              <w:rPr>
                <w:rFonts w:eastAsia="Calibri"/>
                <w:sz w:val="20"/>
              </w:rPr>
              <w:t xml:space="preserve"> who overpowered and then killed the victim.  The trial judge instructed the jury on the possibility of convicting Mr. </w:t>
            </w:r>
            <w:proofErr w:type="spellStart"/>
            <w:r w:rsidRPr="00B32C06">
              <w:rPr>
                <w:rFonts w:eastAsia="Calibri"/>
                <w:sz w:val="20"/>
              </w:rPr>
              <w:t>Leporé</w:t>
            </w:r>
            <w:proofErr w:type="spellEnd"/>
            <w:r w:rsidRPr="00B32C06">
              <w:rPr>
                <w:rFonts w:eastAsia="Calibri"/>
                <w:sz w:val="20"/>
              </w:rPr>
              <w:t xml:space="preserve"> of first degree murder through forcible confinement.  She left it open to the jury to convict Mr. </w:t>
            </w:r>
            <w:proofErr w:type="spellStart"/>
            <w:r w:rsidRPr="00B32C06">
              <w:rPr>
                <w:rFonts w:eastAsia="Calibri"/>
                <w:sz w:val="20"/>
              </w:rPr>
              <w:t>Leporé</w:t>
            </w:r>
            <w:proofErr w:type="spellEnd"/>
            <w:r w:rsidRPr="00B32C06">
              <w:rPr>
                <w:rFonts w:eastAsia="Calibri"/>
                <w:sz w:val="20"/>
              </w:rPr>
              <w:t xml:space="preserve"> of first degree murder if it concluded that there had been a prior arrangement between Mr. </w:t>
            </w:r>
            <w:proofErr w:type="spellStart"/>
            <w:r w:rsidRPr="00B32C06">
              <w:rPr>
                <w:rFonts w:eastAsia="Calibri"/>
                <w:sz w:val="20"/>
              </w:rPr>
              <w:t>Leporé</w:t>
            </w:r>
            <w:proofErr w:type="spellEnd"/>
            <w:r w:rsidRPr="00B32C06">
              <w:rPr>
                <w:rFonts w:eastAsia="Calibri"/>
                <w:sz w:val="20"/>
              </w:rPr>
              <w:t xml:space="preserve"> and Mr. </w:t>
            </w:r>
            <w:proofErr w:type="spellStart"/>
            <w:r w:rsidRPr="00B32C06">
              <w:rPr>
                <w:rFonts w:eastAsia="Calibri"/>
                <w:sz w:val="20"/>
              </w:rPr>
              <w:t>Guay</w:t>
            </w:r>
            <w:proofErr w:type="spellEnd"/>
            <w:r w:rsidRPr="00B32C06">
              <w:rPr>
                <w:rFonts w:eastAsia="Calibri"/>
                <w:sz w:val="20"/>
              </w:rPr>
              <w:t xml:space="preserve"> to kill the victim.</w:t>
            </w:r>
          </w:p>
          <w:p w:rsidR="00CE71D6" w:rsidRPr="00B32C06" w:rsidRDefault="00CE71D6" w:rsidP="00CE71D6">
            <w:pPr>
              <w:jc w:val="both"/>
              <w:rPr>
                <w:rFonts w:eastAsia="Calibri"/>
                <w:sz w:val="20"/>
              </w:rPr>
            </w:pPr>
          </w:p>
        </w:tc>
      </w:tr>
      <w:tr w:rsidR="00CE71D6" w:rsidRPr="00B32C06" w:rsidTr="00CE71D6">
        <w:tc>
          <w:tcPr>
            <w:tcW w:w="2427" w:type="pct"/>
          </w:tcPr>
          <w:p w:rsidR="00CE71D6" w:rsidRPr="00B32C06" w:rsidRDefault="00CE71D6" w:rsidP="00CE71D6">
            <w:pPr>
              <w:jc w:val="both"/>
              <w:rPr>
                <w:rFonts w:eastAsia="Calibri"/>
                <w:sz w:val="20"/>
              </w:rPr>
            </w:pPr>
            <w:r w:rsidRPr="00B32C06">
              <w:rPr>
                <w:rFonts w:eastAsia="Calibri"/>
                <w:sz w:val="20"/>
              </w:rPr>
              <w:t>April 15, 2007</w:t>
            </w:r>
          </w:p>
          <w:p w:rsidR="00CE71D6" w:rsidRPr="00B32C06" w:rsidRDefault="00CE71D6" w:rsidP="00CE71D6">
            <w:pPr>
              <w:jc w:val="both"/>
              <w:rPr>
                <w:rFonts w:eastAsia="Calibri"/>
                <w:sz w:val="20"/>
              </w:rPr>
            </w:pPr>
            <w:r w:rsidRPr="00B32C06">
              <w:rPr>
                <w:rFonts w:eastAsia="Calibri"/>
                <w:sz w:val="20"/>
              </w:rPr>
              <w:t>Quebec Superior Court</w:t>
            </w:r>
          </w:p>
          <w:p w:rsidR="00CE71D6" w:rsidRPr="00B32C06" w:rsidRDefault="00CE71D6" w:rsidP="00CE71D6">
            <w:pPr>
              <w:jc w:val="both"/>
              <w:rPr>
                <w:rFonts w:eastAsia="Calibri"/>
                <w:sz w:val="20"/>
              </w:rPr>
            </w:pPr>
            <w:r w:rsidRPr="00B32C06">
              <w:rPr>
                <w:rFonts w:eastAsia="Calibri"/>
                <w:sz w:val="20"/>
              </w:rPr>
              <w:t>(Charbonneau J.)</w:t>
            </w:r>
          </w:p>
          <w:p w:rsidR="00CE71D6" w:rsidRPr="00B32C06" w:rsidRDefault="00CE71D6" w:rsidP="00CE71D6">
            <w:pPr>
              <w:jc w:val="both"/>
              <w:rPr>
                <w:rFonts w:eastAsia="Calibri"/>
                <w:sz w:val="20"/>
              </w:rPr>
            </w:pPr>
          </w:p>
        </w:tc>
        <w:tc>
          <w:tcPr>
            <w:tcW w:w="243" w:type="pct"/>
          </w:tcPr>
          <w:p w:rsidR="00CE71D6" w:rsidRPr="00B32C06" w:rsidRDefault="00CE71D6" w:rsidP="00CE71D6">
            <w:pPr>
              <w:jc w:val="both"/>
              <w:rPr>
                <w:rFonts w:eastAsia="Calibri"/>
                <w:sz w:val="20"/>
              </w:rPr>
            </w:pPr>
          </w:p>
        </w:tc>
        <w:tc>
          <w:tcPr>
            <w:tcW w:w="2330" w:type="pct"/>
          </w:tcPr>
          <w:p w:rsidR="00CE71D6" w:rsidRPr="00B32C06" w:rsidRDefault="00CE71D6" w:rsidP="00CE71D6">
            <w:pPr>
              <w:jc w:val="both"/>
              <w:rPr>
                <w:rFonts w:eastAsia="Calibri"/>
                <w:sz w:val="20"/>
              </w:rPr>
            </w:pPr>
            <w:r w:rsidRPr="00B32C06">
              <w:rPr>
                <w:rFonts w:eastAsia="Calibri"/>
                <w:sz w:val="20"/>
              </w:rPr>
              <w:t>Applicant convicted of first degree murder</w:t>
            </w:r>
          </w:p>
          <w:p w:rsidR="00CE71D6" w:rsidRPr="00B32C06" w:rsidRDefault="00CE71D6" w:rsidP="00CE71D6">
            <w:pPr>
              <w:jc w:val="both"/>
              <w:rPr>
                <w:rFonts w:eastAsia="Calibri"/>
                <w:sz w:val="20"/>
              </w:rPr>
            </w:pPr>
          </w:p>
          <w:p w:rsidR="00CE71D6" w:rsidRPr="00B32C06" w:rsidRDefault="00CE71D6" w:rsidP="00CE71D6">
            <w:pPr>
              <w:jc w:val="both"/>
              <w:rPr>
                <w:rFonts w:eastAsia="Calibri"/>
                <w:sz w:val="20"/>
              </w:rPr>
            </w:pPr>
          </w:p>
        </w:tc>
      </w:tr>
      <w:tr w:rsidR="00CE71D6" w:rsidRPr="00B32C06" w:rsidTr="00CE71D6">
        <w:tc>
          <w:tcPr>
            <w:tcW w:w="2427" w:type="pct"/>
          </w:tcPr>
          <w:p w:rsidR="00CE71D6" w:rsidRPr="00B32C06" w:rsidRDefault="00CE71D6" w:rsidP="00CE71D6">
            <w:pPr>
              <w:jc w:val="both"/>
              <w:rPr>
                <w:rFonts w:eastAsia="Calibri"/>
                <w:sz w:val="20"/>
              </w:rPr>
            </w:pPr>
            <w:r w:rsidRPr="00B32C06">
              <w:rPr>
                <w:rFonts w:eastAsia="Calibri"/>
                <w:sz w:val="20"/>
              </w:rPr>
              <w:t>September 9, 2011</w:t>
            </w:r>
          </w:p>
          <w:p w:rsidR="00CE71D6" w:rsidRPr="00B32C06" w:rsidRDefault="00CE71D6" w:rsidP="00CE71D6">
            <w:pPr>
              <w:jc w:val="both"/>
              <w:rPr>
                <w:rFonts w:eastAsia="Calibri"/>
                <w:sz w:val="20"/>
              </w:rPr>
            </w:pPr>
            <w:r w:rsidRPr="00B32C06">
              <w:rPr>
                <w:rFonts w:eastAsia="Calibri"/>
                <w:sz w:val="20"/>
              </w:rPr>
              <w:t>Quebec Court of Appeal (Montréal)</w:t>
            </w:r>
          </w:p>
          <w:p w:rsidR="00CE71D6" w:rsidRPr="00B32C06" w:rsidRDefault="00CE71D6" w:rsidP="00CE71D6">
            <w:pPr>
              <w:jc w:val="both"/>
              <w:rPr>
                <w:rFonts w:eastAsia="Calibri"/>
                <w:sz w:val="20"/>
              </w:rPr>
            </w:pPr>
            <w:r w:rsidRPr="00B32C06">
              <w:rPr>
                <w:rFonts w:eastAsia="Calibri"/>
                <w:sz w:val="20"/>
              </w:rPr>
              <w:t>(</w:t>
            </w:r>
            <w:proofErr w:type="spellStart"/>
            <w:r w:rsidRPr="00B32C06">
              <w:rPr>
                <w:rFonts w:eastAsia="Calibri"/>
                <w:sz w:val="20"/>
              </w:rPr>
              <w:t>Morissette</w:t>
            </w:r>
            <w:proofErr w:type="spellEnd"/>
            <w:r w:rsidR="002D3F55">
              <w:rPr>
                <w:rFonts w:eastAsia="Calibri"/>
                <w:sz w:val="20"/>
              </w:rPr>
              <w:t>, Hilton</w:t>
            </w:r>
            <w:r w:rsidRPr="00B32C06">
              <w:rPr>
                <w:rFonts w:eastAsia="Calibri"/>
                <w:sz w:val="20"/>
              </w:rPr>
              <w:t xml:space="preserve"> and Wagner JJ.A.)</w:t>
            </w:r>
          </w:p>
          <w:p w:rsidR="00CE71D6" w:rsidRPr="00B32C06" w:rsidRDefault="00CE71D6" w:rsidP="00CE71D6">
            <w:pPr>
              <w:jc w:val="both"/>
              <w:rPr>
                <w:rFonts w:eastAsia="Calibri"/>
                <w:sz w:val="20"/>
              </w:rPr>
            </w:pPr>
          </w:p>
        </w:tc>
        <w:tc>
          <w:tcPr>
            <w:tcW w:w="243" w:type="pct"/>
          </w:tcPr>
          <w:p w:rsidR="00CE71D6" w:rsidRPr="00B32C06" w:rsidRDefault="00CE71D6" w:rsidP="00CE71D6">
            <w:pPr>
              <w:jc w:val="both"/>
              <w:rPr>
                <w:rFonts w:eastAsia="Calibri"/>
                <w:sz w:val="20"/>
              </w:rPr>
            </w:pPr>
          </w:p>
        </w:tc>
        <w:tc>
          <w:tcPr>
            <w:tcW w:w="2330" w:type="pct"/>
          </w:tcPr>
          <w:p w:rsidR="00CE71D6" w:rsidRPr="00B32C06" w:rsidRDefault="00CE71D6" w:rsidP="00CE71D6">
            <w:pPr>
              <w:jc w:val="both"/>
              <w:rPr>
                <w:rFonts w:eastAsia="Calibri"/>
                <w:sz w:val="20"/>
              </w:rPr>
            </w:pPr>
            <w:r w:rsidRPr="00B32C06">
              <w:rPr>
                <w:rFonts w:eastAsia="Calibri"/>
                <w:sz w:val="20"/>
              </w:rPr>
              <w:t>Appeal dismissed</w:t>
            </w:r>
          </w:p>
          <w:p w:rsidR="00CE71D6" w:rsidRPr="00B32C06" w:rsidRDefault="00CE71D6" w:rsidP="00CE71D6">
            <w:pPr>
              <w:jc w:val="both"/>
              <w:rPr>
                <w:rFonts w:eastAsia="Calibri"/>
                <w:sz w:val="20"/>
              </w:rPr>
            </w:pPr>
          </w:p>
        </w:tc>
      </w:tr>
    </w:tbl>
    <w:p w:rsidR="002F35A9" w:rsidRDefault="002F35A9"/>
    <w:p w:rsidR="002F35A9" w:rsidRDefault="002F35A9">
      <w:r>
        <w:br w:type="page"/>
      </w:r>
    </w:p>
    <w:tbl>
      <w:tblPr>
        <w:tblW w:w="4952" w:type="pct"/>
        <w:tblLayout w:type="fixed"/>
        <w:tblCellMar>
          <w:left w:w="0" w:type="dxa"/>
          <w:bottom w:w="99" w:type="dxa"/>
          <w:right w:w="0" w:type="dxa"/>
        </w:tblCellMar>
        <w:tblLook w:val="04A0"/>
      </w:tblPr>
      <w:tblGrid>
        <w:gridCol w:w="4624"/>
        <w:gridCol w:w="463"/>
        <w:gridCol w:w="4440"/>
      </w:tblGrid>
      <w:tr w:rsidR="00CE71D6" w:rsidRPr="00B32C06" w:rsidTr="00CE71D6">
        <w:tc>
          <w:tcPr>
            <w:tcW w:w="2427" w:type="pct"/>
          </w:tcPr>
          <w:p w:rsidR="00CE71D6" w:rsidRPr="00B32C06" w:rsidRDefault="00CE71D6" w:rsidP="00CE71D6">
            <w:pPr>
              <w:jc w:val="both"/>
              <w:rPr>
                <w:rFonts w:eastAsia="Calibri"/>
                <w:sz w:val="20"/>
              </w:rPr>
            </w:pPr>
            <w:r w:rsidRPr="00B32C06">
              <w:rPr>
                <w:rFonts w:eastAsia="Calibri"/>
                <w:sz w:val="20"/>
              </w:rPr>
              <w:lastRenderedPageBreak/>
              <w:t>November 8, 2011</w:t>
            </w:r>
          </w:p>
          <w:p w:rsidR="00CE71D6" w:rsidRPr="00B32C06" w:rsidRDefault="00CE71D6" w:rsidP="00CE71D6">
            <w:pPr>
              <w:jc w:val="both"/>
              <w:rPr>
                <w:rFonts w:eastAsia="Calibri"/>
                <w:sz w:val="20"/>
              </w:rPr>
            </w:pPr>
            <w:r w:rsidRPr="00B32C06">
              <w:rPr>
                <w:rFonts w:eastAsia="Calibri"/>
                <w:sz w:val="20"/>
              </w:rPr>
              <w:t>Supreme Court of Canada</w:t>
            </w:r>
          </w:p>
        </w:tc>
        <w:tc>
          <w:tcPr>
            <w:tcW w:w="243" w:type="pct"/>
          </w:tcPr>
          <w:p w:rsidR="00CE71D6" w:rsidRPr="00B32C06" w:rsidRDefault="00CE71D6" w:rsidP="00CE71D6">
            <w:pPr>
              <w:jc w:val="both"/>
              <w:rPr>
                <w:rFonts w:eastAsia="Calibri"/>
                <w:sz w:val="20"/>
              </w:rPr>
            </w:pPr>
          </w:p>
        </w:tc>
        <w:tc>
          <w:tcPr>
            <w:tcW w:w="2330" w:type="pct"/>
          </w:tcPr>
          <w:p w:rsidR="00CE71D6" w:rsidRPr="00B32C06" w:rsidRDefault="00CE71D6" w:rsidP="00CE71D6">
            <w:pPr>
              <w:jc w:val="both"/>
              <w:rPr>
                <w:rFonts w:eastAsia="Calibri"/>
                <w:sz w:val="20"/>
              </w:rPr>
            </w:pPr>
            <w:r w:rsidRPr="00B32C06">
              <w:rPr>
                <w:rFonts w:eastAsia="Calibri"/>
                <w:sz w:val="20"/>
              </w:rPr>
              <w:t>Application for leave to appeal filed</w:t>
            </w: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71"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E71D6" w:rsidRPr="002D3F55" w:rsidTr="00CE71D6">
        <w:tc>
          <w:tcPr>
            <w:tcW w:w="5000" w:type="pct"/>
            <w:gridSpan w:val="3"/>
          </w:tcPr>
          <w:p w:rsidR="00CE71D6" w:rsidRPr="00B32C06" w:rsidRDefault="00CE71D6" w:rsidP="00CE71D6">
            <w:pPr>
              <w:jc w:val="both"/>
              <w:rPr>
                <w:rFonts w:eastAsia="Calibri"/>
                <w:sz w:val="20"/>
                <w:lang w:val="fr-CA"/>
              </w:rPr>
            </w:pPr>
            <w:r w:rsidRPr="00B32C06">
              <w:rPr>
                <w:rFonts w:eastAsia="Calibri"/>
                <w:sz w:val="20"/>
                <w:lang w:val="fr-CA"/>
              </w:rPr>
              <w:t xml:space="preserve">Droit criminel – Preuve - Meurtre – Complicité – Moyens de défense - La Cour d’appel du Québec a-t-elle erré en droit en statuant que la norme permettant de soumettre à un jury une théorie alternative de responsabilité est celle de la vraisemblance ou « air of reality », telle qu’appliquée pour déterminer si un moyen de défense doit être soumis à l’appréciation du jury? - La Cour d’appel a-t-elle erré en concluant que la première juge n’avait pas commis aucune erreur de droit en instruisant le jury sur le fait qu’il pouvait reconnaître le demandeur coupable de meurtre au premier degré à titre de complice par le biais de la séquestration au sens de l’article 231 (5) du </w:t>
            </w:r>
            <w:r w:rsidRPr="00B32C06">
              <w:rPr>
                <w:rFonts w:eastAsia="Calibri"/>
                <w:i/>
                <w:sz w:val="20"/>
                <w:lang w:val="fr-CA"/>
              </w:rPr>
              <w:t>Code criminel</w:t>
            </w:r>
            <w:r w:rsidRPr="00B32C06">
              <w:rPr>
                <w:rFonts w:eastAsia="Calibri"/>
                <w:sz w:val="20"/>
                <w:lang w:val="fr-CA"/>
              </w:rPr>
              <w:t>, alors qu’aucune preuve ne soutenait cette thèse? - La Cour d’appel a-t-elle erré en concluant que la première juge n’avait commis aucune erreur de droit en soumettant au jury que le meurtre avait pu être le résultat d’une entente préalable entre le demandeur et le témoin Guay pou assassiner la victime, alors qu’aucune preuve ne soutenait cette thèse?</w:t>
            </w:r>
          </w:p>
        </w:tc>
      </w:tr>
      <w:tr w:rsidR="00CE71D6" w:rsidRPr="002D3F55" w:rsidTr="00CE71D6">
        <w:tc>
          <w:tcPr>
            <w:tcW w:w="5000" w:type="pct"/>
            <w:gridSpan w:val="3"/>
          </w:tcPr>
          <w:p w:rsidR="00CE71D6" w:rsidRPr="00B32C06" w:rsidRDefault="00CE71D6" w:rsidP="00CE71D6">
            <w:pPr>
              <w:jc w:val="both"/>
              <w:rPr>
                <w:rFonts w:eastAsia="Calibri"/>
                <w:sz w:val="20"/>
                <w:lang w:val="fr-CA"/>
              </w:rPr>
            </w:pPr>
          </w:p>
        </w:tc>
      </w:tr>
      <w:tr w:rsidR="00CE71D6" w:rsidRPr="002D3F55" w:rsidTr="00CE71D6">
        <w:tc>
          <w:tcPr>
            <w:tcW w:w="5000" w:type="pct"/>
            <w:gridSpan w:val="3"/>
          </w:tcPr>
          <w:p w:rsidR="00CE71D6" w:rsidRPr="00B32C06" w:rsidRDefault="00CE71D6" w:rsidP="00CE71D6">
            <w:pPr>
              <w:jc w:val="both"/>
              <w:rPr>
                <w:rFonts w:eastAsia="Calibri"/>
                <w:sz w:val="20"/>
                <w:lang w:val="fr-CA"/>
              </w:rPr>
            </w:pPr>
            <w:r w:rsidRPr="00B32C06">
              <w:rPr>
                <w:rFonts w:eastAsia="Calibri"/>
                <w:sz w:val="20"/>
                <w:lang w:val="fr-CA"/>
              </w:rPr>
              <w:t xml:space="preserve">Monsieur </w:t>
            </w:r>
            <w:proofErr w:type="spellStart"/>
            <w:r w:rsidRPr="00B32C06">
              <w:rPr>
                <w:rFonts w:eastAsia="Calibri"/>
                <w:sz w:val="20"/>
                <w:lang w:val="fr-CA"/>
              </w:rPr>
              <w:t>Leporé</w:t>
            </w:r>
            <w:proofErr w:type="spellEnd"/>
            <w:r w:rsidRPr="00B32C06">
              <w:rPr>
                <w:rFonts w:eastAsia="Calibri"/>
                <w:sz w:val="20"/>
                <w:lang w:val="fr-CA"/>
              </w:rPr>
              <w:t xml:space="preserve"> et Monsieur Guay se sont introduit dans un chalet dans lequel se trouvait la victime afin d’y récupérer du cannabis, pendant que deux complices attendaient à l’extérieur. Selon M. </w:t>
            </w:r>
            <w:proofErr w:type="spellStart"/>
            <w:r w:rsidRPr="00B32C06">
              <w:rPr>
                <w:rFonts w:eastAsia="Calibri"/>
                <w:sz w:val="20"/>
                <w:lang w:val="fr-CA"/>
              </w:rPr>
              <w:t>Leporé</w:t>
            </w:r>
            <w:proofErr w:type="spellEnd"/>
            <w:r w:rsidRPr="00B32C06">
              <w:rPr>
                <w:rFonts w:eastAsia="Calibri"/>
                <w:sz w:val="20"/>
                <w:lang w:val="fr-CA"/>
              </w:rPr>
              <w:t xml:space="preserve">, M. Guay aurait tiré deux coups de feu sur la victime après l’avoir maîtrisée. Selon M. Guay, ce serait M. </w:t>
            </w:r>
            <w:proofErr w:type="spellStart"/>
            <w:r w:rsidRPr="00B32C06">
              <w:rPr>
                <w:rFonts w:eastAsia="Calibri"/>
                <w:sz w:val="20"/>
                <w:lang w:val="fr-CA"/>
              </w:rPr>
              <w:t>Leporé</w:t>
            </w:r>
            <w:proofErr w:type="spellEnd"/>
            <w:r w:rsidRPr="00B32C06">
              <w:rPr>
                <w:rFonts w:eastAsia="Calibri"/>
                <w:sz w:val="20"/>
                <w:lang w:val="fr-CA"/>
              </w:rPr>
              <w:t xml:space="preserve"> qui aurait maîtrisé la victime et qui l’aurait ensuite tué. La juge du procès a donné des directives au jury sur la possibilité de reconnaître M. </w:t>
            </w:r>
            <w:proofErr w:type="spellStart"/>
            <w:r w:rsidRPr="00B32C06">
              <w:rPr>
                <w:rFonts w:eastAsia="Calibri"/>
                <w:sz w:val="20"/>
                <w:lang w:val="fr-CA"/>
              </w:rPr>
              <w:t>Leporé</w:t>
            </w:r>
            <w:proofErr w:type="spellEnd"/>
            <w:r w:rsidRPr="00B32C06">
              <w:rPr>
                <w:rFonts w:eastAsia="Calibri"/>
                <w:sz w:val="20"/>
                <w:lang w:val="fr-CA"/>
              </w:rPr>
              <w:t xml:space="preserve"> coupable de meurtre au premier degré par le biais de la séquestration. Elle a laissé au jury la possibilité de le reconnaître coupable de meurtre au premier degré, dans l’éventualité où il viendrait à la conclusion qu’il existait une entente au préalable entre M. </w:t>
            </w:r>
            <w:proofErr w:type="spellStart"/>
            <w:r w:rsidRPr="00B32C06">
              <w:rPr>
                <w:rFonts w:eastAsia="Calibri"/>
                <w:sz w:val="20"/>
                <w:lang w:val="fr-CA"/>
              </w:rPr>
              <w:t>Leporé</w:t>
            </w:r>
            <w:proofErr w:type="spellEnd"/>
            <w:r w:rsidRPr="00B32C06">
              <w:rPr>
                <w:rFonts w:eastAsia="Calibri"/>
                <w:sz w:val="20"/>
                <w:lang w:val="fr-CA"/>
              </w:rPr>
              <w:t xml:space="preserve"> et M. Guay pour assassiner la victime.</w:t>
            </w:r>
          </w:p>
          <w:p w:rsidR="00CE71D6" w:rsidRPr="00B32C06" w:rsidRDefault="00CE71D6" w:rsidP="00CE71D6">
            <w:pPr>
              <w:jc w:val="both"/>
              <w:rPr>
                <w:rFonts w:eastAsia="Calibri"/>
                <w:sz w:val="20"/>
                <w:lang w:val="fr-CA"/>
              </w:rPr>
            </w:pPr>
          </w:p>
        </w:tc>
      </w:tr>
      <w:tr w:rsidR="00CE71D6" w:rsidRPr="002D3F55" w:rsidTr="00CE71D6">
        <w:tc>
          <w:tcPr>
            <w:tcW w:w="2427" w:type="pct"/>
          </w:tcPr>
          <w:p w:rsidR="00CE71D6" w:rsidRPr="00B32C06" w:rsidRDefault="00CE71D6" w:rsidP="00CE71D6">
            <w:pPr>
              <w:jc w:val="both"/>
              <w:rPr>
                <w:rFonts w:eastAsia="Calibri"/>
                <w:sz w:val="20"/>
                <w:lang w:val="fr-CA"/>
              </w:rPr>
            </w:pPr>
            <w:r w:rsidRPr="00B32C06">
              <w:rPr>
                <w:rFonts w:eastAsia="Calibri"/>
                <w:sz w:val="20"/>
                <w:lang w:val="fr-CA"/>
              </w:rPr>
              <w:t>Le 15 avril 2007</w:t>
            </w:r>
          </w:p>
          <w:p w:rsidR="00CE71D6" w:rsidRPr="00B32C06" w:rsidRDefault="00CE71D6" w:rsidP="00CE71D6">
            <w:pPr>
              <w:jc w:val="both"/>
              <w:rPr>
                <w:rFonts w:eastAsia="Calibri"/>
                <w:sz w:val="20"/>
                <w:lang w:val="fr-CA"/>
              </w:rPr>
            </w:pPr>
            <w:r w:rsidRPr="00B32C06">
              <w:rPr>
                <w:rFonts w:eastAsia="Calibri"/>
                <w:sz w:val="20"/>
                <w:lang w:val="fr-CA"/>
              </w:rPr>
              <w:t>Cour supérieure du Québec</w:t>
            </w:r>
          </w:p>
          <w:p w:rsidR="00CE71D6" w:rsidRPr="00B32C06" w:rsidRDefault="00CE71D6" w:rsidP="00CE71D6">
            <w:pPr>
              <w:jc w:val="both"/>
              <w:rPr>
                <w:rFonts w:eastAsia="Calibri"/>
                <w:sz w:val="20"/>
                <w:lang w:val="fr-CA"/>
              </w:rPr>
            </w:pPr>
            <w:r w:rsidRPr="00B32C06">
              <w:rPr>
                <w:rFonts w:eastAsia="Calibri"/>
                <w:sz w:val="20"/>
                <w:lang w:val="fr-CA"/>
              </w:rPr>
              <w:t>(La juge Charbonneau)</w:t>
            </w:r>
          </w:p>
          <w:p w:rsidR="00CE71D6" w:rsidRPr="00B32C06" w:rsidRDefault="00CE71D6" w:rsidP="00CE71D6">
            <w:pPr>
              <w:jc w:val="both"/>
              <w:rPr>
                <w:rFonts w:eastAsia="Calibri"/>
                <w:sz w:val="20"/>
              </w:rPr>
            </w:pPr>
          </w:p>
        </w:tc>
        <w:tc>
          <w:tcPr>
            <w:tcW w:w="243" w:type="pct"/>
          </w:tcPr>
          <w:p w:rsidR="00CE71D6" w:rsidRPr="00B32C06" w:rsidRDefault="00CE71D6" w:rsidP="00CE71D6">
            <w:pPr>
              <w:jc w:val="both"/>
              <w:rPr>
                <w:rFonts w:eastAsia="Calibri"/>
                <w:sz w:val="20"/>
              </w:rPr>
            </w:pPr>
          </w:p>
        </w:tc>
        <w:tc>
          <w:tcPr>
            <w:tcW w:w="2330" w:type="pct"/>
          </w:tcPr>
          <w:p w:rsidR="00CE71D6" w:rsidRPr="00B32C06" w:rsidRDefault="00CE71D6" w:rsidP="00CE71D6">
            <w:pPr>
              <w:jc w:val="both"/>
              <w:rPr>
                <w:rFonts w:eastAsia="Calibri"/>
                <w:sz w:val="20"/>
                <w:lang w:val="fr-CA"/>
              </w:rPr>
            </w:pPr>
            <w:r w:rsidRPr="00B32C06">
              <w:rPr>
                <w:rFonts w:eastAsia="Calibri"/>
                <w:sz w:val="20"/>
                <w:lang w:val="fr-CA"/>
              </w:rPr>
              <w:t>Déclaration de culpabilité : meurtre au premier degré.</w:t>
            </w:r>
          </w:p>
          <w:p w:rsidR="00CE71D6" w:rsidRPr="00B32C06" w:rsidRDefault="00CE71D6" w:rsidP="00CE71D6">
            <w:pPr>
              <w:jc w:val="both"/>
              <w:rPr>
                <w:rFonts w:eastAsia="Calibri"/>
                <w:sz w:val="20"/>
                <w:lang w:val="fr-CA"/>
              </w:rPr>
            </w:pPr>
          </w:p>
          <w:p w:rsidR="00CE71D6" w:rsidRPr="00B32C06" w:rsidRDefault="00CE71D6" w:rsidP="00CE71D6">
            <w:pPr>
              <w:jc w:val="both"/>
              <w:rPr>
                <w:rFonts w:eastAsia="Calibri"/>
                <w:sz w:val="20"/>
                <w:lang w:val="fr-CA"/>
              </w:rPr>
            </w:pPr>
          </w:p>
        </w:tc>
      </w:tr>
      <w:tr w:rsidR="00CE71D6" w:rsidRPr="00B32C06" w:rsidTr="00CE71D6">
        <w:tc>
          <w:tcPr>
            <w:tcW w:w="2427" w:type="pct"/>
          </w:tcPr>
          <w:p w:rsidR="00CE71D6" w:rsidRPr="00B32C06" w:rsidRDefault="00CE71D6" w:rsidP="00CE71D6">
            <w:pPr>
              <w:jc w:val="both"/>
              <w:rPr>
                <w:rFonts w:eastAsia="Calibri"/>
                <w:sz w:val="20"/>
                <w:lang w:val="fr-CA"/>
              </w:rPr>
            </w:pPr>
            <w:r w:rsidRPr="00B32C06">
              <w:rPr>
                <w:rFonts w:eastAsia="Calibri"/>
                <w:sz w:val="20"/>
                <w:lang w:val="fr-CA"/>
              </w:rPr>
              <w:t>Le 9 septembre 2011</w:t>
            </w:r>
          </w:p>
          <w:p w:rsidR="00CE71D6" w:rsidRPr="00B32C06" w:rsidRDefault="00CE71D6" w:rsidP="00CE71D6">
            <w:pPr>
              <w:jc w:val="both"/>
              <w:rPr>
                <w:rFonts w:eastAsia="Calibri"/>
                <w:sz w:val="20"/>
                <w:lang w:val="fr-CA"/>
              </w:rPr>
            </w:pPr>
            <w:r w:rsidRPr="00B32C06">
              <w:rPr>
                <w:rFonts w:eastAsia="Calibri"/>
                <w:sz w:val="20"/>
                <w:lang w:val="fr-CA"/>
              </w:rPr>
              <w:t>Cour d’appel du Québec (Montréal)</w:t>
            </w:r>
          </w:p>
          <w:p w:rsidR="00CE71D6" w:rsidRPr="00B32C06" w:rsidRDefault="00CE71D6" w:rsidP="00CE71D6">
            <w:pPr>
              <w:jc w:val="both"/>
              <w:rPr>
                <w:rFonts w:eastAsia="Calibri"/>
                <w:sz w:val="20"/>
                <w:lang w:val="fr-CA"/>
              </w:rPr>
            </w:pPr>
            <w:r w:rsidRPr="00B32C06">
              <w:rPr>
                <w:rFonts w:eastAsia="Calibri"/>
                <w:sz w:val="20"/>
                <w:lang w:val="fr-CA"/>
              </w:rPr>
              <w:t>(Les juges Morissette</w:t>
            </w:r>
            <w:r w:rsidR="002D3F55">
              <w:rPr>
                <w:rFonts w:eastAsia="Calibri"/>
                <w:sz w:val="20"/>
                <w:lang w:val="fr-CA"/>
              </w:rPr>
              <w:t>, Hilton</w:t>
            </w:r>
            <w:r w:rsidRPr="00B32C06">
              <w:rPr>
                <w:rFonts w:eastAsia="Calibri"/>
                <w:sz w:val="20"/>
                <w:lang w:val="fr-CA"/>
              </w:rPr>
              <w:t xml:space="preserve"> et Wagner)</w:t>
            </w:r>
          </w:p>
          <w:p w:rsidR="00CE71D6" w:rsidRPr="00B32C06" w:rsidRDefault="00CE71D6" w:rsidP="00CE71D6">
            <w:pPr>
              <w:jc w:val="both"/>
              <w:rPr>
                <w:rFonts w:eastAsia="Calibri"/>
                <w:sz w:val="20"/>
                <w:lang w:val="fr-FR"/>
              </w:rPr>
            </w:pPr>
          </w:p>
        </w:tc>
        <w:tc>
          <w:tcPr>
            <w:tcW w:w="243" w:type="pct"/>
          </w:tcPr>
          <w:p w:rsidR="00CE71D6" w:rsidRPr="00B32C06" w:rsidRDefault="00CE71D6" w:rsidP="00CE71D6">
            <w:pPr>
              <w:jc w:val="both"/>
              <w:rPr>
                <w:rFonts w:eastAsia="Calibri"/>
                <w:sz w:val="20"/>
                <w:lang w:val="fr-FR"/>
              </w:rPr>
            </w:pPr>
          </w:p>
        </w:tc>
        <w:tc>
          <w:tcPr>
            <w:tcW w:w="2330" w:type="pct"/>
          </w:tcPr>
          <w:p w:rsidR="00CE71D6" w:rsidRPr="00B32C06" w:rsidRDefault="00CE71D6" w:rsidP="00CE71D6">
            <w:pPr>
              <w:jc w:val="both"/>
              <w:rPr>
                <w:rFonts w:eastAsia="Calibri"/>
                <w:sz w:val="20"/>
                <w:lang w:val="fr-CA"/>
              </w:rPr>
            </w:pPr>
            <w:r w:rsidRPr="00B32C06">
              <w:rPr>
                <w:rFonts w:eastAsia="Calibri"/>
                <w:sz w:val="20"/>
                <w:lang w:val="fr-CA"/>
              </w:rPr>
              <w:t>Appel rejeté</w:t>
            </w:r>
          </w:p>
          <w:p w:rsidR="00CE71D6" w:rsidRPr="00B32C06" w:rsidRDefault="00CE71D6" w:rsidP="00CE71D6">
            <w:pPr>
              <w:jc w:val="both"/>
              <w:rPr>
                <w:rFonts w:eastAsia="Calibri"/>
                <w:sz w:val="20"/>
                <w:lang w:val="fr-CA"/>
              </w:rPr>
            </w:pPr>
          </w:p>
        </w:tc>
      </w:tr>
      <w:tr w:rsidR="00CE71D6" w:rsidRPr="00B32C06" w:rsidTr="00CE71D6">
        <w:tc>
          <w:tcPr>
            <w:tcW w:w="2427" w:type="pct"/>
          </w:tcPr>
          <w:p w:rsidR="00CE71D6" w:rsidRPr="00B32C06" w:rsidRDefault="00CE71D6" w:rsidP="00CE71D6">
            <w:pPr>
              <w:jc w:val="both"/>
              <w:rPr>
                <w:rFonts w:eastAsia="Calibri"/>
                <w:sz w:val="20"/>
                <w:lang w:val="fr-CA"/>
              </w:rPr>
            </w:pPr>
            <w:r w:rsidRPr="00B32C06">
              <w:rPr>
                <w:rFonts w:eastAsia="Calibri"/>
                <w:sz w:val="20"/>
                <w:lang w:val="fr-CA"/>
              </w:rPr>
              <w:t>Le 8 novembre 2011</w:t>
            </w:r>
          </w:p>
          <w:p w:rsidR="00CE71D6" w:rsidRPr="00B32C06" w:rsidRDefault="00CE71D6" w:rsidP="001C1F9C">
            <w:pPr>
              <w:jc w:val="both"/>
              <w:rPr>
                <w:rFonts w:eastAsia="Calibri"/>
                <w:sz w:val="20"/>
                <w:lang w:val="fr-FR"/>
              </w:rPr>
            </w:pPr>
            <w:r w:rsidRPr="00B32C06">
              <w:rPr>
                <w:rFonts w:eastAsia="Calibri"/>
                <w:sz w:val="20"/>
                <w:lang w:val="fr-CA"/>
              </w:rPr>
              <w:t>Cour suprême du Canada</w:t>
            </w:r>
          </w:p>
        </w:tc>
        <w:tc>
          <w:tcPr>
            <w:tcW w:w="243" w:type="pct"/>
          </w:tcPr>
          <w:p w:rsidR="00CE71D6" w:rsidRPr="00B32C06" w:rsidRDefault="00CE71D6" w:rsidP="00CE71D6">
            <w:pPr>
              <w:jc w:val="both"/>
              <w:rPr>
                <w:rFonts w:eastAsia="Calibri"/>
                <w:sz w:val="20"/>
                <w:lang w:val="fr-FR"/>
              </w:rPr>
            </w:pPr>
          </w:p>
        </w:tc>
        <w:tc>
          <w:tcPr>
            <w:tcW w:w="2330" w:type="pct"/>
          </w:tcPr>
          <w:p w:rsidR="00CE71D6" w:rsidRPr="00B32C06" w:rsidRDefault="00CE71D6" w:rsidP="00CE71D6">
            <w:pPr>
              <w:jc w:val="both"/>
              <w:rPr>
                <w:rFonts w:eastAsia="Calibri"/>
                <w:sz w:val="20"/>
                <w:lang w:val="fr-CA"/>
              </w:rPr>
            </w:pPr>
            <w:r w:rsidRPr="00B32C06">
              <w:rPr>
                <w:rFonts w:eastAsia="Calibri"/>
                <w:sz w:val="20"/>
                <w:lang w:val="fr-CA"/>
              </w:rPr>
              <w:t>Demande d'autorisation d'appel déposée</w:t>
            </w:r>
          </w:p>
          <w:p w:rsidR="00CE71D6" w:rsidRPr="00B32C06" w:rsidRDefault="00CE71D6" w:rsidP="00CE71D6">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72" style="width:2in;height:1pt" o:hrpct="0" o:hralign="center" o:hrstd="t" o:hrnoshade="t" o:hr="t" fillcolor="black [3213]" stroked="f"/>
        </w:pict>
      </w:r>
    </w:p>
    <w:p w:rsidR="00C64AFA" w:rsidRDefault="00C64AFA" w:rsidP="00C64AFA">
      <w:pPr>
        <w:rPr>
          <w:sz w:val="20"/>
          <w:szCs w:val="20"/>
        </w:rPr>
      </w:pP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62EA" w:rsidRPr="00A54F27" w:rsidTr="00E062EA">
        <w:trPr>
          <w:cantSplit/>
        </w:trPr>
        <w:tc>
          <w:tcPr>
            <w:tcW w:w="1458" w:type="dxa"/>
          </w:tcPr>
          <w:p w:rsidR="00E062EA" w:rsidRPr="00A54F27" w:rsidRDefault="00E062EA" w:rsidP="00E062EA">
            <w:pPr>
              <w:rPr>
                <w:sz w:val="20"/>
                <w:szCs w:val="20"/>
              </w:rPr>
            </w:pPr>
            <w:r w:rsidRPr="00A54F27">
              <w:rPr>
                <w:rStyle w:val="SCCFileNumberChar"/>
                <w:sz w:val="20"/>
                <w:szCs w:val="20"/>
              </w:rPr>
              <w:t>34527</w:t>
            </w:r>
          </w:p>
          <w:p w:rsidR="00E062EA" w:rsidRPr="00A54F27" w:rsidRDefault="00E062EA" w:rsidP="00E062EA">
            <w:pPr>
              <w:rPr>
                <w:b/>
                <w:sz w:val="20"/>
                <w:szCs w:val="20"/>
                <w:lang w:val="fr-CA"/>
              </w:rPr>
            </w:pPr>
          </w:p>
        </w:tc>
        <w:tc>
          <w:tcPr>
            <w:tcW w:w="8118" w:type="dxa"/>
          </w:tcPr>
          <w:p w:rsidR="00E062EA" w:rsidRPr="00A54F27" w:rsidRDefault="00E062EA" w:rsidP="00E062EA">
            <w:pPr>
              <w:rPr>
                <w:sz w:val="20"/>
                <w:szCs w:val="20"/>
              </w:rPr>
            </w:pPr>
            <w:r w:rsidRPr="00E062EA">
              <w:rPr>
                <w:rStyle w:val="SCCLsocChar"/>
                <w:sz w:val="20"/>
                <w:szCs w:val="20"/>
                <w:lang w:val="en-CA"/>
              </w:rPr>
              <w:t>Edward Burke Hudson v. Attorney General of Canada</w:t>
            </w:r>
            <w:r w:rsidRPr="00A54F27">
              <w:rPr>
                <w:sz w:val="20"/>
                <w:szCs w:val="20"/>
              </w:rPr>
              <w:t xml:space="preserve"> (Sask.) (Criminal) (By Leave)</w:t>
            </w:r>
          </w:p>
          <w:p w:rsidR="00E062EA" w:rsidRPr="00A54F27" w:rsidRDefault="00E062EA" w:rsidP="00E062EA">
            <w:pPr>
              <w:rPr>
                <w:sz w:val="20"/>
                <w:szCs w:val="20"/>
              </w:rPr>
            </w:pPr>
          </w:p>
        </w:tc>
      </w:tr>
      <w:tr w:rsidR="00E062EA" w:rsidRPr="00A54F27" w:rsidTr="00E062EA">
        <w:trPr>
          <w:cantSplit/>
        </w:trPr>
        <w:tc>
          <w:tcPr>
            <w:tcW w:w="1458" w:type="dxa"/>
          </w:tcPr>
          <w:p w:rsidR="00E062EA" w:rsidRPr="00A54F27" w:rsidRDefault="00E062EA" w:rsidP="00E062EA">
            <w:pPr>
              <w:rPr>
                <w:sz w:val="20"/>
                <w:szCs w:val="20"/>
              </w:rPr>
            </w:pPr>
            <w:r w:rsidRPr="00A54F27">
              <w:rPr>
                <w:sz w:val="20"/>
                <w:szCs w:val="20"/>
              </w:rPr>
              <w:t>Coram :</w:t>
            </w:r>
          </w:p>
        </w:tc>
        <w:tc>
          <w:tcPr>
            <w:tcW w:w="8118" w:type="dxa"/>
          </w:tcPr>
          <w:p w:rsidR="00E062EA" w:rsidRPr="00A54F27" w:rsidRDefault="00E062EA" w:rsidP="00E062EA">
            <w:pPr>
              <w:rPr>
                <w:sz w:val="20"/>
                <w:szCs w:val="20"/>
              </w:rPr>
            </w:pPr>
            <w:proofErr w:type="spellStart"/>
            <w:r w:rsidRPr="00E062EA">
              <w:rPr>
                <w:rStyle w:val="SCCCoramChar"/>
                <w:sz w:val="20"/>
                <w:szCs w:val="20"/>
                <w:lang w:val="en-CA"/>
              </w:rPr>
              <w:t>McLachlin</w:t>
            </w:r>
            <w:proofErr w:type="spellEnd"/>
            <w:r w:rsidRPr="00E062EA">
              <w:rPr>
                <w:rStyle w:val="SCCCoramChar"/>
                <w:sz w:val="20"/>
                <w:szCs w:val="20"/>
                <w:lang w:val="en-CA"/>
              </w:rPr>
              <w:t xml:space="preserve"> C.J. and Rothstein and </w:t>
            </w:r>
            <w:proofErr w:type="spellStart"/>
            <w:r w:rsidRPr="00E062EA">
              <w:rPr>
                <w:rStyle w:val="SCCCoramChar"/>
                <w:sz w:val="20"/>
                <w:szCs w:val="20"/>
                <w:lang w:val="en-CA"/>
              </w:rPr>
              <w:t>Moldaver</w:t>
            </w:r>
            <w:proofErr w:type="spellEnd"/>
            <w:r w:rsidRPr="00E062EA">
              <w:rPr>
                <w:rStyle w:val="SCCCoramChar"/>
                <w:sz w:val="20"/>
                <w:szCs w:val="20"/>
                <w:lang w:val="en-CA"/>
              </w:rPr>
              <w:t> JJ.</w:t>
            </w:r>
          </w:p>
          <w:p w:rsidR="00E062EA" w:rsidRPr="00A54F27" w:rsidRDefault="00E062EA" w:rsidP="00E062EA">
            <w:pPr>
              <w:rPr>
                <w:sz w:val="20"/>
                <w:szCs w:val="20"/>
                <w:u w:val="single"/>
              </w:rPr>
            </w:pPr>
          </w:p>
        </w:tc>
      </w:tr>
      <w:tr w:rsidR="00E062EA" w:rsidRPr="002D3F55" w:rsidTr="00E062EA">
        <w:trPr>
          <w:cantSplit/>
        </w:trPr>
        <w:tc>
          <w:tcPr>
            <w:tcW w:w="9576" w:type="dxa"/>
            <w:gridSpan w:val="2"/>
          </w:tcPr>
          <w:p w:rsidR="00E062EA" w:rsidRPr="00A54F27" w:rsidRDefault="00E062EA" w:rsidP="00E062EA">
            <w:pPr>
              <w:pStyle w:val="SCCShortJudgment"/>
              <w:rPr>
                <w:szCs w:val="20"/>
              </w:rPr>
            </w:pPr>
            <w:r w:rsidRPr="00A54F27">
              <w:rPr>
                <w:szCs w:val="20"/>
              </w:rPr>
              <w:t>The application for leave to appeal from the judgment of the Court of Appeal for Saskatchewan, Number CACV2117, 2011 SKCA 112, dated October 5, 2011, is dismissed with costs.</w:t>
            </w:r>
          </w:p>
          <w:p w:rsidR="00E062EA" w:rsidRPr="00A54F27" w:rsidRDefault="00E062EA" w:rsidP="00E062EA">
            <w:pPr>
              <w:pStyle w:val="SCCShortJudgment"/>
              <w:ind w:firstLine="0"/>
              <w:rPr>
                <w:szCs w:val="20"/>
              </w:rPr>
            </w:pPr>
          </w:p>
          <w:p w:rsidR="00E062EA" w:rsidRPr="00A54F27" w:rsidRDefault="00E062EA" w:rsidP="00E062EA">
            <w:pPr>
              <w:pStyle w:val="SCCShortJudgment"/>
              <w:rPr>
                <w:szCs w:val="20"/>
                <w:lang w:val="fr-CA"/>
              </w:rPr>
            </w:pPr>
            <w:r w:rsidRPr="00A54F27">
              <w:rPr>
                <w:szCs w:val="20"/>
                <w:lang w:val="fr-CA"/>
              </w:rPr>
              <w:t>La demande d’autorisation d’appel de l’arrêt de la Cour d’appel de la Saskatchewan, numéro CACV2117, 2011 SKCA 112, daté du 5 octobre 2011, est rejetée avec dépens.</w:t>
            </w:r>
          </w:p>
        </w:tc>
      </w:tr>
    </w:tbl>
    <w:p w:rsidR="00C64AFA" w:rsidRPr="00E062EA" w:rsidRDefault="00C64AFA" w:rsidP="00C64AFA">
      <w:pPr>
        <w:rPr>
          <w:sz w:val="20"/>
          <w:szCs w:val="20"/>
          <w:lang w:val="fr-CA"/>
        </w:rPr>
      </w:pPr>
    </w:p>
    <w:p w:rsidR="002F35A9" w:rsidRPr="00AF26C7" w:rsidRDefault="002F35A9">
      <w:pPr>
        <w:rPr>
          <w:sz w:val="20"/>
          <w:szCs w:val="20"/>
          <w:u w:val="single"/>
          <w:lang w:val="fr-CA"/>
        </w:rPr>
      </w:pPr>
      <w:r w:rsidRPr="00AF26C7">
        <w:rPr>
          <w:sz w:val="20"/>
          <w:szCs w:val="20"/>
          <w:u w:val="single"/>
          <w:lang w:val="fr-CA"/>
        </w:rPr>
        <w:br w:type="page"/>
      </w:r>
    </w:p>
    <w:p w:rsidR="00C64AFA" w:rsidRPr="001B157C" w:rsidRDefault="00C64AFA" w:rsidP="00C64AFA">
      <w:pPr>
        <w:rPr>
          <w:sz w:val="20"/>
          <w:szCs w:val="20"/>
          <w:u w:val="single"/>
        </w:rPr>
      </w:pPr>
      <w:r w:rsidRPr="001B157C">
        <w:rPr>
          <w:sz w:val="20"/>
          <w:szCs w:val="20"/>
          <w:u w:val="single"/>
        </w:rPr>
        <w:lastRenderedPageBreak/>
        <w:t>CASE SUMMARY</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3"/>
        <w:gridCol w:w="514"/>
        <w:gridCol w:w="4552"/>
      </w:tblGrid>
      <w:tr w:rsidR="0032190E" w:rsidRPr="00B32C06" w:rsidTr="00CD0650">
        <w:tc>
          <w:tcPr>
            <w:tcW w:w="5000" w:type="pct"/>
            <w:gridSpan w:val="3"/>
          </w:tcPr>
          <w:p w:rsidR="0032190E" w:rsidRPr="00B32C06" w:rsidRDefault="0032190E" w:rsidP="00CD0650">
            <w:pPr>
              <w:jc w:val="both"/>
              <w:rPr>
                <w:rFonts w:eastAsia="Calibri"/>
                <w:sz w:val="20"/>
              </w:rPr>
            </w:pPr>
            <w:r w:rsidRPr="00B32C06">
              <w:rPr>
                <w:rFonts w:eastAsia="Calibri"/>
                <w:i/>
                <w:sz w:val="20"/>
              </w:rPr>
              <w:t>Charter of Rights and Freedoms</w:t>
            </w:r>
            <w:r w:rsidRPr="00B32C06">
              <w:rPr>
                <w:rFonts w:eastAsia="Calibri"/>
                <w:sz w:val="20"/>
              </w:rPr>
              <w:t xml:space="preserve"> — Constitutional law — Criminal Law — Constitutionality of s. 117.03 of the </w:t>
            </w:r>
            <w:r w:rsidRPr="00B32C06">
              <w:rPr>
                <w:rFonts w:eastAsia="Calibri"/>
                <w:i/>
                <w:sz w:val="20"/>
              </w:rPr>
              <w:t>Criminal Code</w:t>
            </w:r>
            <w:r w:rsidRPr="00B32C06">
              <w:rPr>
                <w:rFonts w:eastAsia="Calibri"/>
                <w:sz w:val="20"/>
              </w:rPr>
              <w:t>, R.S.C. 1985, c. C</w:t>
            </w:r>
            <w:r w:rsidRPr="00B32C06">
              <w:rPr>
                <w:rFonts w:eastAsia="Calibri"/>
                <w:sz w:val="20"/>
              </w:rPr>
              <w:noBreakHyphen/>
              <w:t>46 — Forfeitures of personal property — Whether Court of Appeal erred in law in upholding validity of s. 117.03 of the</w:t>
            </w:r>
            <w:r w:rsidRPr="00B32C06">
              <w:rPr>
                <w:rFonts w:eastAsia="Calibri"/>
                <w:i/>
                <w:sz w:val="20"/>
              </w:rPr>
              <w:t xml:space="preserve"> Criminal Code</w:t>
            </w:r>
            <w:r w:rsidRPr="00B32C06">
              <w:rPr>
                <w:rFonts w:eastAsia="Calibri"/>
                <w:sz w:val="20"/>
              </w:rPr>
              <w:t xml:space="preserve">, by failing to recognize the vital importance of property and the right not to be deprived thereof without criminal charge, conviction at trial and sentence by a judge — Whether s. 117.03 violates unwritten Constitutional principles that protect a citizen from </w:t>
            </w:r>
            <w:proofErr w:type="spellStart"/>
            <w:r w:rsidRPr="00B32C06">
              <w:rPr>
                <w:rFonts w:eastAsia="Calibri"/>
                <w:sz w:val="20"/>
              </w:rPr>
              <w:t>state</w:t>
            </w:r>
            <w:r w:rsidRPr="00B32C06">
              <w:rPr>
                <w:rFonts w:eastAsia="Calibri"/>
                <w:sz w:val="20"/>
              </w:rPr>
              <w:noBreakHyphen/>
              <w:t>imposed</w:t>
            </w:r>
            <w:proofErr w:type="spellEnd"/>
            <w:r w:rsidRPr="00B32C06">
              <w:rPr>
                <w:rFonts w:eastAsia="Calibri"/>
                <w:sz w:val="20"/>
              </w:rPr>
              <w:t xml:space="preserve"> forfeiture of his property without charge, trial or conviction — Whether s. 117.03 violates a citizen’s right to appeal to the common sense of Canadians in a peaceful, non</w:t>
            </w:r>
            <w:r w:rsidRPr="00B32C06">
              <w:rPr>
                <w:rFonts w:eastAsia="Calibri"/>
                <w:sz w:val="20"/>
              </w:rPr>
              <w:noBreakHyphen/>
              <w:t>violent protest against an unjust law.</w:t>
            </w:r>
          </w:p>
          <w:p w:rsidR="0032190E" w:rsidRPr="00B32C06" w:rsidRDefault="0032190E" w:rsidP="00CD0650">
            <w:pPr>
              <w:jc w:val="both"/>
              <w:rPr>
                <w:rFonts w:eastAsia="Calibri"/>
                <w:sz w:val="20"/>
              </w:rPr>
            </w:pPr>
          </w:p>
        </w:tc>
      </w:tr>
      <w:tr w:rsidR="0032190E" w:rsidRPr="00B32C06" w:rsidTr="00CD0650">
        <w:tc>
          <w:tcPr>
            <w:tcW w:w="5000" w:type="pct"/>
            <w:gridSpan w:val="3"/>
          </w:tcPr>
          <w:p w:rsidR="0032190E" w:rsidRPr="00B32C06" w:rsidRDefault="0032190E" w:rsidP="00CD0650">
            <w:pPr>
              <w:jc w:val="both"/>
              <w:rPr>
                <w:rFonts w:eastAsia="Calibri"/>
                <w:sz w:val="20"/>
              </w:rPr>
            </w:pPr>
            <w:r w:rsidRPr="00B32C06">
              <w:rPr>
                <w:rFonts w:eastAsia="Calibri"/>
                <w:sz w:val="20"/>
              </w:rPr>
              <w:t xml:space="preserve">In 2003, the applicant was in possession of unlicensed firearms at two different locations.  The RCMP seized the firearms pursuant to s. 117.03 of the </w:t>
            </w:r>
            <w:r w:rsidRPr="00B32C06">
              <w:rPr>
                <w:rFonts w:eastAsia="Calibri"/>
                <w:i/>
                <w:sz w:val="20"/>
              </w:rPr>
              <w:t>Criminal Code</w:t>
            </w:r>
            <w:r w:rsidRPr="00B32C06">
              <w:rPr>
                <w:rFonts w:eastAsia="Calibri"/>
                <w:sz w:val="20"/>
              </w:rPr>
              <w:t xml:space="preserve">, which required a forfeiture hearing following each seizure.  During the first forfeiture proceedings, the applicant raised a constitutional challenge to s. 117.03 and the second forfeiture proceedings which form the subject matter of this Application for Leave to Appeal were held in abeyance while the constitutional challenge unsuccessfully proceeded through the courts.  After the constitutional challenge failed, the second forfeiture proceedings commenced and the applicant again brought a motion for a declaration that 117.03(3) of the </w:t>
            </w:r>
            <w:r w:rsidRPr="00B32C06">
              <w:rPr>
                <w:rFonts w:eastAsia="Calibri"/>
                <w:i/>
                <w:sz w:val="20"/>
              </w:rPr>
              <w:t>Criminal Code</w:t>
            </w:r>
            <w:r w:rsidRPr="00B32C06">
              <w:rPr>
                <w:rFonts w:eastAsia="Calibri"/>
                <w:sz w:val="20"/>
              </w:rPr>
              <w:t>, R.S.C. 1985, c. C</w:t>
            </w:r>
            <w:r w:rsidRPr="00B32C06">
              <w:rPr>
                <w:rFonts w:eastAsia="Calibri"/>
                <w:sz w:val="20"/>
              </w:rPr>
              <w:noBreakHyphen/>
              <w:t xml:space="preserve">46, is </w:t>
            </w:r>
            <w:r w:rsidRPr="00B32C06">
              <w:rPr>
                <w:rFonts w:eastAsia="Calibri"/>
                <w:i/>
                <w:sz w:val="20"/>
              </w:rPr>
              <w:t xml:space="preserve">ultra </w:t>
            </w:r>
            <w:proofErr w:type="spellStart"/>
            <w:r w:rsidRPr="00B32C06">
              <w:rPr>
                <w:rFonts w:eastAsia="Calibri"/>
                <w:i/>
                <w:sz w:val="20"/>
              </w:rPr>
              <w:t>vires</w:t>
            </w:r>
            <w:proofErr w:type="spellEnd"/>
            <w:r w:rsidRPr="00B32C06">
              <w:rPr>
                <w:rFonts w:eastAsia="Calibri"/>
                <w:sz w:val="20"/>
              </w:rPr>
              <w:t xml:space="preserve"> Parliament and violates the </w:t>
            </w:r>
            <w:r w:rsidRPr="00B32C06">
              <w:rPr>
                <w:rFonts w:eastAsia="Calibri"/>
                <w:i/>
                <w:sz w:val="20"/>
              </w:rPr>
              <w:t xml:space="preserve">Canadian Charter of Rights and Freedoms </w:t>
            </w:r>
            <w:r w:rsidRPr="00B32C06">
              <w:rPr>
                <w:rFonts w:eastAsia="Calibri"/>
                <w:sz w:val="20"/>
              </w:rPr>
              <w:t>and the</w:t>
            </w:r>
            <w:r w:rsidRPr="00B32C06">
              <w:rPr>
                <w:rFonts w:eastAsia="Calibri"/>
                <w:i/>
                <w:sz w:val="20"/>
              </w:rPr>
              <w:t xml:space="preserve"> Constitution</w:t>
            </w:r>
            <w:r w:rsidRPr="00B32C06">
              <w:rPr>
                <w:rFonts w:eastAsia="Calibri"/>
                <w:sz w:val="20"/>
              </w:rPr>
              <w:t xml:space="preserve">.  He also sought an order requiring the Crown to charge him with an offence pursuant to s. 92(1) of the </w:t>
            </w:r>
            <w:r w:rsidRPr="00B32C06">
              <w:rPr>
                <w:rFonts w:eastAsia="Calibri"/>
                <w:i/>
                <w:sz w:val="20"/>
              </w:rPr>
              <w:t>Criminal Code</w:t>
            </w:r>
            <w:r w:rsidRPr="00B32C06">
              <w:rPr>
                <w:rFonts w:eastAsia="Calibri"/>
                <w:sz w:val="20"/>
              </w:rPr>
              <w:t>.</w:t>
            </w:r>
          </w:p>
          <w:p w:rsidR="0032190E" w:rsidRPr="00B32C06" w:rsidRDefault="0032190E" w:rsidP="00CD0650">
            <w:pPr>
              <w:jc w:val="both"/>
              <w:rPr>
                <w:rFonts w:eastAsia="Calibri"/>
                <w:sz w:val="20"/>
              </w:rPr>
            </w:pPr>
          </w:p>
        </w:tc>
      </w:tr>
      <w:tr w:rsidR="0032190E" w:rsidRPr="00B32C06" w:rsidTr="00CD0650">
        <w:tblPrEx>
          <w:tblCellMar>
            <w:bottom w:w="0" w:type="dxa"/>
          </w:tblCellMar>
        </w:tblPrEx>
        <w:tc>
          <w:tcPr>
            <w:tcW w:w="2367" w:type="pct"/>
          </w:tcPr>
          <w:p w:rsidR="0032190E" w:rsidRPr="00B32C06" w:rsidRDefault="0032190E" w:rsidP="00CD0650">
            <w:pPr>
              <w:jc w:val="both"/>
              <w:rPr>
                <w:rFonts w:eastAsia="Calibri"/>
                <w:sz w:val="20"/>
              </w:rPr>
            </w:pPr>
            <w:r w:rsidRPr="00B32C06">
              <w:rPr>
                <w:rFonts w:eastAsia="Calibri"/>
                <w:sz w:val="20"/>
              </w:rPr>
              <w:t>January 12, 2011</w:t>
            </w:r>
          </w:p>
          <w:p w:rsidR="0032190E" w:rsidRPr="00B32C06" w:rsidRDefault="0032190E" w:rsidP="00CD0650">
            <w:pPr>
              <w:jc w:val="both"/>
              <w:rPr>
                <w:rFonts w:eastAsia="Calibri"/>
                <w:sz w:val="20"/>
              </w:rPr>
            </w:pPr>
            <w:r w:rsidRPr="00B32C06">
              <w:rPr>
                <w:rFonts w:eastAsia="Calibri"/>
                <w:sz w:val="20"/>
              </w:rPr>
              <w:t>Saskatchewan Queens Bench</w:t>
            </w:r>
          </w:p>
          <w:p w:rsidR="0032190E" w:rsidRPr="00B32C06" w:rsidRDefault="0032190E" w:rsidP="00CD0650">
            <w:pPr>
              <w:jc w:val="both"/>
              <w:rPr>
                <w:rFonts w:eastAsia="Calibri"/>
                <w:sz w:val="20"/>
              </w:rPr>
            </w:pPr>
            <w:r w:rsidRPr="00B32C06">
              <w:rPr>
                <w:rFonts w:eastAsia="Calibri"/>
                <w:sz w:val="20"/>
              </w:rPr>
              <w:t>(Mills J.)</w:t>
            </w:r>
          </w:p>
          <w:p w:rsidR="0032190E" w:rsidRPr="00B32C06" w:rsidRDefault="0032190E" w:rsidP="00CD0650">
            <w:pPr>
              <w:jc w:val="both"/>
              <w:rPr>
                <w:rFonts w:eastAsia="Calibri"/>
                <w:sz w:val="20"/>
              </w:rPr>
            </w:pPr>
            <w:r w:rsidRPr="00B32C06">
              <w:rPr>
                <w:rFonts w:eastAsia="Calibri"/>
                <w:sz w:val="20"/>
              </w:rPr>
              <w:t>2011 SKQB 18</w:t>
            </w:r>
          </w:p>
          <w:p w:rsidR="0032190E" w:rsidRPr="00B32C06" w:rsidRDefault="0032190E" w:rsidP="00CD0650">
            <w:pPr>
              <w:jc w:val="both"/>
              <w:rPr>
                <w:rFonts w:eastAsia="Calibri"/>
                <w:sz w:val="20"/>
              </w:rPr>
            </w:pPr>
          </w:p>
        </w:tc>
        <w:tc>
          <w:tcPr>
            <w:tcW w:w="267" w:type="pct"/>
          </w:tcPr>
          <w:p w:rsidR="0032190E" w:rsidRPr="00B32C06" w:rsidRDefault="0032190E" w:rsidP="00CD0650">
            <w:pPr>
              <w:jc w:val="both"/>
              <w:rPr>
                <w:rFonts w:eastAsia="Calibri"/>
                <w:sz w:val="20"/>
              </w:rPr>
            </w:pPr>
          </w:p>
        </w:tc>
        <w:tc>
          <w:tcPr>
            <w:tcW w:w="2366" w:type="pct"/>
          </w:tcPr>
          <w:p w:rsidR="0032190E" w:rsidRPr="00B32C06" w:rsidRDefault="0032190E" w:rsidP="00CD0650">
            <w:pPr>
              <w:jc w:val="both"/>
              <w:rPr>
                <w:rFonts w:eastAsia="Calibri"/>
                <w:sz w:val="20"/>
              </w:rPr>
            </w:pPr>
            <w:r w:rsidRPr="00B32C06">
              <w:rPr>
                <w:rFonts w:eastAsia="Calibri"/>
                <w:sz w:val="20"/>
              </w:rPr>
              <w:t xml:space="preserve">Application to have s. 117.03(3) of the </w:t>
            </w:r>
            <w:r w:rsidRPr="00B32C06">
              <w:rPr>
                <w:rFonts w:eastAsia="Calibri"/>
                <w:i/>
                <w:sz w:val="20"/>
              </w:rPr>
              <w:t>Criminal Code</w:t>
            </w:r>
            <w:r w:rsidRPr="00B32C06">
              <w:rPr>
                <w:rFonts w:eastAsia="Calibri"/>
                <w:sz w:val="20"/>
              </w:rPr>
              <w:t>, R.S.C. 1985, c. C</w:t>
            </w:r>
            <w:r w:rsidRPr="00B32C06">
              <w:rPr>
                <w:rFonts w:eastAsia="Calibri"/>
                <w:sz w:val="20"/>
              </w:rPr>
              <w:noBreakHyphen/>
              <w:t xml:space="preserve">46, declared </w:t>
            </w:r>
            <w:r w:rsidRPr="00B32C06">
              <w:rPr>
                <w:rFonts w:eastAsia="Calibri"/>
                <w:i/>
                <w:sz w:val="20"/>
              </w:rPr>
              <w:t xml:space="preserve">ultra </w:t>
            </w:r>
            <w:proofErr w:type="spellStart"/>
            <w:r w:rsidRPr="00B32C06">
              <w:rPr>
                <w:rFonts w:eastAsia="Calibri"/>
                <w:i/>
                <w:sz w:val="20"/>
              </w:rPr>
              <w:t>vires</w:t>
            </w:r>
            <w:proofErr w:type="spellEnd"/>
            <w:r w:rsidRPr="00B32C06">
              <w:rPr>
                <w:rFonts w:eastAsia="Calibri"/>
                <w:sz w:val="20"/>
              </w:rPr>
              <w:t xml:space="preserve"> Parliament and for an order requiring the Crown to charge applicant with an offence pursuant to s. 92(1) of the </w:t>
            </w:r>
            <w:r w:rsidRPr="00B32C06">
              <w:rPr>
                <w:rFonts w:eastAsia="Calibri"/>
                <w:i/>
                <w:sz w:val="20"/>
              </w:rPr>
              <w:t>Criminal Code</w:t>
            </w:r>
            <w:r w:rsidRPr="00B32C06">
              <w:rPr>
                <w:rFonts w:eastAsia="Calibri"/>
                <w:sz w:val="20"/>
              </w:rPr>
              <w:t xml:space="preserve"> dismissed</w:t>
            </w:r>
          </w:p>
          <w:p w:rsidR="0032190E" w:rsidRPr="00B32C06" w:rsidRDefault="0032190E" w:rsidP="00CD0650">
            <w:pPr>
              <w:jc w:val="both"/>
              <w:rPr>
                <w:rFonts w:eastAsia="Calibri"/>
                <w:sz w:val="20"/>
              </w:rPr>
            </w:pPr>
          </w:p>
        </w:tc>
      </w:tr>
      <w:tr w:rsidR="0032190E" w:rsidRPr="00B32C06" w:rsidTr="00CD0650">
        <w:tblPrEx>
          <w:tblCellMar>
            <w:bottom w:w="0" w:type="dxa"/>
          </w:tblCellMar>
        </w:tblPrEx>
        <w:tc>
          <w:tcPr>
            <w:tcW w:w="2367" w:type="pct"/>
          </w:tcPr>
          <w:p w:rsidR="0032190E" w:rsidRPr="00B32C06" w:rsidRDefault="0032190E" w:rsidP="00CD0650">
            <w:pPr>
              <w:jc w:val="both"/>
              <w:rPr>
                <w:rFonts w:eastAsia="Calibri"/>
                <w:sz w:val="20"/>
              </w:rPr>
            </w:pPr>
            <w:r w:rsidRPr="00B32C06">
              <w:rPr>
                <w:rFonts w:eastAsia="Calibri"/>
                <w:sz w:val="20"/>
              </w:rPr>
              <w:t>October 5, 2011</w:t>
            </w:r>
          </w:p>
          <w:p w:rsidR="0032190E" w:rsidRPr="00B32C06" w:rsidRDefault="0032190E" w:rsidP="00CD0650">
            <w:pPr>
              <w:jc w:val="both"/>
              <w:rPr>
                <w:rFonts w:eastAsia="Calibri"/>
                <w:sz w:val="20"/>
              </w:rPr>
            </w:pPr>
            <w:r w:rsidRPr="00B32C06">
              <w:rPr>
                <w:rFonts w:eastAsia="Calibri"/>
                <w:sz w:val="20"/>
              </w:rPr>
              <w:t>Court of Appeal for Saskatchewan</w:t>
            </w:r>
          </w:p>
          <w:p w:rsidR="0032190E" w:rsidRPr="00B32C06" w:rsidRDefault="0032190E" w:rsidP="00CD0650">
            <w:pPr>
              <w:jc w:val="both"/>
              <w:rPr>
                <w:rFonts w:eastAsia="Calibri"/>
                <w:sz w:val="20"/>
              </w:rPr>
            </w:pPr>
            <w:r w:rsidRPr="00B32C06">
              <w:rPr>
                <w:rFonts w:eastAsia="Calibri"/>
                <w:sz w:val="20"/>
              </w:rPr>
              <w:t>(Caldwell, Richards, Smith JJ.A.)</w:t>
            </w:r>
          </w:p>
          <w:p w:rsidR="0032190E" w:rsidRPr="00B32C06" w:rsidRDefault="0032190E" w:rsidP="00CD0650">
            <w:pPr>
              <w:jc w:val="both"/>
              <w:rPr>
                <w:rFonts w:eastAsia="Calibri"/>
                <w:sz w:val="20"/>
              </w:rPr>
            </w:pPr>
            <w:r w:rsidRPr="00B32C06">
              <w:rPr>
                <w:rFonts w:eastAsia="Calibri"/>
                <w:sz w:val="20"/>
              </w:rPr>
              <w:t>2011 SKCA 112; CACV2117</w:t>
            </w:r>
          </w:p>
          <w:p w:rsidR="0032190E" w:rsidRPr="00B32C06" w:rsidRDefault="0032190E" w:rsidP="00CD0650">
            <w:pPr>
              <w:jc w:val="both"/>
              <w:rPr>
                <w:rFonts w:eastAsia="Calibri"/>
                <w:sz w:val="20"/>
              </w:rPr>
            </w:pPr>
          </w:p>
        </w:tc>
        <w:tc>
          <w:tcPr>
            <w:tcW w:w="267" w:type="pct"/>
          </w:tcPr>
          <w:p w:rsidR="0032190E" w:rsidRPr="00B32C06" w:rsidRDefault="0032190E" w:rsidP="00CD0650">
            <w:pPr>
              <w:jc w:val="both"/>
              <w:rPr>
                <w:rFonts w:eastAsia="Calibri"/>
                <w:sz w:val="20"/>
              </w:rPr>
            </w:pPr>
          </w:p>
        </w:tc>
        <w:tc>
          <w:tcPr>
            <w:tcW w:w="2366" w:type="pct"/>
          </w:tcPr>
          <w:p w:rsidR="0032190E" w:rsidRPr="00B32C06" w:rsidRDefault="0032190E" w:rsidP="00CD0650">
            <w:pPr>
              <w:jc w:val="both"/>
              <w:rPr>
                <w:rFonts w:eastAsia="Calibri"/>
                <w:sz w:val="20"/>
              </w:rPr>
            </w:pPr>
            <w:r w:rsidRPr="00B32C06">
              <w:rPr>
                <w:rFonts w:eastAsia="Calibri"/>
                <w:sz w:val="20"/>
              </w:rPr>
              <w:t>Appeal dismissed</w:t>
            </w:r>
          </w:p>
          <w:p w:rsidR="0032190E" w:rsidRPr="00B32C06" w:rsidRDefault="0032190E" w:rsidP="00CD0650">
            <w:pPr>
              <w:jc w:val="both"/>
              <w:rPr>
                <w:rFonts w:eastAsia="Calibri"/>
                <w:sz w:val="20"/>
              </w:rPr>
            </w:pPr>
          </w:p>
        </w:tc>
      </w:tr>
      <w:tr w:rsidR="0032190E" w:rsidRPr="00B32C06" w:rsidTr="00CD0650">
        <w:tblPrEx>
          <w:tblCellMar>
            <w:bottom w:w="0" w:type="dxa"/>
          </w:tblCellMar>
        </w:tblPrEx>
        <w:tc>
          <w:tcPr>
            <w:tcW w:w="2367" w:type="pct"/>
          </w:tcPr>
          <w:p w:rsidR="0032190E" w:rsidRPr="00B32C06" w:rsidRDefault="0032190E" w:rsidP="00CD0650">
            <w:pPr>
              <w:jc w:val="both"/>
              <w:rPr>
                <w:rFonts w:eastAsia="Calibri"/>
                <w:sz w:val="20"/>
              </w:rPr>
            </w:pPr>
            <w:r w:rsidRPr="00B32C06">
              <w:rPr>
                <w:rFonts w:eastAsia="Calibri"/>
                <w:sz w:val="20"/>
              </w:rPr>
              <w:t>November 16, 2011</w:t>
            </w:r>
          </w:p>
          <w:p w:rsidR="0032190E" w:rsidRPr="00B32C06" w:rsidRDefault="0032190E" w:rsidP="00CD0650">
            <w:pPr>
              <w:jc w:val="both"/>
              <w:rPr>
                <w:rFonts w:eastAsia="Calibri"/>
                <w:sz w:val="20"/>
              </w:rPr>
            </w:pPr>
            <w:r w:rsidRPr="00B32C06">
              <w:rPr>
                <w:rFonts w:eastAsia="Calibri"/>
                <w:sz w:val="20"/>
              </w:rPr>
              <w:t>Supreme Court of Canada</w:t>
            </w:r>
          </w:p>
        </w:tc>
        <w:tc>
          <w:tcPr>
            <w:tcW w:w="267" w:type="pct"/>
          </w:tcPr>
          <w:p w:rsidR="0032190E" w:rsidRPr="00B32C06" w:rsidRDefault="0032190E" w:rsidP="00CD0650">
            <w:pPr>
              <w:jc w:val="both"/>
              <w:rPr>
                <w:rFonts w:eastAsia="Calibri"/>
                <w:sz w:val="20"/>
              </w:rPr>
            </w:pPr>
          </w:p>
        </w:tc>
        <w:tc>
          <w:tcPr>
            <w:tcW w:w="2366" w:type="pct"/>
          </w:tcPr>
          <w:p w:rsidR="0032190E" w:rsidRPr="00B32C06" w:rsidRDefault="0032190E" w:rsidP="00CD0650">
            <w:pPr>
              <w:jc w:val="both"/>
              <w:rPr>
                <w:rFonts w:eastAsia="Calibri"/>
                <w:sz w:val="20"/>
              </w:rPr>
            </w:pPr>
            <w:r w:rsidRPr="00B32C06">
              <w:rPr>
                <w:rFonts w:eastAsia="Calibri"/>
                <w:sz w:val="20"/>
              </w:rPr>
              <w:t>Application for leave to appeal filed</w:t>
            </w:r>
          </w:p>
          <w:p w:rsidR="0032190E" w:rsidRPr="00B32C06" w:rsidRDefault="0032190E" w:rsidP="00CD0650">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73"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3"/>
        <w:gridCol w:w="514"/>
        <w:gridCol w:w="4552"/>
      </w:tblGrid>
      <w:tr w:rsidR="0032190E" w:rsidRPr="002D3F55" w:rsidTr="00CD0650">
        <w:tc>
          <w:tcPr>
            <w:tcW w:w="5000" w:type="pct"/>
            <w:gridSpan w:val="3"/>
          </w:tcPr>
          <w:p w:rsidR="0032190E" w:rsidRPr="00B32C06" w:rsidRDefault="0032190E" w:rsidP="00CD0650">
            <w:pPr>
              <w:jc w:val="both"/>
              <w:rPr>
                <w:rFonts w:eastAsia="Calibri"/>
                <w:sz w:val="20"/>
                <w:lang w:val="fr-CA"/>
              </w:rPr>
            </w:pPr>
            <w:r w:rsidRPr="00B32C06">
              <w:rPr>
                <w:rFonts w:eastAsia="Calibri"/>
                <w:i/>
                <w:sz w:val="20"/>
                <w:lang w:val="fr-CA"/>
              </w:rPr>
              <w:t>Charte des droits et libertés</w:t>
            </w:r>
            <w:r w:rsidRPr="00B32C06">
              <w:rPr>
                <w:rFonts w:eastAsia="Calibri"/>
                <w:sz w:val="20"/>
                <w:lang w:val="fr-CA"/>
              </w:rPr>
              <w:t xml:space="preserve"> — Droit constitutionnel — Droit criminel — Constitutionnalité de l’art. 117.03 du </w:t>
            </w:r>
            <w:r w:rsidRPr="00B32C06">
              <w:rPr>
                <w:rFonts w:eastAsia="Calibri"/>
                <w:i/>
                <w:sz w:val="20"/>
                <w:lang w:val="fr-CA"/>
              </w:rPr>
              <w:t>Code criminel</w:t>
            </w:r>
            <w:r w:rsidRPr="00B32C06">
              <w:rPr>
                <w:rFonts w:eastAsia="Calibri"/>
                <w:sz w:val="20"/>
                <w:lang w:val="fr-CA"/>
              </w:rPr>
              <w:t>, L.R.C. 1985, ch. C</w:t>
            </w:r>
            <w:r w:rsidRPr="00B32C06">
              <w:rPr>
                <w:rFonts w:eastAsia="Calibri"/>
                <w:sz w:val="20"/>
                <w:lang w:val="fr-CA"/>
              </w:rPr>
              <w:noBreakHyphen/>
              <w:t xml:space="preserve">46 — Confiscation de biens personnels — La Cour d’appel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ell</w:t>
            </w:r>
            <w:r w:rsidR="00001176">
              <w:rPr>
                <w:rFonts w:eastAsia="Calibri"/>
                <w:sz w:val="20"/>
                <w:lang w:val="fr-CA"/>
              </w:rPr>
              <w:t>e</w:t>
            </w:r>
            <w:proofErr w:type="spellEnd"/>
            <w:r w:rsidRPr="00B32C06">
              <w:rPr>
                <w:rFonts w:eastAsia="Calibri"/>
                <w:sz w:val="20"/>
                <w:lang w:val="fr-CA"/>
              </w:rPr>
              <w:t xml:space="preserve"> commis une erreur de droit en confirmant la validité de l’art. 117.03 du</w:t>
            </w:r>
            <w:r w:rsidRPr="00B32C06">
              <w:rPr>
                <w:rFonts w:eastAsia="Calibri"/>
                <w:i/>
                <w:sz w:val="20"/>
                <w:lang w:val="fr-CA"/>
              </w:rPr>
              <w:t xml:space="preserve"> Code criminel</w:t>
            </w:r>
            <w:r w:rsidRPr="00B32C06">
              <w:rPr>
                <w:rFonts w:eastAsia="Calibri"/>
                <w:sz w:val="20"/>
                <w:lang w:val="fr-CA"/>
              </w:rPr>
              <w:t xml:space="preserve">, en omettant de reconnaître l’importance fondamentale de la propriété et du droit à ne pas en être privé sans accusation criminelle, condamnation au terme d’un procès et imposition d’une peine par un juge? — L’art. 117.03 </w:t>
            </w:r>
            <w:proofErr w:type="spellStart"/>
            <w:r w:rsidRPr="00B32C06">
              <w:rPr>
                <w:rFonts w:eastAsia="Calibri"/>
                <w:sz w:val="20"/>
                <w:lang w:val="fr-CA"/>
              </w:rPr>
              <w:t>viole</w:t>
            </w:r>
            <w:r w:rsidRPr="00B32C06">
              <w:rPr>
                <w:rFonts w:eastAsia="Calibri"/>
                <w:sz w:val="20"/>
                <w:lang w:val="fr-CA"/>
              </w:rPr>
              <w:noBreakHyphen/>
              <w:t>t</w:t>
            </w:r>
            <w:r w:rsidRPr="00B32C06">
              <w:rPr>
                <w:rFonts w:eastAsia="Calibri"/>
                <w:sz w:val="20"/>
                <w:lang w:val="fr-CA"/>
              </w:rPr>
              <w:noBreakHyphen/>
              <w:t>il</w:t>
            </w:r>
            <w:proofErr w:type="spellEnd"/>
            <w:r w:rsidRPr="00B32C06">
              <w:rPr>
                <w:rFonts w:eastAsia="Calibri"/>
                <w:sz w:val="20"/>
                <w:lang w:val="fr-CA"/>
              </w:rPr>
              <w:t xml:space="preserve"> des principes constitutionnels non écrits qui protègent le citoyen contre la confiscation de ses biens par l’État en l’absence d’accusation, de procès ou de condamnation? — L’art. 117.03 </w:t>
            </w:r>
            <w:proofErr w:type="spellStart"/>
            <w:r w:rsidRPr="00B32C06">
              <w:rPr>
                <w:rFonts w:eastAsia="Calibri"/>
                <w:sz w:val="20"/>
                <w:lang w:val="fr-CA"/>
              </w:rPr>
              <w:t>viole</w:t>
            </w:r>
            <w:r w:rsidRPr="00B32C06">
              <w:rPr>
                <w:rFonts w:eastAsia="Calibri"/>
                <w:sz w:val="20"/>
                <w:lang w:val="fr-CA"/>
              </w:rPr>
              <w:noBreakHyphen/>
              <w:t>t</w:t>
            </w:r>
            <w:r w:rsidRPr="00B32C06">
              <w:rPr>
                <w:rFonts w:eastAsia="Calibri"/>
                <w:sz w:val="20"/>
                <w:lang w:val="fr-CA"/>
              </w:rPr>
              <w:noBreakHyphen/>
              <w:t>il</w:t>
            </w:r>
            <w:proofErr w:type="spellEnd"/>
            <w:r w:rsidRPr="00B32C06">
              <w:rPr>
                <w:rFonts w:eastAsia="Calibri"/>
                <w:sz w:val="20"/>
                <w:lang w:val="fr-CA"/>
              </w:rPr>
              <w:t xml:space="preserve"> le droit du citoyen de faire appel au sens commun des Canadiens par le biais d’une manifestation pacifique et non violente dénonçant une loi injuste?</w:t>
            </w:r>
          </w:p>
          <w:p w:rsidR="0032190E" w:rsidRPr="00B32C06" w:rsidRDefault="0032190E" w:rsidP="00CD0650">
            <w:pPr>
              <w:jc w:val="both"/>
              <w:rPr>
                <w:rFonts w:eastAsia="Calibri"/>
                <w:sz w:val="20"/>
                <w:lang w:val="fr-CA"/>
              </w:rPr>
            </w:pPr>
          </w:p>
        </w:tc>
      </w:tr>
      <w:tr w:rsidR="0032190E" w:rsidRPr="002D3F55" w:rsidTr="00CD0650">
        <w:tc>
          <w:tcPr>
            <w:tcW w:w="5000" w:type="pct"/>
            <w:gridSpan w:val="3"/>
          </w:tcPr>
          <w:p w:rsidR="0032190E" w:rsidRPr="00B32C06" w:rsidRDefault="0032190E" w:rsidP="00CD0650">
            <w:pPr>
              <w:jc w:val="both"/>
              <w:rPr>
                <w:rFonts w:eastAsia="Calibri"/>
                <w:sz w:val="20"/>
                <w:lang w:val="fr-CA"/>
              </w:rPr>
            </w:pPr>
            <w:r w:rsidRPr="00B32C06">
              <w:rPr>
                <w:rFonts w:eastAsia="Calibri"/>
                <w:sz w:val="20"/>
                <w:lang w:val="fr-CA"/>
              </w:rPr>
              <w:t xml:space="preserve">En 2003, le demandeur avait en sa possession deux armes à feu non enregistrées qu’il conservait à deux endroits différents.  La GRC a saisi les armes à feu en vertu de l’art. 117.03 du </w:t>
            </w:r>
            <w:r w:rsidRPr="00B32C06">
              <w:rPr>
                <w:rFonts w:eastAsia="Calibri"/>
                <w:i/>
                <w:sz w:val="20"/>
                <w:lang w:val="fr-CA"/>
              </w:rPr>
              <w:t>Code criminel</w:t>
            </w:r>
            <w:r w:rsidRPr="00B32C06">
              <w:rPr>
                <w:rFonts w:eastAsia="Calibri"/>
                <w:sz w:val="20"/>
                <w:lang w:val="fr-CA"/>
              </w:rPr>
              <w:t xml:space="preserve">, qui prévoyait que chaque saisie devait être suivie d’une audition au sujet de la confiscation.  Dans le cadre de la première audition, le demandeur a contesté la constitutionnalité de l’art. 117.03; la deuxième audition, qui fait l’objet de la présente demande d’autorisation de pourvoi, était en suspens alors que la contestation constitutionnelle était étudiée par les tribunaux, qui l’ont éventuellement rejetée.  À la suite du rejet de la contestation constitutionnelle, la deuxième audition a été entamée </w:t>
            </w:r>
            <w:r w:rsidRPr="00B32C06">
              <w:rPr>
                <w:rFonts w:eastAsia="Calibri"/>
                <w:sz w:val="20"/>
                <w:lang w:val="fr-CA"/>
              </w:rPr>
              <w:lastRenderedPageBreak/>
              <w:t xml:space="preserve">et le demandeur a encore une fois cherché à obtenir une déclaration que le par. 117.03(3) du </w:t>
            </w:r>
            <w:r w:rsidRPr="00B32C06">
              <w:rPr>
                <w:rFonts w:eastAsia="Calibri"/>
                <w:i/>
                <w:sz w:val="20"/>
                <w:lang w:val="fr-CA"/>
              </w:rPr>
              <w:t>Code criminel</w:t>
            </w:r>
            <w:r w:rsidRPr="00B32C06">
              <w:rPr>
                <w:rFonts w:eastAsia="Calibri"/>
                <w:sz w:val="20"/>
                <w:lang w:val="fr-CA"/>
              </w:rPr>
              <w:t>, L.R.C. 1985, ch. C</w:t>
            </w:r>
            <w:r w:rsidRPr="00B32C06">
              <w:rPr>
                <w:rFonts w:eastAsia="Calibri"/>
                <w:sz w:val="20"/>
                <w:lang w:val="fr-CA"/>
              </w:rPr>
              <w:noBreakHyphen/>
              <w:t xml:space="preserve">46, était </w:t>
            </w:r>
            <w:r w:rsidRPr="00B32C06">
              <w:rPr>
                <w:rFonts w:eastAsia="Calibri"/>
                <w:i/>
                <w:sz w:val="20"/>
                <w:lang w:val="fr-CA"/>
              </w:rPr>
              <w:t>ultra vires</w:t>
            </w:r>
            <w:r w:rsidRPr="00B32C06">
              <w:rPr>
                <w:rFonts w:eastAsia="Calibri"/>
                <w:sz w:val="20"/>
                <w:lang w:val="fr-CA"/>
              </w:rPr>
              <w:t xml:space="preserve"> de la compétence du Parlement et qu’il violait la </w:t>
            </w:r>
            <w:r w:rsidRPr="00B32C06">
              <w:rPr>
                <w:rFonts w:eastAsia="Calibri"/>
                <w:i/>
                <w:sz w:val="20"/>
                <w:lang w:val="fr-CA"/>
              </w:rPr>
              <w:t xml:space="preserve">Charte canadienne des droits et libertés </w:t>
            </w:r>
            <w:r w:rsidRPr="00B32C06">
              <w:rPr>
                <w:rFonts w:eastAsia="Calibri"/>
                <w:sz w:val="20"/>
                <w:lang w:val="fr-CA"/>
              </w:rPr>
              <w:t>et la</w:t>
            </w:r>
            <w:r w:rsidRPr="00B32C06">
              <w:rPr>
                <w:rFonts w:eastAsia="Calibri"/>
                <w:i/>
                <w:sz w:val="20"/>
                <w:lang w:val="fr-CA"/>
              </w:rPr>
              <w:t xml:space="preserve"> Constitution</w:t>
            </w:r>
            <w:r w:rsidRPr="00B32C06">
              <w:rPr>
                <w:rFonts w:eastAsia="Calibri"/>
                <w:sz w:val="20"/>
                <w:lang w:val="fr-CA"/>
              </w:rPr>
              <w:t xml:space="preserve">.  Il a également cherché à obtenir une ordonnance enjoignant au ministère public de l’accuser d’avoir commis l’infraction prévue au par. 92(1) of the </w:t>
            </w:r>
            <w:r w:rsidRPr="00B32C06">
              <w:rPr>
                <w:rFonts w:eastAsia="Calibri"/>
                <w:i/>
                <w:sz w:val="20"/>
                <w:lang w:val="fr-CA"/>
              </w:rPr>
              <w:t>Code criminel</w:t>
            </w:r>
            <w:r w:rsidRPr="00B32C06">
              <w:rPr>
                <w:rFonts w:eastAsia="Calibri"/>
                <w:sz w:val="20"/>
                <w:lang w:val="fr-CA"/>
              </w:rPr>
              <w:t>.</w:t>
            </w:r>
          </w:p>
          <w:p w:rsidR="0032190E" w:rsidRPr="00B32C06" w:rsidRDefault="0032190E" w:rsidP="00CD0650">
            <w:pPr>
              <w:jc w:val="both"/>
              <w:rPr>
                <w:rFonts w:eastAsia="Calibri"/>
                <w:sz w:val="20"/>
                <w:lang w:val="fr-CA"/>
              </w:rPr>
            </w:pPr>
          </w:p>
        </w:tc>
      </w:tr>
      <w:tr w:rsidR="0032190E" w:rsidRPr="002D3F55" w:rsidTr="00CD0650">
        <w:tblPrEx>
          <w:tblCellMar>
            <w:bottom w:w="0" w:type="dxa"/>
          </w:tblCellMar>
        </w:tblPrEx>
        <w:tc>
          <w:tcPr>
            <w:tcW w:w="2367" w:type="pct"/>
          </w:tcPr>
          <w:p w:rsidR="0032190E" w:rsidRPr="00B32C06" w:rsidRDefault="0032190E" w:rsidP="00CD0650">
            <w:pPr>
              <w:jc w:val="both"/>
              <w:rPr>
                <w:rFonts w:eastAsia="Calibri"/>
                <w:sz w:val="20"/>
                <w:lang w:val="fr-CA"/>
              </w:rPr>
            </w:pPr>
            <w:r w:rsidRPr="00B32C06">
              <w:rPr>
                <w:rFonts w:eastAsia="Calibri"/>
                <w:sz w:val="20"/>
                <w:lang w:val="fr-CA"/>
              </w:rPr>
              <w:lastRenderedPageBreak/>
              <w:t>12 janvier 2011</w:t>
            </w:r>
          </w:p>
          <w:p w:rsidR="0032190E" w:rsidRPr="00B32C06" w:rsidRDefault="0032190E" w:rsidP="00CD0650">
            <w:pPr>
              <w:jc w:val="both"/>
              <w:rPr>
                <w:rFonts w:eastAsia="Calibri"/>
                <w:sz w:val="20"/>
                <w:lang w:val="fr-CA"/>
              </w:rPr>
            </w:pPr>
            <w:r w:rsidRPr="00B32C06">
              <w:rPr>
                <w:rFonts w:eastAsia="Calibri"/>
                <w:sz w:val="20"/>
                <w:lang w:val="fr-CA"/>
              </w:rPr>
              <w:t>Cour du Banc de la Reine</w:t>
            </w:r>
          </w:p>
          <w:p w:rsidR="0032190E" w:rsidRPr="00B32C06" w:rsidRDefault="0032190E" w:rsidP="00CD0650">
            <w:pPr>
              <w:jc w:val="both"/>
              <w:rPr>
                <w:rFonts w:eastAsia="Calibri"/>
                <w:sz w:val="20"/>
                <w:lang w:val="fr-CA"/>
              </w:rPr>
            </w:pPr>
            <w:r w:rsidRPr="00B32C06">
              <w:rPr>
                <w:rFonts w:eastAsia="Calibri"/>
                <w:sz w:val="20"/>
                <w:lang w:val="fr-CA"/>
              </w:rPr>
              <w:t xml:space="preserve">de la Saskatchewan </w:t>
            </w:r>
          </w:p>
          <w:p w:rsidR="0032190E" w:rsidRPr="00B32C06" w:rsidRDefault="0032190E" w:rsidP="00CD0650">
            <w:pPr>
              <w:jc w:val="both"/>
              <w:rPr>
                <w:rFonts w:eastAsia="Calibri"/>
                <w:sz w:val="20"/>
                <w:lang w:val="fr-CA"/>
              </w:rPr>
            </w:pPr>
            <w:r w:rsidRPr="00B32C06">
              <w:rPr>
                <w:rFonts w:eastAsia="Calibri"/>
                <w:sz w:val="20"/>
                <w:lang w:val="fr-CA"/>
              </w:rPr>
              <w:t>(Juge Mills)</w:t>
            </w:r>
          </w:p>
          <w:p w:rsidR="0032190E" w:rsidRPr="00B32C06" w:rsidRDefault="0032190E" w:rsidP="00CD0650">
            <w:pPr>
              <w:jc w:val="both"/>
              <w:rPr>
                <w:rFonts w:eastAsia="Calibri"/>
                <w:sz w:val="20"/>
              </w:rPr>
            </w:pPr>
            <w:r w:rsidRPr="00B32C06">
              <w:rPr>
                <w:rFonts w:eastAsia="Calibri"/>
                <w:sz w:val="20"/>
              </w:rPr>
              <w:t>2011 SKQB 18</w:t>
            </w:r>
          </w:p>
          <w:p w:rsidR="0032190E" w:rsidRPr="00B32C06" w:rsidRDefault="0032190E" w:rsidP="00CD0650">
            <w:pPr>
              <w:jc w:val="both"/>
              <w:rPr>
                <w:rFonts w:eastAsia="Calibri"/>
                <w:sz w:val="20"/>
              </w:rPr>
            </w:pPr>
          </w:p>
        </w:tc>
        <w:tc>
          <w:tcPr>
            <w:tcW w:w="267" w:type="pct"/>
          </w:tcPr>
          <w:p w:rsidR="0032190E" w:rsidRPr="00B32C06" w:rsidRDefault="0032190E" w:rsidP="00CD0650">
            <w:pPr>
              <w:jc w:val="both"/>
              <w:rPr>
                <w:rFonts w:eastAsia="Calibri"/>
                <w:sz w:val="20"/>
              </w:rPr>
            </w:pPr>
          </w:p>
        </w:tc>
        <w:tc>
          <w:tcPr>
            <w:tcW w:w="2366" w:type="pct"/>
          </w:tcPr>
          <w:p w:rsidR="0032190E" w:rsidRPr="00B32C06" w:rsidRDefault="0032190E" w:rsidP="00CD0650">
            <w:pPr>
              <w:jc w:val="both"/>
              <w:rPr>
                <w:rFonts w:eastAsia="Calibri"/>
                <w:sz w:val="20"/>
                <w:lang w:val="fr-CA"/>
              </w:rPr>
            </w:pPr>
            <w:r w:rsidRPr="00B32C06">
              <w:rPr>
                <w:rFonts w:eastAsia="Calibri"/>
                <w:sz w:val="20"/>
                <w:lang w:val="fr-CA"/>
              </w:rPr>
              <w:t xml:space="preserve">Demande visant à faire déclarer le par. 117.03(3) du </w:t>
            </w:r>
            <w:r w:rsidRPr="00B32C06">
              <w:rPr>
                <w:rFonts w:eastAsia="Calibri"/>
                <w:i/>
                <w:sz w:val="20"/>
                <w:lang w:val="fr-CA"/>
              </w:rPr>
              <w:t>Code criminel</w:t>
            </w:r>
            <w:r w:rsidRPr="00B32C06">
              <w:rPr>
                <w:rFonts w:eastAsia="Calibri"/>
                <w:sz w:val="20"/>
                <w:lang w:val="fr-CA"/>
              </w:rPr>
              <w:t>, L.R.C. 1985, ch. C</w:t>
            </w:r>
            <w:r w:rsidRPr="00B32C06">
              <w:rPr>
                <w:rFonts w:eastAsia="Calibri"/>
                <w:sz w:val="20"/>
                <w:lang w:val="fr-CA"/>
              </w:rPr>
              <w:noBreakHyphen/>
              <w:t xml:space="preserve">46, </w:t>
            </w:r>
            <w:r w:rsidRPr="00B32C06">
              <w:rPr>
                <w:rFonts w:eastAsia="Calibri"/>
                <w:i/>
                <w:sz w:val="20"/>
                <w:lang w:val="fr-CA"/>
              </w:rPr>
              <w:t>ultra vires</w:t>
            </w:r>
            <w:r w:rsidRPr="00B32C06">
              <w:rPr>
                <w:rFonts w:eastAsia="Calibri"/>
                <w:sz w:val="20"/>
                <w:lang w:val="fr-CA"/>
              </w:rPr>
              <w:t xml:space="preserve"> de la compétence du Parlement et à obtenir une ordonnance enjoignant au ministère public d’accuser le demandeur d’avoir commis l’infraction prévue au 92(1) du </w:t>
            </w:r>
            <w:r w:rsidRPr="00B32C06">
              <w:rPr>
                <w:rFonts w:eastAsia="Calibri"/>
                <w:i/>
                <w:sz w:val="20"/>
                <w:lang w:val="fr-CA"/>
              </w:rPr>
              <w:t>Code criminel</w:t>
            </w:r>
            <w:r w:rsidRPr="00B32C06">
              <w:rPr>
                <w:rFonts w:eastAsia="Calibri"/>
                <w:sz w:val="20"/>
                <w:lang w:val="fr-CA"/>
              </w:rPr>
              <w:t>, rejetée</w:t>
            </w:r>
          </w:p>
          <w:p w:rsidR="0032190E" w:rsidRPr="00B32C06" w:rsidRDefault="0032190E" w:rsidP="00CD0650">
            <w:pPr>
              <w:jc w:val="both"/>
              <w:rPr>
                <w:rFonts w:eastAsia="Calibri"/>
                <w:sz w:val="20"/>
                <w:lang w:val="fr-CA"/>
              </w:rPr>
            </w:pPr>
          </w:p>
        </w:tc>
      </w:tr>
      <w:tr w:rsidR="0032190E" w:rsidRPr="00B32C06" w:rsidTr="00CD0650">
        <w:tblPrEx>
          <w:tblCellMar>
            <w:bottom w:w="0" w:type="dxa"/>
          </w:tblCellMar>
        </w:tblPrEx>
        <w:tc>
          <w:tcPr>
            <w:tcW w:w="2367" w:type="pct"/>
          </w:tcPr>
          <w:p w:rsidR="0032190E" w:rsidRPr="00B32C06" w:rsidRDefault="0032190E" w:rsidP="00CD0650">
            <w:pPr>
              <w:jc w:val="both"/>
              <w:rPr>
                <w:rFonts w:eastAsia="Calibri"/>
                <w:sz w:val="20"/>
                <w:lang w:val="fr-CA"/>
              </w:rPr>
            </w:pPr>
            <w:r w:rsidRPr="00B32C06">
              <w:rPr>
                <w:rFonts w:eastAsia="Calibri"/>
                <w:sz w:val="20"/>
                <w:lang w:val="fr-CA"/>
              </w:rPr>
              <w:t>5 octobre 2011</w:t>
            </w:r>
          </w:p>
          <w:p w:rsidR="0032190E" w:rsidRPr="00B32C06" w:rsidRDefault="0032190E" w:rsidP="00CD0650">
            <w:pPr>
              <w:jc w:val="both"/>
              <w:rPr>
                <w:rFonts w:eastAsia="Calibri"/>
                <w:sz w:val="20"/>
                <w:lang w:val="fr-CA"/>
              </w:rPr>
            </w:pPr>
            <w:r w:rsidRPr="00B32C06">
              <w:rPr>
                <w:rFonts w:eastAsia="Calibri"/>
                <w:sz w:val="20"/>
                <w:lang w:val="fr-CA"/>
              </w:rPr>
              <w:t>Cour d’appel de la Saskatchewan</w:t>
            </w:r>
          </w:p>
          <w:p w:rsidR="0032190E" w:rsidRPr="00B32C06" w:rsidRDefault="0032190E" w:rsidP="00CD0650">
            <w:pPr>
              <w:jc w:val="both"/>
              <w:rPr>
                <w:rFonts w:eastAsia="Calibri"/>
                <w:sz w:val="20"/>
              </w:rPr>
            </w:pPr>
            <w:r w:rsidRPr="00B32C06">
              <w:rPr>
                <w:rFonts w:eastAsia="Calibri"/>
                <w:sz w:val="20"/>
              </w:rPr>
              <w:t>(</w:t>
            </w:r>
            <w:proofErr w:type="spellStart"/>
            <w:r w:rsidRPr="00B32C06">
              <w:rPr>
                <w:rFonts w:eastAsia="Calibri"/>
                <w:sz w:val="20"/>
              </w:rPr>
              <w:t>Juges</w:t>
            </w:r>
            <w:proofErr w:type="spellEnd"/>
            <w:r w:rsidRPr="00B32C06">
              <w:rPr>
                <w:rFonts w:eastAsia="Calibri"/>
                <w:sz w:val="20"/>
              </w:rPr>
              <w:t xml:space="preserve"> Caldwell, Richards et Smith)</w:t>
            </w:r>
          </w:p>
          <w:p w:rsidR="0032190E" w:rsidRPr="00B32C06" w:rsidRDefault="0032190E" w:rsidP="00CD0650">
            <w:pPr>
              <w:jc w:val="both"/>
              <w:rPr>
                <w:rFonts w:eastAsia="Calibri"/>
                <w:sz w:val="20"/>
              </w:rPr>
            </w:pPr>
            <w:r w:rsidRPr="00B32C06">
              <w:rPr>
                <w:rFonts w:eastAsia="Calibri"/>
                <w:sz w:val="20"/>
              </w:rPr>
              <w:t>2011 SKCA 112; CACV2117</w:t>
            </w:r>
          </w:p>
          <w:p w:rsidR="0032190E" w:rsidRPr="00B32C06" w:rsidRDefault="0032190E" w:rsidP="00CD0650">
            <w:pPr>
              <w:jc w:val="both"/>
              <w:rPr>
                <w:rFonts w:eastAsia="Calibri"/>
                <w:sz w:val="20"/>
              </w:rPr>
            </w:pPr>
          </w:p>
        </w:tc>
        <w:tc>
          <w:tcPr>
            <w:tcW w:w="267" w:type="pct"/>
          </w:tcPr>
          <w:p w:rsidR="0032190E" w:rsidRPr="00B32C06" w:rsidRDefault="0032190E" w:rsidP="00CD0650">
            <w:pPr>
              <w:jc w:val="both"/>
              <w:rPr>
                <w:rFonts w:eastAsia="Calibri"/>
                <w:sz w:val="20"/>
              </w:rPr>
            </w:pPr>
          </w:p>
        </w:tc>
        <w:tc>
          <w:tcPr>
            <w:tcW w:w="2366" w:type="pct"/>
          </w:tcPr>
          <w:p w:rsidR="0032190E" w:rsidRPr="00B32C06" w:rsidRDefault="0032190E" w:rsidP="00CD0650">
            <w:pPr>
              <w:jc w:val="both"/>
              <w:rPr>
                <w:rFonts w:eastAsia="Calibri"/>
                <w:sz w:val="20"/>
              </w:rPr>
            </w:pPr>
            <w:proofErr w:type="spellStart"/>
            <w:r w:rsidRPr="00B32C06">
              <w:rPr>
                <w:rFonts w:eastAsia="Calibri"/>
                <w:sz w:val="20"/>
              </w:rPr>
              <w:t>Appel</w:t>
            </w:r>
            <w:proofErr w:type="spellEnd"/>
            <w:r w:rsidRPr="00B32C06">
              <w:rPr>
                <w:rFonts w:eastAsia="Calibri"/>
                <w:sz w:val="20"/>
              </w:rPr>
              <w:t xml:space="preserve"> </w:t>
            </w:r>
            <w:proofErr w:type="spellStart"/>
            <w:r w:rsidRPr="00B32C06">
              <w:rPr>
                <w:rFonts w:eastAsia="Calibri"/>
                <w:sz w:val="20"/>
              </w:rPr>
              <w:t>rejeté</w:t>
            </w:r>
            <w:proofErr w:type="spellEnd"/>
          </w:p>
          <w:p w:rsidR="0032190E" w:rsidRPr="00B32C06" w:rsidRDefault="0032190E" w:rsidP="00CD0650">
            <w:pPr>
              <w:jc w:val="both"/>
              <w:rPr>
                <w:rFonts w:eastAsia="Calibri"/>
                <w:sz w:val="20"/>
              </w:rPr>
            </w:pPr>
          </w:p>
        </w:tc>
      </w:tr>
      <w:tr w:rsidR="0032190E" w:rsidRPr="00B32C06" w:rsidTr="00CD0650">
        <w:tblPrEx>
          <w:tblCellMar>
            <w:bottom w:w="0" w:type="dxa"/>
          </w:tblCellMar>
        </w:tblPrEx>
        <w:tc>
          <w:tcPr>
            <w:tcW w:w="2367" w:type="pct"/>
          </w:tcPr>
          <w:p w:rsidR="0032190E" w:rsidRPr="00B32C06" w:rsidRDefault="0032190E" w:rsidP="00CD0650">
            <w:pPr>
              <w:jc w:val="both"/>
              <w:rPr>
                <w:rFonts w:eastAsia="Calibri"/>
                <w:sz w:val="20"/>
                <w:lang w:val="fr-CA"/>
              </w:rPr>
            </w:pPr>
            <w:r w:rsidRPr="00B32C06">
              <w:rPr>
                <w:rFonts w:eastAsia="Calibri"/>
                <w:sz w:val="20"/>
                <w:lang w:val="fr-CA"/>
              </w:rPr>
              <w:t>16 novembre 2011</w:t>
            </w:r>
          </w:p>
          <w:p w:rsidR="0032190E" w:rsidRPr="00B32C06" w:rsidRDefault="0032190E" w:rsidP="00CD0650">
            <w:pPr>
              <w:jc w:val="both"/>
              <w:rPr>
                <w:rFonts w:eastAsia="Calibri"/>
                <w:sz w:val="20"/>
                <w:lang w:val="fr-CA"/>
              </w:rPr>
            </w:pPr>
            <w:r w:rsidRPr="00B32C06">
              <w:rPr>
                <w:rFonts w:eastAsia="Calibri"/>
                <w:sz w:val="20"/>
                <w:lang w:val="fr-CA"/>
              </w:rPr>
              <w:t>Cour suprême du Canada</w:t>
            </w:r>
          </w:p>
        </w:tc>
        <w:tc>
          <w:tcPr>
            <w:tcW w:w="267" w:type="pct"/>
          </w:tcPr>
          <w:p w:rsidR="0032190E" w:rsidRPr="00B32C06" w:rsidRDefault="0032190E" w:rsidP="00CD0650">
            <w:pPr>
              <w:jc w:val="both"/>
              <w:rPr>
                <w:rFonts w:eastAsia="Calibri"/>
                <w:sz w:val="20"/>
                <w:lang w:val="fr-CA"/>
              </w:rPr>
            </w:pPr>
          </w:p>
        </w:tc>
        <w:tc>
          <w:tcPr>
            <w:tcW w:w="2366" w:type="pct"/>
          </w:tcPr>
          <w:p w:rsidR="0032190E" w:rsidRPr="00B32C06" w:rsidRDefault="0032190E" w:rsidP="00CD0650">
            <w:pPr>
              <w:jc w:val="both"/>
              <w:rPr>
                <w:rFonts w:eastAsia="Calibri"/>
                <w:sz w:val="20"/>
              </w:rPr>
            </w:pPr>
            <w:proofErr w:type="spellStart"/>
            <w:r w:rsidRPr="00B32C06">
              <w:rPr>
                <w:rFonts w:eastAsia="Calibri"/>
                <w:sz w:val="20"/>
              </w:rPr>
              <w:t>Demande</w:t>
            </w:r>
            <w:proofErr w:type="spellEnd"/>
            <w:r w:rsidRPr="00B32C06">
              <w:rPr>
                <w:rFonts w:eastAsia="Calibri"/>
                <w:sz w:val="20"/>
              </w:rPr>
              <w:t xml:space="preserve"> </w:t>
            </w:r>
            <w:proofErr w:type="spellStart"/>
            <w:r w:rsidRPr="00B32C06">
              <w:rPr>
                <w:rFonts w:eastAsia="Calibri"/>
                <w:sz w:val="20"/>
              </w:rPr>
              <w:t>d’autorisation</w:t>
            </w:r>
            <w:proofErr w:type="spellEnd"/>
            <w:r w:rsidRPr="00B32C06">
              <w:rPr>
                <w:rFonts w:eastAsia="Calibri"/>
                <w:sz w:val="20"/>
              </w:rPr>
              <w:t xml:space="preserve"> de </w:t>
            </w:r>
            <w:proofErr w:type="spellStart"/>
            <w:r w:rsidRPr="00B32C06">
              <w:rPr>
                <w:rFonts w:eastAsia="Calibri"/>
                <w:sz w:val="20"/>
              </w:rPr>
              <w:t>pourvoi</w:t>
            </w:r>
            <w:proofErr w:type="spellEnd"/>
            <w:r w:rsidRPr="00B32C06">
              <w:rPr>
                <w:rFonts w:eastAsia="Calibri"/>
                <w:sz w:val="20"/>
              </w:rPr>
              <w:t xml:space="preserve"> </w:t>
            </w:r>
            <w:proofErr w:type="spellStart"/>
            <w:r w:rsidRPr="00B32C06">
              <w:rPr>
                <w:rFonts w:eastAsia="Calibri"/>
                <w:sz w:val="20"/>
              </w:rPr>
              <w:t>rejetée</w:t>
            </w:r>
            <w:proofErr w:type="spellEnd"/>
          </w:p>
          <w:p w:rsidR="0032190E" w:rsidRPr="00B32C06" w:rsidRDefault="0032190E" w:rsidP="00CD0650">
            <w:pPr>
              <w:jc w:val="both"/>
              <w:rPr>
                <w:rFonts w:eastAsia="Calibri"/>
                <w:sz w:val="20"/>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74" style="width:2in;height:1pt" o:hrpct="0" o:hralign="center" o:hrstd="t" o:hrnoshade="t" o:hr="t" fillcolor="black [3213]" stroked="f"/>
        </w:pict>
      </w:r>
    </w:p>
    <w:p w:rsidR="00C64AFA" w:rsidRDefault="00C64AFA" w:rsidP="00C64AFA">
      <w:pPr>
        <w:rPr>
          <w:sz w:val="20"/>
          <w:szCs w:val="20"/>
        </w:rPr>
      </w:pP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1643" w:rsidRPr="00A54F27" w:rsidTr="00EC0D48">
        <w:trPr>
          <w:cantSplit/>
        </w:trPr>
        <w:tc>
          <w:tcPr>
            <w:tcW w:w="1458" w:type="dxa"/>
          </w:tcPr>
          <w:p w:rsidR="001A1643" w:rsidRPr="00A54F27" w:rsidRDefault="001A1643" w:rsidP="00EC0D48">
            <w:pPr>
              <w:rPr>
                <w:sz w:val="20"/>
                <w:szCs w:val="20"/>
              </w:rPr>
            </w:pPr>
            <w:r w:rsidRPr="00A54F27">
              <w:rPr>
                <w:rStyle w:val="SCCFileNumberChar"/>
                <w:sz w:val="20"/>
                <w:szCs w:val="20"/>
              </w:rPr>
              <w:t>345</w:t>
            </w:r>
            <w:r>
              <w:rPr>
                <w:rStyle w:val="SCCFileNumberChar"/>
                <w:sz w:val="20"/>
                <w:szCs w:val="20"/>
              </w:rPr>
              <w:t>30</w:t>
            </w:r>
          </w:p>
          <w:p w:rsidR="001A1643" w:rsidRPr="00A54F27" w:rsidRDefault="001A1643" w:rsidP="00EC0D48">
            <w:pPr>
              <w:rPr>
                <w:b/>
                <w:sz w:val="20"/>
                <w:szCs w:val="20"/>
                <w:lang w:val="fr-CA"/>
              </w:rPr>
            </w:pPr>
          </w:p>
        </w:tc>
        <w:tc>
          <w:tcPr>
            <w:tcW w:w="8118" w:type="dxa"/>
          </w:tcPr>
          <w:p w:rsidR="001A1643" w:rsidRPr="00A54F27" w:rsidRDefault="001A1643" w:rsidP="00EC0D48">
            <w:pPr>
              <w:rPr>
                <w:sz w:val="20"/>
                <w:szCs w:val="20"/>
              </w:rPr>
            </w:pPr>
            <w:r>
              <w:rPr>
                <w:rStyle w:val="SCCLsocChar"/>
                <w:sz w:val="20"/>
                <w:szCs w:val="20"/>
                <w:lang w:val="en-CA"/>
              </w:rPr>
              <w:t>William Jesse Sutherland</w:t>
            </w:r>
            <w:r w:rsidRPr="001A1643">
              <w:rPr>
                <w:rStyle w:val="SCCLsocChar"/>
                <w:sz w:val="20"/>
                <w:szCs w:val="20"/>
                <w:lang w:val="en-CA"/>
              </w:rPr>
              <w:t xml:space="preserve"> v.</w:t>
            </w:r>
            <w:r>
              <w:rPr>
                <w:rStyle w:val="SCCLsocChar"/>
                <w:sz w:val="20"/>
                <w:szCs w:val="20"/>
                <w:lang w:val="en-CA"/>
              </w:rPr>
              <w:t xml:space="preserve"> Her Majesty the Queen</w:t>
            </w:r>
            <w:r w:rsidRPr="00A54F27">
              <w:rPr>
                <w:sz w:val="20"/>
                <w:szCs w:val="20"/>
              </w:rPr>
              <w:t xml:space="preserve"> (</w:t>
            </w:r>
            <w:r>
              <w:rPr>
                <w:sz w:val="20"/>
                <w:szCs w:val="20"/>
              </w:rPr>
              <w:t>Ont</w:t>
            </w:r>
            <w:r w:rsidRPr="00A54F27">
              <w:rPr>
                <w:sz w:val="20"/>
                <w:szCs w:val="20"/>
              </w:rPr>
              <w:t>.) (Criminal) (By Leave)</w:t>
            </w:r>
          </w:p>
          <w:p w:rsidR="001A1643" w:rsidRPr="00A54F27" w:rsidRDefault="001A1643" w:rsidP="00EC0D48">
            <w:pPr>
              <w:rPr>
                <w:sz w:val="20"/>
                <w:szCs w:val="20"/>
              </w:rPr>
            </w:pPr>
          </w:p>
        </w:tc>
      </w:tr>
      <w:tr w:rsidR="001A1643" w:rsidRPr="00A54F27" w:rsidTr="00EC0D48">
        <w:trPr>
          <w:cantSplit/>
        </w:trPr>
        <w:tc>
          <w:tcPr>
            <w:tcW w:w="1458" w:type="dxa"/>
          </w:tcPr>
          <w:p w:rsidR="001A1643" w:rsidRPr="00A54F27" w:rsidRDefault="001A1643" w:rsidP="00EC0D48">
            <w:pPr>
              <w:rPr>
                <w:sz w:val="20"/>
                <w:szCs w:val="20"/>
              </w:rPr>
            </w:pPr>
            <w:r w:rsidRPr="00A54F27">
              <w:rPr>
                <w:sz w:val="20"/>
                <w:szCs w:val="20"/>
              </w:rPr>
              <w:t>Coram :</w:t>
            </w:r>
          </w:p>
        </w:tc>
        <w:tc>
          <w:tcPr>
            <w:tcW w:w="8118" w:type="dxa"/>
          </w:tcPr>
          <w:p w:rsidR="001A1643" w:rsidRPr="00A54F27" w:rsidRDefault="001A1643" w:rsidP="00EC0D48">
            <w:pPr>
              <w:rPr>
                <w:sz w:val="20"/>
                <w:szCs w:val="20"/>
              </w:rPr>
            </w:pPr>
            <w:proofErr w:type="spellStart"/>
            <w:r w:rsidRPr="001A1643">
              <w:rPr>
                <w:rStyle w:val="SCCCoramChar"/>
                <w:sz w:val="20"/>
                <w:szCs w:val="20"/>
                <w:lang w:val="en-CA"/>
              </w:rPr>
              <w:t>McLachlin</w:t>
            </w:r>
            <w:proofErr w:type="spellEnd"/>
            <w:r w:rsidRPr="001A1643">
              <w:rPr>
                <w:rStyle w:val="SCCCoramChar"/>
                <w:sz w:val="20"/>
                <w:szCs w:val="20"/>
                <w:lang w:val="en-CA"/>
              </w:rPr>
              <w:t xml:space="preserve"> C.J. and Rothstein and </w:t>
            </w:r>
            <w:proofErr w:type="spellStart"/>
            <w:r w:rsidRPr="001A1643">
              <w:rPr>
                <w:rStyle w:val="SCCCoramChar"/>
                <w:sz w:val="20"/>
                <w:szCs w:val="20"/>
                <w:lang w:val="en-CA"/>
              </w:rPr>
              <w:t>Moldaver</w:t>
            </w:r>
            <w:proofErr w:type="spellEnd"/>
            <w:r w:rsidRPr="001A1643">
              <w:rPr>
                <w:rStyle w:val="SCCCoramChar"/>
                <w:sz w:val="20"/>
                <w:szCs w:val="20"/>
                <w:lang w:val="en-CA"/>
              </w:rPr>
              <w:t> JJ.</w:t>
            </w:r>
          </w:p>
          <w:p w:rsidR="001A1643" w:rsidRPr="00A54F27" w:rsidRDefault="001A1643" w:rsidP="00EC0D48">
            <w:pPr>
              <w:rPr>
                <w:sz w:val="20"/>
                <w:szCs w:val="20"/>
                <w:u w:val="single"/>
              </w:rPr>
            </w:pPr>
          </w:p>
        </w:tc>
      </w:tr>
      <w:tr w:rsidR="001A1643" w:rsidRPr="002D3F55" w:rsidTr="00EC0D48">
        <w:trPr>
          <w:cantSplit/>
        </w:trPr>
        <w:tc>
          <w:tcPr>
            <w:tcW w:w="9576" w:type="dxa"/>
            <w:gridSpan w:val="2"/>
          </w:tcPr>
          <w:p w:rsidR="001A1643" w:rsidRPr="00A54F27" w:rsidRDefault="001A1643" w:rsidP="001A1643">
            <w:pPr>
              <w:pStyle w:val="SCCShortJudgment"/>
              <w:rPr>
                <w:szCs w:val="20"/>
              </w:rPr>
            </w:pPr>
            <w:r w:rsidRPr="009A5E03">
              <w:rPr>
                <w:szCs w:val="20"/>
              </w:rPr>
              <w:t>The motion for an extension of time to serve and file the application for leave to appeal from the judgment of the Court of Appeal for Ontario, Number C52147, 2011 ONCA 239, dated March 24, 2011, is dismissed.  In any event, had such an application been granted, the application for leave to appeal would have been dismissed</w:t>
            </w:r>
            <w:r w:rsidR="004C114E">
              <w:rPr>
                <w:szCs w:val="20"/>
              </w:rPr>
              <w:t xml:space="preserve"> without costs</w:t>
            </w:r>
            <w:r w:rsidRPr="009A5E03">
              <w:rPr>
                <w:szCs w:val="20"/>
              </w:rPr>
              <w:t>.</w:t>
            </w:r>
          </w:p>
          <w:p w:rsidR="001A1643" w:rsidRPr="00A54F27" w:rsidRDefault="001A1643" w:rsidP="00EC0D48">
            <w:pPr>
              <w:pStyle w:val="SCCShortJudgment"/>
              <w:ind w:firstLine="0"/>
              <w:rPr>
                <w:szCs w:val="20"/>
              </w:rPr>
            </w:pPr>
          </w:p>
          <w:p w:rsidR="001A1643" w:rsidRPr="00A54F27" w:rsidRDefault="001A1643" w:rsidP="001A1643">
            <w:pPr>
              <w:pStyle w:val="SCCShortJudgment"/>
              <w:rPr>
                <w:szCs w:val="20"/>
                <w:lang w:val="fr-CA"/>
              </w:rPr>
            </w:pPr>
            <w:r w:rsidRPr="009A5E03">
              <w:rPr>
                <w:szCs w:val="20"/>
                <w:lang w:val="fr-CA"/>
              </w:rPr>
              <w:t>La requête en prorogation du délai de signification et de dépôt de la demande d’autorisation d’appel de l’arrêt de la Cour d’appel de l’Ontario, numéro C52147, 2011 ONCA 239, daté du 24 mars 2011, est rejetée.  Quoi qu’il en soit, même si la demande de prorogation avait été accueillie, la demande d’autorisation d’appel aurait été rejetée</w:t>
            </w:r>
            <w:r w:rsidR="004C114E">
              <w:rPr>
                <w:szCs w:val="20"/>
                <w:lang w:val="fr-CA"/>
              </w:rPr>
              <w:t xml:space="preserve"> sans dépens</w:t>
            </w:r>
            <w:r w:rsidRPr="009A5E03">
              <w:rPr>
                <w:szCs w:val="20"/>
                <w:lang w:val="fr-CA"/>
              </w:rPr>
              <w:t>.</w:t>
            </w:r>
          </w:p>
        </w:tc>
      </w:tr>
    </w:tbl>
    <w:p w:rsidR="00C64AFA" w:rsidRPr="001A1643"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3CFA" w:rsidRPr="00B32C06" w:rsidTr="00CE71D6">
        <w:tc>
          <w:tcPr>
            <w:tcW w:w="5000" w:type="pct"/>
            <w:gridSpan w:val="3"/>
          </w:tcPr>
          <w:p w:rsidR="00BA3CFA" w:rsidRPr="00B32C06" w:rsidRDefault="00BA3CFA" w:rsidP="00CE71D6">
            <w:pPr>
              <w:jc w:val="both"/>
              <w:rPr>
                <w:rFonts w:eastAsia="Calibri"/>
                <w:sz w:val="20"/>
              </w:rPr>
            </w:pPr>
            <w:r w:rsidRPr="00B32C06">
              <w:rPr>
                <w:rFonts w:eastAsia="Calibri"/>
                <w:sz w:val="20"/>
              </w:rPr>
              <w:t xml:space="preserve">Criminal Law – Evidence – Admissibility – Applicant convicted on summary conviction of altering, disrupting or destroying fish habitat – Whether expert testimony should have been admitted – Whether initial inspection of property was lawful </w:t>
            </w:r>
            <w:r w:rsidRPr="00B32C06">
              <w:rPr>
                <w:rFonts w:eastAsia="Calibri"/>
                <w:iCs/>
                <w:sz w:val="20"/>
              </w:rPr>
              <w:t xml:space="preserve">– </w:t>
            </w:r>
            <w:r w:rsidRPr="00B32C06">
              <w:rPr>
                <w:rFonts w:eastAsia="Calibri"/>
                <w:i/>
                <w:sz w:val="20"/>
              </w:rPr>
              <w:t>Fisheries Act</w:t>
            </w:r>
            <w:r w:rsidRPr="00B32C06">
              <w:rPr>
                <w:rFonts w:eastAsia="Calibri"/>
                <w:sz w:val="20"/>
              </w:rPr>
              <w:t>, R.S.C., 1985, c. F</w:t>
            </w:r>
            <w:r w:rsidRPr="00B32C06">
              <w:rPr>
                <w:rFonts w:eastAsia="Calibri"/>
                <w:sz w:val="20"/>
              </w:rPr>
              <w:noBreakHyphen/>
              <w:t>14, ss. 35, 37(1), 38(1) and (3), 40(1), 49(1) and 49.1(1).</w:t>
            </w:r>
          </w:p>
        </w:tc>
      </w:tr>
      <w:tr w:rsidR="00BA3CFA" w:rsidRPr="00B32C06" w:rsidTr="00CE71D6">
        <w:tc>
          <w:tcPr>
            <w:tcW w:w="5000" w:type="pct"/>
            <w:gridSpan w:val="3"/>
          </w:tcPr>
          <w:p w:rsidR="00BA3CFA" w:rsidRPr="00B32C06" w:rsidRDefault="00BA3CFA" w:rsidP="00CE71D6">
            <w:pPr>
              <w:jc w:val="both"/>
              <w:rPr>
                <w:rFonts w:eastAsia="Calibri"/>
                <w:sz w:val="20"/>
              </w:rPr>
            </w:pPr>
          </w:p>
        </w:tc>
      </w:tr>
      <w:tr w:rsidR="00BA3CFA" w:rsidRPr="00B32C06" w:rsidTr="00CE71D6">
        <w:tc>
          <w:tcPr>
            <w:tcW w:w="5000" w:type="pct"/>
            <w:gridSpan w:val="3"/>
          </w:tcPr>
          <w:p w:rsidR="00BA3CFA" w:rsidRPr="00B32C06" w:rsidRDefault="00BA3CFA" w:rsidP="00CE71D6">
            <w:pPr>
              <w:shd w:val="clear" w:color="auto" w:fill="FFFFFF"/>
              <w:jc w:val="both"/>
              <w:rPr>
                <w:sz w:val="20"/>
              </w:rPr>
            </w:pPr>
            <w:r w:rsidRPr="00B32C06">
              <w:rPr>
                <w:sz w:val="20"/>
              </w:rPr>
              <w:t>The applicant, Mr. Sutherland, was tried and summarily convicted by the Ontario Court of Justice under ss. 35(1) and 40(1)(</w:t>
            </w:r>
            <w:r w:rsidRPr="00B32C06">
              <w:rPr>
                <w:i/>
                <w:sz w:val="20"/>
              </w:rPr>
              <w:t>a</w:t>
            </w:r>
            <w:r w:rsidRPr="00B32C06">
              <w:rPr>
                <w:sz w:val="20"/>
              </w:rPr>
              <w:t xml:space="preserve">) of the </w:t>
            </w:r>
            <w:r w:rsidRPr="00B32C06">
              <w:rPr>
                <w:i/>
                <w:sz w:val="20"/>
              </w:rPr>
              <w:t>Fisheries Act</w:t>
            </w:r>
            <w:r w:rsidRPr="00B32C06">
              <w:rPr>
                <w:sz w:val="20"/>
              </w:rPr>
              <w:t xml:space="preserve">. Section 35(1) of the </w:t>
            </w:r>
            <w:r w:rsidRPr="00B32C06">
              <w:rPr>
                <w:i/>
                <w:iCs/>
                <w:sz w:val="20"/>
              </w:rPr>
              <w:t>Act</w:t>
            </w:r>
            <w:r w:rsidRPr="00B32C06">
              <w:rPr>
                <w:sz w:val="20"/>
              </w:rPr>
              <w:t xml:space="preserve"> prohibits alteration, disruption or destruction of fish habitat. Pursuant to s. 40(1)(</w:t>
            </w:r>
            <w:r w:rsidRPr="00B32C06">
              <w:rPr>
                <w:i/>
                <w:sz w:val="20"/>
              </w:rPr>
              <w:t>a</w:t>
            </w:r>
            <w:r w:rsidRPr="00B32C06">
              <w:rPr>
                <w:sz w:val="20"/>
              </w:rPr>
              <w:t xml:space="preserve">) of </w:t>
            </w:r>
            <w:r w:rsidRPr="00B32C06">
              <w:rPr>
                <w:i/>
                <w:iCs/>
                <w:sz w:val="20"/>
              </w:rPr>
              <w:t>Act</w:t>
            </w:r>
            <w:r w:rsidRPr="00B32C06">
              <w:rPr>
                <w:sz w:val="20"/>
              </w:rPr>
              <w:t xml:space="preserve">, every person who contravenes s. 35(1) is guilty of an offence punishable on summary conviction and liable, for a first offence, to a fine not exceeding three hundred thousand dollars. In 2002, the Department of Fisheries and Oceans received a complaint that work had been undertaken on a creek located on Mr. Sutherland’s property. In response, Mr. Schuyler, a fishery officer with the Department, and Ms. </w:t>
            </w:r>
            <w:proofErr w:type="spellStart"/>
            <w:r w:rsidRPr="00B32C06">
              <w:rPr>
                <w:sz w:val="20"/>
              </w:rPr>
              <w:t>Hallett</w:t>
            </w:r>
            <w:proofErr w:type="spellEnd"/>
            <w:r w:rsidRPr="00B32C06">
              <w:rPr>
                <w:sz w:val="20"/>
              </w:rPr>
              <w:t>, a fish habitat biologist with the Department, inspected the site.</w:t>
            </w:r>
          </w:p>
          <w:p w:rsidR="00BA3CFA" w:rsidRPr="00B32C06" w:rsidRDefault="00BA3CFA" w:rsidP="00CE71D6">
            <w:pPr>
              <w:shd w:val="clear" w:color="auto" w:fill="FFFFFF"/>
              <w:jc w:val="both"/>
              <w:rPr>
                <w:sz w:val="20"/>
              </w:rPr>
            </w:pPr>
          </w:p>
          <w:p w:rsidR="00BA3CFA" w:rsidRPr="00B32C06" w:rsidRDefault="00BA3CFA" w:rsidP="00CE71D6">
            <w:pPr>
              <w:shd w:val="clear" w:color="auto" w:fill="FFFFFF"/>
              <w:jc w:val="both"/>
              <w:rPr>
                <w:rFonts w:eastAsia="Calibri"/>
                <w:sz w:val="20"/>
              </w:rPr>
            </w:pPr>
            <w:r w:rsidRPr="00B32C06">
              <w:rPr>
                <w:sz w:val="20"/>
              </w:rPr>
              <w:lastRenderedPageBreak/>
              <w:t>The Ontario Superior Court of Justice dismissed the appeal, and the Ontario Court of Appeal refused leave to appeal.</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lastRenderedPageBreak/>
              <w:t>November 2, 2007</w:t>
            </w:r>
          </w:p>
          <w:p w:rsidR="00BA3CFA" w:rsidRPr="00B32C06" w:rsidRDefault="00BA3CFA" w:rsidP="00CE71D6">
            <w:pPr>
              <w:jc w:val="both"/>
              <w:rPr>
                <w:rFonts w:eastAsia="Calibri"/>
                <w:sz w:val="20"/>
              </w:rPr>
            </w:pPr>
            <w:r w:rsidRPr="00B32C06">
              <w:rPr>
                <w:rFonts w:eastAsia="Calibri"/>
                <w:sz w:val="20"/>
              </w:rPr>
              <w:t>Ontario Court of Justice</w:t>
            </w:r>
          </w:p>
          <w:p w:rsidR="00BA3CFA" w:rsidRPr="00B32C06" w:rsidRDefault="00BA3CFA" w:rsidP="00CE71D6">
            <w:pPr>
              <w:jc w:val="both"/>
              <w:rPr>
                <w:rFonts w:eastAsia="Calibri"/>
                <w:sz w:val="20"/>
              </w:rPr>
            </w:pPr>
            <w:r w:rsidRPr="00B32C06">
              <w:rPr>
                <w:rFonts w:eastAsia="Calibri"/>
                <w:sz w:val="20"/>
              </w:rPr>
              <w:t>(</w:t>
            </w:r>
            <w:proofErr w:type="spellStart"/>
            <w:r w:rsidRPr="00B32C06">
              <w:rPr>
                <w:rFonts w:eastAsia="Calibri"/>
                <w:sz w:val="20"/>
              </w:rPr>
              <w:t>Lafleur</w:t>
            </w:r>
            <w:proofErr w:type="spellEnd"/>
            <w:r w:rsidRPr="00B32C06">
              <w:rPr>
                <w:rFonts w:eastAsia="Calibri"/>
                <w:sz w:val="20"/>
              </w:rPr>
              <w:t xml:space="preserve"> J.)</w:t>
            </w:r>
          </w:p>
          <w:p w:rsidR="00BA3CFA" w:rsidRPr="00B32C06" w:rsidRDefault="00BA3CFA" w:rsidP="00CE71D6">
            <w:pPr>
              <w:jc w:val="both"/>
              <w:rPr>
                <w:rFonts w:eastAsia="Calibri"/>
                <w:sz w:val="20"/>
              </w:rPr>
            </w:pP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CE71D6">
            <w:pPr>
              <w:jc w:val="both"/>
              <w:rPr>
                <w:rFonts w:eastAsia="Calibri"/>
                <w:sz w:val="20"/>
              </w:rPr>
            </w:pPr>
            <w:r w:rsidRPr="00B32C06">
              <w:rPr>
                <w:rFonts w:eastAsia="Calibri"/>
                <w:sz w:val="20"/>
              </w:rPr>
              <w:t>Applicant convicted on summary conviction of altering, disrupting or destroying fish habitat; fine imposed</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t>April 27, 2010</w:t>
            </w:r>
          </w:p>
          <w:p w:rsidR="00BA3CFA" w:rsidRPr="00B32C06" w:rsidRDefault="00BA3CFA" w:rsidP="00CE71D6">
            <w:pPr>
              <w:jc w:val="both"/>
              <w:rPr>
                <w:rFonts w:eastAsia="Calibri"/>
                <w:sz w:val="20"/>
              </w:rPr>
            </w:pPr>
            <w:r w:rsidRPr="00B32C06">
              <w:rPr>
                <w:rFonts w:eastAsia="Calibri"/>
                <w:sz w:val="20"/>
              </w:rPr>
              <w:t>Ontario Superior Court of Justice</w:t>
            </w:r>
          </w:p>
          <w:p w:rsidR="00BA3CFA" w:rsidRPr="00B32C06" w:rsidRDefault="00BA3CFA" w:rsidP="00CE71D6">
            <w:pPr>
              <w:jc w:val="both"/>
              <w:rPr>
                <w:rFonts w:eastAsia="Calibri"/>
                <w:sz w:val="20"/>
              </w:rPr>
            </w:pPr>
            <w:r w:rsidRPr="00B32C06">
              <w:rPr>
                <w:rFonts w:eastAsia="Calibri"/>
                <w:sz w:val="20"/>
              </w:rPr>
              <w:t>(</w:t>
            </w:r>
            <w:proofErr w:type="spellStart"/>
            <w:r w:rsidRPr="00B32C06">
              <w:rPr>
                <w:rFonts w:eastAsia="Calibri"/>
                <w:sz w:val="20"/>
              </w:rPr>
              <w:t>Koke</w:t>
            </w:r>
            <w:proofErr w:type="spellEnd"/>
            <w:r w:rsidRPr="00B32C06">
              <w:rPr>
                <w:rFonts w:eastAsia="Calibri"/>
                <w:sz w:val="20"/>
              </w:rPr>
              <w:t xml:space="preserve"> J.)</w:t>
            </w:r>
          </w:p>
          <w:p w:rsidR="00BA3CFA" w:rsidRPr="00B32C06" w:rsidRDefault="00BA3CFA" w:rsidP="00CE71D6">
            <w:pPr>
              <w:jc w:val="both"/>
              <w:rPr>
                <w:rFonts w:eastAsia="Calibri"/>
                <w:sz w:val="20"/>
              </w:rPr>
            </w:pPr>
            <w:r w:rsidRPr="00B32C06">
              <w:rPr>
                <w:rFonts w:eastAsia="Calibri"/>
                <w:sz w:val="20"/>
              </w:rPr>
              <w:t>2010 ONSC 2240</w:t>
            </w:r>
          </w:p>
          <w:p w:rsidR="00BA3CFA" w:rsidRPr="00B32C06" w:rsidRDefault="00BA3CFA" w:rsidP="00CE71D6">
            <w:pPr>
              <w:jc w:val="both"/>
              <w:rPr>
                <w:rFonts w:eastAsia="Calibri"/>
                <w:sz w:val="20"/>
              </w:rPr>
            </w:pP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CE71D6">
            <w:pPr>
              <w:jc w:val="both"/>
              <w:rPr>
                <w:rFonts w:eastAsia="Calibri"/>
                <w:sz w:val="20"/>
              </w:rPr>
            </w:pPr>
            <w:r w:rsidRPr="00B32C06">
              <w:rPr>
                <w:rFonts w:eastAsia="Calibri"/>
                <w:sz w:val="20"/>
              </w:rPr>
              <w:t>Appeal dismissed</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t>March 24, 2011</w:t>
            </w:r>
          </w:p>
          <w:p w:rsidR="00BA3CFA" w:rsidRPr="00B32C06" w:rsidRDefault="00BA3CFA" w:rsidP="00CE71D6">
            <w:pPr>
              <w:jc w:val="both"/>
              <w:rPr>
                <w:rFonts w:eastAsia="Calibri"/>
                <w:sz w:val="20"/>
              </w:rPr>
            </w:pPr>
            <w:r w:rsidRPr="00B32C06">
              <w:rPr>
                <w:rFonts w:eastAsia="Calibri"/>
                <w:sz w:val="20"/>
              </w:rPr>
              <w:t>Court of Appeal for Ontario</w:t>
            </w:r>
          </w:p>
          <w:p w:rsidR="00BA3CFA" w:rsidRPr="00B32C06" w:rsidRDefault="00BA3CFA" w:rsidP="00CE71D6">
            <w:pPr>
              <w:jc w:val="both"/>
              <w:rPr>
                <w:rFonts w:eastAsia="Calibri"/>
                <w:sz w:val="20"/>
              </w:rPr>
            </w:pPr>
            <w:r w:rsidRPr="00B32C06">
              <w:rPr>
                <w:rFonts w:eastAsia="Calibri"/>
                <w:sz w:val="20"/>
              </w:rPr>
              <w:t xml:space="preserve">(Doherty, </w:t>
            </w:r>
            <w:proofErr w:type="spellStart"/>
            <w:r w:rsidRPr="00B32C06">
              <w:rPr>
                <w:rFonts w:eastAsia="Calibri"/>
                <w:sz w:val="20"/>
              </w:rPr>
              <w:t>LaForme</w:t>
            </w:r>
            <w:proofErr w:type="spellEnd"/>
            <w:r w:rsidRPr="00B32C06">
              <w:rPr>
                <w:rFonts w:eastAsia="Calibri"/>
                <w:sz w:val="20"/>
              </w:rPr>
              <w:t>, Epstein JJ.A.)</w:t>
            </w:r>
          </w:p>
          <w:p w:rsidR="00BA3CFA" w:rsidRPr="00B32C06" w:rsidRDefault="00BA3CFA" w:rsidP="00CE71D6">
            <w:pPr>
              <w:jc w:val="both"/>
              <w:rPr>
                <w:rFonts w:eastAsia="Calibri"/>
                <w:sz w:val="20"/>
              </w:rPr>
            </w:pPr>
            <w:r w:rsidRPr="00B32C06">
              <w:rPr>
                <w:rFonts w:eastAsia="Calibri"/>
                <w:sz w:val="20"/>
              </w:rPr>
              <w:t>2011 ONCA 239</w:t>
            </w:r>
          </w:p>
          <w:p w:rsidR="00BA3CFA" w:rsidRPr="00B32C06" w:rsidRDefault="00BA3CFA" w:rsidP="00CE71D6">
            <w:pPr>
              <w:jc w:val="both"/>
              <w:rPr>
                <w:rFonts w:eastAsia="Calibri"/>
                <w:sz w:val="20"/>
              </w:rPr>
            </w:pP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CE71D6">
            <w:pPr>
              <w:jc w:val="both"/>
              <w:rPr>
                <w:rFonts w:eastAsia="Calibri"/>
                <w:sz w:val="20"/>
              </w:rPr>
            </w:pPr>
            <w:r w:rsidRPr="00B32C06">
              <w:rPr>
                <w:rFonts w:eastAsia="Calibri"/>
                <w:sz w:val="20"/>
              </w:rPr>
              <w:t>Application for leave to appeal dismissed</w:t>
            </w:r>
          </w:p>
          <w:p w:rsidR="00BA3CFA" w:rsidRPr="00B32C06" w:rsidRDefault="00BA3CFA" w:rsidP="00CE71D6">
            <w:pPr>
              <w:jc w:val="both"/>
              <w:rPr>
                <w:rFonts w:eastAsia="Calibri"/>
                <w:sz w:val="20"/>
              </w:rPr>
            </w:pPr>
          </w:p>
        </w:tc>
      </w:tr>
      <w:tr w:rsidR="00BA3CFA" w:rsidRPr="00B32C06" w:rsidTr="00CE71D6">
        <w:tc>
          <w:tcPr>
            <w:tcW w:w="2427" w:type="pct"/>
          </w:tcPr>
          <w:p w:rsidR="00BA3CFA" w:rsidRPr="00B32C06" w:rsidRDefault="00BA3CFA" w:rsidP="00CE71D6">
            <w:pPr>
              <w:jc w:val="both"/>
              <w:rPr>
                <w:rFonts w:eastAsia="Calibri"/>
                <w:sz w:val="20"/>
              </w:rPr>
            </w:pPr>
            <w:r w:rsidRPr="00B32C06">
              <w:rPr>
                <w:rFonts w:eastAsia="Calibri"/>
                <w:sz w:val="20"/>
              </w:rPr>
              <w:t>November 7, 2011</w:t>
            </w:r>
          </w:p>
          <w:p w:rsidR="00BA3CFA" w:rsidRPr="00B32C06" w:rsidRDefault="00BA3CFA" w:rsidP="00CE71D6">
            <w:pPr>
              <w:jc w:val="both"/>
              <w:rPr>
                <w:rFonts w:eastAsia="Calibri"/>
                <w:sz w:val="20"/>
              </w:rPr>
            </w:pPr>
            <w:r w:rsidRPr="00B32C06">
              <w:rPr>
                <w:rFonts w:eastAsia="Calibri"/>
                <w:sz w:val="20"/>
              </w:rPr>
              <w:t>Supreme Court of Canada</w:t>
            </w:r>
          </w:p>
          <w:p w:rsidR="00BA3CFA" w:rsidRPr="00B32C06" w:rsidRDefault="00BA3CFA" w:rsidP="00CE71D6">
            <w:pPr>
              <w:jc w:val="both"/>
              <w:rPr>
                <w:rFonts w:eastAsia="Calibri"/>
                <w:sz w:val="20"/>
              </w:rPr>
            </w:pPr>
          </w:p>
        </w:tc>
        <w:tc>
          <w:tcPr>
            <w:tcW w:w="243" w:type="pct"/>
          </w:tcPr>
          <w:p w:rsidR="00BA3CFA" w:rsidRPr="00B32C06" w:rsidRDefault="00BA3CFA" w:rsidP="00CE71D6">
            <w:pPr>
              <w:jc w:val="both"/>
              <w:rPr>
                <w:rFonts w:eastAsia="Calibri"/>
                <w:sz w:val="20"/>
              </w:rPr>
            </w:pPr>
          </w:p>
        </w:tc>
        <w:tc>
          <w:tcPr>
            <w:tcW w:w="2330" w:type="pct"/>
          </w:tcPr>
          <w:p w:rsidR="00BA3CFA" w:rsidRPr="00B32C06" w:rsidRDefault="00BA3CFA" w:rsidP="00BA3CFA">
            <w:pPr>
              <w:jc w:val="both"/>
              <w:rPr>
                <w:rFonts w:eastAsia="Calibri"/>
                <w:sz w:val="20"/>
              </w:rPr>
            </w:pPr>
            <w:r w:rsidRPr="00B32C06">
              <w:rPr>
                <w:rFonts w:eastAsia="Calibri"/>
                <w:sz w:val="20"/>
              </w:rPr>
              <w:t xml:space="preserve">Application for leave to appeal and motion for an extension of time to serve and file an application for leave to appeal filed </w:t>
            </w: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75"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3CFA" w:rsidRPr="000A6B41" w:rsidTr="00CE71D6">
        <w:tc>
          <w:tcPr>
            <w:tcW w:w="5000" w:type="pct"/>
            <w:gridSpan w:val="3"/>
          </w:tcPr>
          <w:p w:rsidR="00BA3CFA" w:rsidRPr="00B32C06" w:rsidRDefault="00BA3CFA" w:rsidP="00CE71D6">
            <w:pPr>
              <w:jc w:val="both"/>
              <w:rPr>
                <w:rFonts w:eastAsia="Calibri"/>
                <w:sz w:val="20"/>
                <w:lang w:val="fr-CA"/>
              </w:rPr>
            </w:pPr>
            <w:r w:rsidRPr="00B32C06">
              <w:rPr>
                <w:rFonts w:eastAsia="Calibri"/>
                <w:sz w:val="20"/>
                <w:lang w:val="fr-CA"/>
              </w:rPr>
              <w:t xml:space="preserve">Droit criminel – Preuve – Admissibilité – Le demandeur a été déclaré coupable par procédure sommaire d'avoir détérioré, détruit ou perturbé l’habitat du poisson – Le témoignage d'expert </w:t>
            </w:r>
            <w:proofErr w:type="spellStart"/>
            <w:r w:rsidRPr="00B32C06">
              <w:rPr>
                <w:rFonts w:eastAsia="Calibri"/>
                <w:sz w:val="20"/>
                <w:lang w:val="fr-CA"/>
              </w:rPr>
              <w:t>aurait</w:t>
            </w:r>
            <w:r w:rsidRPr="00B32C06">
              <w:rPr>
                <w:rFonts w:eastAsia="Calibri"/>
                <w:sz w:val="20"/>
                <w:lang w:val="fr-CA"/>
              </w:rPr>
              <w:noBreakHyphen/>
              <w:t>il</w:t>
            </w:r>
            <w:proofErr w:type="spellEnd"/>
            <w:r w:rsidRPr="00B32C06">
              <w:rPr>
                <w:rFonts w:eastAsia="Calibri"/>
                <w:sz w:val="20"/>
                <w:lang w:val="fr-CA"/>
              </w:rPr>
              <w:t xml:space="preserve"> dû être admis? – L'inspection initiale des lieux </w:t>
            </w:r>
            <w:proofErr w:type="spellStart"/>
            <w:r w:rsidRPr="00B32C06">
              <w:rPr>
                <w:rFonts w:eastAsia="Calibri"/>
                <w:sz w:val="20"/>
                <w:lang w:val="fr-CA"/>
              </w:rPr>
              <w:t>était</w:t>
            </w:r>
            <w:r w:rsidRPr="00B32C06">
              <w:rPr>
                <w:rFonts w:eastAsia="Calibri"/>
                <w:sz w:val="20"/>
                <w:lang w:val="fr-CA"/>
              </w:rPr>
              <w:noBreakHyphen/>
              <w:t>elle</w:t>
            </w:r>
            <w:proofErr w:type="spellEnd"/>
            <w:r w:rsidRPr="00B32C06">
              <w:rPr>
                <w:rFonts w:eastAsia="Calibri"/>
                <w:sz w:val="20"/>
                <w:lang w:val="fr-CA"/>
              </w:rPr>
              <w:t xml:space="preserve"> légale? </w:t>
            </w:r>
            <w:r w:rsidRPr="00B32C06">
              <w:rPr>
                <w:rFonts w:eastAsia="Calibri"/>
                <w:iCs/>
                <w:sz w:val="20"/>
                <w:lang w:val="fr-CA"/>
              </w:rPr>
              <w:t>–</w:t>
            </w:r>
            <w:r w:rsidRPr="00B32C06">
              <w:rPr>
                <w:rFonts w:eastAsia="Calibri"/>
                <w:i/>
                <w:sz w:val="20"/>
                <w:lang w:val="fr-CA"/>
              </w:rPr>
              <w:t xml:space="preserve"> Loi sur les pêches</w:t>
            </w:r>
            <w:r w:rsidRPr="00B32C06">
              <w:rPr>
                <w:rFonts w:eastAsia="Calibri"/>
                <w:sz w:val="20"/>
                <w:lang w:val="fr-CA"/>
              </w:rPr>
              <w:t>, L.R.C., 1985, ch. F</w:t>
            </w:r>
            <w:r w:rsidRPr="00B32C06">
              <w:rPr>
                <w:rFonts w:eastAsia="Calibri"/>
                <w:sz w:val="20"/>
                <w:lang w:val="fr-CA"/>
              </w:rPr>
              <w:noBreakHyphen/>
              <w:t>14, arts. 35, 37(1), 38(1) et (3), 40(1), 49(1) et 49.1(1).</w:t>
            </w:r>
          </w:p>
        </w:tc>
      </w:tr>
      <w:tr w:rsidR="00BA3CFA" w:rsidRPr="000A6B41" w:rsidTr="00CE71D6">
        <w:tc>
          <w:tcPr>
            <w:tcW w:w="5000" w:type="pct"/>
            <w:gridSpan w:val="3"/>
          </w:tcPr>
          <w:p w:rsidR="00BA3CFA" w:rsidRPr="00B32C06" w:rsidRDefault="00BA3CFA" w:rsidP="00CE71D6">
            <w:pPr>
              <w:jc w:val="both"/>
              <w:rPr>
                <w:rFonts w:eastAsia="Calibri"/>
                <w:sz w:val="20"/>
                <w:lang w:val="fr-CA"/>
              </w:rPr>
            </w:pPr>
          </w:p>
        </w:tc>
      </w:tr>
      <w:tr w:rsidR="00BA3CFA" w:rsidRPr="002D3F55" w:rsidTr="00CE71D6">
        <w:tc>
          <w:tcPr>
            <w:tcW w:w="5000" w:type="pct"/>
            <w:gridSpan w:val="3"/>
          </w:tcPr>
          <w:p w:rsidR="00BA3CFA" w:rsidRPr="00B32C06" w:rsidRDefault="00BA3CFA" w:rsidP="00CE71D6">
            <w:pPr>
              <w:shd w:val="clear" w:color="auto" w:fill="FFFFFF"/>
              <w:jc w:val="both"/>
              <w:rPr>
                <w:sz w:val="20"/>
                <w:lang w:val="fr-CA"/>
              </w:rPr>
            </w:pPr>
            <w:r w:rsidRPr="00B32C06">
              <w:rPr>
                <w:sz w:val="20"/>
                <w:lang w:val="fr-CA"/>
              </w:rPr>
              <w:t>Le demandeur, M. Sutherland, a été jugé et déclaré coupable par procédure sommaire par la Cour de justice de l'Ontario en application des arts. 35(1) et 40(1)</w:t>
            </w:r>
            <w:r w:rsidRPr="00B32C06">
              <w:rPr>
                <w:i/>
                <w:sz w:val="20"/>
                <w:lang w:val="fr-CA"/>
              </w:rPr>
              <w:t>a</w:t>
            </w:r>
            <w:r w:rsidRPr="00B32C06">
              <w:rPr>
                <w:sz w:val="20"/>
                <w:lang w:val="fr-CA"/>
              </w:rPr>
              <w:t>) de la</w:t>
            </w:r>
            <w:r w:rsidRPr="00B32C06">
              <w:rPr>
                <w:i/>
                <w:sz w:val="20"/>
                <w:lang w:val="fr-CA"/>
              </w:rPr>
              <w:t xml:space="preserve"> Loi sur les pêches</w:t>
            </w:r>
            <w:r w:rsidRPr="00B32C06">
              <w:rPr>
                <w:sz w:val="20"/>
                <w:lang w:val="fr-CA"/>
              </w:rPr>
              <w:t xml:space="preserve">. Le paragraphe 35(1) de la </w:t>
            </w:r>
            <w:r w:rsidRPr="00B32C06">
              <w:rPr>
                <w:i/>
                <w:sz w:val="20"/>
                <w:lang w:val="fr-CA"/>
              </w:rPr>
              <w:t>Loi</w:t>
            </w:r>
            <w:r w:rsidRPr="00B32C06">
              <w:rPr>
                <w:sz w:val="20"/>
                <w:lang w:val="fr-CA"/>
              </w:rPr>
              <w:t xml:space="preserve"> interdit la détérioration, la destruction ou la perturbation de l’habitat du poisson. En vertu de l'al. 40(1)</w:t>
            </w:r>
            <w:r w:rsidRPr="00B32C06">
              <w:rPr>
                <w:i/>
                <w:sz w:val="20"/>
                <w:lang w:val="fr-CA"/>
              </w:rPr>
              <w:t>a</w:t>
            </w:r>
            <w:r w:rsidRPr="00B32C06">
              <w:rPr>
                <w:sz w:val="20"/>
                <w:lang w:val="fr-CA"/>
              </w:rPr>
              <w:t xml:space="preserve">) de la </w:t>
            </w:r>
            <w:r w:rsidRPr="00B32C06">
              <w:rPr>
                <w:i/>
                <w:iCs/>
                <w:sz w:val="20"/>
                <w:lang w:val="fr-CA"/>
              </w:rPr>
              <w:t>Loi</w:t>
            </w:r>
            <w:r w:rsidRPr="00B32C06">
              <w:rPr>
                <w:sz w:val="20"/>
                <w:lang w:val="fr-CA"/>
              </w:rPr>
              <w:t xml:space="preserve">, quiconque contrevient au par. 35(1) est coupable d'une infraction punissable par procédure sommaire et encourt, lors d’une première infraction, une amende maximale de trois cent mille dollars. En 2002, le ministère des Pêches et des Océans a reçu une plainte comme quoi des travaux avaient été entrepris dans un ruisseau situé sur le terrain de M. Sutherland. Pour y donner suite, M. </w:t>
            </w:r>
            <w:proofErr w:type="spellStart"/>
            <w:r w:rsidRPr="00B32C06">
              <w:rPr>
                <w:sz w:val="20"/>
                <w:lang w:val="fr-CA"/>
              </w:rPr>
              <w:t>Schuyler</w:t>
            </w:r>
            <w:proofErr w:type="spellEnd"/>
            <w:r w:rsidRPr="00B32C06">
              <w:rPr>
                <w:sz w:val="20"/>
                <w:lang w:val="fr-CA"/>
              </w:rPr>
              <w:t xml:space="preserve">, un agent des pêches du ministère, et Mme </w:t>
            </w:r>
            <w:proofErr w:type="spellStart"/>
            <w:r w:rsidRPr="00B32C06">
              <w:rPr>
                <w:sz w:val="20"/>
                <w:lang w:val="fr-CA"/>
              </w:rPr>
              <w:t>Hallett</w:t>
            </w:r>
            <w:proofErr w:type="spellEnd"/>
            <w:r w:rsidRPr="00B32C06">
              <w:rPr>
                <w:sz w:val="20"/>
                <w:lang w:val="fr-CA"/>
              </w:rPr>
              <w:t>, une biologiste du ministère spécialisée en habitat du poisson, ont inspecté les lieux.</w:t>
            </w:r>
          </w:p>
          <w:p w:rsidR="00BA3CFA" w:rsidRPr="00B32C06" w:rsidRDefault="00BA3CFA" w:rsidP="00CE71D6">
            <w:pPr>
              <w:shd w:val="clear" w:color="auto" w:fill="FFFFFF"/>
              <w:jc w:val="both"/>
              <w:rPr>
                <w:sz w:val="20"/>
                <w:lang w:val="fr-CA"/>
              </w:rPr>
            </w:pPr>
          </w:p>
          <w:p w:rsidR="00BA3CFA" w:rsidRPr="00B32C06" w:rsidRDefault="00BA3CFA" w:rsidP="00CE71D6">
            <w:pPr>
              <w:shd w:val="clear" w:color="auto" w:fill="FFFFFF"/>
              <w:jc w:val="both"/>
              <w:rPr>
                <w:sz w:val="20"/>
                <w:lang w:val="fr-CA"/>
              </w:rPr>
            </w:pPr>
            <w:r w:rsidRPr="00B32C06">
              <w:rPr>
                <w:sz w:val="20"/>
                <w:lang w:val="fr-CA"/>
              </w:rPr>
              <w:t>La Cour supérieure de justice de l'Ontario a rejeté l'appel et la Cour d'appel de l'Ontario a refusé l'autorisation d'appel.</w:t>
            </w:r>
          </w:p>
          <w:p w:rsidR="00BA3CFA" w:rsidRPr="00B32C06" w:rsidRDefault="00BA3CFA" w:rsidP="00CE71D6">
            <w:pPr>
              <w:jc w:val="both"/>
              <w:rPr>
                <w:rFonts w:eastAsia="Calibri"/>
                <w:sz w:val="20"/>
                <w:lang w:val="fr-CA"/>
              </w:rPr>
            </w:pPr>
          </w:p>
        </w:tc>
      </w:tr>
      <w:tr w:rsidR="00BA3CFA" w:rsidRPr="002D3F55" w:rsidTr="00CE71D6">
        <w:tc>
          <w:tcPr>
            <w:tcW w:w="2427" w:type="pct"/>
          </w:tcPr>
          <w:p w:rsidR="00BA3CFA" w:rsidRPr="00B32C06" w:rsidRDefault="00BA3CFA" w:rsidP="00CE71D6">
            <w:pPr>
              <w:jc w:val="both"/>
              <w:rPr>
                <w:rFonts w:eastAsia="Calibri"/>
                <w:sz w:val="20"/>
                <w:lang w:val="fr-CA"/>
              </w:rPr>
            </w:pPr>
            <w:r w:rsidRPr="00B32C06">
              <w:rPr>
                <w:rFonts w:eastAsia="Calibri"/>
                <w:sz w:val="20"/>
                <w:lang w:val="fr-CA"/>
              </w:rPr>
              <w:t>2 novembre 2007</w:t>
            </w:r>
          </w:p>
          <w:p w:rsidR="00BA3CFA" w:rsidRPr="00B32C06" w:rsidRDefault="00BA3CFA" w:rsidP="00CE71D6">
            <w:pPr>
              <w:jc w:val="both"/>
              <w:rPr>
                <w:rFonts w:eastAsia="Calibri"/>
                <w:sz w:val="20"/>
                <w:lang w:val="fr-CA"/>
              </w:rPr>
            </w:pPr>
            <w:r w:rsidRPr="00B32C06">
              <w:rPr>
                <w:rFonts w:eastAsia="Calibri"/>
                <w:sz w:val="20"/>
                <w:lang w:val="fr-CA"/>
              </w:rPr>
              <w:t xml:space="preserve">Cour de justice de l'Ontario </w:t>
            </w:r>
          </w:p>
          <w:p w:rsidR="00BA3CFA" w:rsidRPr="00B32C06" w:rsidRDefault="00BA3CFA" w:rsidP="00CE71D6">
            <w:pPr>
              <w:jc w:val="both"/>
              <w:rPr>
                <w:rFonts w:eastAsia="Calibri"/>
                <w:sz w:val="20"/>
                <w:lang w:val="fr-CA"/>
              </w:rPr>
            </w:pPr>
            <w:r w:rsidRPr="00B32C06">
              <w:rPr>
                <w:rFonts w:eastAsia="Calibri"/>
                <w:sz w:val="20"/>
                <w:lang w:val="fr-CA"/>
              </w:rPr>
              <w:t>(Juge Lafleur)</w:t>
            </w:r>
          </w:p>
          <w:p w:rsidR="00BA3CFA" w:rsidRPr="00B32C06" w:rsidRDefault="00BA3CFA" w:rsidP="00CE71D6">
            <w:pPr>
              <w:jc w:val="both"/>
              <w:rPr>
                <w:rFonts w:eastAsia="Calibri"/>
                <w:sz w:val="20"/>
                <w:lang w:val="fr-CA"/>
              </w:rPr>
            </w:pP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CE71D6">
            <w:pPr>
              <w:jc w:val="both"/>
              <w:rPr>
                <w:rFonts w:eastAsia="Calibri"/>
                <w:sz w:val="20"/>
                <w:lang w:val="fr-CA"/>
              </w:rPr>
            </w:pPr>
            <w:r w:rsidRPr="00B32C06">
              <w:rPr>
                <w:rFonts w:eastAsia="Calibri"/>
                <w:sz w:val="20"/>
                <w:lang w:val="fr-CA"/>
              </w:rPr>
              <w:t>Le demandeur est déclaré coupable par procédure sommaire d'avoir détérioré, détruit ou perturbé l'habitat du poisson; amende imposée</w:t>
            </w:r>
          </w:p>
          <w:p w:rsidR="00BA3CFA" w:rsidRPr="00B32C06" w:rsidRDefault="00BA3CFA" w:rsidP="00CE71D6">
            <w:pPr>
              <w:jc w:val="both"/>
              <w:rPr>
                <w:rFonts w:eastAsia="Calibri"/>
                <w:sz w:val="20"/>
                <w:lang w:val="fr-CA"/>
              </w:rPr>
            </w:pPr>
          </w:p>
        </w:tc>
      </w:tr>
      <w:tr w:rsidR="00BA3CFA" w:rsidRPr="00B32C06" w:rsidTr="00CE71D6">
        <w:tc>
          <w:tcPr>
            <w:tcW w:w="2427" w:type="pct"/>
          </w:tcPr>
          <w:p w:rsidR="00BA3CFA" w:rsidRPr="00B32C06" w:rsidRDefault="00BA3CFA" w:rsidP="00CE71D6">
            <w:pPr>
              <w:jc w:val="both"/>
              <w:rPr>
                <w:rFonts w:eastAsia="Calibri"/>
                <w:sz w:val="20"/>
                <w:lang w:val="fr-CA"/>
              </w:rPr>
            </w:pPr>
            <w:r w:rsidRPr="00B32C06">
              <w:rPr>
                <w:rFonts w:eastAsia="Calibri"/>
                <w:sz w:val="20"/>
                <w:lang w:val="fr-CA"/>
              </w:rPr>
              <w:t>27 avril 2010</w:t>
            </w:r>
          </w:p>
          <w:p w:rsidR="00BA3CFA" w:rsidRPr="00B32C06" w:rsidRDefault="00BA3CFA" w:rsidP="00CE71D6">
            <w:pPr>
              <w:jc w:val="both"/>
              <w:rPr>
                <w:rFonts w:eastAsia="Calibri"/>
                <w:sz w:val="20"/>
                <w:lang w:val="fr-CA"/>
              </w:rPr>
            </w:pPr>
            <w:r w:rsidRPr="00B32C06">
              <w:rPr>
                <w:rFonts w:eastAsia="Calibri"/>
                <w:sz w:val="20"/>
                <w:lang w:val="fr-CA"/>
              </w:rPr>
              <w:t xml:space="preserve">Cour supérieure de justice de l'Ontario </w:t>
            </w:r>
          </w:p>
          <w:p w:rsidR="00BA3CFA" w:rsidRPr="00B32C06" w:rsidRDefault="00BA3CFA" w:rsidP="00CE71D6">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Koke</w:t>
            </w:r>
            <w:proofErr w:type="spellEnd"/>
            <w:r w:rsidRPr="00B32C06">
              <w:rPr>
                <w:rFonts w:eastAsia="Calibri"/>
                <w:sz w:val="20"/>
                <w:lang w:val="fr-CA"/>
              </w:rPr>
              <w:t>)</w:t>
            </w:r>
          </w:p>
          <w:p w:rsidR="00BA3CFA" w:rsidRPr="00B32C06" w:rsidRDefault="00BA3CFA" w:rsidP="00CE71D6">
            <w:pPr>
              <w:jc w:val="both"/>
              <w:rPr>
                <w:rFonts w:eastAsia="Calibri"/>
                <w:sz w:val="20"/>
                <w:lang w:val="fr-CA"/>
              </w:rPr>
            </w:pPr>
            <w:r w:rsidRPr="00B32C06">
              <w:rPr>
                <w:rFonts w:eastAsia="Calibri"/>
                <w:sz w:val="20"/>
                <w:lang w:val="fr-CA"/>
              </w:rPr>
              <w:t>2010 ONSC 2240</w:t>
            </w:r>
          </w:p>
          <w:p w:rsidR="00BA3CFA" w:rsidRPr="00B32C06" w:rsidRDefault="00BA3CFA" w:rsidP="00CE71D6">
            <w:pPr>
              <w:jc w:val="both"/>
              <w:rPr>
                <w:rFonts w:eastAsia="Calibri"/>
                <w:sz w:val="20"/>
                <w:lang w:val="fr-CA"/>
              </w:rPr>
            </w:pP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CE71D6">
            <w:pPr>
              <w:jc w:val="both"/>
              <w:rPr>
                <w:rFonts w:eastAsia="Calibri"/>
                <w:sz w:val="20"/>
                <w:lang w:val="fr-CA"/>
              </w:rPr>
            </w:pPr>
            <w:r w:rsidRPr="00B32C06">
              <w:rPr>
                <w:rFonts w:eastAsia="Calibri"/>
                <w:sz w:val="20"/>
                <w:lang w:val="fr-CA"/>
              </w:rPr>
              <w:t>Appel rejeté</w:t>
            </w:r>
          </w:p>
          <w:p w:rsidR="00BA3CFA" w:rsidRPr="00B32C06" w:rsidRDefault="00BA3CFA" w:rsidP="00CE71D6">
            <w:pPr>
              <w:jc w:val="both"/>
              <w:rPr>
                <w:rFonts w:eastAsia="Calibri"/>
                <w:sz w:val="20"/>
                <w:lang w:val="fr-CA"/>
              </w:rPr>
            </w:pPr>
          </w:p>
        </w:tc>
      </w:tr>
      <w:tr w:rsidR="00BA3CFA" w:rsidRPr="00B32C06" w:rsidTr="002F35A9">
        <w:trPr>
          <w:cantSplit/>
        </w:trPr>
        <w:tc>
          <w:tcPr>
            <w:tcW w:w="2427" w:type="pct"/>
          </w:tcPr>
          <w:p w:rsidR="00BA3CFA" w:rsidRPr="00B32C06" w:rsidRDefault="00BA3CFA" w:rsidP="00CE71D6">
            <w:pPr>
              <w:jc w:val="both"/>
              <w:rPr>
                <w:rFonts w:eastAsia="Calibri"/>
                <w:sz w:val="20"/>
                <w:lang w:val="fr-CA"/>
              </w:rPr>
            </w:pPr>
            <w:r w:rsidRPr="00B32C06">
              <w:rPr>
                <w:rFonts w:eastAsia="Calibri"/>
                <w:sz w:val="20"/>
                <w:lang w:val="fr-CA"/>
              </w:rPr>
              <w:lastRenderedPageBreak/>
              <w:t>24 mars 2011</w:t>
            </w:r>
          </w:p>
          <w:p w:rsidR="00BA3CFA" w:rsidRPr="00B32C06" w:rsidRDefault="00BA3CFA" w:rsidP="00CE71D6">
            <w:pPr>
              <w:jc w:val="both"/>
              <w:rPr>
                <w:rFonts w:eastAsia="Calibri"/>
                <w:sz w:val="20"/>
                <w:lang w:val="fr-CA"/>
              </w:rPr>
            </w:pPr>
            <w:r w:rsidRPr="00B32C06">
              <w:rPr>
                <w:rFonts w:eastAsia="Calibri"/>
                <w:sz w:val="20"/>
                <w:lang w:val="fr-CA"/>
              </w:rPr>
              <w:t xml:space="preserve">Cour d'appel de l'Ontario </w:t>
            </w:r>
          </w:p>
          <w:p w:rsidR="00BA3CFA" w:rsidRPr="00B32C06" w:rsidRDefault="00BA3CFA" w:rsidP="00CE71D6">
            <w:pPr>
              <w:jc w:val="both"/>
              <w:rPr>
                <w:rFonts w:eastAsia="Calibri"/>
                <w:sz w:val="20"/>
                <w:lang w:val="fr-CA"/>
              </w:rPr>
            </w:pPr>
            <w:r w:rsidRPr="00B32C06">
              <w:rPr>
                <w:rFonts w:eastAsia="Calibri"/>
                <w:sz w:val="20"/>
                <w:lang w:val="fr-CA"/>
              </w:rPr>
              <w:t xml:space="preserve">(Juges Doherty, </w:t>
            </w:r>
            <w:proofErr w:type="spellStart"/>
            <w:r w:rsidRPr="00B32C06">
              <w:rPr>
                <w:rFonts w:eastAsia="Calibri"/>
                <w:sz w:val="20"/>
                <w:lang w:val="fr-CA"/>
              </w:rPr>
              <w:t>LaForme</w:t>
            </w:r>
            <w:proofErr w:type="spellEnd"/>
            <w:r w:rsidRPr="00B32C06">
              <w:rPr>
                <w:rFonts w:eastAsia="Calibri"/>
                <w:sz w:val="20"/>
                <w:lang w:val="fr-CA"/>
              </w:rPr>
              <w:t xml:space="preserve"> et Epstein)</w:t>
            </w:r>
          </w:p>
          <w:p w:rsidR="00BA3CFA" w:rsidRPr="00B32C06" w:rsidRDefault="00BA3CFA" w:rsidP="00CE71D6">
            <w:pPr>
              <w:jc w:val="both"/>
              <w:rPr>
                <w:rFonts w:eastAsia="Calibri"/>
                <w:sz w:val="20"/>
                <w:lang w:val="fr-CA"/>
              </w:rPr>
            </w:pPr>
            <w:r w:rsidRPr="00B32C06">
              <w:rPr>
                <w:rFonts w:eastAsia="Calibri"/>
                <w:sz w:val="20"/>
                <w:lang w:val="fr-CA"/>
              </w:rPr>
              <w:t>2011 ONCA 239</w:t>
            </w:r>
          </w:p>
          <w:p w:rsidR="00BA3CFA" w:rsidRPr="00B32C06" w:rsidRDefault="00BA3CFA" w:rsidP="00CE71D6">
            <w:pPr>
              <w:jc w:val="both"/>
              <w:rPr>
                <w:rFonts w:eastAsia="Calibri"/>
                <w:sz w:val="20"/>
                <w:lang w:val="fr-CA"/>
              </w:rPr>
            </w:pP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CE71D6">
            <w:pPr>
              <w:jc w:val="both"/>
              <w:rPr>
                <w:rFonts w:eastAsia="Calibri"/>
                <w:sz w:val="20"/>
                <w:lang w:val="fr-CA"/>
              </w:rPr>
            </w:pPr>
            <w:r w:rsidRPr="00B32C06">
              <w:rPr>
                <w:rFonts w:eastAsia="Calibri"/>
                <w:sz w:val="20"/>
                <w:lang w:val="fr-CA"/>
              </w:rPr>
              <w:t>Demande d'autorisation d'appel, rejetée</w:t>
            </w:r>
          </w:p>
          <w:p w:rsidR="00BA3CFA" w:rsidRPr="00B32C06" w:rsidRDefault="00BA3CFA" w:rsidP="00CE71D6">
            <w:pPr>
              <w:jc w:val="both"/>
              <w:rPr>
                <w:rFonts w:eastAsia="Calibri"/>
                <w:sz w:val="20"/>
                <w:lang w:val="fr-CA"/>
              </w:rPr>
            </w:pPr>
          </w:p>
        </w:tc>
      </w:tr>
      <w:tr w:rsidR="00BA3CFA" w:rsidRPr="002D3F55" w:rsidTr="002F35A9">
        <w:trPr>
          <w:cantSplit/>
        </w:trPr>
        <w:tc>
          <w:tcPr>
            <w:tcW w:w="2427" w:type="pct"/>
          </w:tcPr>
          <w:p w:rsidR="00BA3CFA" w:rsidRPr="00B32C06" w:rsidRDefault="00BA3CFA" w:rsidP="00CE71D6">
            <w:pPr>
              <w:jc w:val="both"/>
              <w:rPr>
                <w:rFonts w:eastAsia="Calibri"/>
                <w:sz w:val="20"/>
                <w:lang w:val="fr-CA"/>
              </w:rPr>
            </w:pPr>
            <w:r w:rsidRPr="00B32C06">
              <w:rPr>
                <w:rFonts w:eastAsia="Calibri"/>
                <w:sz w:val="20"/>
                <w:lang w:val="fr-CA"/>
              </w:rPr>
              <w:t>7 novembre 2011</w:t>
            </w:r>
          </w:p>
          <w:p w:rsidR="00BA3CFA" w:rsidRPr="00B32C06" w:rsidRDefault="00BA3CFA" w:rsidP="00CE71D6">
            <w:pPr>
              <w:jc w:val="both"/>
              <w:rPr>
                <w:rFonts w:eastAsia="Calibri"/>
                <w:sz w:val="20"/>
                <w:lang w:val="fr-CA"/>
              </w:rPr>
            </w:pPr>
            <w:r w:rsidRPr="00B32C06">
              <w:rPr>
                <w:rFonts w:eastAsia="Calibri"/>
                <w:sz w:val="20"/>
                <w:lang w:val="fr-CA"/>
              </w:rPr>
              <w:t>Cour suprême du Canada</w:t>
            </w:r>
          </w:p>
          <w:p w:rsidR="00BA3CFA" w:rsidRPr="00B32C06" w:rsidRDefault="00BA3CFA" w:rsidP="00CE71D6">
            <w:pPr>
              <w:jc w:val="both"/>
              <w:rPr>
                <w:rFonts w:eastAsia="Calibri"/>
                <w:sz w:val="20"/>
                <w:lang w:val="fr-CA"/>
              </w:rPr>
            </w:pPr>
          </w:p>
        </w:tc>
        <w:tc>
          <w:tcPr>
            <w:tcW w:w="243" w:type="pct"/>
          </w:tcPr>
          <w:p w:rsidR="00BA3CFA" w:rsidRPr="00B32C06" w:rsidRDefault="00BA3CFA" w:rsidP="00CE71D6">
            <w:pPr>
              <w:jc w:val="both"/>
              <w:rPr>
                <w:rFonts w:eastAsia="Calibri"/>
                <w:sz w:val="20"/>
                <w:lang w:val="fr-CA"/>
              </w:rPr>
            </w:pPr>
          </w:p>
        </w:tc>
        <w:tc>
          <w:tcPr>
            <w:tcW w:w="2330" w:type="pct"/>
          </w:tcPr>
          <w:p w:rsidR="00BA3CFA" w:rsidRPr="00B32C06" w:rsidRDefault="00BA3CFA" w:rsidP="00BA3CFA">
            <w:pPr>
              <w:jc w:val="both"/>
              <w:rPr>
                <w:rFonts w:eastAsia="Calibri"/>
                <w:sz w:val="20"/>
                <w:lang w:val="fr-CA"/>
              </w:rPr>
            </w:pPr>
            <w:r w:rsidRPr="00B32C06">
              <w:rPr>
                <w:rFonts w:eastAsia="Calibri"/>
                <w:sz w:val="20"/>
                <w:lang w:val="fr-CA"/>
              </w:rPr>
              <w:t>Demande d'autorisation d'appel et requête en prorogation du délai de signification et de dépôt d'une demande d'autorisation d'appel, déposées.</w:t>
            </w:r>
          </w:p>
        </w:tc>
      </w:tr>
    </w:tbl>
    <w:p w:rsidR="00C64AFA" w:rsidRPr="00BA3CFA" w:rsidRDefault="00C64AFA" w:rsidP="00C64AFA">
      <w:pPr>
        <w:rPr>
          <w:sz w:val="20"/>
          <w:szCs w:val="20"/>
          <w:lang w:val="fr-CA"/>
        </w:rPr>
      </w:pPr>
    </w:p>
    <w:p w:rsidR="00C64AFA" w:rsidRDefault="007505E6" w:rsidP="00C64AFA">
      <w:pPr>
        <w:rPr>
          <w:sz w:val="20"/>
          <w:szCs w:val="20"/>
        </w:rPr>
      </w:pPr>
      <w:r w:rsidRPr="007505E6">
        <w:rPr>
          <w:sz w:val="20"/>
          <w:szCs w:val="20"/>
          <w:lang w:val="fr-CA"/>
        </w:rPr>
        <w:pict>
          <v:rect id="_x0000_i1076" style="width:2in;height:1pt" o:hrpct="0" o:hralign="center" o:hrstd="t" o:hrnoshade="t" o:hr="t" fillcolor="black [3213]" stroked="f"/>
        </w:pict>
      </w:r>
    </w:p>
    <w:p w:rsidR="00C64AFA" w:rsidRDefault="00C64AFA" w:rsidP="00C64AFA">
      <w:pPr>
        <w:rPr>
          <w:sz w:val="20"/>
          <w:szCs w:val="20"/>
        </w:rPr>
      </w:pP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32F8" w:rsidRPr="00CF32F8" w:rsidTr="00EC0D48">
        <w:trPr>
          <w:cantSplit/>
        </w:trPr>
        <w:tc>
          <w:tcPr>
            <w:tcW w:w="1458" w:type="dxa"/>
          </w:tcPr>
          <w:p w:rsidR="00CF32F8" w:rsidRPr="00CF32F8" w:rsidRDefault="00CF32F8" w:rsidP="00EC0D48">
            <w:pPr>
              <w:rPr>
                <w:sz w:val="20"/>
                <w:szCs w:val="20"/>
              </w:rPr>
            </w:pPr>
            <w:r w:rsidRPr="00CF32F8">
              <w:rPr>
                <w:rStyle w:val="SCCFileNumberChar"/>
                <w:sz w:val="20"/>
                <w:szCs w:val="20"/>
              </w:rPr>
              <w:t>34537</w:t>
            </w:r>
          </w:p>
          <w:p w:rsidR="00CF32F8" w:rsidRPr="00CF32F8" w:rsidRDefault="00CF32F8" w:rsidP="00EC0D48">
            <w:pPr>
              <w:rPr>
                <w:b/>
                <w:sz w:val="20"/>
                <w:szCs w:val="20"/>
                <w:lang w:val="fr-CA"/>
              </w:rPr>
            </w:pPr>
          </w:p>
        </w:tc>
        <w:tc>
          <w:tcPr>
            <w:tcW w:w="8118" w:type="dxa"/>
          </w:tcPr>
          <w:p w:rsidR="00CF32F8" w:rsidRPr="00CF32F8" w:rsidRDefault="00CF32F8" w:rsidP="00EC0D48">
            <w:pPr>
              <w:rPr>
                <w:sz w:val="20"/>
                <w:szCs w:val="20"/>
              </w:rPr>
            </w:pPr>
            <w:proofErr w:type="spellStart"/>
            <w:r w:rsidRPr="00CF32F8">
              <w:rPr>
                <w:rStyle w:val="SCCLsocChar"/>
                <w:sz w:val="20"/>
                <w:szCs w:val="20"/>
                <w:lang w:val="en-CA"/>
              </w:rPr>
              <w:t>Sirshar</w:t>
            </w:r>
            <w:proofErr w:type="spellEnd"/>
            <w:r w:rsidRPr="00CF32F8">
              <w:rPr>
                <w:rStyle w:val="SCCLsocChar"/>
                <w:sz w:val="20"/>
                <w:szCs w:val="20"/>
                <w:lang w:val="en-CA"/>
              </w:rPr>
              <w:t xml:space="preserve"> Ahmad v. Her Majesty the Queen</w:t>
            </w:r>
            <w:r w:rsidRPr="00CF32F8">
              <w:rPr>
                <w:sz w:val="20"/>
                <w:szCs w:val="20"/>
              </w:rPr>
              <w:t xml:space="preserve"> (Ont.) (Criminal) (By Leave)</w:t>
            </w:r>
          </w:p>
          <w:p w:rsidR="00CF32F8" w:rsidRPr="00CF32F8" w:rsidRDefault="00CF32F8" w:rsidP="00EC0D48">
            <w:pPr>
              <w:rPr>
                <w:sz w:val="20"/>
                <w:szCs w:val="20"/>
              </w:rPr>
            </w:pPr>
          </w:p>
        </w:tc>
      </w:tr>
      <w:tr w:rsidR="00CF32F8" w:rsidRPr="00CF32F8" w:rsidTr="00EC0D48">
        <w:trPr>
          <w:cantSplit/>
        </w:trPr>
        <w:tc>
          <w:tcPr>
            <w:tcW w:w="1458" w:type="dxa"/>
          </w:tcPr>
          <w:p w:rsidR="00CF32F8" w:rsidRPr="00CF32F8" w:rsidRDefault="00CF32F8" w:rsidP="00EC0D48">
            <w:pPr>
              <w:rPr>
                <w:sz w:val="20"/>
                <w:szCs w:val="20"/>
              </w:rPr>
            </w:pPr>
            <w:r w:rsidRPr="00CF32F8">
              <w:rPr>
                <w:sz w:val="20"/>
                <w:szCs w:val="20"/>
              </w:rPr>
              <w:t>Coram :</w:t>
            </w:r>
          </w:p>
        </w:tc>
        <w:tc>
          <w:tcPr>
            <w:tcW w:w="8118" w:type="dxa"/>
          </w:tcPr>
          <w:p w:rsidR="00CF32F8" w:rsidRPr="00CF32F8" w:rsidRDefault="00CF32F8" w:rsidP="00EC0D48">
            <w:pPr>
              <w:rPr>
                <w:sz w:val="20"/>
                <w:szCs w:val="20"/>
              </w:rPr>
            </w:pPr>
            <w:proofErr w:type="spellStart"/>
            <w:r w:rsidRPr="00CF32F8">
              <w:rPr>
                <w:rStyle w:val="SCCCoramChar"/>
                <w:sz w:val="20"/>
                <w:szCs w:val="20"/>
                <w:lang w:val="en-CA"/>
              </w:rPr>
              <w:t>McLachlin</w:t>
            </w:r>
            <w:proofErr w:type="spellEnd"/>
            <w:r w:rsidRPr="00CF32F8">
              <w:rPr>
                <w:rStyle w:val="SCCCoramChar"/>
                <w:sz w:val="20"/>
                <w:szCs w:val="20"/>
                <w:lang w:val="en-CA"/>
              </w:rPr>
              <w:t xml:space="preserve"> C.J. and Rothstein and </w:t>
            </w:r>
            <w:proofErr w:type="spellStart"/>
            <w:r w:rsidRPr="00CF32F8">
              <w:rPr>
                <w:rStyle w:val="SCCCoramChar"/>
                <w:sz w:val="20"/>
                <w:szCs w:val="20"/>
                <w:lang w:val="en-CA"/>
              </w:rPr>
              <w:t>Moldaver</w:t>
            </w:r>
            <w:proofErr w:type="spellEnd"/>
            <w:r w:rsidRPr="00CF32F8">
              <w:rPr>
                <w:rStyle w:val="SCCCoramChar"/>
                <w:sz w:val="20"/>
                <w:szCs w:val="20"/>
                <w:lang w:val="en-CA"/>
              </w:rPr>
              <w:t> JJ.</w:t>
            </w:r>
          </w:p>
          <w:p w:rsidR="00CF32F8" w:rsidRPr="00CF32F8" w:rsidRDefault="00CF32F8" w:rsidP="00EC0D48">
            <w:pPr>
              <w:rPr>
                <w:sz w:val="20"/>
                <w:szCs w:val="20"/>
                <w:u w:val="single"/>
              </w:rPr>
            </w:pPr>
          </w:p>
        </w:tc>
      </w:tr>
      <w:tr w:rsidR="00CF32F8" w:rsidRPr="002D3F55" w:rsidTr="00EC0D48">
        <w:trPr>
          <w:cantSplit/>
        </w:trPr>
        <w:tc>
          <w:tcPr>
            <w:tcW w:w="9576" w:type="dxa"/>
            <w:gridSpan w:val="2"/>
          </w:tcPr>
          <w:p w:rsidR="00CF32F8" w:rsidRPr="00CF32F8" w:rsidRDefault="00CF32F8" w:rsidP="00EC0D48">
            <w:pPr>
              <w:pStyle w:val="SCCShortJudgment"/>
              <w:rPr>
                <w:szCs w:val="20"/>
              </w:rPr>
            </w:pPr>
            <w:r w:rsidRPr="00CF32F8">
              <w:rPr>
                <w:szCs w:val="20"/>
              </w:rPr>
              <w:t>The application for leave to appeal from the judgment of the Court of Appeal for Ontario, Number C51771, 2011 ONCA 617, dated September 26, 2011, is dismissed without costs.</w:t>
            </w:r>
          </w:p>
          <w:p w:rsidR="00CF32F8" w:rsidRPr="00CF32F8" w:rsidRDefault="00CF32F8" w:rsidP="00EC0D48">
            <w:pPr>
              <w:pStyle w:val="SCCShortJudgment"/>
              <w:ind w:firstLine="0"/>
              <w:rPr>
                <w:szCs w:val="20"/>
              </w:rPr>
            </w:pPr>
          </w:p>
          <w:p w:rsidR="00CF32F8" w:rsidRPr="00CF32F8" w:rsidRDefault="00CF32F8" w:rsidP="00EC0D48">
            <w:pPr>
              <w:pStyle w:val="SCCShortJudgment"/>
              <w:rPr>
                <w:szCs w:val="20"/>
                <w:lang w:val="fr-CA"/>
              </w:rPr>
            </w:pPr>
            <w:r w:rsidRPr="00CF32F8">
              <w:rPr>
                <w:szCs w:val="20"/>
                <w:lang w:val="fr-CA"/>
              </w:rPr>
              <w:t>La demande d’autorisation d’appel de l’arrêt de la Cour d’appel de l’Ontario, numéro C51771, 2011 ONCA 617, daté du 26 septembre 2011, est rejetée sans dépens.</w:t>
            </w:r>
          </w:p>
        </w:tc>
      </w:tr>
    </w:tbl>
    <w:p w:rsidR="00C64AFA" w:rsidRPr="00CF32F8"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543C18" w:rsidRPr="00B32C06" w:rsidTr="00CD0650">
        <w:trPr>
          <w:gridAfter w:val="1"/>
          <w:wAfter w:w="48" w:type="pct"/>
        </w:trPr>
        <w:tc>
          <w:tcPr>
            <w:tcW w:w="4952" w:type="pct"/>
            <w:gridSpan w:val="3"/>
          </w:tcPr>
          <w:p w:rsidR="00543C18" w:rsidRPr="00B32C06" w:rsidRDefault="00543C18" w:rsidP="00CD0650">
            <w:pPr>
              <w:jc w:val="both"/>
              <w:rPr>
                <w:rFonts w:eastAsia="Calibri"/>
                <w:sz w:val="20"/>
              </w:rPr>
            </w:pPr>
            <w:r w:rsidRPr="00B32C06">
              <w:rPr>
                <w:rFonts w:eastAsia="Calibri"/>
                <w:sz w:val="20"/>
              </w:rPr>
              <w:t>Criminal Law — Assessment of credibility — Evidence — Whether Court of Appeal failed to take into account trial judge’s speculative conclusions, which tolled against the credibility of the accused — Whether Court of Appeal dismissed appeal based on observations that the trial judge was experienced and gave lengthy reasons without due regard to the trial judge’s misapprehension of crucial evidence — Whether Court of Appeal erred in principle by declining to admit fresh evidence on the appeal — Whether forensic evidence on balance favoured the applicant.</w:t>
            </w:r>
          </w:p>
        </w:tc>
      </w:tr>
      <w:tr w:rsidR="00543C18" w:rsidRPr="00B32C06" w:rsidTr="00CD0650">
        <w:trPr>
          <w:gridAfter w:val="1"/>
          <w:wAfter w:w="48" w:type="pct"/>
        </w:trPr>
        <w:tc>
          <w:tcPr>
            <w:tcW w:w="4952" w:type="pct"/>
            <w:gridSpan w:val="3"/>
          </w:tcPr>
          <w:p w:rsidR="00543C18" w:rsidRPr="00B32C06" w:rsidRDefault="00543C18" w:rsidP="00CD0650">
            <w:pPr>
              <w:jc w:val="both"/>
              <w:rPr>
                <w:rFonts w:eastAsia="Calibri"/>
                <w:sz w:val="20"/>
              </w:rPr>
            </w:pPr>
          </w:p>
        </w:tc>
      </w:tr>
      <w:tr w:rsidR="00543C18" w:rsidRPr="00B32C06" w:rsidTr="00CD0650">
        <w:trPr>
          <w:gridAfter w:val="1"/>
          <w:wAfter w:w="48" w:type="pct"/>
        </w:trPr>
        <w:tc>
          <w:tcPr>
            <w:tcW w:w="4952" w:type="pct"/>
            <w:gridSpan w:val="3"/>
          </w:tcPr>
          <w:p w:rsidR="00543C18" w:rsidRPr="00B32C06" w:rsidRDefault="00543C18" w:rsidP="00CD0650">
            <w:pPr>
              <w:jc w:val="both"/>
              <w:rPr>
                <w:rFonts w:eastAsia="Calibri"/>
                <w:sz w:val="20"/>
              </w:rPr>
            </w:pPr>
            <w:r w:rsidRPr="00B32C06">
              <w:rPr>
                <w:rFonts w:eastAsia="Calibri"/>
                <w:sz w:val="20"/>
              </w:rPr>
              <w:t xml:space="preserve">The applicant was convicted of one count of assault and one count of sexual assault of his girlfriend.  The complainant testified that he appeared intoxicated when he arrived at her apartment to pick her up for an evening together.  She testified that he physically assaulted her during a car ride to his apartment and sexually assaulted her at his apartment.  The applicant denied the assaults.  He denied intoxication and testified that they watched movies at his apartment until the complainant suddenly decided to return home by taxi. At issue is the trial judge’s assessment of credibility and the evidence.  The trial judge found the complainant credible and rejected much of the applicant’s testimony.  The Court of Appeal decided not to admit fresh evidence showing that the applicant had his car repaired before arriving at the complainant’s apartment.  </w:t>
            </w:r>
          </w:p>
          <w:p w:rsidR="00543C18" w:rsidRPr="00B32C06" w:rsidRDefault="00543C18" w:rsidP="00CD0650">
            <w:pPr>
              <w:jc w:val="both"/>
              <w:rPr>
                <w:rFonts w:eastAsia="Calibri"/>
                <w:sz w:val="20"/>
              </w:rPr>
            </w:pPr>
          </w:p>
        </w:tc>
      </w:tr>
      <w:tr w:rsidR="00543C18" w:rsidRPr="00B32C06" w:rsidTr="00CD0650">
        <w:tblPrEx>
          <w:tblCellMar>
            <w:bottom w:w="0" w:type="dxa"/>
          </w:tblCellMar>
        </w:tblPrEx>
        <w:tc>
          <w:tcPr>
            <w:tcW w:w="2367" w:type="pct"/>
          </w:tcPr>
          <w:p w:rsidR="00543C18" w:rsidRPr="00B32C06" w:rsidRDefault="00543C18" w:rsidP="00CD0650">
            <w:pPr>
              <w:jc w:val="both"/>
              <w:rPr>
                <w:rFonts w:eastAsia="Calibri"/>
                <w:sz w:val="20"/>
              </w:rPr>
            </w:pPr>
            <w:r w:rsidRPr="00B32C06">
              <w:rPr>
                <w:rFonts w:eastAsia="Calibri"/>
                <w:sz w:val="20"/>
              </w:rPr>
              <w:t>September 14, 2009</w:t>
            </w:r>
          </w:p>
          <w:p w:rsidR="00543C18" w:rsidRPr="00B32C06" w:rsidRDefault="00543C18" w:rsidP="00CD0650">
            <w:pPr>
              <w:jc w:val="both"/>
              <w:rPr>
                <w:rFonts w:eastAsia="Calibri"/>
                <w:sz w:val="20"/>
              </w:rPr>
            </w:pPr>
            <w:r w:rsidRPr="00B32C06">
              <w:rPr>
                <w:rFonts w:eastAsia="Calibri"/>
                <w:sz w:val="20"/>
              </w:rPr>
              <w:t>Ontario Court of Justice</w:t>
            </w:r>
          </w:p>
          <w:p w:rsidR="00543C18" w:rsidRPr="00B32C06" w:rsidRDefault="00543C18" w:rsidP="00CD0650">
            <w:pPr>
              <w:jc w:val="both"/>
              <w:rPr>
                <w:rFonts w:eastAsia="Calibri"/>
                <w:sz w:val="20"/>
              </w:rPr>
            </w:pPr>
            <w:r w:rsidRPr="00B32C06">
              <w:rPr>
                <w:rFonts w:eastAsia="Calibri"/>
                <w:sz w:val="20"/>
              </w:rPr>
              <w:t>(</w:t>
            </w:r>
            <w:proofErr w:type="spellStart"/>
            <w:r w:rsidRPr="00B32C06">
              <w:rPr>
                <w:rFonts w:eastAsia="Calibri"/>
                <w:sz w:val="20"/>
              </w:rPr>
              <w:t>Kastner</w:t>
            </w:r>
            <w:proofErr w:type="spellEnd"/>
            <w:r w:rsidRPr="00B32C06">
              <w:rPr>
                <w:rFonts w:eastAsia="Calibri"/>
                <w:sz w:val="20"/>
              </w:rPr>
              <w:t xml:space="preserve"> J.)</w:t>
            </w:r>
          </w:p>
          <w:p w:rsidR="00543C18" w:rsidRPr="00B32C06" w:rsidRDefault="00543C18" w:rsidP="00CD0650">
            <w:pPr>
              <w:jc w:val="both"/>
              <w:rPr>
                <w:rFonts w:eastAsia="Calibri"/>
                <w:sz w:val="20"/>
              </w:rPr>
            </w:pPr>
          </w:p>
        </w:tc>
        <w:tc>
          <w:tcPr>
            <w:tcW w:w="267" w:type="pct"/>
          </w:tcPr>
          <w:p w:rsidR="00543C18" w:rsidRPr="00B32C06" w:rsidRDefault="00543C18" w:rsidP="00CD0650">
            <w:pPr>
              <w:jc w:val="both"/>
              <w:rPr>
                <w:rFonts w:eastAsia="Calibri"/>
                <w:sz w:val="20"/>
              </w:rPr>
            </w:pPr>
          </w:p>
        </w:tc>
        <w:tc>
          <w:tcPr>
            <w:tcW w:w="2366" w:type="pct"/>
            <w:gridSpan w:val="2"/>
          </w:tcPr>
          <w:p w:rsidR="00543C18" w:rsidRPr="00B32C06" w:rsidRDefault="00543C18" w:rsidP="00CD0650">
            <w:pPr>
              <w:jc w:val="both"/>
              <w:rPr>
                <w:rFonts w:eastAsia="Calibri"/>
                <w:sz w:val="20"/>
              </w:rPr>
            </w:pPr>
            <w:r w:rsidRPr="00B32C06">
              <w:rPr>
                <w:rFonts w:eastAsia="Calibri"/>
                <w:sz w:val="20"/>
              </w:rPr>
              <w:t>Convictions for assault and sexual assault</w:t>
            </w:r>
          </w:p>
          <w:p w:rsidR="00543C18" w:rsidRPr="00B32C06" w:rsidRDefault="00543C18" w:rsidP="00CD0650">
            <w:pPr>
              <w:jc w:val="both"/>
              <w:rPr>
                <w:rFonts w:eastAsia="Calibri"/>
                <w:sz w:val="20"/>
              </w:rPr>
            </w:pPr>
          </w:p>
        </w:tc>
      </w:tr>
      <w:tr w:rsidR="00543C18" w:rsidRPr="00B32C06" w:rsidTr="00CD0650">
        <w:tblPrEx>
          <w:tblCellMar>
            <w:bottom w:w="0" w:type="dxa"/>
          </w:tblCellMar>
        </w:tblPrEx>
        <w:tc>
          <w:tcPr>
            <w:tcW w:w="2367" w:type="pct"/>
          </w:tcPr>
          <w:p w:rsidR="00543C18" w:rsidRPr="00B32C06" w:rsidRDefault="00543C18" w:rsidP="00CD0650">
            <w:pPr>
              <w:jc w:val="both"/>
              <w:rPr>
                <w:rFonts w:eastAsia="Calibri"/>
                <w:sz w:val="20"/>
              </w:rPr>
            </w:pPr>
            <w:r w:rsidRPr="00B32C06">
              <w:rPr>
                <w:rFonts w:eastAsia="Calibri"/>
                <w:sz w:val="20"/>
              </w:rPr>
              <w:t>September 26, 2011</w:t>
            </w:r>
          </w:p>
          <w:p w:rsidR="00543C18" w:rsidRPr="00B32C06" w:rsidRDefault="00543C18" w:rsidP="00CD0650">
            <w:pPr>
              <w:jc w:val="both"/>
              <w:rPr>
                <w:rFonts w:eastAsia="Calibri"/>
                <w:sz w:val="20"/>
              </w:rPr>
            </w:pPr>
            <w:r w:rsidRPr="00B32C06">
              <w:rPr>
                <w:rFonts w:eastAsia="Calibri"/>
                <w:sz w:val="20"/>
              </w:rPr>
              <w:t>Court of Appeal for Ontario</w:t>
            </w:r>
          </w:p>
          <w:p w:rsidR="00543C18" w:rsidRPr="00B32C06" w:rsidRDefault="00543C18" w:rsidP="00CD0650">
            <w:pPr>
              <w:jc w:val="both"/>
              <w:rPr>
                <w:rFonts w:eastAsia="Calibri"/>
                <w:sz w:val="20"/>
              </w:rPr>
            </w:pPr>
            <w:r w:rsidRPr="00B32C06">
              <w:rPr>
                <w:rFonts w:eastAsia="Calibri"/>
                <w:sz w:val="20"/>
              </w:rPr>
              <w:t xml:space="preserve">(O'Connor, Watt, </w:t>
            </w:r>
            <w:proofErr w:type="spellStart"/>
            <w:r w:rsidRPr="00B32C06">
              <w:rPr>
                <w:rFonts w:eastAsia="Calibri"/>
                <w:sz w:val="20"/>
              </w:rPr>
              <w:t>Karakatsanis</w:t>
            </w:r>
            <w:proofErr w:type="spellEnd"/>
            <w:r w:rsidRPr="00B32C06">
              <w:rPr>
                <w:rFonts w:eastAsia="Calibri"/>
                <w:sz w:val="20"/>
              </w:rPr>
              <w:t xml:space="preserve"> JJ.A.)</w:t>
            </w:r>
          </w:p>
          <w:p w:rsidR="00543C18" w:rsidRPr="00B32C06" w:rsidRDefault="00543C18" w:rsidP="00CD0650">
            <w:pPr>
              <w:jc w:val="both"/>
              <w:rPr>
                <w:rFonts w:eastAsia="Calibri"/>
                <w:sz w:val="20"/>
              </w:rPr>
            </w:pPr>
            <w:r w:rsidRPr="00B32C06">
              <w:rPr>
                <w:rFonts w:eastAsia="Calibri"/>
                <w:sz w:val="20"/>
              </w:rPr>
              <w:t>2011 ONCA 617; C51771</w:t>
            </w:r>
          </w:p>
          <w:p w:rsidR="00543C18" w:rsidRPr="00B32C06" w:rsidRDefault="00543C18" w:rsidP="00CD0650">
            <w:pPr>
              <w:jc w:val="both"/>
              <w:rPr>
                <w:rFonts w:eastAsia="Calibri"/>
                <w:sz w:val="20"/>
              </w:rPr>
            </w:pPr>
          </w:p>
        </w:tc>
        <w:tc>
          <w:tcPr>
            <w:tcW w:w="267" w:type="pct"/>
          </w:tcPr>
          <w:p w:rsidR="00543C18" w:rsidRPr="00B32C06" w:rsidRDefault="00543C18" w:rsidP="00CD0650">
            <w:pPr>
              <w:jc w:val="both"/>
              <w:rPr>
                <w:rFonts w:eastAsia="Calibri"/>
                <w:sz w:val="20"/>
              </w:rPr>
            </w:pPr>
          </w:p>
        </w:tc>
        <w:tc>
          <w:tcPr>
            <w:tcW w:w="2366" w:type="pct"/>
            <w:gridSpan w:val="2"/>
          </w:tcPr>
          <w:p w:rsidR="00543C18" w:rsidRPr="00B32C06" w:rsidRDefault="00543C18" w:rsidP="00CD0650">
            <w:pPr>
              <w:jc w:val="both"/>
              <w:rPr>
                <w:rFonts w:eastAsia="Calibri"/>
                <w:sz w:val="20"/>
              </w:rPr>
            </w:pPr>
            <w:r w:rsidRPr="00B32C06">
              <w:rPr>
                <w:rFonts w:eastAsia="Calibri"/>
                <w:sz w:val="20"/>
              </w:rPr>
              <w:t>Appeal dismissed</w:t>
            </w:r>
          </w:p>
          <w:p w:rsidR="00543C18" w:rsidRPr="00B32C06" w:rsidRDefault="00543C18" w:rsidP="00CD0650">
            <w:pPr>
              <w:jc w:val="both"/>
              <w:rPr>
                <w:rFonts w:eastAsia="Calibri"/>
                <w:sz w:val="20"/>
              </w:rPr>
            </w:pPr>
          </w:p>
        </w:tc>
      </w:tr>
    </w:tbl>
    <w:p w:rsidR="002F35A9" w:rsidRDefault="002F35A9"/>
    <w:p w:rsidR="002F35A9" w:rsidRDefault="002F35A9">
      <w:r>
        <w:br w:type="page"/>
      </w:r>
    </w:p>
    <w:tbl>
      <w:tblPr>
        <w:tblW w:w="5000" w:type="pct"/>
        <w:tblLayout w:type="fixed"/>
        <w:tblCellMar>
          <w:left w:w="0" w:type="dxa"/>
          <w:right w:w="0" w:type="dxa"/>
        </w:tblCellMar>
        <w:tblLook w:val="04A0"/>
      </w:tblPr>
      <w:tblGrid>
        <w:gridCol w:w="4553"/>
        <w:gridCol w:w="514"/>
        <w:gridCol w:w="4552"/>
      </w:tblGrid>
      <w:tr w:rsidR="00543C18" w:rsidRPr="00B32C06" w:rsidTr="002F35A9">
        <w:trPr>
          <w:cantSplit/>
        </w:trPr>
        <w:tc>
          <w:tcPr>
            <w:tcW w:w="2367" w:type="pct"/>
          </w:tcPr>
          <w:p w:rsidR="00543C18" w:rsidRPr="00B32C06" w:rsidRDefault="00543C18" w:rsidP="00CD0650">
            <w:pPr>
              <w:jc w:val="both"/>
              <w:rPr>
                <w:rFonts w:eastAsia="Calibri"/>
                <w:sz w:val="20"/>
              </w:rPr>
            </w:pPr>
            <w:r w:rsidRPr="00B32C06">
              <w:rPr>
                <w:rFonts w:eastAsia="Calibri"/>
                <w:sz w:val="20"/>
              </w:rPr>
              <w:lastRenderedPageBreak/>
              <w:t>November 17, 2011</w:t>
            </w:r>
          </w:p>
          <w:p w:rsidR="00543C18" w:rsidRPr="00B32C06" w:rsidRDefault="00543C18" w:rsidP="00CD0650">
            <w:pPr>
              <w:jc w:val="both"/>
              <w:rPr>
                <w:rFonts w:eastAsia="Calibri"/>
                <w:sz w:val="20"/>
              </w:rPr>
            </w:pPr>
            <w:r w:rsidRPr="00B32C06">
              <w:rPr>
                <w:rFonts w:eastAsia="Calibri"/>
                <w:sz w:val="20"/>
              </w:rPr>
              <w:t>Supreme Court of Canada</w:t>
            </w:r>
          </w:p>
        </w:tc>
        <w:tc>
          <w:tcPr>
            <w:tcW w:w="267" w:type="pct"/>
          </w:tcPr>
          <w:p w:rsidR="00543C18" w:rsidRPr="00B32C06" w:rsidRDefault="00543C18" w:rsidP="00CD0650">
            <w:pPr>
              <w:jc w:val="both"/>
              <w:rPr>
                <w:rFonts w:eastAsia="Calibri"/>
                <w:sz w:val="20"/>
              </w:rPr>
            </w:pPr>
          </w:p>
        </w:tc>
        <w:tc>
          <w:tcPr>
            <w:tcW w:w="2366" w:type="pct"/>
          </w:tcPr>
          <w:p w:rsidR="00543C18" w:rsidRPr="00B32C06" w:rsidRDefault="00543C18" w:rsidP="00CD0650">
            <w:pPr>
              <w:jc w:val="both"/>
              <w:rPr>
                <w:rFonts w:eastAsia="Calibri"/>
                <w:sz w:val="20"/>
              </w:rPr>
            </w:pPr>
            <w:r w:rsidRPr="00B32C06">
              <w:rPr>
                <w:rFonts w:eastAsia="Calibri"/>
                <w:sz w:val="20"/>
              </w:rPr>
              <w:t>Application for leave to appeal filed</w:t>
            </w:r>
          </w:p>
          <w:p w:rsidR="00543C18" w:rsidRPr="00B32C06" w:rsidRDefault="00543C18" w:rsidP="00CD0650">
            <w:pPr>
              <w:jc w:val="both"/>
              <w:rPr>
                <w:rFonts w:eastAsia="Calibri"/>
                <w:sz w:val="20"/>
              </w:rPr>
            </w:pPr>
          </w:p>
        </w:tc>
      </w:tr>
    </w:tbl>
    <w:p w:rsidR="00C64AFA" w:rsidRDefault="00C64AFA" w:rsidP="00C64AFA">
      <w:pPr>
        <w:rPr>
          <w:sz w:val="20"/>
          <w:szCs w:val="20"/>
        </w:rPr>
      </w:pPr>
    </w:p>
    <w:p w:rsidR="002F35A9" w:rsidRDefault="007505E6" w:rsidP="00C64AFA">
      <w:pPr>
        <w:rPr>
          <w:sz w:val="20"/>
          <w:szCs w:val="20"/>
        </w:rPr>
      </w:pPr>
      <w:r w:rsidRPr="007505E6">
        <w:rPr>
          <w:sz w:val="20"/>
          <w:szCs w:val="20"/>
          <w:lang w:val="fr-CA"/>
        </w:rPr>
        <w:pict>
          <v:rect id="_x0000_i1077" style="width:2in;height:1pt" o:hrpct="0" o:hralign="center" o:hrstd="t" o:hrnoshade="t" o:hr="t" fillcolor="black [3213]" stroked="f"/>
        </w:pict>
      </w:r>
    </w:p>
    <w:p w:rsidR="002F35A9" w:rsidRDefault="002F35A9"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543C18" w:rsidRPr="006112F1" w:rsidTr="00CD0650">
        <w:trPr>
          <w:gridAfter w:val="1"/>
          <w:wAfter w:w="48" w:type="pct"/>
        </w:trPr>
        <w:tc>
          <w:tcPr>
            <w:tcW w:w="4952" w:type="pct"/>
            <w:gridSpan w:val="3"/>
          </w:tcPr>
          <w:p w:rsidR="00543C18" w:rsidRPr="00B32C06" w:rsidRDefault="00543C18" w:rsidP="00CD0650">
            <w:pPr>
              <w:jc w:val="both"/>
              <w:rPr>
                <w:rFonts w:eastAsia="Calibri"/>
                <w:sz w:val="20"/>
                <w:lang w:val="fr-CA"/>
              </w:rPr>
            </w:pPr>
            <w:r w:rsidRPr="00B32C06">
              <w:rPr>
                <w:rFonts w:eastAsia="Calibri"/>
                <w:sz w:val="20"/>
                <w:lang w:val="fr-CA"/>
              </w:rPr>
              <w:t xml:space="preserve">Droit criminel — Appréciation de la crédibilité — Preuve — La Cour d’appel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elle</w:t>
            </w:r>
            <w:proofErr w:type="spellEnd"/>
            <w:r w:rsidRPr="00B32C06">
              <w:rPr>
                <w:rFonts w:eastAsia="Calibri"/>
                <w:sz w:val="20"/>
                <w:lang w:val="fr-CA"/>
              </w:rPr>
              <w:t xml:space="preserve"> omis de tenir compte des conclusions hypothétiques de la juge du procès, qui minaient la crédibilité de l’accusé? — La Cour d’appel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elle</w:t>
            </w:r>
            <w:proofErr w:type="spellEnd"/>
            <w:r w:rsidRPr="00B32C06">
              <w:rPr>
                <w:rFonts w:eastAsia="Calibri"/>
                <w:sz w:val="20"/>
                <w:lang w:val="fr-CA"/>
              </w:rPr>
              <w:t xml:space="preserve"> rejeté l’appel en se fondant sur des observations selon lesquelles la juge du procès était </w:t>
            </w:r>
            <w:proofErr w:type="gramStart"/>
            <w:r w:rsidRPr="00B32C06">
              <w:rPr>
                <w:rFonts w:eastAsia="Calibri"/>
                <w:sz w:val="20"/>
                <w:lang w:val="fr-CA"/>
              </w:rPr>
              <w:t>expérimentée</w:t>
            </w:r>
            <w:proofErr w:type="gramEnd"/>
            <w:r w:rsidRPr="00B32C06">
              <w:rPr>
                <w:rFonts w:eastAsia="Calibri"/>
                <w:sz w:val="20"/>
                <w:lang w:val="fr-CA"/>
              </w:rPr>
              <w:t xml:space="preserve"> et avait exposé des motifs étoffés, sans dûment tenir compte du fait qu’elle avait mal compris une preuve cruciale? — La Cour d’appel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elle</w:t>
            </w:r>
            <w:proofErr w:type="spellEnd"/>
            <w:r w:rsidRPr="00B32C06">
              <w:rPr>
                <w:rFonts w:eastAsia="Calibri"/>
                <w:sz w:val="20"/>
                <w:lang w:val="fr-CA"/>
              </w:rPr>
              <w:t xml:space="preserve"> commis une erreur de principe en refusant d’admettre de nouveaux éléments de preuve en appel? — La preuve criminalistique, tout bien considéré, </w:t>
            </w:r>
            <w:proofErr w:type="spellStart"/>
            <w:r w:rsidRPr="00B32C06">
              <w:rPr>
                <w:rFonts w:eastAsia="Calibri"/>
                <w:sz w:val="20"/>
                <w:lang w:val="fr-CA"/>
              </w:rPr>
              <w:t>favorisait</w:t>
            </w:r>
            <w:r w:rsidRPr="00B32C06">
              <w:rPr>
                <w:rFonts w:eastAsia="Calibri"/>
                <w:sz w:val="20"/>
                <w:lang w:val="fr-CA"/>
              </w:rPr>
              <w:noBreakHyphen/>
              <w:t>elle</w:t>
            </w:r>
            <w:proofErr w:type="spellEnd"/>
            <w:r w:rsidRPr="00B32C06">
              <w:rPr>
                <w:rFonts w:eastAsia="Calibri"/>
                <w:sz w:val="20"/>
                <w:lang w:val="fr-CA"/>
              </w:rPr>
              <w:t xml:space="preserve"> le demandeur?</w:t>
            </w:r>
          </w:p>
        </w:tc>
      </w:tr>
      <w:tr w:rsidR="00543C18" w:rsidRPr="006112F1" w:rsidTr="00CD0650">
        <w:trPr>
          <w:gridAfter w:val="1"/>
          <w:wAfter w:w="48" w:type="pct"/>
        </w:trPr>
        <w:tc>
          <w:tcPr>
            <w:tcW w:w="4952" w:type="pct"/>
            <w:gridSpan w:val="3"/>
          </w:tcPr>
          <w:p w:rsidR="00543C18" w:rsidRPr="00B32C06" w:rsidRDefault="00543C18" w:rsidP="00CD0650">
            <w:pPr>
              <w:jc w:val="both"/>
              <w:rPr>
                <w:rFonts w:eastAsia="Calibri"/>
                <w:sz w:val="20"/>
                <w:lang w:val="fr-CA"/>
              </w:rPr>
            </w:pPr>
          </w:p>
        </w:tc>
      </w:tr>
      <w:tr w:rsidR="00543C18" w:rsidRPr="002D3F55" w:rsidTr="00CD0650">
        <w:trPr>
          <w:gridAfter w:val="1"/>
          <w:wAfter w:w="48" w:type="pct"/>
        </w:trPr>
        <w:tc>
          <w:tcPr>
            <w:tcW w:w="4952" w:type="pct"/>
            <w:gridSpan w:val="3"/>
          </w:tcPr>
          <w:p w:rsidR="00543C18" w:rsidRPr="00B32C06" w:rsidRDefault="00543C18" w:rsidP="00CD0650">
            <w:pPr>
              <w:jc w:val="both"/>
              <w:rPr>
                <w:rFonts w:eastAsia="Calibri"/>
                <w:sz w:val="20"/>
                <w:lang w:val="fr-CA"/>
              </w:rPr>
            </w:pPr>
            <w:r w:rsidRPr="00B32C06">
              <w:rPr>
                <w:rFonts w:eastAsia="Calibri"/>
                <w:sz w:val="20"/>
                <w:lang w:val="fr-CA"/>
              </w:rPr>
              <w:t xml:space="preserve">Le demandeur a été déclaré coupable d’un chef de voies de fait et d’un chef d’agression sexuelle contre sa petite amie.  La plaignante a témoigné que le demandeur semblait intoxiqué lorsqu’il s’est présenté à son appartement pour l’emmener </w:t>
            </w:r>
            <w:proofErr w:type="gramStart"/>
            <w:r w:rsidRPr="00B32C06">
              <w:rPr>
                <w:rFonts w:eastAsia="Calibri"/>
                <w:sz w:val="20"/>
                <w:lang w:val="fr-CA"/>
              </w:rPr>
              <w:t>passer</w:t>
            </w:r>
            <w:proofErr w:type="gramEnd"/>
            <w:r w:rsidRPr="00B32C06">
              <w:rPr>
                <w:rFonts w:eastAsia="Calibri"/>
                <w:sz w:val="20"/>
                <w:lang w:val="fr-CA"/>
              </w:rPr>
              <w:t xml:space="preserve"> la soirée avec lui.  Elle a témoigné que, en route vers son appartement à lui, il l’avait agressée physiquement dans la voiture, ce que nie le demandeur.  Il a nié avoir été intoxiqué et a témoigné qu’ils avaient regardé des films chez lui jusqu’à ce que la plaignante décide subitement de rentrer chez elle en taxi.  Le litige portait sur l’appréciation que la juge du procès avait faite de la crédibilité des parties et de la preuve.  La juge du procès a estimé que la plaignante était crédible et a rejeté une bonne partie du témoignage du demandeur.  La Cour d’appel a décidé de ne pas admettre de nouveaux éléments de preuve établissant que le demandeur avait fait réparer sa voiture avant de se présenter à l’appartement de la plaignante.  </w:t>
            </w:r>
          </w:p>
          <w:p w:rsidR="00543C18" w:rsidRPr="00B32C06" w:rsidRDefault="00543C18" w:rsidP="00CD0650">
            <w:pPr>
              <w:jc w:val="both"/>
              <w:rPr>
                <w:rFonts w:eastAsia="Calibri"/>
                <w:sz w:val="20"/>
                <w:lang w:val="fr-CA"/>
              </w:rPr>
            </w:pPr>
          </w:p>
        </w:tc>
      </w:tr>
      <w:tr w:rsidR="00543C18" w:rsidRPr="002D3F55" w:rsidTr="00CD0650">
        <w:tblPrEx>
          <w:tblCellMar>
            <w:bottom w:w="0" w:type="dxa"/>
          </w:tblCellMar>
        </w:tblPrEx>
        <w:tc>
          <w:tcPr>
            <w:tcW w:w="2367" w:type="pct"/>
          </w:tcPr>
          <w:p w:rsidR="00543C18" w:rsidRPr="00B32C06" w:rsidRDefault="00543C18" w:rsidP="00CD0650">
            <w:pPr>
              <w:jc w:val="both"/>
              <w:rPr>
                <w:rFonts w:eastAsia="Calibri"/>
                <w:sz w:val="20"/>
                <w:lang w:val="fr-CA"/>
              </w:rPr>
            </w:pPr>
            <w:r w:rsidRPr="00B32C06">
              <w:rPr>
                <w:rFonts w:eastAsia="Calibri"/>
                <w:sz w:val="20"/>
                <w:lang w:val="fr-CA"/>
              </w:rPr>
              <w:t>14 septembre 2009</w:t>
            </w:r>
          </w:p>
          <w:p w:rsidR="00543C18" w:rsidRPr="00B32C06" w:rsidRDefault="00543C18" w:rsidP="00CD0650">
            <w:pPr>
              <w:jc w:val="both"/>
              <w:rPr>
                <w:rFonts w:eastAsia="Calibri"/>
                <w:sz w:val="20"/>
                <w:lang w:val="fr-CA"/>
              </w:rPr>
            </w:pPr>
            <w:r w:rsidRPr="00B32C06">
              <w:rPr>
                <w:rFonts w:eastAsia="Calibri"/>
                <w:sz w:val="20"/>
                <w:lang w:val="fr-CA"/>
              </w:rPr>
              <w:t>Cour de justice de l’Ontario</w:t>
            </w:r>
          </w:p>
          <w:p w:rsidR="00543C18" w:rsidRPr="00B32C06" w:rsidRDefault="00543C18" w:rsidP="00CD0650">
            <w:pPr>
              <w:jc w:val="both"/>
              <w:rPr>
                <w:rFonts w:eastAsia="Calibri"/>
                <w:sz w:val="20"/>
              </w:rPr>
            </w:pPr>
            <w:r w:rsidRPr="00B32C06">
              <w:rPr>
                <w:rFonts w:eastAsia="Calibri"/>
                <w:sz w:val="20"/>
              </w:rPr>
              <w:t>(</w:t>
            </w:r>
            <w:proofErr w:type="spellStart"/>
            <w:r w:rsidRPr="00B32C06">
              <w:rPr>
                <w:rFonts w:eastAsia="Calibri"/>
                <w:sz w:val="20"/>
              </w:rPr>
              <w:t>Juge</w:t>
            </w:r>
            <w:proofErr w:type="spellEnd"/>
            <w:r w:rsidRPr="00B32C06">
              <w:rPr>
                <w:rFonts w:eastAsia="Calibri"/>
                <w:sz w:val="20"/>
              </w:rPr>
              <w:t xml:space="preserve"> </w:t>
            </w:r>
            <w:proofErr w:type="spellStart"/>
            <w:r w:rsidRPr="00B32C06">
              <w:rPr>
                <w:rFonts w:eastAsia="Calibri"/>
                <w:sz w:val="20"/>
              </w:rPr>
              <w:t>Kastner</w:t>
            </w:r>
            <w:proofErr w:type="spellEnd"/>
            <w:r w:rsidRPr="00B32C06">
              <w:rPr>
                <w:rFonts w:eastAsia="Calibri"/>
                <w:sz w:val="20"/>
              </w:rPr>
              <w:t>)</w:t>
            </w:r>
          </w:p>
          <w:p w:rsidR="00543C18" w:rsidRPr="00B32C06" w:rsidRDefault="00543C18" w:rsidP="00CD0650">
            <w:pPr>
              <w:jc w:val="both"/>
              <w:rPr>
                <w:rFonts w:eastAsia="Calibri"/>
                <w:sz w:val="20"/>
              </w:rPr>
            </w:pPr>
            <w:r w:rsidRPr="00B32C06">
              <w:rPr>
                <w:rFonts w:eastAsia="Calibri"/>
                <w:sz w:val="20"/>
              </w:rPr>
              <w:t xml:space="preserve"> </w:t>
            </w:r>
          </w:p>
        </w:tc>
        <w:tc>
          <w:tcPr>
            <w:tcW w:w="267" w:type="pct"/>
          </w:tcPr>
          <w:p w:rsidR="00543C18" w:rsidRPr="00B32C06" w:rsidRDefault="00543C18" w:rsidP="00CD0650">
            <w:pPr>
              <w:jc w:val="both"/>
              <w:rPr>
                <w:rFonts w:eastAsia="Calibri"/>
                <w:sz w:val="20"/>
              </w:rPr>
            </w:pPr>
          </w:p>
        </w:tc>
        <w:tc>
          <w:tcPr>
            <w:tcW w:w="2366" w:type="pct"/>
            <w:gridSpan w:val="2"/>
          </w:tcPr>
          <w:p w:rsidR="00543C18" w:rsidRPr="00B32C06" w:rsidRDefault="00543C18" w:rsidP="00CD0650">
            <w:pPr>
              <w:jc w:val="both"/>
              <w:rPr>
                <w:rFonts w:eastAsia="Calibri"/>
                <w:sz w:val="20"/>
                <w:lang w:val="fr-CA"/>
              </w:rPr>
            </w:pPr>
            <w:r w:rsidRPr="00B32C06">
              <w:rPr>
                <w:rFonts w:eastAsia="Calibri"/>
                <w:sz w:val="20"/>
                <w:lang w:val="fr-CA"/>
              </w:rPr>
              <w:t>Déclarations de culpabilité de voies de fait et d’agression sexuelle</w:t>
            </w:r>
          </w:p>
          <w:p w:rsidR="00543C18" w:rsidRPr="00B32C06" w:rsidRDefault="00543C18" w:rsidP="00CD0650">
            <w:pPr>
              <w:jc w:val="both"/>
              <w:rPr>
                <w:rFonts w:eastAsia="Calibri"/>
                <w:sz w:val="20"/>
                <w:lang w:val="fr-CA"/>
              </w:rPr>
            </w:pPr>
          </w:p>
        </w:tc>
      </w:tr>
      <w:tr w:rsidR="00543C18" w:rsidRPr="00B32C06" w:rsidTr="00CD0650">
        <w:tblPrEx>
          <w:tblCellMar>
            <w:bottom w:w="0" w:type="dxa"/>
          </w:tblCellMar>
        </w:tblPrEx>
        <w:tc>
          <w:tcPr>
            <w:tcW w:w="2367" w:type="pct"/>
          </w:tcPr>
          <w:p w:rsidR="00543C18" w:rsidRPr="00B32C06" w:rsidRDefault="00543C18" w:rsidP="00CD0650">
            <w:pPr>
              <w:jc w:val="both"/>
              <w:rPr>
                <w:rFonts w:eastAsia="Calibri"/>
                <w:sz w:val="20"/>
                <w:lang w:val="fr-CA"/>
              </w:rPr>
            </w:pPr>
            <w:r w:rsidRPr="00B32C06">
              <w:rPr>
                <w:rFonts w:eastAsia="Calibri"/>
                <w:sz w:val="20"/>
                <w:lang w:val="fr-CA"/>
              </w:rPr>
              <w:t>26 septembre 2011</w:t>
            </w:r>
          </w:p>
          <w:p w:rsidR="00543C18" w:rsidRPr="00B32C06" w:rsidRDefault="00543C18" w:rsidP="00CD0650">
            <w:pPr>
              <w:jc w:val="both"/>
              <w:rPr>
                <w:rFonts w:eastAsia="Calibri"/>
                <w:sz w:val="20"/>
                <w:lang w:val="fr-CA"/>
              </w:rPr>
            </w:pPr>
            <w:r w:rsidRPr="00B32C06">
              <w:rPr>
                <w:rFonts w:eastAsia="Calibri"/>
                <w:sz w:val="20"/>
                <w:lang w:val="fr-CA"/>
              </w:rPr>
              <w:t>Cour d’appel de l’Ontario</w:t>
            </w:r>
          </w:p>
          <w:p w:rsidR="00543C18" w:rsidRPr="00B32C06" w:rsidRDefault="00543C18" w:rsidP="00CD0650">
            <w:pPr>
              <w:jc w:val="both"/>
              <w:rPr>
                <w:rFonts w:eastAsia="Calibri"/>
                <w:sz w:val="20"/>
                <w:lang w:val="fr-CA"/>
              </w:rPr>
            </w:pPr>
            <w:r w:rsidRPr="00B32C06">
              <w:rPr>
                <w:rFonts w:eastAsia="Calibri"/>
                <w:sz w:val="20"/>
                <w:lang w:val="fr-CA"/>
              </w:rPr>
              <w:t xml:space="preserve">(Juges </w:t>
            </w:r>
            <w:proofErr w:type="spellStart"/>
            <w:r w:rsidRPr="00B32C06">
              <w:rPr>
                <w:rFonts w:eastAsia="Calibri"/>
                <w:sz w:val="20"/>
                <w:lang w:val="fr-CA"/>
              </w:rPr>
              <w:t>O’Connor</w:t>
            </w:r>
            <w:proofErr w:type="spellEnd"/>
            <w:r w:rsidRPr="00B32C06">
              <w:rPr>
                <w:rFonts w:eastAsia="Calibri"/>
                <w:sz w:val="20"/>
                <w:lang w:val="fr-CA"/>
              </w:rPr>
              <w:t xml:space="preserve">, Watt et </w:t>
            </w:r>
            <w:proofErr w:type="spellStart"/>
            <w:r w:rsidRPr="00B32C06">
              <w:rPr>
                <w:rFonts w:eastAsia="Calibri"/>
                <w:sz w:val="20"/>
                <w:lang w:val="fr-CA"/>
              </w:rPr>
              <w:t>Karakatsanis</w:t>
            </w:r>
            <w:proofErr w:type="spellEnd"/>
            <w:r w:rsidRPr="00B32C06">
              <w:rPr>
                <w:rFonts w:eastAsia="Calibri"/>
                <w:sz w:val="20"/>
                <w:lang w:val="fr-CA"/>
              </w:rPr>
              <w:t>)</w:t>
            </w:r>
          </w:p>
          <w:p w:rsidR="00543C18" w:rsidRPr="00B32C06" w:rsidRDefault="00543C18" w:rsidP="00CD0650">
            <w:pPr>
              <w:jc w:val="both"/>
              <w:rPr>
                <w:rFonts w:eastAsia="Calibri"/>
                <w:sz w:val="20"/>
              </w:rPr>
            </w:pPr>
            <w:r w:rsidRPr="00B32C06">
              <w:rPr>
                <w:rFonts w:eastAsia="Calibri"/>
                <w:sz w:val="20"/>
              </w:rPr>
              <w:t>2011 ONCA 617; C51771</w:t>
            </w:r>
          </w:p>
          <w:p w:rsidR="00543C18" w:rsidRPr="00B32C06" w:rsidRDefault="00543C18" w:rsidP="00CD0650">
            <w:pPr>
              <w:jc w:val="both"/>
              <w:rPr>
                <w:rFonts w:eastAsia="Calibri"/>
                <w:sz w:val="20"/>
              </w:rPr>
            </w:pPr>
          </w:p>
        </w:tc>
        <w:tc>
          <w:tcPr>
            <w:tcW w:w="267" w:type="pct"/>
          </w:tcPr>
          <w:p w:rsidR="00543C18" w:rsidRPr="00B32C06" w:rsidRDefault="00543C18" w:rsidP="00CD0650">
            <w:pPr>
              <w:jc w:val="both"/>
              <w:rPr>
                <w:rFonts w:eastAsia="Calibri"/>
                <w:sz w:val="20"/>
              </w:rPr>
            </w:pPr>
          </w:p>
        </w:tc>
        <w:tc>
          <w:tcPr>
            <w:tcW w:w="2366" w:type="pct"/>
            <w:gridSpan w:val="2"/>
          </w:tcPr>
          <w:p w:rsidR="00543C18" w:rsidRPr="00B32C06" w:rsidRDefault="00543C18" w:rsidP="00CD0650">
            <w:pPr>
              <w:jc w:val="both"/>
              <w:rPr>
                <w:rFonts w:eastAsia="Calibri"/>
                <w:sz w:val="20"/>
              </w:rPr>
            </w:pPr>
            <w:proofErr w:type="spellStart"/>
            <w:r w:rsidRPr="00B32C06">
              <w:rPr>
                <w:rFonts w:eastAsia="Calibri"/>
                <w:sz w:val="20"/>
              </w:rPr>
              <w:t>Appel</w:t>
            </w:r>
            <w:proofErr w:type="spellEnd"/>
            <w:r w:rsidRPr="00B32C06">
              <w:rPr>
                <w:rFonts w:eastAsia="Calibri"/>
                <w:sz w:val="20"/>
              </w:rPr>
              <w:t xml:space="preserve"> </w:t>
            </w:r>
            <w:proofErr w:type="spellStart"/>
            <w:r w:rsidRPr="00B32C06">
              <w:rPr>
                <w:rFonts w:eastAsia="Calibri"/>
                <w:sz w:val="20"/>
              </w:rPr>
              <w:t>rejeté</w:t>
            </w:r>
            <w:proofErr w:type="spellEnd"/>
          </w:p>
          <w:p w:rsidR="00543C18" w:rsidRPr="00B32C06" w:rsidRDefault="00543C18" w:rsidP="00CD0650">
            <w:pPr>
              <w:jc w:val="both"/>
              <w:rPr>
                <w:rFonts w:eastAsia="Calibri"/>
                <w:sz w:val="20"/>
              </w:rPr>
            </w:pPr>
          </w:p>
        </w:tc>
      </w:tr>
      <w:tr w:rsidR="00543C18" w:rsidRPr="00B32C06" w:rsidTr="00CD0650">
        <w:tblPrEx>
          <w:tblCellMar>
            <w:bottom w:w="0" w:type="dxa"/>
          </w:tblCellMar>
        </w:tblPrEx>
        <w:tc>
          <w:tcPr>
            <w:tcW w:w="2367" w:type="pct"/>
          </w:tcPr>
          <w:p w:rsidR="00543C18" w:rsidRPr="00B32C06" w:rsidRDefault="00543C18" w:rsidP="00CD0650">
            <w:pPr>
              <w:jc w:val="both"/>
              <w:rPr>
                <w:rFonts w:eastAsia="Calibri"/>
                <w:sz w:val="20"/>
                <w:lang w:val="fr-CA"/>
              </w:rPr>
            </w:pPr>
            <w:r w:rsidRPr="00B32C06">
              <w:rPr>
                <w:rFonts w:eastAsia="Calibri"/>
                <w:sz w:val="20"/>
                <w:lang w:val="fr-CA"/>
              </w:rPr>
              <w:t>17 novembre 2011</w:t>
            </w:r>
          </w:p>
          <w:p w:rsidR="00543C18" w:rsidRPr="00B32C06" w:rsidRDefault="00543C18" w:rsidP="00CD0650">
            <w:pPr>
              <w:jc w:val="both"/>
              <w:rPr>
                <w:rFonts w:eastAsia="Calibri"/>
                <w:sz w:val="20"/>
                <w:lang w:val="fr-CA"/>
              </w:rPr>
            </w:pPr>
            <w:r w:rsidRPr="00B32C06">
              <w:rPr>
                <w:rFonts w:eastAsia="Calibri"/>
                <w:sz w:val="20"/>
                <w:lang w:val="fr-CA"/>
              </w:rPr>
              <w:t>Cour suprême du Canada</w:t>
            </w:r>
          </w:p>
        </w:tc>
        <w:tc>
          <w:tcPr>
            <w:tcW w:w="267" w:type="pct"/>
          </w:tcPr>
          <w:p w:rsidR="00543C18" w:rsidRPr="00B32C06" w:rsidRDefault="00543C18" w:rsidP="00CD0650">
            <w:pPr>
              <w:jc w:val="both"/>
              <w:rPr>
                <w:rFonts w:eastAsia="Calibri"/>
                <w:sz w:val="20"/>
                <w:lang w:val="fr-CA"/>
              </w:rPr>
            </w:pPr>
          </w:p>
        </w:tc>
        <w:tc>
          <w:tcPr>
            <w:tcW w:w="2366" w:type="pct"/>
            <w:gridSpan w:val="2"/>
          </w:tcPr>
          <w:p w:rsidR="00543C18" w:rsidRPr="00B32C06" w:rsidRDefault="00543C18" w:rsidP="00CD0650">
            <w:pPr>
              <w:jc w:val="both"/>
              <w:rPr>
                <w:rFonts w:eastAsia="Calibri"/>
                <w:sz w:val="20"/>
              </w:rPr>
            </w:pPr>
            <w:proofErr w:type="spellStart"/>
            <w:r w:rsidRPr="00B32C06">
              <w:rPr>
                <w:rFonts w:eastAsia="Calibri"/>
                <w:sz w:val="20"/>
              </w:rPr>
              <w:t>Demande</w:t>
            </w:r>
            <w:proofErr w:type="spellEnd"/>
            <w:r w:rsidRPr="00B32C06">
              <w:rPr>
                <w:rFonts w:eastAsia="Calibri"/>
                <w:sz w:val="20"/>
              </w:rPr>
              <w:t xml:space="preserve"> </w:t>
            </w:r>
            <w:proofErr w:type="spellStart"/>
            <w:r w:rsidRPr="00B32C06">
              <w:rPr>
                <w:rFonts w:eastAsia="Calibri"/>
                <w:sz w:val="20"/>
              </w:rPr>
              <w:t>d’autorisation</w:t>
            </w:r>
            <w:proofErr w:type="spellEnd"/>
            <w:r w:rsidRPr="00B32C06">
              <w:rPr>
                <w:rFonts w:eastAsia="Calibri"/>
                <w:sz w:val="20"/>
              </w:rPr>
              <w:t xml:space="preserve"> de </w:t>
            </w:r>
            <w:proofErr w:type="spellStart"/>
            <w:r w:rsidRPr="00B32C06">
              <w:rPr>
                <w:rFonts w:eastAsia="Calibri"/>
                <w:sz w:val="20"/>
              </w:rPr>
              <w:t>pourvoi</w:t>
            </w:r>
            <w:proofErr w:type="spellEnd"/>
            <w:r w:rsidRPr="00B32C06">
              <w:rPr>
                <w:rFonts w:eastAsia="Calibri"/>
                <w:sz w:val="20"/>
              </w:rPr>
              <w:t xml:space="preserve"> </w:t>
            </w:r>
            <w:proofErr w:type="spellStart"/>
            <w:r w:rsidRPr="00B32C06">
              <w:rPr>
                <w:rFonts w:eastAsia="Calibri"/>
                <w:sz w:val="20"/>
              </w:rPr>
              <w:t>déposée</w:t>
            </w:r>
            <w:proofErr w:type="spellEnd"/>
          </w:p>
          <w:p w:rsidR="00543C18" w:rsidRPr="00B32C06" w:rsidRDefault="00543C18" w:rsidP="00CD0650">
            <w:pPr>
              <w:jc w:val="both"/>
              <w:rPr>
                <w:rFonts w:eastAsia="Calibri"/>
                <w:sz w:val="20"/>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78" style="width:2in;height:1pt" o:hrpct="0" o:hralign="center" o:hrstd="t" o:hrnoshade="t" o:hr="t" fillcolor="black [3213]" stroked="f"/>
        </w:pict>
      </w: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32F8" w:rsidRPr="00893FB8" w:rsidTr="00EC0D48">
        <w:trPr>
          <w:cantSplit/>
        </w:trPr>
        <w:tc>
          <w:tcPr>
            <w:tcW w:w="1458" w:type="dxa"/>
          </w:tcPr>
          <w:p w:rsidR="00CF32F8" w:rsidRPr="00893FB8" w:rsidRDefault="00CF32F8" w:rsidP="00EC0D48">
            <w:pPr>
              <w:rPr>
                <w:sz w:val="20"/>
                <w:szCs w:val="20"/>
              </w:rPr>
            </w:pPr>
            <w:r w:rsidRPr="00893FB8">
              <w:rPr>
                <w:rStyle w:val="SCCFileNumberChar"/>
                <w:sz w:val="20"/>
                <w:szCs w:val="20"/>
              </w:rPr>
              <w:t>34562</w:t>
            </w:r>
          </w:p>
          <w:p w:rsidR="00CF32F8" w:rsidRPr="00893FB8" w:rsidRDefault="00CF32F8" w:rsidP="00EC0D48">
            <w:pPr>
              <w:rPr>
                <w:b/>
                <w:sz w:val="20"/>
                <w:szCs w:val="20"/>
                <w:lang w:val="fr-CA"/>
              </w:rPr>
            </w:pPr>
          </w:p>
        </w:tc>
        <w:tc>
          <w:tcPr>
            <w:tcW w:w="8118" w:type="dxa"/>
          </w:tcPr>
          <w:p w:rsidR="00CF32F8" w:rsidRPr="00893FB8" w:rsidRDefault="00CF32F8" w:rsidP="00EC0D48">
            <w:pPr>
              <w:rPr>
                <w:sz w:val="20"/>
                <w:szCs w:val="20"/>
              </w:rPr>
            </w:pPr>
            <w:r w:rsidRPr="00CF32F8">
              <w:rPr>
                <w:rStyle w:val="SCCLsocChar"/>
                <w:sz w:val="20"/>
                <w:szCs w:val="20"/>
                <w:lang w:val="en-CA"/>
              </w:rPr>
              <w:t>Tam Dong Le v. Her Majesty the Queen</w:t>
            </w:r>
            <w:r w:rsidRPr="00893FB8">
              <w:rPr>
                <w:sz w:val="20"/>
                <w:szCs w:val="20"/>
              </w:rPr>
              <w:t xml:space="preserve"> (Man.) (Criminal) (By Leave)</w:t>
            </w:r>
          </w:p>
          <w:p w:rsidR="00CF32F8" w:rsidRPr="00893FB8" w:rsidRDefault="00CF32F8" w:rsidP="00EC0D48">
            <w:pPr>
              <w:rPr>
                <w:sz w:val="20"/>
                <w:szCs w:val="20"/>
              </w:rPr>
            </w:pPr>
          </w:p>
        </w:tc>
      </w:tr>
      <w:tr w:rsidR="00CF32F8" w:rsidRPr="00893FB8" w:rsidTr="00EC0D48">
        <w:trPr>
          <w:cantSplit/>
        </w:trPr>
        <w:tc>
          <w:tcPr>
            <w:tcW w:w="1458" w:type="dxa"/>
          </w:tcPr>
          <w:p w:rsidR="00CF32F8" w:rsidRPr="00893FB8" w:rsidRDefault="00CF32F8" w:rsidP="00EC0D48">
            <w:pPr>
              <w:rPr>
                <w:sz w:val="20"/>
                <w:szCs w:val="20"/>
              </w:rPr>
            </w:pPr>
            <w:r w:rsidRPr="00893FB8">
              <w:rPr>
                <w:sz w:val="20"/>
                <w:szCs w:val="20"/>
              </w:rPr>
              <w:t>Coram :</w:t>
            </w:r>
          </w:p>
        </w:tc>
        <w:tc>
          <w:tcPr>
            <w:tcW w:w="8118" w:type="dxa"/>
          </w:tcPr>
          <w:p w:rsidR="00CF32F8" w:rsidRPr="00893FB8" w:rsidRDefault="00CF32F8" w:rsidP="00EC0D48">
            <w:pPr>
              <w:rPr>
                <w:sz w:val="20"/>
                <w:szCs w:val="20"/>
              </w:rPr>
            </w:pPr>
            <w:proofErr w:type="spellStart"/>
            <w:r w:rsidRPr="00CF32F8">
              <w:rPr>
                <w:rStyle w:val="SCCCoramChar"/>
                <w:sz w:val="20"/>
                <w:szCs w:val="20"/>
                <w:lang w:val="en-CA"/>
              </w:rPr>
              <w:t>McLachlin</w:t>
            </w:r>
            <w:proofErr w:type="spellEnd"/>
            <w:r w:rsidRPr="00CF32F8">
              <w:rPr>
                <w:rStyle w:val="SCCCoramChar"/>
                <w:sz w:val="20"/>
                <w:szCs w:val="20"/>
                <w:lang w:val="en-CA"/>
              </w:rPr>
              <w:t xml:space="preserve"> C.J. and Rothstein and </w:t>
            </w:r>
            <w:proofErr w:type="spellStart"/>
            <w:r w:rsidRPr="00CF32F8">
              <w:rPr>
                <w:rStyle w:val="SCCCoramChar"/>
                <w:sz w:val="20"/>
                <w:szCs w:val="20"/>
                <w:lang w:val="en-CA"/>
              </w:rPr>
              <w:t>Moldaver</w:t>
            </w:r>
            <w:proofErr w:type="spellEnd"/>
            <w:r w:rsidRPr="00CF32F8">
              <w:rPr>
                <w:rStyle w:val="SCCCoramChar"/>
                <w:sz w:val="20"/>
                <w:szCs w:val="20"/>
                <w:lang w:val="en-CA"/>
              </w:rPr>
              <w:t> JJ.</w:t>
            </w:r>
          </w:p>
          <w:p w:rsidR="00CF32F8" w:rsidRPr="00893FB8" w:rsidRDefault="00CF32F8" w:rsidP="00EC0D48">
            <w:pPr>
              <w:rPr>
                <w:sz w:val="20"/>
                <w:szCs w:val="20"/>
                <w:u w:val="single"/>
              </w:rPr>
            </w:pPr>
          </w:p>
        </w:tc>
      </w:tr>
      <w:tr w:rsidR="00CF32F8" w:rsidRPr="002D3F55" w:rsidTr="00EC0D48">
        <w:trPr>
          <w:cantSplit/>
        </w:trPr>
        <w:tc>
          <w:tcPr>
            <w:tcW w:w="9576" w:type="dxa"/>
            <w:gridSpan w:val="2"/>
          </w:tcPr>
          <w:p w:rsidR="00CF32F8" w:rsidRPr="00893FB8" w:rsidRDefault="00CF32F8" w:rsidP="00EC0D48">
            <w:pPr>
              <w:pStyle w:val="SCCShortJudgment"/>
              <w:rPr>
                <w:szCs w:val="20"/>
              </w:rPr>
            </w:pPr>
            <w:r w:rsidRPr="00893FB8">
              <w:rPr>
                <w:szCs w:val="20"/>
              </w:rPr>
              <w:t>The application for leave to appeal from the judgment of the Court of Appeal of Manitoba, Number AR 09-30-07118, 2011 MBCA 83, dated October 3, 2011, is dismissed without costs.</w:t>
            </w:r>
          </w:p>
          <w:p w:rsidR="00CF32F8" w:rsidRPr="00893FB8" w:rsidRDefault="00CF32F8" w:rsidP="00EC0D48">
            <w:pPr>
              <w:pStyle w:val="SCCShortJudgment"/>
              <w:ind w:firstLine="0"/>
              <w:rPr>
                <w:szCs w:val="20"/>
              </w:rPr>
            </w:pPr>
          </w:p>
          <w:p w:rsidR="00CF32F8" w:rsidRPr="00893FB8" w:rsidRDefault="00CF32F8" w:rsidP="00EC0D48">
            <w:pPr>
              <w:pStyle w:val="SCCShortJudgment"/>
              <w:rPr>
                <w:szCs w:val="20"/>
                <w:lang w:val="fr-CA"/>
              </w:rPr>
            </w:pPr>
            <w:r w:rsidRPr="00893FB8">
              <w:rPr>
                <w:szCs w:val="20"/>
                <w:lang w:val="fr-CA"/>
              </w:rPr>
              <w:t>La demande d’autorisation d’appel de l’arrêt de la Cour d’appel du Manitoba, numéro AR 09-30-07118, 2011 MBCA 83, daté du 3 octobre 2011, est rejetée sans dépens.</w:t>
            </w:r>
          </w:p>
        </w:tc>
      </w:tr>
    </w:tbl>
    <w:p w:rsidR="00C64AFA" w:rsidRPr="00CF32F8"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352439" w:rsidRPr="00B32C06" w:rsidTr="00352439">
        <w:trPr>
          <w:gridAfter w:val="1"/>
          <w:wAfter w:w="48" w:type="pct"/>
        </w:trPr>
        <w:tc>
          <w:tcPr>
            <w:tcW w:w="4952" w:type="pct"/>
            <w:gridSpan w:val="3"/>
          </w:tcPr>
          <w:p w:rsidR="00352439" w:rsidRPr="00B32C06" w:rsidRDefault="00352439" w:rsidP="00352439">
            <w:pPr>
              <w:jc w:val="both"/>
              <w:rPr>
                <w:rFonts w:eastAsia="Calibri"/>
                <w:sz w:val="20"/>
              </w:rPr>
            </w:pPr>
            <w:r w:rsidRPr="00B32C06">
              <w:rPr>
                <w:rFonts w:eastAsia="Calibri"/>
                <w:i/>
                <w:sz w:val="20"/>
              </w:rPr>
              <w:t>Canadian Charter of Rights and Freedoms</w:t>
            </w:r>
            <w:r w:rsidRPr="00B32C06">
              <w:rPr>
                <w:rFonts w:eastAsia="Calibri"/>
                <w:sz w:val="20"/>
              </w:rPr>
              <w:t xml:space="preserve"> – Criminal law – Right to counsel – Search and seizure – Proof of first </w:t>
            </w:r>
            <w:r w:rsidRPr="00B32C06">
              <w:rPr>
                <w:rFonts w:eastAsia="Calibri"/>
                <w:sz w:val="20"/>
              </w:rPr>
              <w:lastRenderedPageBreak/>
              <w:t>degree murder – Courts – Judges – Directed verdicts – Appeals –  Whether applicant’s right to counsel of choice was breached – Lack of uniform principled and purposive approach to replacement of trial judge – Whether warrant to search premises identified by a residential address permits seizing evidence found under a rock in the yard of the residential address – Whether a spur of the moment attack can be considered planned and deliberate – Whether extensive and numerous gaps in pre-trial and trial transcripts prejudiced applicant’s right to appeal – Whether a trial judge has jurisdiction to direct a jury to convict of second degree murder where defence counsel allegedly consents – Standard for competency and ineffective assistance of counsel.</w:t>
            </w:r>
          </w:p>
        </w:tc>
      </w:tr>
      <w:tr w:rsidR="00352439" w:rsidRPr="00B32C06" w:rsidTr="00352439">
        <w:trPr>
          <w:gridAfter w:val="1"/>
          <w:wAfter w:w="48" w:type="pct"/>
        </w:trPr>
        <w:tc>
          <w:tcPr>
            <w:tcW w:w="4952" w:type="pct"/>
            <w:gridSpan w:val="3"/>
          </w:tcPr>
          <w:p w:rsidR="00352439" w:rsidRPr="00B32C06" w:rsidRDefault="00352439" w:rsidP="00352439">
            <w:pPr>
              <w:jc w:val="both"/>
              <w:rPr>
                <w:rFonts w:eastAsia="Calibri"/>
                <w:sz w:val="20"/>
              </w:rPr>
            </w:pPr>
          </w:p>
        </w:tc>
      </w:tr>
      <w:tr w:rsidR="00352439" w:rsidRPr="00B32C06" w:rsidTr="00352439">
        <w:trPr>
          <w:gridAfter w:val="1"/>
          <w:wAfter w:w="48" w:type="pct"/>
        </w:trPr>
        <w:tc>
          <w:tcPr>
            <w:tcW w:w="4952" w:type="pct"/>
            <w:gridSpan w:val="3"/>
          </w:tcPr>
          <w:p w:rsidR="00352439" w:rsidRPr="00B32C06" w:rsidRDefault="00352439" w:rsidP="00352439">
            <w:pPr>
              <w:jc w:val="both"/>
              <w:rPr>
                <w:rFonts w:eastAsia="Calibri"/>
                <w:sz w:val="20"/>
              </w:rPr>
            </w:pPr>
            <w:r w:rsidRPr="00B32C06">
              <w:rPr>
                <w:rFonts w:eastAsia="Calibri"/>
                <w:sz w:val="20"/>
              </w:rPr>
              <w:t xml:space="preserve">Miguel Munoz was shot and killed outside a nightclub in Winnipeg.  He fought with the shooter in a parking lot outside the nightclub until bouncers separated the two men.  The shooter walked backwards across the street, gesturing to Mr. Munoz and inviting him to follow and fight.  He followed.  When he crossed the street, the shooter shot him four times.  At trial, the applicant denied being present and offered an alibi.  Several witnesses identified the applicant as the shooter and placed him at the nightclub before the shooting. The police executed a search warrant at “the residence of 39 </w:t>
            </w:r>
            <w:proofErr w:type="spellStart"/>
            <w:r w:rsidRPr="00B32C06">
              <w:rPr>
                <w:rFonts w:eastAsia="Calibri"/>
                <w:sz w:val="20"/>
              </w:rPr>
              <w:t>Southlawn</w:t>
            </w:r>
            <w:proofErr w:type="spellEnd"/>
            <w:r w:rsidRPr="00B32C06">
              <w:rPr>
                <w:rFonts w:eastAsia="Calibri"/>
                <w:sz w:val="20"/>
              </w:rPr>
              <w:t xml:space="preserve"> Stroll” to find evidence “concealed in the premises”.  The murder weapon was found buried under a rock in a flower bed. A number of procedural difficulties occurred before trial.  An initial trial judge who had ruled on some pre-trial motions was replaced and the replacement judge then dismissed a motion for an order that only the initial judge had jurisdiction over the trial.  Two days before trial was to commence, the applicant’s defence counsel requested an adjournment but the only available court dates upon which he could next appear necessitated a lengthy adjournment.  The adjournment was refused which forced the applicant to retain different counsel.  The applicant claims his replacement counsel was incompetent.  Transcripts and recordings of the proceedings contain gaps and inaudible portions.</w:t>
            </w:r>
          </w:p>
          <w:p w:rsidR="00352439" w:rsidRPr="00B32C06" w:rsidRDefault="00352439" w:rsidP="00352439">
            <w:pPr>
              <w:jc w:val="both"/>
              <w:rPr>
                <w:rFonts w:eastAsia="Calibri"/>
                <w:sz w:val="20"/>
              </w:rPr>
            </w:pPr>
          </w:p>
        </w:tc>
      </w:tr>
      <w:tr w:rsidR="00352439" w:rsidRPr="00B32C06" w:rsidTr="00352439">
        <w:tblPrEx>
          <w:tblCellMar>
            <w:bottom w:w="0" w:type="dxa"/>
          </w:tblCellMar>
        </w:tblPrEx>
        <w:tc>
          <w:tcPr>
            <w:tcW w:w="2367" w:type="pct"/>
          </w:tcPr>
          <w:p w:rsidR="00352439" w:rsidRPr="00B32C06" w:rsidRDefault="00352439" w:rsidP="00352439">
            <w:pPr>
              <w:jc w:val="both"/>
              <w:rPr>
                <w:rFonts w:eastAsia="Calibri"/>
                <w:sz w:val="20"/>
              </w:rPr>
            </w:pPr>
            <w:r w:rsidRPr="00B32C06">
              <w:rPr>
                <w:rFonts w:eastAsia="Calibri"/>
                <w:sz w:val="20"/>
              </w:rPr>
              <w:t>February 26, 2009</w:t>
            </w:r>
          </w:p>
          <w:p w:rsidR="00352439" w:rsidRPr="00B32C06" w:rsidRDefault="00352439" w:rsidP="00352439">
            <w:pPr>
              <w:jc w:val="both"/>
              <w:rPr>
                <w:rFonts w:eastAsia="Calibri"/>
                <w:sz w:val="20"/>
              </w:rPr>
            </w:pPr>
            <w:r w:rsidRPr="00B32C06">
              <w:rPr>
                <w:rFonts w:eastAsia="Calibri"/>
                <w:sz w:val="20"/>
              </w:rPr>
              <w:t>Court of Queen’s Bench</w:t>
            </w:r>
          </w:p>
          <w:p w:rsidR="00352439" w:rsidRPr="00B32C06" w:rsidRDefault="00352439" w:rsidP="00352439">
            <w:pPr>
              <w:jc w:val="both"/>
              <w:rPr>
                <w:rFonts w:eastAsia="Calibri"/>
                <w:sz w:val="20"/>
              </w:rPr>
            </w:pPr>
            <w:r w:rsidRPr="00B32C06">
              <w:rPr>
                <w:rFonts w:eastAsia="Calibri"/>
                <w:sz w:val="20"/>
              </w:rPr>
              <w:t>(</w:t>
            </w:r>
            <w:proofErr w:type="spellStart"/>
            <w:r w:rsidRPr="00B32C06">
              <w:rPr>
                <w:rFonts w:eastAsia="Calibri"/>
                <w:sz w:val="20"/>
              </w:rPr>
              <w:t>Suche</w:t>
            </w:r>
            <w:proofErr w:type="spellEnd"/>
            <w:r w:rsidRPr="00B32C06">
              <w:rPr>
                <w:rFonts w:eastAsia="Calibri"/>
                <w:sz w:val="20"/>
              </w:rPr>
              <w:t xml:space="preserve"> J.)  </w:t>
            </w:r>
          </w:p>
          <w:p w:rsidR="00352439" w:rsidRPr="00B32C06" w:rsidRDefault="00352439" w:rsidP="00352439">
            <w:pPr>
              <w:jc w:val="both"/>
              <w:rPr>
                <w:rFonts w:eastAsia="Calibri"/>
                <w:sz w:val="20"/>
              </w:rPr>
            </w:pPr>
          </w:p>
        </w:tc>
        <w:tc>
          <w:tcPr>
            <w:tcW w:w="267" w:type="pct"/>
          </w:tcPr>
          <w:p w:rsidR="00352439" w:rsidRPr="00B32C06" w:rsidRDefault="00352439" w:rsidP="00352439">
            <w:pPr>
              <w:jc w:val="both"/>
              <w:rPr>
                <w:rFonts w:eastAsia="Calibri"/>
                <w:sz w:val="20"/>
              </w:rPr>
            </w:pPr>
          </w:p>
        </w:tc>
        <w:tc>
          <w:tcPr>
            <w:tcW w:w="2366" w:type="pct"/>
            <w:gridSpan w:val="2"/>
          </w:tcPr>
          <w:p w:rsidR="00352439" w:rsidRPr="00B32C06" w:rsidRDefault="00352439" w:rsidP="00352439">
            <w:pPr>
              <w:jc w:val="both"/>
              <w:rPr>
                <w:rFonts w:eastAsia="Calibri"/>
                <w:sz w:val="20"/>
              </w:rPr>
            </w:pPr>
            <w:r w:rsidRPr="00B32C06">
              <w:rPr>
                <w:rFonts w:eastAsia="Calibri"/>
                <w:sz w:val="20"/>
              </w:rPr>
              <w:t>Conviction by jury of first degree murder</w:t>
            </w:r>
          </w:p>
          <w:p w:rsidR="00352439" w:rsidRPr="00B32C06" w:rsidRDefault="00352439" w:rsidP="00352439">
            <w:pPr>
              <w:jc w:val="both"/>
              <w:rPr>
                <w:rFonts w:eastAsia="Calibri"/>
                <w:sz w:val="20"/>
              </w:rPr>
            </w:pPr>
          </w:p>
        </w:tc>
      </w:tr>
      <w:tr w:rsidR="00352439" w:rsidRPr="00B32C06" w:rsidTr="00352439">
        <w:tblPrEx>
          <w:tblCellMar>
            <w:bottom w:w="0" w:type="dxa"/>
          </w:tblCellMar>
        </w:tblPrEx>
        <w:tc>
          <w:tcPr>
            <w:tcW w:w="2367" w:type="pct"/>
          </w:tcPr>
          <w:p w:rsidR="00352439" w:rsidRPr="00B32C06" w:rsidRDefault="00352439" w:rsidP="00352439">
            <w:pPr>
              <w:jc w:val="both"/>
              <w:rPr>
                <w:rFonts w:eastAsia="Calibri"/>
                <w:sz w:val="20"/>
              </w:rPr>
            </w:pPr>
            <w:r w:rsidRPr="00B32C06">
              <w:rPr>
                <w:rFonts w:eastAsia="Calibri"/>
                <w:sz w:val="20"/>
              </w:rPr>
              <w:t>October 3, 2011</w:t>
            </w:r>
          </w:p>
          <w:p w:rsidR="00352439" w:rsidRPr="00B32C06" w:rsidRDefault="00352439" w:rsidP="00352439">
            <w:pPr>
              <w:jc w:val="both"/>
              <w:rPr>
                <w:rFonts w:eastAsia="Calibri"/>
                <w:sz w:val="20"/>
              </w:rPr>
            </w:pPr>
            <w:r w:rsidRPr="00B32C06">
              <w:rPr>
                <w:rFonts w:eastAsia="Calibri"/>
                <w:sz w:val="20"/>
              </w:rPr>
              <w:t>Court of Appeal of Manitoba</w:t>
            </w:r>
          </w:p>
          <w:p w:rsidR="00352439" w:rsidRPr="00B32C06" w:rsidRDefault="00352439" w:rsidP="00352439">
            <w:pPr>
              <w:jc w:val="both"/>
              <w:rPr>
                <w:rFonts w:eastAsia="Calibri"/>
                <w:sz w:val="20"/>
              </w:rPr>
            </w:pPr>
            <w:r w:rsidRPr="00B32C06">
              <w:rPr>
                <w:rFonts w:eastAsia="Calibri"/>
                <w:sz w:val="20"/>
              </w:rPr>
              <w:t xml:space="preserve">(Scott, </w:t>
            </w:r>
            <w:proofErr w:type="spellStart"/>
            <w:r w:rsidRPr="00B32C06">
              <w:rPr>
                <w:rFonts w:eastAsia="Calibri"/>
                <w:sz w:val="20"/>
              </w:rPr>
              <w:t>Monnin</w:t>
            </w:r>
            <w:proofErr w:type="spellEnd"/>
            <w:r w:rsidRPr="00B32C06">
              <w:rPr>
                <w:rFonts w:eastAsia="Calibri"/>
                <w:sz w:val="20"/>
              </w:rPr>
              <w:t>, Hamilton JJ.A.)</w:t>
            </w:r>
          </w:p>
          <w:p w:rsidR="00352439" w:rsidRPr="00B32C06" w:rsidRDefault="00352439" w:rsidP="00352439">
            <w:pPr>
              <w:jc w:val="both"/>
              <w:rPr>
                <w:rFonts w:eastAsia="Calibri"/>
                <w:sz w:val="20"/>
              </w:rPr>
            </w:pPr>
            <w:r w:rsidRPr="00B32C06">
              <w:rPr>
                <w:rFonts w:eastAsia="Calibri"/>
                <w:sz w:val="20"/>
              </w:rPr>
              <w:t>2011 MBCA 83; AR 09-30-07118</w:t>
            </w:r>
          </w:p>
          <w:p w:rsidR="00352439" w:rsidRPr="00B32C06" w:rsidRDefault="00352439" w:rsidP="00352439">
            <w:pPr>
              <w:jc w:val="both"/>
              <w:rPr>
                <w:rFonts w:eastAsia="Calibri"/>
                <w:sz w:val="20"/>
              </w:rPr>
            </w:pPr>
          </w:p>
        </w:tc>
        <w:tc>
          <w:tcPr>
            <w:tcW w:w="267" w:type="pct"/>
          </w:tcPr>
          <w:p w:rsidR="00352439" w:rsidRPr="00B32C06" w:rsidRDefault="00352439" w:rsidP="00352439">
            <w:pPr>
              <w:jc w:val="both"/>
              <w:rPr>
                <w:rFonts w:eastAsia="Calibri"/>
                <w:sz w:val="20"/>
              </w:rPr>
            </w:pPr>
          </w:p>
        </w:tc>
        <w:tc>
          <w:tcPr>
            <w:tcW w:w="2366" w:type="pct"/>
            <w:gridSpan w:val="2"/>
          </w:tcPr>
          <w:p w:rsidR="00352439" w:rsidRPr="00B32C06" w:rsidRDefault="00352439" w:rsidP="00352439">
            <w:pPr>
              <w:jc w:val="both"/>
              <w:rPr>
                <w:rFonts w:eastAsia="Calibri"/>
                <w:sz w:val="20"/>
              </w:rPr>
            </w:pPr>
            <w:r w:rsidRPr="00B32C06">
              <w:rPr>
                <w:rFonts w:eastAsia="Calibri"/>
                <w:sz w:val="20"/>
              </w:rPr>
              <w:t>Appeal dismissed</w:t>
            </w:r>
          </w:p>
          <w:p w:rsidR="00352439" w:rsidRPr="00B32C06" w:rsidRDefault="00352439" w:rsidP="00352439">
            <w:pPr>
              <w:jc w:val="both"/>
              <w:rPr>
                <w:rFonts w:eastAsia="Calibri"/>
                <w:sz w:val="20"/>
              </w:rPr>
            </w:pPr>
          </w:p>
        </w:tc>
      </w:tr>
      <w:tr w:rsidR="00352439" w:rsidRPr="00B32C06" w:rsidTr="00352439">
        <w:tblPrEx>
          <w:tblCellMar>
            <w:bottom w:w="0" w:type="dxa"/>
          </w:tblCellMar>
        </w:tblPrEx>
        <w:tc>
          <w:tcPr>
            <w:tcW w:w="2367" w:type="pct"/>
          </w:tcPr>
          <w:p w:rsidR="00352439" w:rsidRPr="00B32C06" w:rsidRDefault="00352439" w:rsidP="00352439">
            <w:pPr>
              <w:jc w:val="both"/>
              <w:rPr>
                <w:rFonts w:eastAsia="Calibri"/>
                <w:sz w:val="20"/>
              </w:rPr>
            </w:pPr>
            <w:r w:rsidRPr="00B32C06">
              <w:rPr>
                <w:rFonts w:eastAsia="Calibri"/>
                <w:sz w:val="20"/>
              </w:rPr>
              <w:t>December 2, 2011</w:t>
            </w:r>
          </w:p>
          <w:p w:rsidR="00352439" w:rsidRPr="00B32C06" w:rsidRDefault="00352439" w:rsidP="00352439">
            <w:pPr>
              <w:jc w:val="both"/>
              <w:rPr>
                <w:rFonts w:eastAsia="Calibri"/>
                <w:sz w:val="20"/>
              </w:rPr>
            </w:pPr>
            <w:r w:rsidRPr="00B32C06">
              <w:rPr>
                <w:rFonts w:eastAsia="Calibri"/>
                <w:sz w:val="20"/>
              </w:rPr>
              <w:t>Supreme Court of Canada</w:t>
            </w:r>
          </w:p>
        </w:tc>
        <w:tc>
          <w:tcPr>
            <w:tcW w:w="267" w:type="pct"/>
          </w:tcPr>
          <w:p w:rsidR="00352439" w:rsidRPr="00B32C06" w:rsidRDefault="00352439" w:rsidP="00352439">
            <w:pPr>
              <w:jc w:val="both"/>
              <w:rPr>
                <w:rFonts w:eastAsia="Calibri"/>
                <w:sz w:val="20"/>
              </w:rPr>
            </w:pPr>
          </w:p>
        </w:tc>
        <w:tc>
          <w:tcPr>
            <w:tcW w:w="2366" w:type="pct"/>
            <w:gridSpan w:val="2"/>
          </w:tcPr>
          <w:p w:rsidR="00352439" w:rsidRPr="00B32C06" w:rsidRDefault="00352439" w:rsidP="00352439">
            <w:pPr>
              <w:jc w:val="both"/>
              <w:rPr>
                <w:rFonts w:eastAsia="Calibri"/>
                <w:sz w:val="20"/>
              </w:rPr>
            </w:pPr>
            <w:r w:rsidRPr="00B32C06">
              <w:rPr>
                <w:rFonts w:eastAsia="Calibri"/>
                <w:sz w:val="20"/>
              </w:rPr>
              <w:t>Application for leave to appeal filed</w:t>
            </w:r>
          </w:p>
          <w:p w:rsidR="00352439" w:rsidRPr="00B32C06" w:rsidRDefault="00352439" w:rsidP="00352439">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79"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352439" w:rsidRPr="006112F1" w:rsidTr="00352439">
        <w:trPr>
          <w:gridAfter w:val="1"/>
          <w:wAfter w:w="48" w:type="pct"/>
        </w:trPr>
        <w:tc>
          <w:tcPr>
            <w:tcW w:w="4952" w:type="pct"/>
            <w:gridSpan w:val="3"/>
          </w:tcPr>
          <w:p w:rsidR="00352439" w:rsidRPr="00B32C06" w:rsidRDefault="00352439" w:rsidP="00241997">
            <w:pPr>
              <w:jc w:val="both"/>
              <w:rPr>
                <w:rFonts w:eastAsia="Calibri"/>
                <w:sz w:val="20"/>
                <w:lang w:val="fr-CA"/>
              </w:rPr>
            </w:pPr>
            <w:r w:rsidRPr="00B32C06">
              <w:rPr>
                <w:rFonts w:eastAsia="Calibri"/>
                <w:i/>
                <w:sz w:val="20"/>
                <w:lang w:val="fr-CA"/>
              </w:rPr>
              <w:t xml:space="preserve">Charte canadienne des droits et libertés </w:t>
            </w:r>
            <w:r w:rsidRPr="00B32C06">
              <w:rPr>
                <w:rFonts w:eastAsia="Calibri"/>
                <w:sz w:val="20"/>
                <w:lang w:val="fr-CA"/>
              </w:rPr>
              <w:t xml:space="preserve">– Droit criminel – Droit à l’assistance d’un avocat – Fouilles, perquisitions et saisies – Preuve de meurtre au premier degré – Tribunaux – Juges –  Verdicts imposés – Appels – Y </w:t>
            </w:r>
            <w:proofErr w:type="spellStart"/>
            <w:r w:rsidRPr="00B32C06">
              <w:rPr>
                <w:rFonts w:eastAsia="Calibri"/>
                <w:sz w:val="20"/>
                <w:lang w:val="fr-CA"/>
              </w:rPr>
              <w:t>a</w:t>
            </w:r>
            <w:r w:rsidRPr="00B32C06">
              <w:rPr>
                <w:rFonts w:eastAsia="Calibri"/>
                <w:sz w:val="20"/>
                <w:lang w:val="fr-CA"/>
              </w:rPr>
              <w:noBreakHyphen/>
              <w:t>t</w:t>
            </w:r>
            <w:r w:rsidRPr="00B32C06">
              <w:rPr>
                <w:rFonts w:eastAsia="Calibri"/>
                <w:sz w:val="20"/>
                <w:lang w:val="fr-CA"/>
              </w:rPr>
              <w:noBreakHyphen/>
              <w:t>il</w:t>
            </w:r>
            <w:proofErr w:type="spellEnd"/>
            <w:r w:rsidRPr="00B32C06">
              <w:rPr>
                <w:rFonts w:eastAsia="Calibri"/>
                <w:sz w:val="20"/>
                <w:lang w:val="fr-CA"/>
              </w:rPr>
              <w:t xml:space="preserve"> eu atteinte au droit du demandeur à l’assistance de l’avocat de son choix? – Absence de procédure uniforme, fondée sur des principes et téléologique intervenant dans le remplacement du juge du procès – Le mandat de perquisition visant une adresse résidentielle </w:t>
            </w:r>
            <w:proofErr w:type="spellStart"/>
            <w:r w:rsidRPr="00B32C06">
              <w:rPr>
                <w:rFonts w:eastAsia="Calibri"/>
                <w:sz w:val="20"/>
                <w:lang w:val="fr-CA"/>
              </w:rPr>
              <w:t>autorise</w:t>
            </w:r>
            <w:r w:rsidRPr="00B32C06">
              <w:rPr>
                <w:rFonts w:eastAsia="Calibri"/>
                <w:sz w:val="20"/>
                <w:lang w:val="fr-CA"/>
              </w:rPr>
              <w:noBreakHyphen/>
              <w:t>t</w:t>
            </w:r>
            <w:r w:rsidRPr="00B32C06">
              <w:rPr>
                <w:rFonts w:eastAsia="Calibri"/>
                <w:sz w:val="20"/>
                <w:lang w:val="fr-CA"/>
              </w:rPr>
              <w:noBreakHyphen/>
              <w:t>il</w:t>
            </w:r>
            <w:proofErr w:type="spellEnd"/>
            <w:r w:rsidRPr="00B32C06">
              <w:rPr>
                <w:rFonts w:eastAsia="Calibri"/>
                <w:sz w:val="20"/>
                <w:lang w:val="fr-CA"/>
              </w:rPr>
              <w:t xml:space="preserve"> la saisie d’éléments de preuve dissimulés sous une pierre dans le jardin de la résidence? – Une attaque spontanée </w:t>
            </w:r>
            <w:proofErr w:type="spellStart"/>
            <w:r w:rsidRPr="00B32C06">
              <w:rPr>
                <w:rFonts w:eastAsia="Calibri"/>
                <w:sz w:val="20"/>
                <w:lang w:val="fr-CA"/>
              </w:rPr>
              <w:t>peut</w:t>
            </w:r>
            <w:r w:rsidRPr="00B32C06">
              <w:rPr>
                <w:rFonts w:eastAsia="Calibri"/>
                <w:sz w:val="20"/>
                <w:lang w:val="fr-CA"/>
              </w:rPr>
              <w:noBreakHyphen/>
              <w:t>elle</w:t>
            </w:r>
            <w:proofErr w:type="spellEnd"/>
            <w:r w:rsidRPr="00B32C06">
              <w:rPr>
                <w:rFonts w:eastAsia="Calibri"/>
                <w:sz w:val="20"/>
                <w:lang w:val="fr-CA"/>
              </w:rPr>
              <w:t xml:space="preserve"> être considérée comme préméditée et commise de propos délibéré? – Les nombreuses et substantielles omissions dans les transcriptions de l’enquête préalable et du procès </w:t>
            </w:r>
            <w:proofErr w:type="spellStart"/>
            <w:r w:rsidRPr="00B32C06">
              <w:rPr>
                <w:rFonts w:eastAsia="Calibri"/>
                <w:sz w:val="20"/>
                <w:lang w:val="fr-CA"/>
              </w:rPr>
              <w:t>ont</w:t>
            </w:r>
            <w:r w:rsidRPr="00B32C06">
              <w:rPr>
                <w:rFonts w:eastAsia="Calibri"/>
                <w:sz w:val="20"/>
                <w:lang w:val="fr-CA"/>
              </w:rPr>
              <w:noBreakHyphen/>
              <w:t>elles</w:t>
            </w:r>
            <w:proofErr w:type="spellEnd"/>
            <w:r w:rsidRPr="00B32C06">
              <w:rPr>
                <w:rFonts w:eastAsia="Calibri"/>
                <w:sz w:val="20"/>
                <w:lang w:val="fr-CA"/>
              </w:rPr>
              <w:t xml:space="preserve"> nui au droit du demandeur d’interjeter appel? – Le juge du procès </w:t>
            </w:r>
            <w:proofErr w:type="spellStart"/>
            <w:r w:rsidRPr="00B32C06">
              <w:rPr>
                <w:rFonts w:eastAsia="Calibri"/>
                <w:sz w:val="20"/>
                <w:lang w:val="fr-CA"/>
              </w:rPr>
              <w:t>peut</w:t>
            </w:r>
            <w:r w:rsidRPr="00B32C06">
              <w:rPr>
                <w:rFonts w:eastAsia="Calibri"/>
                <w:sz w:val="20"/>
                <w:lang w:val="fr-CA"/>
              </w:rPr>
              <w:noBreakHyphen/>
              <w:t>il</w:t>
            </w:r>
            <w:proofErr w:type="spellEnd"/>
            <w:r w:rsidRPr="00B32C06">
              <w:rPr>
                <w:rFonts w:eastAsia="Calibri"/>
                <w:sz w:val="20"/>
                <w:lang w:val="fr-CA"/>
              </w:rPr>
              <w:t xml:space="preserve"> </w:t>
            </w:r>
            <w:proofErr w:type="gramStart"/>
            <w:r w:rsidRPr="00B32C06">
              <w:rPr>
                <w:rFonts w:eastAsia="Calibri"/>
                <w:sz w:val="20"/>
                <w:lang w:val="fr-CA"/>
              </w:rPr>
              <w:t>ordonner</w:t>
            </w:r>
            <w:proofErr w:type="gramEnd"/>
            <w:r w:rsidRPr="00B32C06">
              <w:rPr>
                <w:rFonts w:eastAsia="Calibri"/>
                <w:sz w:val="20"/>
                <w:lang w:val="fr-CA"/>
              </w:rPr>
              <w:t xml:space="preserve"> au jury de rendre un verdict de culpabilité pour meu</w:t>
            </w:r>
            <w:r w:rsidR="00241997">
              <w:rPr>
                <w:rFonts w:eastAsia="Calibri"/>
                <w:sz w:val="20"/>
                <w:lang w:val="fr-CA"/>
              </w:rPr>
              <w:t>r</w:t>
            </w:r>
            <w:r w:rsidRPr="00B32C06">
              <w:rPr>
                <w:rFonts w:eastAsia="Calibri"/>
                <w:sz w:val="20"/>
                <w:lang w:val="fr-CA"/>
              </w:rPr>
              <w:t>tre au deuxième degré lorsque la défense y a prétendument consenti? – Quelles normes déterminent la compétence d’un avocat et ce qui constitue une assistance inefficace?</w:t>
            </w:r>
          </w:p>
        </w:tc>
      </w:tr>
      <w:tr w:rsidR="00352439" w:rsidRPr="006112F1" w:rsidTr="00352439">
        <w:trPr>
          <w:gridAfter w:val="1"/>
          <w:wAfter w:w="48" w:type="pct"/>
        </w:trPr>
        <w:tc>
          <w:tcPr>
            <w:tcW w:w="4952" w:type="pct"/>
            <w:gridSpan w:val="3"/>
          </w:tcPr>
          <w:p w:rsidR="00352439" w:rsidRPr="00B32C06" w:rsidRDefault="00352439" w:rsidP="00352439">
            <w:pPr>
              <w:jc w:val="both"/>
              <w:rPr>
                <w:rFonts w:eastAsia="Calibri"/>
                <w:sz w:val="20"/>
                <w:lang w:val="fr-CA"/>
              </w:rPr>
            </w:pPr>
          </w:p>
        </w:tc>
      </w:tr>
      <w:tr w:rsidR="00352439" w:rsidRPr="002D3F55" w:rsidTr="00352439">
        <w:trPr>
          <w:gridAfter w:val="1"/>
          <w:wAfter w:w="48" w:type="pct"/>
        </w:trPr>
        <w:tc>
          <w:tcPr>
            <w:tcW w:w="4952" w:type="pct"/>
            <w:gridSpan w:val="3"/>
          </w:tcPr>
          <w:p w:rsidR="00352439" w:rsidRPr="00B32C06" w:rsidRDefault="00352439" w:rsidP="00352439">
            <w:pPr>
              <w:jc w:val="both"/>
              <w:rPr>
                <w:rFonts w:eastAsia="Calibri"/>
                <w:sz w:val="20"/>
                <w:lang w:val="fr-CA"/>
              </w:rPr>
            </w:pPr>
            <w:r w:rsidRPr="00B32C06">
              <w:rPr>
                <w:rFonts w:eastAsia="Calibri"/>
                <w:sz w:val="20"/>
                <w:lang w:val="fr-CA"/>
              </w:rPr>
              <w:t xml:space="preserve">Miguel </w:t>
            </w:r>
            <w:proofErr w:type="spellStart"/>
            <w:r w:rsidRPr="00B32C06">
              <w:rPr>
                <w:rFonts w:eastAsia="Calibri"/>
                <w:sz w:val="20"/>
                <w:lang w:val="fr-CA"/>
              </w:rPr>
              <w:t>Munoz</w:t>
            </w:r>
            <w:proofErr w:type="spellEnd"/>
            <w:r w:rsidRPr="00B32C06">
              <w:rPr>
                <w:rFonts w:eastAsia="Calibri"/>
                <w:sz w:val="20"/>
                <w:lang w:val="fr-CA"/>
              </w:rPr>
              <w:t xml:space="preserve"> a été tué par balle à l’extérieur d’une boîte de nuit à Winnipeg.  Il s’était battu avec le tireur dans le stationnement jusqu’à ce que des videurs les séparent.  Le tireur a traversé la rue à reculons, en invitant du geste M. </w:t>
            </w:r>
            <w:proofErr w:type="spellStart"/>
            <w:r w:rsidRPr="00B32C06">
              <w:rPr>
                <w:rFonts w:eastAsia="Calibri"/>
                <w:sz w:val="20"/>
                <w:lang w:val="fr-CA"/>
              </w:rPr>
              <w:t>Munoz</w:t>
            </w:r>
            <w:proofErr w:type="spellEnd"/>
            <w:r w:rsidRPr="00B32C06">
              <w:rPr>
                <w:rFonts w:eastAsia="Calibri"/>
                <w:sz w:val="20"/>
                <w:lang w:val="fr-CA"/>
              </w:rPr>
              <w:t xml:space="preserve"> à le suivre pour poursuivre le combat, ce qu’il a fait.  Le tireur l’a alors atteint de quatre projectiles.  Au </w:t>
            </w:r>
            <w:r w:rsidRPr="00B32C06">
              <w:rPr>
                <w:rFonts w:eastAsia="Calibri"/>
                <w:sz w:val="20"/>
                <w:lang w:val="fr-CA"/>
              </w:rPr>
              <w:lastRenderedPageBreak/>
              <w:t xml:space="preserve">procès, le demandeur a nié avoir été présent et a fourni un alibi.  Plusieurs témoins, selon qui le demandeur se trouvait à la boîte de nuit avant le meurtre, l’ont identifié comme étant le tireur.  La police a exécuté un mandat de perquisition au 39, </w:t>
            </w:r>
            <w:proofErr w:type="spellStart"/>
            <w:r w:rsidRPr="00B32C06">
              <w:rPr>
                <w:rFonts w:eastAsia="Calibri"/>
                <w:sz w:val="20"/>
                <w:lang w:val="fr-CA"/>
              </w:rPr>
              <w:t>Southlawn</w:t>
            </w:r>
            <w:proofErr w:type="spellEnd"/>
            <w:r w:rsidRPr="00B32C06">
              <w:rPr>
                <w:rFonts w:eastAsia="Calibri"/>
                <w:sz w:val="20"/>
                <w:lang w:val="fr-CA"/>
              </w:rPr>
              <w:t xml:space="preserve"> </w:t>
            </w:r>
            <w:proofErr w:type="spellStart"/>
            <w:r w:rsidRPr="00B32C06">
              <w:rPr>
                <w:rFonts w:eastAsia="Calibri"/>
                <w:sz w:val="20"/>
                <w:lang w:val="fr-CA"/>
              </w:rPr>
              <w:t>Stroll</w:t>
            </w:r>
            <w:proofErr w:type="spellEnd"/>
            <w:r w:rsidRPr="00B32C06">
              <w:rPr>
                <w:rFonts w:eastAsia="Calibri"/>
                <w:sz w:val="20"/>
                <w:lang w:val="fr-CA"/>
              </w:rPr>
              <w:t xml:space="preserve"> en vue de découvrir des éléments de preuve dissimulés « dans » les lieux.  L’arme du crime a été trouvée enfouie sous une pierre dans une </w:t>
            </w:r>
            <w:proofErr w:type="spellStart"/>
            <w:r w:rsidRPr="00B32C06">
              <w:rPr>
                <w:rFonts w:eastAsia="Calibri"/>
                <w:sz w:val="20"/>
                <w:lang w:val="fr-CA"/>
              </w:rPr>
              <w:t>plate</w:t>
            </w:r>
            <w:r w:rsidRPr="00B32C06">
              <w:rPr>
                <w:rFonts w:eastAsia="Calibri"/>
                <w:sz w:val="20"/>
                <w:lang w:val="fr-CA"/>
              </w:rPr>
              <w:noBreakHyphen/>
              <w:t>bande</w:t>
            </w:r>
            <w:proofErr w:type="spellEnd"/>
            <w:r w:rsidRPr="00B32C06">
              <w:rPr>
                <w:rFonts w:eastAsia="Calibri"/>
                <w:sz w:val="20"/>
                <w:lang w:val="fr-CA"/>
              </w:rPr>
              <w:t xml:space="preserve">.  Des problèmes de procédure ont surgi avant le procès.  Un juge ayant statué sur quelques requêtes préliminaires a été remplacé en première instance, et le juge subséquent a rejeté la requête l’enjoignant de reconnaître la compétence exclusive du juge initial à l’égard du procès.  Deux jours avant la date prévue du procès, l’avocat du demandeur a sollicité un ajournement, mais les seules dates lui convenant pour l’instruction du procès se traduisaient par un long délai de suspension.  L’ajournement a été refusé, ce qui a obligé le demandeur à changer d’avocat.  Le demandeur soulève l’incompétence de ce deuxième avocat.  Les enregistrements de l’audience contiennent des parties inaudibles, et les transcriptions comportent des omissions.  </w:t>
            </w:r>
          </w:p>
          <w:p w:rsidR="00352439" w:rsidRPr="00B32C06" w:rsidRDefault="00352439" w:rsidP="00352439">
            <w:pPr>
              <w:jc w:val="both"/>
              <w:rPr>
                <w:rFonts w:eastAsia="Calibri"/>
                <w:sz w:val="20"/>
                <w:lang w:val="fr-CA"/>
              </w:rPr>
            </w:pPr>
          </w:p>
        </w:tc>
      </w:tr>
      <w:tr w:rsidR="00352439" w:rsidRPr="002D3F55" w:rsidTr="00352439">
        <w:tblPrEx>
          <w:tblCellMar>
            <w:bottom w:w="0" w:type="dxa"/>
          </w:tblCellMar>
        </w:tblPrEx>
        <w:tc>
          <w:tcPr>
            <w:tcW w:w="2367" w:type="pct"/>
          </w:tcPr>
          <w:p w:rsidR="00352439" w:rsidRPr="00B32C06" w:rsidRDefault="00352439" w:rsidP="00352439">
            <w:pPr>
              <w:jc w:val="both"/>
              <w:rPr>
                <w:rFonts w:eastAsia="Calibri"/>
                <w:sz w:val="20"/>
                <w:lang w:val="fr-CA"/>
              </w:rPr>
            </w:pPr>
            <w:r w:rsidRPr="00B32C06">
              <w:rPr>
                <w:rFonts w:eastAsia="Calibri"/>
                <w:sz w:val="20"/>
                <w:lang w:val="fr-CA"/>
              </w:rPr>
              <w:lastRenderedPageBreak/>
              <w:t>Le 26 février 2009</w:t>
            </w:r>
          </w:p>
          <w:p w:rsidR="00352439" w:rsidRPr="00B32C06" w:rsidRDefault="00352439" w:rsidP="00352439">
            <w:pPr>
              <w:jc w:val="both"/>
              <w:rPr>
                <w:rFonts w:eastAsia="Calibri"/>
                <w:sz w:val="20"/>
                <w:lang w:val="fr-CA"/>
              </w:rPr>
            </w:pPr>
            <w:r w:rsidRPr="00B32C06">
              <w:rPr>
                <w:rFonts w:eastAsia="Calibri"/>
                <w:sz w:val="20"/>
                <w:lang w:val="fr-CA"/>
              </w:rPr>
              <w:t>Cour du Banc de la Reine du Manitoba</w:t>
            </w:r>
          </w:p>
          <w:p w:rsidR="00352439" w:rsidRPr="00B32C06" w:rsidRDefault="00352439" w:rsidP="00352439">
            <w:pPr>
              <w:jc w:val="both"/>
              <w:rPr>
                <w:rFonts w:eastAsia="Calibri"/>
                <w:sz w:val="20"/>
                <w:lang w:val="fr-CA"/>
              </w:rPr>
            </w:pPr>
            <w:r w:rsidRPr="00B32C06">
              <w:rPr>
                <w:rFonts w:eastAsia="Calibri"/>
                <w:sz w:val="20"/>
                <w:lang w:val="fr-CA"/>
              </w:rPr>
              <w:t xml:space="preserve">(juge </w:t>
            </w:r>
            <w:proofErr w:type="spellStart"/>
            <w:r w:rsidRPr="00B32C06">
              <w:rPr>
                <w:rFonts w:eastAsia="Calibri"/>
                <w:sz w:val="20"/>
                <w:lang w:val="fr-CA"/>
              </w:rPr>
              <w:t>Suche</w:t>
            </w:r>
            <w:proofErr w:type="spellEnd"/>
            <w:r w:rsidRPr="00B32C06">
              <w:rPr>
                <w:rFonts w:eastAsia="Calibri"/>
                <w:sz w:val="20"/>
                <w:lang w:val="fr-CA"/>
              </w:rPr>
              <w:t xml:space="preserve">)  </w:t>
            </w:r>
          </w:p>
          <w:p w:rsidR="00352439" w:rsidRPr="00B32C06" w:rsidRDefault="00352439" w:rsidP="00352439">
            <w:pPr>
              <w:jc w:val="both"/>
              <w:rPr>
                <w:rFonts w:eastAsia="Calibri"/>
                <w:sz w:val="20"/>
                <w:lang w:val="fr-CA"/>
              </w:rPr>
            </w:pPr>
          </w:p>
        </w:tc>
        <w:tc>
          <w:tcPr>
            <w:tcW w:w="267" w:type="pct"/>
          </w:tcPr>
          <w:p w:rsidR="00352439" w:rsidRPr="00B32C06" w:rsidRDefault="00352439" w:rsidP="00352439">
            <w:pPr>
              <w:jc w:val="both"/>
              <w:rPr>
                <w:rFonts w:eastAsia="Calibri"/>
                <w:sz w:val="20"/>
                <w:lang w:val="fr-CA"/>
              </w:rPr>
            </w:pPr>
          </w:p>
        </w:tc>
        <w:tc>
          <w:tcPr>
            <w:tcW w:w="2366" w:type="pct"/>
            <w:gridSpan w:val="2"/>
          </w:tcPr>
          <w:p w:rsidR="00352439" w:rsidRPr="00B32C06" w:rsidRDefault="00352439" w:rsidP="00352439">
            <w:pPr>
              <w:jc w:val="both"/>
              <w:rPr>
                <w:rFonts w:eastAsia="Calibri"/>
                <w:sz w:val="20"/>
                <w:lang w:val="fr-CA"/>
              </w:rPr>
            </w:pPr>
            <w:r w:rsidRPr="00B32C06">
              <w:rPr>
                <w:rFonts w:eastAsia="Calibri"/>
                <w:sz w:val="20"/>
                <w:lang w:val="fr-CA"/>
              </w:rPr>
              <w:t>Déclaration de culpabilité pour meurtre au premier degré prononcée par le jury</w:t>
            </w:r>
          </w:p>
          <w:p w:rsidR="00352439" w:rsidRPr="00B32C06" w:rsidRDefault="00352439" w:rsidP="00352439">
            <w:pPr>
              <w:jc w:val="both"/>
              <w:rPr>
                <w:rFonts w:eastAsia="Calibri"/>
                <w:sz w:val="20"/>
                <w:lang w:val="fr-CA"/>
              </w:rPr>
            </w:pPr>
          </w:p>
        </w:tc>
      </w:tr>
      <w:tr w:rsidR="00352439" w:rsidRPr="00B32C06" w:rsidTr="00352439">
        <w:tblPrEx>
          <w:tblCellMar>
            <w:bottom w:w="0" w:type="dxa"/>
          </w:tblCellMar>
        </w:tblPrEx>
        <w:tc>
          <w:tcPr>
            <w:tcW w:w="2367" w:type="pct"/>
          </w:tcPr>
          <w:p w:rsidR="00352439" w:rsidRPr="00B32C06" w:rsidRDefault="00352439" w:rsidP="00352439">
            <w:pPr>
              <w:jc w:val="both"/>
              <w:rPr>
                <w:rFonts w:eastAsia="Calibri"/>
                <w:sz w:val="20"/>
                <w:lang w:val="fr-CA"/>
              </w:rPr>
            </w:pPr>
            <w:r w:rsidRPr="00B32C06">
              <w:rPr>
                <w:rFonts w:eastAsia="Calibri"/>
                <w:sz w:val="20"/>
                <w:lang w:val="fr-CA"/>
              </w:rPr>
              <w:t>Le 3 octobre 2011</w:t>
            </w:r>
          </w:p>
          <w:p w:rsidR="00352439" w:rsidRPr="00B32C06" w:rsidRDefault="00352439" w:rsidP="00352439">
            <w:pPr>
              <w:jc w:val="both"/>
              <w:rPr>
                <w:rFonts w:eastAsia="Calibri"/>
                <w:sz w:val="20"/>
                <w:lang w:val="fr-CA"/>
              </w:rPr>
            </w:pPr>
            <w:r w:rsidRPr="00B32C06">
              <w:rPr>
                <w:rFonts w:eastAsia="Calibri"/>
                <w:sz w:val="20"/>
                <w:lang w:val="fr-CA"/>
              </w:rPr>
              <w:t>Cour d’appel du Manitoba</w:t>
            </w:r>
          </w:p>
          <w:p w:rsidR="00352439" w:rsidRPr="00B32C06" w:rsidRDefault="00352439" w:rsidP="00352439">
            <w:pPr>
              <w:jc w:val="both"/>
              <w:rPr>
                <w:rFonts w:eastAsia="Calibri"/>
                <w:sz w:val="20"/>
                <w:lang w:val="fr-CA"/>
              </w:rPr>
            </w:pPr>
            <w:r w:rsidRPr="00B32C06">
              <w:rPr>
                <w:rFonts w:eastAsia="Calibri"/>
                <w:sz w:val="20"/>
                <w:lang w:val="fr-CA"/>
              </w:rPr>
              <w:t xml:space="preserve">(juges Scott, </w:t>
            </w:r>
            <w:proofErr w:type="spellStart"/>
            <w:r w:rsidRPr="00B32C06">
              <w:rPr>
                <w:rFonts w:eastAsia="Calibri"/>
                <w:sz w:val="20"/>
                <w:lang w:val="fr-CA"/>
              </w:rPr>
              <w:t>Monnin</w:t>
            </w:r>
            <w:proofErr w:type="spellEnd"/>
            <w:r w:rsidRPr="00B32C06">
              <w:rPr>
                <w:rFonts w:eastAsia="Calibri"/>
                <w:sz w:val="20"/>
                <w:lang w:val="fr-CA"/>
              </w:rPr>
              <w:t xml:space="preserve"> et Hamilton)</w:t>
            </w:r>
          </w:p>
          <w:p w:rsidR="00352439" w:rsidRPr="00B32C06" w:rsidRDefault="00352439" w:rsidP="00352439">
            <w:pPr>
              <w:jc w:val="both"/>
              <w:rPr>
                <w:rFonts w:eastAsia="Calibri"/>
                <w:sz w:val="20"/>
                <w:lang w:val="fr-CA"/>
              </w:rPr>
            </w:pPr>
            <w:r w:rsidRPr="00B32C06">
              <w:rPr>
                <w:rFonts w:eastAsia="Calibri"/>
                <w:sz w:val="20"/>
                <w:lang w:val="fr-CA"/>
              </w:rPr>
              <w:t>2011 MBCA 83; AR 09</w:t>
            </w:r>
            <w:r w:rsidRPr="00B32C06">
              <w:rPr>
                <w:rFonts w:eastAsia="Calibri"/>
                <w:sz w:val="20"/>
                <w:lang w:val="fr-CA"/>
              </w:rPr>
              <w:noBreakHyphen/>
              <w:t>30</w:t>
            </w:r>
            <w:r w:rsidRPr="00B32C06">
              <w:rPr>
                <w:rFonts w:eastAsia="Calibri"/>
                <w:sz w:val="20"/>
                <w:lang w:val="fr-CA"/>
              </w:rPr>
              <w:noBreakHyphen/>
              <w:t>07118</w:t>
            </w:r>
          </w:p>
          <w:p w:rsidR="00352439" w:rsidRPr="00B32C06" w:rsidRDefault="00352439" w:rsidP="00352439">
            <w:pPr>
              <w:jc w:val="both"/>
              <w:rPr>
                <w:rFonts w:eastAsia="Calibri"/>
                <w:sz w:val="20"/>
                <w:lang w:val="fr-CA"/>
              </w:rPr>
            </w:pPr>
          </w:p>
        </w:tc>
        <w:tc>
          <w:tcPr>
            <w:tcW w:w="267" w:type="pct"/>
          </w:tcPr>
          <w:p w:rsidR="00352439" w:rsidRPr="00B32C06" w:rsidRDefault="00352439" w:rsidP="00352439">
            <w:pPr>
              <w:jc w:val="both"/>
              <w:rPr>
                <w:rFonts w:eastAsia="Calibri"/>
                <w:sz w:val="20"/>
                <w:lang w:val="fr-CA"/>
              </w:rPr>
            </w:pPr>
          </w:p>
        </w:tc>
        <w:tc>
          <w:tcPr>
            <w:tcW w:w="2366" w:type="pct"/>
            <w:gridSpan w:val="2"/>
          </w:tcPr>
          <w:p w:rsidR="00352439" w:rsidRPr="00B32C06" w:rsidRDefault="00352439" w:rsidP="00352439">
            <w:pPr>
              <w:jc w:val="both"/>
              <w:rPr>
                <w:rFonts w:eastAsia="Calibri"/>
                <w:sz w:val="20"/>
                <w:lang w:val="fr-CA"/>
              </w:rPr>
            </w:pPr>
            <w:r w:rsidRPr="00B32C06">
              <w:rPr>
                <w:rFonts w:eastAsia="Calibri"/>
                <w:sz w:val="20"/>
                <w:lang w:val="fr-CA"/>
              </w:rPr>
              <w:t>Appel rejeté</w:t>
            </w:r>
          </w:p>
          <w:p w:rsidR="00352439" w:rsidRPr="00B32C06" w:rsidRDefault="00352439" w:rsidP="00352439">
            <w:pPr>
              <w:jc w:val="both"/>
              <w:rPr>
                <w:rFonts w:eastAsia="Calibri"/>
                <w:sz w:val="20"/>
                <w:lang w:val="fr-CA"/>
              </w:rPr>
            </w:pPr>
          </w:p>
        </w:tc>
      </w:tr>
      <w:tr w:rsidR="00352439" w:rsidRPr="00B32C06" w:rsidTr="00352439">
        <w:tblPrEx>
          <w:tblCellMar>
            <w:bottom w:w="0" w:type="dxa"/>
          </w:tblCellMar>
        </w:tblPrEx>
        <w:tc>
          <w:tcPr>
            <w:tcW w:w="2367" w:type="pct"/>
          </w:tcPr>
          <w:p w:rsidR="00352439" w:rsidRPr="00B32C06" w:rsidRDefault="00352439" w:rsidP="00352439">
            <w:pPr>
              <w:jc w:val="both"/>
              <w:rPr>
                <w:rFonts w:eastAsia="Calibri"/>
                <w:sz w:val="20"/>
                <w:lang w:val="fr-CA"/>
              </w:rPr>
            </w:pPr>
            <w:r w:rsidRPr="00B32C06">
              <w:rPr>
                <w:rFonts w:eastAsia="Calibri"/>
                <w:sz w:val="20"/>
                <w:lang w:val="fr-CA"/>
              </w:rPr>
              <w:t>Le 2 décembre 2011</w:t>
            </w:r>
          </w:p>
          <w:p w:rsidR="00352439" w:rsidRPr="00B32C06" w:rsidRDefault="00352439" w:rsidP="00352439">
            <w:pPr>
              <w:jc w:val="both"/>
              <w:rPr>
                <w:rFonts w:eastAsia="Calibri"/>
                <w:sz w:val="20"/>
                <w:lang w:val="fr-CA"/>
              </w:rPr>
            </w:pPr>
            <w:r w:rsidRPr="00B32C06">
              <w:rPr>
                <w:rFonts w:eastAsia="Calibri"/>
                <w:sz w:val="20"/>
                <w:lang w:val="fr-CA"/>
              </w:rPr>
              <w:t>Cour suprême du Canada</w:t>
            </w:r>
          </w:p>
        </w:tc>
        <w:tc>
          <w:tcPr>
            <w:tcW w:w="267" w:type="pct"/>
          </w:tcPr>
          <w:p w:rsidR="00352439" w:rsidRPr="00B32C06" w:rsidRDefault="00352439" w:rsidP="00352439">
            <w:pPr>
              <w:jc w:val="both"/>
              <w:rPr>
                <w:rFonts w:eastAsia="Calibri"/>
                <w:sz w:val="20"/>
                <w:lang w:val="fr-CA"/>
              </w:rPr>
            </w:pPr>
          </w:p>
        </w:tc>
        <w:tc>
          <w:tcPr>
            <w:tcW w:w="2366" w:type="pct"/>
            <w:gridSpan w:val="2"/>
          </w:tcPr>
          <w:p w:rsidR="00352439" w:rsidRPr="00B32C06" w:rsidRDefault="00352439" w:rsidP="00352439">
            <w:pPr>
              <w:jc w:val="both"/>
              <w:rPr>
                <w:rFonts w:eastAsia="Calibri"/>
                <w:sz w:val="20"/>
                <w:lang w:val="fr-CA"/>
              </w:rPr>
            </w:pPr>
            <w:r w:rsidRPr="00B32C06">
              <w:rPr>
                <w:rFonts w:eastAsia="Calibri"/>
                <w:sz w:val="20"/>
                <w:lang w:val="fr-CA"/>
              </w:rPr>
              <w:t>Demande d’autorisation d’appel déposée</w:t>
            </w:r>
          </w:p>
          <w:p w:rsidR="00352439" w:rsidRPr="00B32C06" w:rsidRDefault="00352439" w:rsidP="00352439">
            <w:pPr>
              <w:jc w:val="both"/>
              <w:rPr>
                <w:rFonts w:eastAsia="Calibri"/>
                <w:sz w:val="20"/>
                <w:lang w:val="fr-CA"/>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80" style="width:2in;height:1pt" o:hrpct="0" o:hralign="center" o:hrstd="t" o:hrnoshade="t" o:hr="t" fillcolor="black [3213]" stroked="f"/>
        </w:pict>
      </w:r>
    </w:p>
    <w:p w:rsidR="00C64AFA" w:rsidRDefault="00C64AF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32F8" w:rsidRPr="00893FB8" w:rsidTr="00EC0D48">
        <w:trPr>
          <w:cantSplit/>
        </w:trPr>
        <w:tc>
          <w:tcPr>
            <w:tcW w:w="1458" w:type="dxa"/>
          </w:tcPr>
          <w:p w:rsidR="00CF32F8" w:rsidRPr="00893FB8" w:rsidRDefault="00CF32F8" w:rsidP="00EC0D48">
            <w:pPr>
              <w:rPr>
                <w:sz w:val="20"/>
                <w:szCs w:val="20"/>
              </w:rPr>
            </w:pPr>
            <w:r w:rsidRPr="00893FB8">
              <w:rPr>
                <w:rStyle w:val="SCCFileNumberChar"/>
                <w:sz w:val="20"/>
                <w:szCs w:val="20"/>
              </w:rPr>
              <w:t>34612</w:t>
            </w:r>
          </w:p>
          <w:p w:rsidR="00CF32F8" w:rsidRPr="00893FB8" w:rsidRDefault="00CF32F8" w:rsidP="00EC0D48">
            <w:pPr>
              <w:rPr>
                <w:b/>
                <w:sz w:val="20"/>
                <w:szCs w:val="20"/>
                <w:lang w:val="fr-CA"/>
              </w:rPr>
            </w:pPr>
          </w:p>
        </w:tc>
        <w:tc>
          <w:tcPr>
            <w:tcW w:w="8118" w:type="dxa"/>
          </w:tcPr>
          <w:p w:rsidR="00CF32F8" w:rsidRPr="00893FB8" w:rsidRDefault="00CF32F8" w:rsidP="00EC0D48">
            <w:pPr>
              <w:jc w:val="both"/>
              <w:rPr>
                <w:sz w:val="20"/>
                <w:szCs w:val="20"/>
              </w:rPr>
            </w:pPr>
            <w:r w:rsidRPr="00CF32F8">
              <w:rPr>
                <w:rStyle w:val="SCCLsocChar"/>
                <w:sz w:val="20"/>
                <w:szCs w:val="20"/>
                <w:lang w:val="en-CA"/>
              </w:rPr>
              <w:t xml:space="preserve">Charles D. </w:t>
            </w:r>
            <w:proofErr w:type="spellStart"/>
            <w:r w:rsidRPr="00CF32F8">
              <w:rPr>
                <w:rStyle w:val="SCCLsocChar"/>
                <w:sz w:val="20"/>
                <w:szCs w:val="20"/>
                <w:lang w:val="en-CA"/>
              </w:rPr>
              <w:t>Lienaux</w:t>
            </w:r>
            <w:proofErr w:type="spellEnd"/>
            <w:r w:rsidRPr="00CF32F8">
              <w:rPr>
                <w:rStyle w:val="SCCLsocChar"/>
                <w:sz w:val="20"/>
                <w:szCs w:val="20"/>
                <w:lang w:val="en-CA"/>
              </w:rPr>
              <w:t xml:space="preserve"> v. Wesley G. Campbell, 2301072 Nova Scotia Limited and Green Hunt </w:t>
            </w:r>
            <w:proofErr w:type="spellStart"/>
            <w:r w:rsidRPr="00CF32F8">
              <w:rPr>
                <w:rStyle w:val="SCCLsocChar"/>
                <w:sz w:val="20"/>
                <w:szCs w:val="20"/>
                <w:lang w:val="en-CA"/>
              </w:rPr>
              <w:t>Wedlake</w:t>
            </w:r>
            <w:proofErr w:type="spellEnd"/>
            <w:r w:rsidRPr="00CF32F8">
              <w:rPr>
                <w:rStyle w:val="SCCLsocChar"/>
                <w:sz w:val="20"/>
                <w:szCs w:val="20"/>
                <w:lang w:val="en-CA"/>
              </w:rPr>
              <w:t xml:space="preserve"> Inc.</w:t>
            </w:r>
            <w:r w:rsidRPr="00893FB8">
              <w:rPr>
                <w:sz w:val="20"/>
                <w:szCs w:val="20"/>
              </w:rPr>
              <w:t xml:space="preserve"> (N.S.) (Civil) (By Leave)</w:t>
            </w:r>
          </w:p>
          <w:p w:rsidR="00CF32F8" w:rsidRPr="00893FB8" w:rsidRDefault="00CF32F8" w:rsidP="00EC0D48">
            <w:pPr>
              <w:rPr>
                <w:sz w:val="20"/>
                <w:szCs w:val="20"/>
              </w:rPr>
            </w:pPr>
          </w:p>
        </w:tc>
      </w:tr>
      <w:tr w:rsidR="00CF32F8" w:rsidRPr="00893FB8" w:rsidTr="00EC0D48">
        <w:trPr>
          <w:cantSplit/>
        </w:trPr>
        <w:tc>
          <w:tcPr>
            <w:tcW w:w="1458" w:type="dxa"/>
          </w:tcPr>
          <w:p w:rsidR="00CF32F8" w:rsidRPr="00893FB8" w:rsidRDefault="00CF32F8" w:rsidP="00EC0D48">
            <w:pPr>
              <w:rPr>
                <w:sz w:val="20"/>
                <w:szCs w:val="20"/>
              </w:rPr>
            </w:pPr>
            <w:r w:rsidRPr="00893FB8">
              <w:rPr>
                <w:sz w:val="20"/>
                <w:szCs w:val="20"/>
              </w:rPr>
              <w:t>Coram :</w:t>
            </w:r>
          </w:p>
        </w:tc>
        <w:tc>
          <w:tcPr>
            <w:tcW w:w="8118" w:type="dxa"/>
          </w:tcPr>
          <w:p w:rsidR="00CF32F8" w:rsidRPr="00893FB8" w:rsidRDefault="00CF32F8" w:rsidP="00EC0D48">
            <w:pPr>
              <w:rPr>
                <w:sz w:val="20"/>
                <w:szCs w:val="20"/>
              </w:rPr>
            </w:pPr>
            <w:proofErr w:type="spellStart"/>
            <w:r w:rsidRPr="00CF32F8">
              <w:rPr>
                <w:rStyle w:val="SCCCoramChar"/>
                <w:sz w:val="20"/>
                <w:szCs w:val="20"/>
                <w:lang w:val="en-CA"/>
              </w:rPr>
              <w:t>McLachlin</w:t>
            </w:r>
            <w:proofErr w:type="spellEnd"/>
            <w:r w:rsidRPr="00CF32F8">
              <w:rPr>
                <w:rStyle w:val="SCCCoramChar"/>
                <w:sz w:val="20"/>
                <w:szCs w:val="20"/>
                <w:lang w:val="en-CA"/>
              </w:rPr>
              <w:t xml:space="preserve"> C.J. and Rothstein and </w:t>
            </w:r>
            <w:proofErr w:type="spellStart"/>
            <w:r w:rsidRPr="00CF32F8">
              <w:rPr>
                <w:rStyle w:val="SCCCoramChar"/>
                <w:sz w:val="20"/>
                <w:szCs w:val="20"/>
                <w:lang w:val="en-CA"/>
              </w:rPr>
              <w:t>Moldaver</w:t>
            </w:r>
            <w:proofErr w:type="spellEnd"/>
            <w:r w:rsidRPr="00CF32F8">
              <w:rPr>
                <w:rStyle w:val="SCCCoramChar"/>
                <w:sz w:val="20"/>
                <w:szCs w:val="20"/>
                <w:lang w:val="en-CA"/>
              </w:rPr>
              <w:t> JJ.</w:t>
            </w:r>
          </w:p>
          <w:p w:rsidR="00CF32F8" w:rsidRPr="00893FB8" w:rsidRDefault="00CF32F8" w:rsidP="00EC0D48">
            <w:pPr>
              <w:rPr>
                <w:sz w:val="20"/>
                <w:szCs w:val="20"/>
                <w:u w:val="single"/>
              </w:rPr>
            </w:pPr>
          </w:p>
        </w:tc>
      </w:tr>
      <w:tr w:rsidR="00CF32F8" w:rsidRPr="002D3F55" w:rsidTr="00EC0D48">
        <w:trPr>
          <w:cantSplit/>
        </w:trPr>
        <w:tc>
          <w:tcPr>
            <w:tcW w:w="9576" w:type="dxa"/>
            <w:gridSpan w:val="2"/>
          </w:tcPr>
          <w:p w:rsidR="00CF32F8" w:rsidRPr="00893FB8" w:rsidRDefault="00CF32F8" w:rsidP="00EC0D48">
            <w:pPr>
              <w:pStyle w:val="SCCShortJudgment"/>
              <w:rPr>
                <w:szCs w:val="20"/>
              </w:rPr>
            </w:pPr>
            <w:r w:rsidRPr="00893FB8">
              <w:rPr>
                <w:szCs w:val="20"/>
              </w:rPr>
              <w:t>The application for leave to appeal from the judgment of the Nova Scotia Court of Appeal, Number CA 352526, dated October 25, 2011, is dismissed with costs to the respondents Wesley G. Campbell and 2301072 Nova Scotia Limited.</w:t>
            </w:r>
          </w:p>
          <w:p w:rsidR="00CF32F8" w:rsidRPr="00893FB8" w:rsidRDefault="00CF32F8" w:rsidP="00EC0D48">
            <w:pPr>
              <w:pStyle w:val="SCCShortJudgment"/>
              <w:ind w:firstLine="0"/>
              <w:rPr>
                <w:szCs w:val="20"/>
              </w:rPr>
            </w:pPr>
          </w:p>
          <w:p w:rsidR="00CF32F8" w:rsidRPr="00893FB8" w:rsidRDefault="00CF32F8" w:rsidP="00EC0D48">
            <w:pPr>
              <w:pStyle w:val="SCCShortJudgment"/>
              <w:rPr>
                <w:szCs w:val="20"/>
                <w:lang w:val="fr-CA"/>
              </w:rPr>
            </w:pPr>
            <w:r w:rsidRPr="00893FB8">
              <w:rPr>
                <w:szCs w:val="20"/>
                <w:lang w:val="fr-CA"/>
              </w:rPr>
              <w:t xml:space="preserve">La demande d’autorisation d’appel de l’arrêt de la Cour d’appel de la Nouvelle-Écosse, numéro CA 352526, daté du 25 octobre 2011, est rejetée avec dépens en faveur des intimés Wesley G. Campbell et 2301072 Nova </w:t>
            </w:r>
            <w:proofErr w:type="spellStart"/>
            <w:r w:rsidRPr="00893FB8">
              <w:rPr>
                <w:szCs w:val="20"/>
                <w:lang w:val="fr-CA"/>
              </w:rPr>
              <w:t>Scotia</w:t>
            </w:r>
            <w:proofErr w:type="spellEnd"/>
            <w:r w:rsidRPr="00893FB8">
              <w:rPr>
                <w:szCs w:val="20"/>
                <w:lang w:val="fr-CA"/>
              </w:rPr>
              <w:t xml:space="preserve"> Limited.</w:t>
            </w:r>
          </w:p>
        </w:tc>
      </w:tr>
    </w:tbl>
    <w:p w:rsidR="00C64AFA" w:rsidRPr="00CF32F8" w:rsidRDefault="00C64AFA" w:rsidP="00C64AFA">
      <w:pPr>
        <w:rPr>
          <w:sz w:val="20"/>
          <w:szCs w:val="20"/>
          <w:lang w:val="fr-CA"/>
        </w:rPr>
      </w:pPr>
    </w:p>
    <w:p w:rsidR="00C64AFA" w:rsidRPr="001B157C" w:rsidRDefault="00C64AFA" w:rsidP="00C64AFA">
      <w:pPr>
        <w:rPr>
          <w:sz w:val="20"/>
          <w:szCs w:val="20"/>
          <w:u w:val="single"/>
        </w:rPr>
      </w:pPr>
      <w:r w:rsidRPr="001B157C">
        <w:rPr>
          <w:sz w:val="20"/>
          <w:szCs w:val="20"/>
          <w:u w:val="single"/>
        </w:rPr>
        <w:t>CASE SUMMARY</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F03B9C" w:rsidRPr="00B32C06" w:rsidTr="00352439">
        <w:trPr>
          <w:gridAfter w:val="1"/>
          <w:wAfter w:w="48" w:type="pct"/>
        </w:trPr>
        <w:tc>
          <w:tcPr>
            <w:tcW w:w="4952" w:type="pct"/>
            <w:gridSpan w:val="3"/>
          </w:tcPr>
          <w:p w:rsidR="00F03B9C" w:rsidRPr="00B32C06" w:rsidRDefault="00F03B9C" w:rsidP="00352439">
            <w:pPr>
              <w:jc w:val="both"/>
              <w:rPr>
                <w:rFonts w:eastAsia="Calibri"/>
                <w:sz w:val="20"/>
              </w:rPr>
            </w:pPr>
            <w:r w:rsidRPr="00B32C06">
              <w:rPr>
                <w:rFonts w:eastAsia="Calibri"/>
                <w:sz w:val="20"/>
              </w:rPr>
              <w:t>Civil Procedure – Appeals – Security for costs – Whether Court of Appeal erred in law and  exceeded judicial discretion by ordering applicant to post security for costs – Whether Court of Appeal erred by dismissing a viable appeal because the applicant could not post security for costs.</w:t>
            </w:r>
          </w:p>
        </w:tc>
      </w:tr>
      <w:tr w:rsidR="00F03B9C" w:rsidRPr="00B32C06" w:rsidTr="00352439">
        <w:trPr>
          <w:gridAfter w:val="1"/>
          <w:wAfter w:w="48" w:type="pct"/>
        </w:trPr>
        <w:tc>
          <w:tcPr>
            <w:tcW w:w="4952" w:type="pct"/>
            <w:gridSpan w:val="3"/>
          </w:tcPr>
          <w:p w:rsidR="00F03B9C" w:rsidRPr="00B32C06" w:rsidRDefault="00F03B9C" w:rsidP="00352439">
            <w:pPr>
              <w:jc w:val="both"/>
              <w:rPr>
                <w:rFonts w:eastAsia="Calibri"/>
                <w:sz w:val="20"/>
              </w:rPr>
            </w:pPr>
          </w:p>
        </w:tc>
      </w:tr>
      <w:tr w:rsidR="00F03B9C" w:rsidRPr="00B32C06" w:rsidTr="00352439">
        <w:trPr>
          <w:gridAfter w:val="1"/>
          <w:wAfter w:w="48" w:type="pct"/>
        </w:trPr>
        <w:tc>
          <w:tcPr>
            <w:tcW w:w="4952" w:type="pct"/>
            <w:gridSpan w:val="3"/>
          </w:tcPr>
          <w:p w:rsidR="00F03B9C" w:rsidRPr="00B32C06" w:rsidRDefault="00F03B9C" w:rsidP="00352439">
            <w:pPr>
              <w:jc w:val="both"/>
              <w:rPr>
                <w:rFonts w:eastAsia="Calibri"/>
                <w:sz w:val="20"/>
              </w:rPr>
            </w:pPr>
            <w:r w:rsidRPr="00B32C06">
              <w:rPr>
                <w:rFonts w:eastAsia="Calibri"/>
                <w:sz w:val="20"/>
              </w:rPr>
              <w:t>The applicant and four other parties filed motions in respect of three actions.  The motions were dismissed and the applicant applied for leave to appeal.  The respondents filed motions before the Court of Appeal seeking an order compelling the applicant to post security for costs.   Saunders J.A. allowed the motions and ordered the applicant to post $20,000 security by 4:00 pm on October, 21, 2011, failing which respondents could move to dismiss the appeal without further notice to applicant.  The applicant did not post security.  Saunders J.A. granted a motion dismissing the appeal.  MacDonald C.J. dismissed a motion for leave to review Saunders J.A.’s decision.</w:t>
            </w:r>
          </w:p>
          <w:p w:rsidR="00F03B9C" w:rsidRPr="00B32C06" w:rsidRDefault="00F03B9C" w:rsidP="00352439">
            <w:pPr>
              <w:jc w:val="both"/>
              <w:rPr>
                <w:rFonts w:eastAsia="Calibri"/>
                <w:sz w:val="20"/>
              </w:rPr>
            </w:pPr>
          </w:p>
        </w:tc>
      </w:tr>
      <w:tr w:rsidR="00F03B9C" w:rsidRPr="00B32C06" w:rsidTr="00352439">
        <w:tblPrEx>
          <w:tblCellMar>
            <w:bottom w:w="0" w:type="dxa"/>
          </w:tblCellMar>
        </w:tblPrEx>
        <w:tc>
          <w:tcPr>
            <w:tcW w:w="2367" w:type="pct"/>
          </w:tcPr>
          <w:p w:rsidR="00F03B9C" w:rsidRPr="00B32C06" w:rsidRDefault="00F03B9C" w:rsidP="00352439">
            <w:pPr>
              <w:jc w:val="both"/>
              <w:rPr>
                <w:rFonts w:eastAsia="Calibri"/>
                <w:sz w:val="20"/>
              </w:rPr>
            </w:pPr>
            <w:r w:rsidRPr="00B32C06">
              <w:rPr>
                <w:rFonts w:eastAsia="Calibri"/>
                <w:sz w:val="20"/>
              </w:rPr>
              <w:lastRenderedPageBreak/>
              <w:t>July 5, 2011</w:t>
            </w:r>
          </w:p>
          <w:p w:rsidR="00F03B9C" w:rsidRPr="00B32C06" w:rsidRDefault="00F03B9C" w:rsidP="00352439">
            <w:pPr>
              <w:jc w:val="both"/>
              <w:rPr>
                <w:rFonts w:eastAsia="Calibri"/>
                <w:sz w:val="20"/>
              </w:rPr>
            </w:pPr>
            <w:r w:rsidRPr="00B32C06">
              <w:rPr>
                <w:rFonts w:eastAsia="Calibri"/>
                <w:sz w:val="20"/>
              </w:rPr>
              <w:t>Supreme Court of Nova Scotia, Trial Division</w:t>
            </w:r>
          </w:p>
          <w:p w:rsidR="00F03B9C" w:rsidRPr="00B32C06" w:rsidRDefault="00F03B9C" w:rsidP="00352439">
            <w:pPr>
              <w:jc w:val="both"/>
              <w:rPr>
                <w:rFonts w:eastAsia="Calibri"/>
                <w:sz w:val="20"/>
              </w:rPr>
            </w:pPr>
            <w:r w:rsidRPr="00B32C06">
              <w:rPr>
                <w:rFonts w:eastAsia="Calibri"/>
                <w:sz w:val="20"/>
              </w:rPr>
              <w:t>(Warner J.)</w:t>
            </w:r>
          </w:p>
          <w:p w:rsidR="00F03B9C" w:rsidRPr="00B32C06" w:rsidRDefault="00F03B9C" w:rsidP="00352439">
            <w:pPr>
              <w:jc w:val="both"/>
              <w:rPr>
                <w:rFonts w:eastAsia="Calibri"/>
                <w:sz w:val="20"/>
              </w:rPr>
            </w:pPr>
          </w:p>
        </w:tc>
        <w:tc>
          <w:tcPr>
            <w:tcW w:w="267" w:type="pct"/>
          </w:tcPr>
          <w:p w:rsidR="00F03B9C" w:rsidRPr="00B32C06" w:rsidRDefault="00F03B9C" w:rsidP="00352439">
            <w:pPr>
              <w:jc w:val="both"/>
              <w:rPr>
                <w:rFonts w:eastAsia="Calibri"/>
                <w:sz w:val="20"/>
              </w:rPr>
            </w:pPr>
          </w:p>
        </w:tc>
        <w:tc>
          <w:tcPr>
            <w:tcW w:w="2366" w:type="pct"/>
            <w:gridSpan w:val="2"/>
          </w:tcPr>
          <w:p w:rsidR="00F03B9C" w:rsidRPr="00B32C06" w:rsidRDefault="00F03B9C" w:rsidP="00352439">
            <w:pPr>
              <w:jc w:val="both"/>
              <w:rPr>
                <w:rFonts w:eastAsia="Calibri"/>
                <w:sz w:val="20"/>
              </w:rPr>
            </w:pPr>
            <w:r w:rsidRPr="00B32C06">
              <w:rPr>
                <w:rFonts w:eastAsia="Calibri"/>
                <w:sz w:val="20"/>
              </w:rPr>
              <w:t>Motions for declarations and orders dismissed</w:t>
            </w:r>
          </w:p>
          <w:p w:rsidR="00F03B9C" w:rsidRPr="00B32C06" w:rsidRDefault="00F03B9C" w:rsidP="00352439">
            <w:pPr>
              <w:jc w:val="both"/>
              <w:rPr>
                <w:rFonts w:eastAsia="Calibri"/>
                <w:sz w:val="20"/>
              </w:rPr>
            </w:pPr>
          </w:p>
        </w:tc>
      </w:tr>
      <w:tr w:rsidR="00F03B9C" w:rsidRPr="00B32C06" w:rsidTr="00352439">
        <w:tblPrEx>
          <w:tblCellMar>
            <w:bottom w:w="0" w:type="dxa"/>
          </w:tblCellMar>
        </w:tblPrEx>
        <w:tc>
          <w:tcPr>
            <w:tcW w:w="2367" w:type="pct"/>
          </w:tcPr>
          <w:p w:rsidR="00F03B9C" w:rsidRPr="00B32C06" w:rsidRDefault="00F03B9C" w:rsidP="00352439">
            <w:pPr>
              <w:jc w:val="both"/>
              <w:rPr>
                <w:rFonts w:eastAsia="Calibri"/>
                <w:sz w:val="20"/>
              </w:rPr>
            </w:pPr>
            <w:r w:rsidRPr="00B32C06">
              <w:rPr>
                <w:rFonts w:eastAsia="Calibri"/>
                <w:sz w:val="20"/>
              </w:rPr>
              <w:t>October 12, 2011</w:t>
            </w:r>
          </w:p>
          <w:p w:rsidR="00F03B9C" w:rsidRPr="00B32C06" w:rsidRDefault="00F03B9C" w:rsidP="00352439">
            <w:pPr>
              <w:jc w:val="both"/>
              <w:rPr>
                <w:rFonts w:eastAsia="Calibri"/>
                <w:sz w:val="20"/>
              </w:rPr>
            </w:pPr>
            <w:r w:rsidRPr="00B32C06">
              <w:rPr>
                <w:rFonts w:eastAsia="Calibri"/>
                <w:sz w:val="20"/>
              </w:rPr>
              <w:t>Nova Scotia Court of Appeal</w:t>
            </w:r>
          </w:p>
          <w:p w:rsidR="00F03B9C" w:rsidRPr="00B32C06" w:rsidRDefault="00F03B9C" w:rsidP="00352439">
            <w:pPr>
              <w:jc w:val="both"/>
              <w:rPr>
                <w:rFonts w:eastAsia="Calibri"/>
                <w:sz w:val="20"/>
              </w:rPr>
            </w:pPr>
            <w:r w:rsidRPr="00B32C06">
              <w:rPr>
                <w:rFonts w:eastAsia="Calibri"/>
                <w:sz w:val="20"/>
              </w:rPr>
              <w:t>(Saunders J.)</w:t>
            </w:r>
          </w:p>
          <w:p w:rsidR="00F03B9C" w:rsidRPr="00B32C06" w:rsidRDefault="00F03B9C" w:rsidP="00352439">
            <w:pPr>
              <w:jc w:val="both"/>
              <w:rPr>
                <w:rFonts w:eastAsia="Calibri"/>
                <w:sz w:val="20"/>
              </w:rPr>
            </w:pPr>
            <w:r w:rsidRPr="00B32C06">
              <w:rPr>
                <w:rFonts w:eastAsia="Calibri"/>
                <w:sz w:val="20"/>
              </w:rPr>
              <w:t>2011 NSCA 94; CA352526</w:t>
            </w:r>
          </w:p>
          <w:p w:rsidR="00F03B9C" w:rsidRPr="00B32C06" w:rsidRDefault="00F03B9C" w:rsidP="00352439">
            <w:pPr>
              <w:jc w:val="both"/>
              <w:rPr>
                <w:rFonts w:eastAsia="Calibri"/>
                <w:sz w:val="20"/>
              </w:rPr>
            </w:pPr>
          </w:p>
        </w:tc>
        <w:tc>
          <w:tcPr>
            <w:tcW w:w="267" w:type="pct"/>
          </w:tcPr>
          <w:p w:rsidR="00F03B9C" w:rsidRPr="00B32C06" w:rsidRDefault="00F03B9C" w:rsidP="00352439">
            <w:pPr>
              <w:jc w:val="both"/>
              <w:rPr>
                <w:rFonts w:eastAsia="Calibri"/>
                <w:sz w:val="20"/>
              </w:rPr>
            </w:pPr>
          </w:p>
        </w:tc>
        <w:tc>
          <w:tcPr>
            <w:tcW w:w="2366" w:type="pct"/>
            <w:gridSpan w:val="2"/>
          </w:tcPr>
          <w:p w:rsidR="00F03B9C" w:rsidRPr="00B32C06" w:rsidRDefault="00F03B9C" w:rsidP="00352439">
            <w:pPr>
              <w:jc w:val="both"/>
              <w:rPr>
                <w:rFonts w:eastAsia="Calibri"/>
                <w:sz w:val="20"/>
              </w:rPr>
            </w:pPr>
            <w:r w:rsidRPr="00B32C06">
              <w:rPr>
                <w:rFonts w:eastAsia="Calibri"/>
                <w:sz w:val="20"/>
              </w:rPr>
              <w:t>Motion for order compelling applicant to post $20,000 security for costs granted; Security to be posted by 4:00 pm on October, 21, 2011, failing which respondents may move to dismiss appeal without further notice to applicant</w:t>
            </w:r>
          </w:p>
          <w:p w:rsidR="00F03B9C" w:rsidRPr="00B32C06" w:rsidRDefault="00F03B9C" w:rsidP="00352439">
            <w:pPr>
              <w:jc w:val="both"/>
              <w:rPr>
                <w:rFonts w:eastAsia="Calibri"/>
                <w:sz w:val="20"/>
              </w:rPr>
            </w:pPr>
          </w:p>
        </w:tc>
      </w:tr>
      <w:tr w:rsidR="00F03B9C" w:rsidRPr="00B32C06" w:rsidTr="00352439">
        <w:tblPrEx>
          <w:tblCellMar>
            <w:bottom w:w="0" w:type="dxa"/>
          </w:tblCellMar>
        </w:tblPrEx>
        <w:tc>
          <w:tcPr>
            <w:tcW w:w="2367" w:type="pct"/>
          </w:tcPr>
          <w:p w:rsidR="00F03B9C" w:rsidRPr="00B32C06" w:rsidRDefault="00F03B9C" w:rsidP="00352439">
            <w:pPr>
              <w:jc w:val="both"/>
              <w:rPr>
                <w:rFonts w:eastAsia="Calibri"/>
                <w:sz w:val="20"/>
              </w:rPr>
            </w:pPr>
            <w:r w:rsidRPr="00B32C06">
              <w:rPr>
                <w:rFonts w:eastAsia="Calibri"/>
                <w:sz w:val="20"/>
              </w:rPr>
              <w:t>October 25, 2011</w:t>
            </w:r>
          </w:p>
          <w:p w:rsidR="00F03B9C" w:rsidRPr="00B32C06" w:rsidRDefault="00F03B9C" w:rsidP="00352439">
            <w:pPr>
              <w:jc w:val="both"/>
              <w:rPr>
                <w:rFonts w:eastAsia="Calibri"/>
                <w:sz w:val="20"/>
              </w:rPr>
            </w:pPr>
            <w:r w:rsidRPr="00B32C06">
              <w:rPr>
                <w:rFonts w:eastAsia="Calibri"/>
                <w:sz w:val="20"/>
              </w:rPr>
              <w:t>Nova Scotia Court of Appeal</w:t>
            </w:r>
          </w:p>
          <w:p w:rsidR="00F03B9C" w:rsidRPr="00B32C06" w:rsidRDefault="00F03B9C" w:rsidP="00352439">
            <w:pPr>
              <w:jc w:val="both"/>
              <w:rPr>
                <w:rFonts w:eastAsia="Calibri"/>
                <w:sz w:val="20"/>
              </w:rPr>
            </w:pPr>
            <w:r w:rsidRPr="00B32C06">
              <w:rPr>
                <w:rFonts w:eastAsia="Calibri"/>
                <w:sz w:val="20"/>
              </w:rPr>
              <w:t>(Saunders J.)</w:t>
            </w:r>
          </w:p>
          <w:p w:rsidR="00F03B9C" w:rsidRPr="00B32C06" w:rsidRDefault="00F03B9C" w:rsidP="00352439">
            <w:pPr>
              <w:jc w:val="both"/>
              <w:rPr>
                <w:rFonts w:eastAsia="Calibri"/>
                <w:sz w:val="20"/>
              </w:rPr>
            </w:pPr>
            <w:r w:rsidRPr="00B32C06">
              <w:rPr>
                <w:rFonts w:eastAsia="Calibri"/>
                <w:sz w:val="20"/>
              </w:rPr>
              <w:t>CA 352526</w:t>
            </w:r>
          </w:p>
          <w:p w:rsidR="00F03B9C" w:rsidRPr="00B32C06" w:rsidRDefault="00F03B9C" w:rsidP="00352439">
            <w:pPr>
              <w:jc w:val="both"/>
              <w:rPr>
                <w:rFonts w:eastAsia="Calibri"/>
                <w:sz w:val="20"/>
              </w:rPr>
            </w:pPr>
          </w:p>
        </w:tc>
        <w:tc>
          <w:tcPr>
            <w:tcW w:w="267" w:type="pct"/>
          </w:tcPr>
          <w:p w:rsidR="00F03B9C" w:rsidRPr="00B32C06" w:rsidRDefault="00F03B9C" w:rsidP="00352439">
            <w:pPr>
              <w:jc w:val="both"/>
              <w:rPr>
                <w:rFonts w:eastAsia="Calibri"/>
                <w:sz w:val="20"/>
              </w:rPr>
            </w:pPr>
          </w:p>
        </w:tc>
        <w:tc>
          <w:tcPr>
            <w:tcW w:w="2366" w:type="pct"/>
            <w:gridSpan w:val="2"/>
          </w:tcPr>
          <w:p w:rsidR="00F03B9C" w:rsidRPr="00B32C06" w:rsidRDefault="00F03B9C" w:rsidP="00352439">
            <w:pPr>
              <w:jc w:val="both"/>
              <w:rPr>
                <w:rFonts w:eastAsia="Calibri"/>
                <w:sz w:val="20"/>
              </w:rPr>
            </w:pPr>
            <w:r w:rsidRPr="00B32C06">
              <w:rPr>
                <w:rFonts w:eastAsia="Calibri"/>
                <w:sz w:val="20"/>
              </w:rPr>
              <w:t>Appeal dismissed</w:t>
            </w:r>
          </w:p>
          <w:p w:rsidR="00F03B9C" w:rsidRPr="00B32C06" w:rsidRDefault="00F03B9C" w:rsidP="00352439">
            <w:pPr>
              <w:jc w:val="both"/>
              <w:rPr>
                <w:rFonts w:eastAsia="Calibri"/>
                <w:sz w:val="20"/>
              </w:rPr>
            </w:pPr>
          </w:p>
        </w:tc>
      </w:tr>
      <w:tr w:rsidR="00F03B9C" w:rsidRPr="00B32C06" w:rsidTr="00352439">
        <w:tblPrEx>
          <w:tblCellMar>
            <w:bottom w:w="0" w:type="dxa"/>
          </w:tblCellMar>
        </w:tblPrEx>
        <w:tc>
          <w:tcPr>
            <w:tcW w:w="2367" w:type="pct"/>
          </w:tcPr>
          <w:p w:rsidR="00F03B9C" w:rsidRPr="00B32C06" w:rsidRDefault="00F03B9C" w:rsidP="00352439">
            <w:pPr>
              <w:jc w:val="both"/>
              <w:rPr>
                <w:rFonts w:eastAsia="Calibri"/>
                <w:sz w:val="20"/>
              </w:rPr>
            </w:pPr>
            <w:r w:rsidRPr="00B32C06">
              <w:rPr>
                <w:rFonts w:eastAsia="Calibri"/>
                <w:sz w:val="20"/>
              </w:rPr>
              <w:t>November 9, 2011</w:t>
            </w:r>
          </w:p>
          <w:p w:rsidR="00F03B9C" w:rsidRPr="00B32C06" w:rsidRDefault="00F03B9C" w:rsidP="00352439">
            <w:pPr>
              <w:jc w:val="both"/>
              <w:rPr>
                <w:rFonts w:eastAsia="Calibri"/>
                <w:sz w:val="20"/>
              </w:rPr>
            </w:pPr>
            <w:r w:rsidRPr="00B32C06">
              <w:rPr>
                <w:rFonts w:eastAsia="Calibri"/>
                <w:sz w:val="20"/>
              </w:rPr>
              <w:t>Nova Scotia Court of Appeal</w:t>
            </w:r>
          </w:p>
          <w:p w:rsidR="00F03B9C" w:rsidRPr="00B32C06" w:rsidRDefault="00F03B9C" w:rsidP="00352439">
            <w:pPr>
              <w:jc w:val="both"/>
              <w:rPr>
                <w:rFonts w:eastAsia="Calibri"/>
                <w:sz w:val="20"/>
              </w:rPr>
            </w:pPr>
            <w:r w:rsidRPr="00B32C06">
              <w:rPr>
                <w:rFonts w:eastAsia="Calibri"/>
                <w:sz w:val="20"/>
              </w:rPr>
              <w:t>(MacDonald J.)</w:t>
            </w:r>
          </w:p>
          <w:p w:rsidR="00F03B9C" w:rsidRPr="00B32C06" w:rsidRDefault="00F03B9C" w:rsidP="00352439">
            <w:pPr>
              <w:jc w:val="both"/>
              <w:rPr>
                <w:rFonts w:eastAsia="Calibri"/>
                <w:sz w:val="20"/>
              </w:rPr>
            </w:pPr>
            <w:r w:rsidRPr="00B32C06">
              <w:rPr>
                <w:rFonts w:eastAsia="Calibri"/>
                <w:sz w:val="20"/>
              </w:rPr>
              <w:t>CA 352526</w:t>
            </w:r>
          </w:p>
          <w:p w:rsidR="00F03B9C" w:rsidRPr="00B32C06" w:rsidRDefault="00F03B9C" w:rsidP="00352439">
            <w:pPr>
              <w:jc w:val="both"/>
              <w:rPr>
                <w:rFonts w:eastAsia="Calibri"/>
                <w:sz w:val="20"/>
              </w:rPr>
            </w:pPr>
          </w:p>
        </w:tc>
        <w:tc>
          <w:tcPr>
            <w:tcW w:w="267" w:type="pct"/>
          </w:tcPr>
          <w:p w:rsidR="00F03B9C" w:rsidRPr="00B32C06" w:rsidRDefault="00F03B9C" w:rsidP="00352439">
            <w:pPr>
              <w:jc w:val="both"/>
              <w:rPr>
                <w:rFonts w:eastAsia="Calibri"/>
                <w:sz w:val="20"/>
              </w:rPr>
            </w:pPr>
          </w:p>
        </w:tc>
        <w:tc>
          <w:tcPr>
            <w:tcW w:w="2366" w:type="pct"/>
            <w:gridSpan w:val="2"/>
          </w:tcPr>
          <w:p w:rsidR="00F03B9C" w:rsidRPr="00B32C06" w:rsidRDefault="00F03B9C" w:rsidP="00352439">
            <w:pPr>
              <w:jc w:val="both"/>
              <w:rPr>
                <w:rFonts w:eastAsia="Calibri"/>
                <w:sz w:val="20"/>
              </w:rPr>
            </w:pPr>
            <w:r w:rsidRPr="00B32C06">
              <w:rPr>
                <w:rFonts w:eastAsia="Calibri"/>
                <w:sz w:val="20"/>
              </w:rPr>
              <w:t>Motion for leave to review order of Saunders J.A. dated October 25, 2011 dismissed</w:t>
            </w:r>
          </w:p>
          <w:p w:rsidR="00F03B9C" w:rsidRPr="00B32C06" w:rsidRDefault="00F03B9C" w:rsidP="00352439">
            <w:pPr>
              <w:jc w:val="both"/>
              <w:rPr>
                <w:rFonts w:eastAsia="Calibri"/>
                <w:sz w:val="20"/>
              </w:rPr>
            </w:pPr>
          </w:p>
        </w:tc>
      </w:tr>
      <w:tr w:rsidR="00F03B9C" w:rsidRPr="00B32C06" w:rsidTr="00352439">
        <w:tblPrEx>
          <w:tblCellMar>
            <w:bottom w:w="0" w:type="dxa"/>
          </w:tblCellMar>
        </w:tblPrEx>
        <w:tc>
          <w:tcPr>
            <w:tcW w:w="2367" w:type="pct"/>
          </w:tcPr>
          <w:p w:rsidR="00F03B9C" w:rsidRPr="00B32C06" w:rsidRDefault="00F03B9C" w:rsidP="00352439">
            <w:pPr>
              <w:jc w:val="both"/>
              <w:rPr>
                <w:rFonts w:eastAsia="Calibri"/>
                <w:sz w:val="20"/>
              </w:rPr>
            </w:pPr>
            <w:r w:rsidRPr="00B32C06">
              <w:rPr>
                <w:rFonts w:eastAsia="Calibri"/>
                <w:sz w:val="20"/>
              </w:rPr>
              <w:t>January 4, 2012</w:t>
            </w:r>
          </w:p>
          <w:p w:rsidR="00F03B9C" w:rsidRPr="00B32C06" w:rsidRDefault="00F03B9C" w:rsidP="00352439">
            <w:pPr>
              <w:jc w:val="both"/>
              <w:rPr>
                <w:rFonts w:eastAsia="Calibri"/>
                <w:sz w:val="20"/>
              </w:rPr>
            </w:pPr>
            <w:r w:rsidRPr="00B32C06">
              <w:rPr>
                <w:rFonts w:eastAsia="Calibri"/>
                <w:sz w:val="20"/>
              </w:rPr>
              <w:t>Supreme Court of Canada</w:t>
            </w:r>
          </w:p>
        </w:tc>
        <w:tc>
          <w:tcPr>
            <w:tcW w:w="267" w:type="pct"/>
          </w:tcPr>
          <w:p w:rsidR="00F03B9C" w:rsidRPr="00B32C06" w:rsidRDefault="00F03B9C" w:rsidP="00352439">
            <w:pPr>
              <w:jc w:val="both"/>
              <w:rPr>
                <w:rFonts w:eastAsia="Calibri"/>
                <w:sz w:val="20"/>
              </w:rPr>
            </w:pPr>
          </w:p>
        </w:tc>
        <w:tc>
          <w:tcPr>
            <w:tcW w:w="2366" w:type="pct"/>
            <w:gridSpan w:val="2"/>
          </w:tcPr>
          <w:p w:rsidR="00F03B9C" w:rsidRPr="00B32C06" w:rsidRDefault="00F03B9C" w:rsidP="00352439">
            <w:pPr>
              <w:jc w:val="both"/>
              <w:rPr>
                <w:rFonts w:eastAsia="Calibri"/>
                <w:sz w:val="20"/>
              </w:rPr>
            </w:pPr>
            <w:r w:rsidRPr="00B32C06">
              <w:rPr>
                <w:rFonts w:eastAsia="Calibri"/>
                <w:sz w:val="20"/>
              </w:rPr>
              <w:t>Application for leave to appeal filed</w:t>
            </w:r>
          </w:p>
          <w:p w:rsidR="00F03B9C" w:rsidRPr="00B32C06" w:rsidRDefault="00F03B9C" w:rsidP="00352439">
            <w:pPr>
              <w:jc w:val="both"/>
              <w:rPr>
                <w:rFonts w:eastAsia="Calibri"/>
                <w:sz w:val="20"/>
              </w:rPr>
            </w:pPr>
          </w:p>
        </w:tc>
      </w:tr>
    </w:tbl>
    <w:p w:rsidR="00C64AFA" w:rsidRDefault="00C64AFA" w:rsidP="00C64AFA">
      <w:pPr>
        <w:rPr>
          <w:sz w:val="20"/>
          <w:szCs w:val="20"/>
        </w:rPr>
      </w:pPr>
    </w:p>
    <w:p w:rsidR="00C64AFA" w:rsidRPr="00C50A5C" w:rsidRDefault="007505E6" w:rsidP="00C64AFA">
      <w:pPr>
        <w:rPr>
          <w:sz w:val="20"/>
          <w:szCs w:val="20"/>
        </w:rPr>
      </w:pPr>
      <w:r w:rsidRPr="007505E6">
        <w:rPr>
          <w:sz w:val="20"/>
          <w:szCs w:val="20"/>
          <w:lang w:val="fr-CA"/>
        </w:rPr>
        <w:pict>
          <v:rect id="_x0000_i1081" style="width:2in;height:1pt" o:hrpct="0" o:hralign="center" o:hrstd="t" o:hrnoshade="t" o:hr="t" fillcolor="black [3213]" stroked="f"/>
        </w:pict>
      </w:r>
    </w:p>
    <w:p w:rsidR="00C64AFA" w:rsidRDefault="00C64AFA" w:rsidP="00C64AFA">
      <w:pPr>
        <w:rPr>
          <w:sz w:val="20"/>
          <w:szCs w:val="20"/>
        </w:rPr>
      </w:pPr>
    </w:p>
    <w:p w:rsidR="00C64AFA" w:rsidRPr="001B157C" w:rsidRDefault="00C64AFA" w:rsidP="00C64AFA">
      <w:pPr>
        <w:rPr>
          <w:sz w:val="20"/>
          <w:szCs w:val="20"/>
          <w:u w:val="single"/>
          <w:lang w:val="fr-CA"/>
        </w:rPr>
      </w:pPr>
      <w:r w:rsidRPr="001B157C">
        <w:rPr>
          <w:sz w:val="20"/>
          <w:szCs w:val="20"/>
          <w:u w:val="single"/>
          <w:lang w:val="fr-CA"/>
        </w:rPr>
        <w:t>RÉSUMÉ DE L’AFFAIRE</w:t>
      </w:r>
    </w:p>
    <w:p w:rsidR="00C64AFA" w:rsidRDefault="00C64AFA" w:rsidP="00C64AFA">
      <w:pPr>
        <w:rPr>
          <w:sz w:val="20"/>
          <w:szCs w:val="20"/>
        </w:rPr>
      </w:pPr>
    </w:p>
    <w:tbl>
      <w:tblPr>
        <w:tblW w:w="5000" w:type="pct"/>
        <w:tblLayout w:type="fixed"/>
        <w:tblCellMar>
          <w:left w:w="0" w:type="dxa"/>
          <w:bottom w:w="99" w:type="dxa"/>
          <w:right w:w="0" w:type="dxa"/>
        </w:tblCellMar>
        <w:tblLook w:val="04A0"/>
      </w:tblPr>
      <w:tblGrid>
        <w:gridCol w:w="4554"/>
        <w:gridCol w:w="510"/>
        <w:gridCol w:w="4463"/>
        <w:gridCol w:w="92"/>
      </w:tblGrid>
      <w:tr w:rsidR="00F03B9C" w:rsidRPr="002D3F55" w:rsidTr="00352439">
        <w:trPr>
          <w:gridAfter w:val="1"/>
          <w:wAfter w:w="48" w:type="pct"/>
        </w:trPr>
        <w:tc>
          <w:tcPr>
            <w:tcW w:w="4952" w:type="pct"/>
            <w:gridSpan w:val="3"/>
          </w:tcPr>
          <w:p w:rsidR="00F03B9C" w:rsidRPr="00B32C06" w:rsidRDefault="00F03B9C" w:rsidP="00352439">
            <w:pPr>
              <w:jc w:val="both"/>
              <w:rPr>
                <w:rFonts w:eastAsia="Calibri"/>
                <w:sz w:val="20"/>
                <w:lang w:val="fr-CA"/>
              </w:rPr>
            </w:pPr>
            <w:r w:rsidRPr="00B32C06">
              <w:rPr>
                <w:rFonts w:eastAsia="Calibri"/>
                <w:sz w:val="20"/>
                <w:lang w:val="fr-CA"/>
              </w:rPr>
              <w:t>Procédure civile – Appels – Cautionnement pour dépens – La Cour d’appel a-t-elle commis une erreur de droit et outrepassé son pouvoir discrétionnaire en ordonnant au demandeur de déposer un cautionnement pour dépens? – La Cour d’appel a-t-elle commis une erreur en rejetant  un appel qui avait des chances de succès au motif que le demandeur ne pouvait déposer de cautionnement pour dépens?</w:t>
            </w:r>
          </w:p>
        </w:tc>
      </w:tr>
      <w:tr w:rsidR="00F03B9C" w:rsidRPr="002D3F55" w:rsidTr="00352439">
        <w:trPr>
          <w:gridAfter w:val="1"/>
          <w:wAfter w:w="48" w:type="pct"/>
        </w:trPr>
        <w:tc>
          <w:tcPr>
            <w:tcW w:w="4952" w:type="pct"/>
            <w:gridSpan w:val="3"/>
          </w:tcPr>
          <w:p w:rsidR="00F03B9C" w:rsidRPr="00B32C06" w:rsidRDefault="00F03B9C" w:rsidP="00352439">
            <w:pPr>
              <w:jc w:val="both"/>
              <w:rPr>
                <w:rFonts w:eastAsia="Calibri"/>
                <w:sz w:val="20"/>
                <w:lang w:val="fr-CA"/>
              </w:rPr>
            </w:pPr>
          </w:p>
        </w:tc>
      </w:tr>
      <w:tr w:rsidR="00F03B9C" w:rsidRPr="002D3F55" w:rsidTr="00352439">
        <w:trPr>
          <w:gridAfter w:val="1"/>
          <w:wAfter w:w="48" w:type="pct"/>
        </w:trPr>
        <w:tc>
          <w:tcPr>
            <w:tcW w:w="4952" w:type="pct"/>
            <w:gridSpan w:val="3"/>
          </w:tcPr>
          <w:p w:rsidR="00F03B9C" w:rsidRPr="00B32C06" w:rsidRDefault="00F03B9C" w:rsidP="00352439">
            <w:pPr>
              <w:jc w:val="both"/>
              <w:rPr>
                <w:rFonts w:eastAsia="Calibri"/>
                <w:sz w:val="20"/>
                <w:lang w:val="fr-CA"/>
              </w:rPr>
            </w:pPr>
            <w:r w:rsidRPr="00B32C06">
              <w:rPr>
                <w:rFonts w:eastAsia="Calibri"/>
                <w:sz w:val="20"/>
                <w:lang w:val="fr-CA"/>
              </w:rPr>
              <w:t xml:space="preserve">Le demandeur et quatre autres parties ont déposé des requêtes à l’égard de trois actions.  Les requêtes ont été rejetées et le demandeur a déposé une demande d’autorisation d’interjeter appel.  Les intimés ont déposé des requêtes devant la Cour d’appel en vue d’obtenir une ordonnance enjoignant au demandeur de déposer un cautionnement pour dépens.  Le juge </w:t>
            </w:r>
            <w:proofErr w:type="spellStart"/>
            <w:r w:rsidRPr="00B32C06">
              <w:rPr>
                <w:rFonts w:eastAsia="Calibri"/>
                <w:sz w:val="20"/>
                <w:lang w:val="fr-CA"/>
              </w:rPr>
              <w:t>Saunders</w:t>
            </w:r>
            <w:proofErr w:type="spellEnd"/>
            <w:r w:rsidRPr="00B32C06">
              <w:rPr>
                <w:rFonts w:eastAsia="Calibri"/>
                <w:sz w:val="20"/>
                <w:lang w:val="fr-CA"/>
              </w:rPr>
              <w:t xml:space="preserve"> a accueilli les requêtes et ordonné au demandeur de déposer un cautionnement de 20 000 $ pour dépens au plus tard le 21 octobre 2011, à 16h, à défaut de quoi les intimés pourraient demander le rejet de l’appel sans autre préavis au demandeur.  Le demandeur n’a pas déposé le cautionnement.  Le juge </w:t>
            </w:r>
            <w:proofErr w:type="spellStart"/>
            <w:r w:rsidRPr="00B32C06">
              <w:rPr>
                <w:rFonts w:eastAsia="Calibri"/>
                <w:sz w:val="20"/>
                <w:lang w:val="fr-CA"/>
              </w:rPr>
              <w:t>Saunders</w:t>
            </w:r>
            <w:proofErr w:type="spellEnd"/>
            <w:r w:rsidRPr="00B32C06">
              <w:rPr>
                <w:rFonts w:eastAsia="Calibri"/>
                <w:sz w:val="20"/>
                <w:lang w:val="fr-CA"/>
              </w:rPr>
              <w:t xml:space="preserve"> a accueilli une requête visant à obtenir le rejet de l’appel.  Le juge </w:t>
            </w:r>
            <w:proofErr w:type="spellStart"/>
            <w:r w:rsidRPr="00B32C06">
              <w:rPr>
                <w:rFonts w:eastAsia="Calibri"/>
                <w:sz w:val="20"/>
                <w:lang w:val="fr-CA"/>
              </w:rPr>
              <w:t>MacDonald</w:t>
            </w:r>
            <w:proofErr w:type="spellEnd"/>
            <w:r w:rsidRPr="00B32C06">
              <w:rPr>
                <w:rFonts w:eastAsia="Calibri"/>
                <w:sz w:val="20"/>
                <w:lang w:val="fr-CA"/>
              </w:rPr>
              <w:t xml:space="preserve"> a rejeté une requête en vue d’obtenir l’autorisation de réviser la décision du juge </w:t>
            </w:r>
            <w:proofErr w:type="spellStart"/>
            <w:r w:rsidRPr="00B32C06">
              <w:rPr>
                <w:rFonts w:eastAsia="Calibri"/>
                <w:sz w:val="20"/>
                <w:lang w:val="fr-CA"/>
              </w:rPr>
              <w:t>Saunders</w:t>
            </w:r>
            <w:proofErr w:type="spellEnd"/>
            <w:r w:rsidRPr="00B32C06">
              <w:rPr>
                <w:rFonts w:eastAsia="Calibri"/>
                <w:sz w:val="20"/>
                <w:lang w:val="fr-CA"/>
              </w:rPr>
              <w:t>.</w:t>
            </w:r>
          </w:p>
          <w:p w:rsidR="00F03B9C" w:rsidRPr="00B32C06" w:rsidRDefault="00F03B9C" w:rsidP="00352439">
            <w:pPr>
              <w:jc w:val="both"/>
              <w:rPr>
                <w:rFonts w:eastAsia="Calibri"/>
                <w:sz w:val="20"/>
                <w:lang w:val="fr-CA"/>
              </w:rPr>
            </w:pPr>
          </w:p>
        </w:tc>
      </w:tr>
      <w:tr w:rsidR="00F03B9C" w:rsidRPr="002D3F55" w:rsidTr="00025187">
        <w:tblPrEx>
          <w:tblCellMar>
            <w:bottom w:w="0" w:type="dxa"/>
          </w:tblCellMar>
        </w:tblPrEx>
        <w:tc>
          <w:tcPr>
            <w:tcW w:w="2367" w:type="pct"/>
          </w:tcPr>
          <w:p w:rsidR="00F03B9C" w:rsidRPr="00B32C06" w:rsidRDefault="00F03B9C" w:rsidP="00352439">
            <w:pPr>
              <w:jc w:val="both"/>
              <w:rPr>
                <w:rFonts w:eastAsia="Calibri"/>
                <w:sz w:val="20"/>
                <w:lang w:val="fr-CA"/>
              </w:rPr>
            </w:pPr>
            <w:r w:rsidRPr="00B32C06">
              <w:rPr>
                <w:rFonts w:eastAsia="Calibri"/>
                <w:sz w:val="20"/>
                <w:lang w:val="fr-CA"/>
              </w:rPr>
              <w:t>5 juillet 2011</w:t>
            </w:r>
          </w:p>
          <w:p w:rsidR="00F03B9C" w:rsidRPr="00B32C06" w:rsidRDefault="00F03B9C" w:rsidP="00352439">
            <w:pPr>
              <w:jc w:val="both"/>
              <w:rPr>
                <w:rFonts w:eastAsia="Calibri"/>
                <w:sz w:val="20"/>
                <w:lang w:val="fr-CA"/>
              </w:rPr>
            </w:pPr>
            <w:r w:rsidRPr="00B32C06">
              <w:rPr>
                <w:rFonts w:eastAsia="Calibri"/>
                <w:sz w:val="20"/>
                <w:lang w:val="fr-CA"/>
              </w:rPr>
              <w:t>Cour suprême de la Nouvelle-Écosse, Section de première instance</w:t>
            </w:r>
          </w:p>
          <w:p w:rsidR="00F03B9C" w:rsidRPr="00B32C06" w:rsidRDefault="00F03B9C" w:rsidP="00352439">
            <w:pPr>
              <w:jc w:val="both"/>
              <w:rPr>
                <w:rFonts w:eastAsia="Calibri"/>
                <w:sz w:val="20"/>
              </w:rPr>
            </w:pPr>
            <w:r w:rsidRPr="00B32C06">
              <w:rPr>
                <w:rFonts w:eastAsia="Calibri"/>
                <w:sz w:val="20"/>
              </w:rPr>
              <w:t>(</w:t>
            </w:r>
            <w:proofErr w:type="spellStart"/>
            <w:r w:rsidRPr="00B32C06">
              <w:rPr>
                <w:rFonts w:eastAsia="Calibri"/>
                <w:sz w:val="20"/>
              </w:rPr>
              <w:t>Juge</w:t>
            </w:r>
            <w:proofErr w:type="spellEnd"/>
            <w:r w:rsidRPr="00B32C06">
              <w:rPr>
                <w:rFonts w:eastAsia="Calibri"/>
                <w:sz w:val="20"/>
              </w:rPr>
              <w:t xml:space="preserve"> Warner)</w:t>
            </w:r>
          </w:p>
          <w:p w:rsidR="00F03B9C" w:rsidRPr="00B32C06" w:rsidRDefault="00F03B9C" w:rsidP="00352439">
            <w:pPr>
              <w:jc w:val="both"/>
              <w:rPr>
                <w:rFonts w:eastAsia="Calibri"/>
                <w:sz w:val="20"/>
              </w:rPr>
            </w:pPr>
          </w:p>
        </w:tc>
        <w:tc>
          <w:tcPr>
            <w:tcW w:w="265" w:type="pct"/>
          </w:tcPr>
          <w:p w:rsidR="00F03B9C" w:rsidRPr="00B32C06" w:rsidRDefault="00F03B9C" w:rsidP="00352439">
            <w:pPr>
              <w:jc w:val="both"/>
              <w:rPr>
                <w:rFonts w:eastAsia="Calibri"/>
                <w:sz w:val="20"/>
              </w:rPr>
            </w:pPr>
          </w:p>
        </w:tc>
        <w:tc>
          <w:tcPr>
            <w:tcW w:w="2365" w:type="pct"/>
            <w:gridSpan w:val="2"/>
          </w:tcPr>
          <w:p w:rsidR="00F03B9C" w:rsidRPr="00B32C06" w:rsidRDefault="00F03B9C" w:rsidP="00352439">
            <w:pPr>
              <w:jc w:val="both"/>
              <w:rPr>
                <w:rFonts w:eastAsia="Calibri"/>
                <w:sz w:val="20"/>
                <w:lang w:val="fr-CA"/>
              </w:rPr>
            </w:pPr>
            <w:r w:rsidRPr="00B32C06">
              <w:rPr>
                <w:rFonts w:eastAsia="Calibri"/>
                <w:sz w:val="20"/>
                <w:lang w:val="fr-CA"/>
              </w:rPr>
              <w:t>Requêtes en vue d’obtenir des jugements déclaratoires et des ordonnances, rejetées</w:t>
            </w:r>
          </w:p>
          <w:p w:rsidR="00F03B9C" w:rsidRPr="00B32C06" w:rsidRDefault="00F03B9C" w:rsidP="00352439">
            <w:pPr>
              <w:jc w:val="both"/>
              <w:rPr>
                <w:rFonts w:eastAsia="Calibri"/>
                <w:sz w:val="20"/>
                <w:lang w:val="fr-CA"/>
              </w:rPr>
            </w:pPr>
          </w:p>
        </w:tc>
      </w:tr>
      <w:tr w:rsidR="00F03B9C" w:rsidRPr="002D3F55" w:rsidTr="00025187">
        <w:tblPrEx>
          <w:tblCellMar>
            <w:bottom w:w="0" w:type="dxa"/>
          </w:tblCellMar>
        </w:tblPrEx>
        <w:tc>
          <w:tcPr>
            <w:tcW w:w="2367" w:type="pct"/>
          </w:tcPr>
          <w:p w:rsidR="00F03B9C" w:rsidRPr="00B32C06" w:rsidRDefault="00F03B9C" w:rsidP="00352439">
            <w:pPr>
              <w:jc w:val="both"/>
              <w:rPr>
                <w:rFonts w:eastAsia="Calibri"/>
                <w:sz w:val="20"/>
                <w:lang w:val="fr-CA"/>
              </w:rPr>
            </w:pPr>
            <w:r w:rsidRPr="00B32C06">
              <w:rPr>
                <w:rFonts w:eastAsia="Calibri"/>
                <w:sz w:val="20"/>
                <w:lang w:val="fr-CA"/>
              </w:rPr>
              <w:t>12 octobre 2011</w:t>
            </w:r>
          </w:p>
          <w:p w:rsidR="00F03B9C" w:rsidRPr="00B32C06" w:rsidRDefault="00F03B9C" w:rsidP="00352439">
            <w:pPr>
              <w:jc w:val="both"/>
              <w:rPr>
                <w:rFonts w:eastAsia="Calibri"/>
                <w:sz w:val="20"/>
                <w:lang w:val="fr-CA"/>
              </w:rPr>
            </w:pPr>
            <w:r w:rsidRPr="00B32C06">
              <w:rPr>
                <w:rFonts w:eastAsia="Calibri"/>
                <w:sz w:val="20"/>
                <w:lang w:val="fr-CA"/>
              </w:rPr>
              <w:t>Cour d’appel de la Nouvelle-Écosse</w:t>
            </w:r>
          </w:p>
          <w:p w:rsidR="00F03B9C" w:rsidRPr="00B32C06" w:rsidRDefault="00F03B9C" w:rsidP="00352439">
            <w:pPr>
              <w:jc w:val="both"/>
              <w:rPr>
                <w:rFonts w:eastAsia="Calibri"/>
                <w:sz w:val="20"/>
              </w:rPr>
            </w:pPr>
            <w:r w:rsidRPr="00B32C06">
              <w:rPr>
                <w:rFonts w:eastAsia="Calibri"/>
                <w:sz w:val="20"/>
              </w:rPr>
              <w:t>(</w:t>
            </w:r>
            <w:proofErr w:type="spellStart"/>
            <w:r w:rsidRPr="00B32C06">
              <w:rPr>
                <w:rFonts w:eastAsia="Calibri"/>
                <w:sz w:val="20"/>
              </w:rPr>
              <w:t>Juge</w:t>
            </w:r>
            <w:proofErr w:type="spellEnd"/>
            <w:r w:rsidRPr="00B32C06">
              <w:rPr>
                <w:rFonts w:eastAsia="Calibri"/>
                <w:sz w:val="20"/>
              </w:rPr>
              <w:t xml:space="preserve"> Saunders)</w:t>
            </w:r>
          </w:p>
          <w:p w:rsidR="00F03B9C" w:rsidRPr="00B32C06" w:rsidRDefault="00F03B9C" w:rsidP="00352439">
            <w:pPr>
              <w:jc w:val="both"/>
              <w:rPr>
                <w:rFonts w:eastAsia="Calibri"/>
                <w:sz w:val="20"/>
              </w:rPr>
            </w:pPr>
            <w:r w:rsidRPr="00B32C06">
              <w:rPr>
                <w:rFonts w:eastAsia="Calibri"/>
                <w:sz w:val="20"/>
              </w:rPr>
              <w:t>2011 NSCA 94; CA352526</w:t>
            </w:r>
          </w:p>
          <w:p w:rsidR="00F03B9C" w:rsidRPr="00B32C06" w:rsidRDefault="00F03B9C" w:rsidP="00352439">
            <w:pPr>
              <w:jc w:val="both"/>
              <w:rPr>
                <w:rFonts w:eastAsia="Calibri"/>
                <w:sz w:val="20"/>
              </w:rPr>
            </w:pPr>
          </w:p>
        </w:tc>
        <w:tc>
          <w:tcPr>
            <w:tcW w:w="265" w:type="pct"/>
          </w:tcPr>
          <w:p w:rsidR="00F03B9C" w:rsidRPr="00B32C06" w:rsidRDefault="00F03B9C" w:rsidP="00352439">
            <w:pPr>
              <w:jc w:val="both"/>
              <w:rPr>
                <w:rFonts w:eastAsia="Calibri"/>
                <w:sz w:val="20"/>
              </w:rPr>
            </w:pPr>
          </w:p>
        </w:tc>
        <w:tc>
          <w:tcPr>
            <w:tcW w:w="2365" w:type="pct"/>
            <w:gridSpan w:val="2"/>
          </w:tcPr>
          <w:p w:rsidR="00F03B9C" w:rsidRPr="00B32C06" w:rsidRDefault="00F03B9C" w:rsidP="00352439">
            <w:pPr>
              <w:jc w:val="both"/>
              <w:rPr>
                <w:rFonts w:eastAsia="Calibri"/>
                <w:sz w:val="20"/>
                <w:lang w:val="fr-CA"/>
              </w:rPr>
            </w:pPr>
            <w:r w:rsidRPr="00B32C06">
              <w:rPr>
                <w:rFonts w:eastAsia="Calibri"/>
                <w:sz w:val="20"/>
                <w:lang w:val="fr-CA"/>
              </w:rPr>
              <w:t>Requête en vue d’obtenir une ordonnance enjoignant au demandeur de déposer un cautionnement de 20 000 $ pour dépens, accueillie; cautionnement à déposer au plus tard le 21 octobre 2001, à 16h, à défaut de quoi les intimés pourront demander le rejet de l’appel sans autre préavis au demandeur</w:t>
            </w:r>
          </w:p>
          <w:p w:rsidR="00F03B9C" w:rsidRPr="00B32C06" w:rsidRDefault="00F03B9C" w:rsidP="00352439">
            <w:pPr>
              <w:jc w:val="both"/>
              <w:rPr>
                <w:rFonts w:eastAsia="Calibri"/>
                <w:sz w:val="20"/>
                <w:lang w:val="fr-CA"/>
              </w:rPr>
            </w:pPr>
          </w:p>
        </w:tc>
      </w:tr>
      <w:tr w:rsidR="00F03B9C" w:rsidRPr="00B32C06" w:rsidTr="00025187">
        <w:tblPrEx>
          <w:tblCellMar>
            <w:bottom w:w="0" w:type="dxa"/>
          </w:tblCellMar>
        </w:tblPrEx>
        <w:tc>
          <w:tcPr>
            <w:tcW w:w="2367" w:type="pct"/>
          </w:tcPr>
          <w:p w:rsidR="00F03B9C" w:rsidRPr="00B32C06" w:rsidRDefault="00F03B9C" w:rsidP="00352439">
            <w:pPr>
              <w:jc w:val="both"/>
              <w:rPr>
                <w:rFonts w:eastAsia="Calibri"/>
                <w:sz w:val="20"/>
                <w:lang w:val="fr-CA"/>
              </w:rPr>
            </w:pPr>
            <w:r w:rsidRPr="00B32C06">
              <w:rPr>
                <w:rFonts w:eastAsia="Calibri"/>
                <w:sz w:val="20"/>
                <w:lang w:val="fr-CA"/>
              </w:rPr>
              <w:lastRenderedPageBreak/>
              <w:t>25 octobre 2011</w:t>
            </w:r>
          </w:p>
          <w:p w:rsidR="00F03B9C" w:rsidRPr="00B32C06" w:rsidRDefault="00F03B9C" w:rsidP="00352439">
            <w:pPr>
              <w:jc w:val="both"/>
              <w:rPr>
                <w:rFonts w:eastAsia="Calibri"/>
                <w:sz w:val="20"/>
                <w:lang w:val="fr-CA"/>
              </w:rPr>
            </w:pPr>
            <w:r w:rsidRPr="00B32C06">
              <w:rPr>
                <w:rFonts w:eastAsia="Calibri"/>
                <w:sz w:val="20"/>
                <w:lang w:val="fr-CA"/>
              </w:rPr>
              <w:t>Cour d’appel de la Nouvelle-Écosse</w:t>
            </w:r>
          </w:p>
          <w:p w:rsidR="00F03B9C" w:rsidRPr="00B32C06" w:rsidRDefault="00F03B9C" w:rsidP="00352439">
            <w:pPr>
              <w:jc w:val="both"/>
              <w:rPr>
                <w:rFonts w:eastAsia="Calibri"/>
                <w:sz w:val="20"/>
              </w:rPr>
            </w:pPr>
            <w:r w:rsidRPr="00B32C06">
              <w:rPr>
                <w:rFonts w:eastAsia="Calibri"/>
                <w:sz w:val="20"/>
              </w:rPr>
              <w:t>(</w:t>
            </w:r>
            <w:proofErr w:type="spellStart"/>
            <w:r w:rsidRPr="00B32C06">
              <w:rPr>
                <w:rFonts w:eastAsia="Calibri"/>
                <w:sz w:val="20"/>
              </w:rPr>
              <w:t>Juge</w:t>
            </w:r>
            <w:proofErr w:type="spellEnd"/>
            <w:r w:rsidRPr="00B32C06">
              <w:rPr>
                <w:rFonts w:eastAsia="Calibri"/>
                <w:sz w:val="20"/>
              </w:rPr>
              <w:t xml:space="preserve"> Saunders)</w:t>
            </w:r>
          </w:p>
          <w:p w:rsidR="00F03B9C" w:rsidRPr="00B32C06" w:rsidRDefault="00F03B9C" w:rsidP="00352439">
            <w:pPr>
              <w:jc w:val="both"/>
              <w:rPr>
                <w:rFonts w:eastAsia="Calibri"/>
                <w:sz w:val="20"/>
              </w:rPr>
            </w:pPr>
            <w:r w:rsidRPr="00B32C06">
              <w:rPr>
                <w:rFonts w:eastAsia="Calibri"/>
                <w:sz w:val="20"/>
              </w:rPr>
              <w:t>CA 352526</w:t>
            </w:r>
          </w:p>
          <w:p w:rsidR="00F03B9C" w:rsidRPr="00B32C06" w:rsidRDefault="00F03B9C" w:rsidP="00352439">
            <w:pPr>
              <w:jc w:val="both"/>
              <w:rPr>
                <w:rFonts w:eastAsia="Calibri"/>
                <w:sz w:val="20"/>
              </w:rPr>
            </w:pPr>
          </w:p>
        </w:tc>
        <w:tc>
          <w:tcPr>
            <w:tcW w:w="265" w:type="pct"/>
          </w:tcPr>
          <w:p w:rsidR="00F03B9C" w:rsidRPr="00B32C06" w:rsidRDefault="00F03B9C" w:rsidP="00352439">
            <w:pPr>
              <w:jc w:val="both"/>
              <w:rPr>
                <w:rFonts w:eastAsia="Calibri"/>
                <w:sz w:val="20"/>
              </w:rPr>
            </w:pPr>
          </w:p>
        </w:tc>
        <w:tc>
          <w:tcPr>
            <w:tcW w:w="2365" w:type="pct"/>
            <w:gridSpan w:val="2"/>
          </w:tcPr>
          <w:p w:rsidR="00F03B9C" w:rsidRPr="00B32C06" w:rsidRDefault="00F03B9C" w:rsidP="00352439">
            <w:pPr>
              <w:jc w:val="both"/>
              <w:rPr>
                <w:rFonts w:eastAsia="Calibri"/>
                <w:sz w:val="20"/>
              </w:rPr>
            </w:pPr>
            <w:proofErr w:type="spellStart"/>
            <w:r w:rsidRPr="00B32C06">
              <w:rPr>
                <w:rFonts w:eastAsia="Calibri"/>
                <w:sz w:val="20"/>
              </w:rPr>
              <w:t>Appel</w:t>
            </w:r>
            <w:proofErr w:type="spellEnd"/>
            <w:r w:rsidRPr="00B32C06">
              <w:rPr>
                <w:rFonts w:eastAsia="Calibri"/>
                <w:sz w:val="20"/>
              </w:rPr>
              <w:t xml:space="preserve"> </w:t>
            </w:r>
            <w:proofErr w:type="spellStart"/>
            <w:r w:rsidRPr="00B32C06">
              <w:rPr>
                <w:rFonts w:eastAsia="Calibri"/>
                <w:sz w:val="20"/>
              </w:rPr>
              <w:t>rejeté</w:t>
            </w:r>
            <w:proofErr w:type="spellEnd"/>
          </w:p>
          <w:p w:rsidR="00F03B9C" w:rsidRPr="00B32C06" w:rsidRDefault="00F03B9C" w:rsidP="00352439">
            <w:pPr>
              <w:jc w:val="both"/>
              <w:rPr>
                <w:rFonts w:eastAsia="Calibri"/>
                <w:sz w:val="20"/>
              </w:rPr>
            </w:pPr>
          </w:p>
        </w:tc>
      </w:tr>
      <w:tr w:rsidR="00F03B9C" w:rsidRPr="002D3F55" w:rsidTr="00025187">
        <w:tblPrEx>
          <w:tblCellMar>
            <w:bottom w:w="0" w:type="dxa"/>
          </w:tblCellMar>
        </w:tblPrEx>
        <w:tc>
          <w:tcPr>
            <w:tcW w:w="2367" w:type="pct"/>
          </w:tcPr>
          <w:p w:rsidR="00F03B9C" w:rsidRPr="00B32C06" w:rsidRDefault="00F03B9C" w:rsidP="00352439">
            <w:pPr>
              <w:jc w:val="both"/>
              <w:rPr>
                <w:rFonts w:eastAsia="Calibri"/>
                <w:sz w:val="20"/>
                <w:lang w:val="fr-CA"/>
              </w:rPr>
            </w:pPr>
            <w:r w:rsidRPr="00B32C06">
              <w:rPr>
                <w:rFonts w:eastAsia="Calibri"/>
                <w:sz w:val="20"/>
                <w:lang w:val="fr-CA"/>
              </w:rPr>
              <w:t>9 novembre 2011</w:t>
            </w:r>
          </w:p>
          <w:p w:rsidR="00F03B9C" w:rsidRPr="00B32C06" w:rsidRDefault="00F03B9C" w:rsidP="00352439">
            <w:pPr>
              <w:jc w:val="both"/>
              <w:rPr>
                <w:rFonts w:eastAsia="Calibri"/>
                <w:sz w:val="20"/>
                <w:lang w:val="fr-CA"/>
              </w:rPr>
            </w:pPr>
            <w:r w:rsidRPr="00B32C06">
              <w:rPr>
                <w:rFonts w:eastAsia="Calibri"/>
                <w:sz w:val="20"/>
                <w:lang w:val="fr-CA"/>
              </w:rPr>
              <w:t>Cour d’appel de la Nouvelle-Écosse</w:t>
            </w:r>
          </w:p>
          <w:p w:rsidR="00F03B9C" w:rsidRPr="00B32C06" w:rsidRDefault="00F03B9C" w:rsidP="00352439">
            <w:pPr>
              <w:jc w:val="both"/>
              <w:rPr>
                <w:rFonts w:eastAsia="Calibri"/>
                <w:sz w:val="20"/>
              </w:rPr>
            </w:pPr>
            <w:r w:rsidRPr="00B32C06">
              <w:rPr>
                <w:rFonts w:eastAsia="Calibri"/>
                <w:sz w:val="20"/>
              </w:rPr>
              <w:t>(</w:t>
            </w:r>
            <w:proofErr w:type="spellStart"/>
            <w:r w:rsidRPr="00B32C06">
              <w:rPr>
                <w:rFonts w:eastAsia="Calibri"/>
                <w:sz w:val="20"/>
              </w:rPr>
              <w:t>Juge</w:t>
            </w:r>
            <w:proofErr w:type="spellEnd"/>
            <w:r w:rsidRPr="00B32C06">
              <w:rPr>
                <w:rFonts w:eastAsia="Calibri"/>
                <w:sz w:val="20"/>
              </w:rPr>
              <w:t xml:space="preserve"> MacDonald)</w:t>
            </w:r>
          </w:p>
          <w:p w:rsidR="00F03B9C" w:rsidRPr="00B32C06" w:rsidRDefault="00F03B9C" w:rsidP="00352439">
            <w:pPr>
              <w:jc w:val="both"/>
              <w:rPr>
                <w:rFonts w:eastAsia="Calibri"/>
                <w:sz w:val="20"/>
              </w:rPr>
            </w:pPr>
            <w:r w:rsidRPr="00B32C06">
              <w:rPr>
                <w:rFonts w:eastAsia="Calibri"/>
                <w:sz w:val="20"/>
              </w:rPr>
              <w:t>CA 352526</w:t>
            </w:r>
          </w:p>
          <w:p w:rsidR="00F03B9C" w:rsidRPr="00B32C06" w:rsidRDefault="00F03B9C" w:rsidP="00352439">
            <w:pPr>
              <w:jc w:val="both"/>
              <w:rPr>
                <w:rFonts w:eastAsia="Calibri"/>
                <w:sz w:val="20"/>
              </w:rPr>
            </w:pPr>
          </w:p>
        </w:tc>
        <w:tc>
          <w:tcPr>
            <w:tcW w:w="265" w:type="pct"/>
          </w:tcPr>
          <w:p w:rsidR="00F03B9C" w:rsidRPr="00B32C06" w:rsidRDefault="00F03B9C" w:rsidP="00352439">
            <w:pPr>
              <w:jc w:val="both"/>
              <w:rPr>
                <w:rFonts w:eastAsia="Calibri"/>
                <w:sz w:val="20"/>
              </w:rPr>
            </w:pPr>
          </w:p>
        </w:tc>
        <w:tc>
          <w:tcPr>
            <w:tcW w:w="2365" w:type="pct"/>
            <w:gridSpan w:val="2"/>
          </w:tcPr>
          <w:p w:rsidR="00F03B9C" w:rsidRPr="00B32C06" w:rsidRDefault="00F03B9C" w:rsidP="00352439">
            <w:pPr>
              <w:jc w:val="both"/>
              <w:rPr>
                <w:rFonts w:eastAsia="Calibri"/>
                <w:sz w:val="20"/>
                <w:lang w:val="fr-CA"/>
              </w:rPr>
            </w:pPr>
            <w:r w:rsidRPr="00B32C06">
              <w:rPr>
                <w:rFonts w:eastAsia="Calibri"/>
                <w:sz w:val="20"/>
                <w:lang w:val="fr-CA"/>
              </w:rPr>
              <w:t xml:space="preserve">Requête en vue d’obtenir l’autorisation de réviser l’ordonnance du juge </w:t>
            </w:r>
            <w:proofErr w:type="spellStart"/>
            <w:r w:rsidRPr="00B32C06">
              <w:rPr>
                <w:rFonts w:eastAsia="Calibri"/>
                <w:sz w:val="20"/>
                <w:lang w:val="fr-CA"/>
              </w:rPr>
              <w:t>Saunders</w:t>
            </w:r>
            <w:proofErr w:type="spellEnd"/>
            <w:r w:rsidRPr="00B32C06">
              <w:rPr>
                <w:rFonts w:eastAsia="Calibri"/>
                <w:sz w:val="20"/>
                <w:lang w:val="fr-CA"/>
              </w:rPr>
              <w:t xml:space="preserve"> datée du 25 octobre 2011, rejetée</w:t>
            </w:r>
          </w:p>
          <w:p w:rsidR="00F03B9C" w:rsidRPr="00B32C06" w:rsidRDefault="00F03B9C" w:rsidP="00352439">
            <w:pPr>
              <w:jc w:val="both"/>
              <w:rPr>
                <w:rFonts w:eastAsia="Calibri"/>
                <w:sz w:val="20"/>
                <w:lang w:val="fr-CA"/>
              </w:rPr>
            </w:pPr>
          </w:p>
        </w:tc>
      </w:tr>
      <w:tr w:rsidR="00F03B9C" w:rsidRPr="00B32C06" w:rsidTr="00025187">
        <w:tblPrEx>
          <w:tblCellMar>
            <w:bottom w:w="0" w:type="dxa"/>
          </w:tblCellMar>
        </w:tblPrEx>
        <w:tc>
          <w:tcPr>
            <w:tcW w:w="2367" w:type="pct"/>
          </w:tcPr>
          <w:p w:rsidR="00F03B9C" w:rsidRPr="00B32C06" w:rsidRDefault="00F03B9C" w:rsidP="00352439">
            <w:pPr>
              <w:jc w:val="both"/>
              <w:rPr>
                <w:rFonts w:eastAsia="Calibri"/>
                <w:sz w:val="20"/>
                <w:lang w:val="fr-CA"/>
              </w:rPr>
            </w:pPr>
            <w:r w:rsidRPr="00B32C06">
              <w:rPr>
                <w:rFonts w:eastAsia="Calibri"/>
                <w:sz w:val="20"/>
                <w:lang w:val="fr-CA"/>
              </w:rPr>
              <w:t>4 janvier 2012</w:t>
            </w:r>
          </w:p>
          <w:p w:rsidR="00F03B9C" w:rsidRPr="00B32C06" w:rsidRDefault="00F03B9C" w:rsidP="00352439">
            <w:pPr>
              <w:jc w:val="both"/>
              <w:rPr>
                <w:rFonts w:eastAsia="Calibri"/>
                <w:sz w:val="20"/>
                <w:lang w:val="fr-CA"/>
              </w:rPr>
            </w:pPr>
            <w:r w:rsidRPr="00B32C06">
              <w:rPr>
                <w:rFonts w:eastAsia="Calibri"/>
                <w:sz w:val="20"/>
                <w:lang w:val="fr-CA"/>
              </w:rPr>
              <w:t>Cour suprême du Canada</w:t>
            </w:r>
          </w:p>
        </w:tc>
        <w:tc>
          <w:tcPr>
            <w:tcW w:w="265" w:type="pct"/>
          </w:tcPr>
          <w:p w:rsidR="00F03B9C" w:rsidRPr="00B32C06" w:rsidRDefault="00F03B9C" w:rsidP="00352439">
            <w:pPr>
              <w:jc w:val="both"/>
              <w:rPr>
                <w:rFonts w:eastAsia="Calibri"/>
                <w:sz w:val="20"/>
                <w:lang w:val="fr-CA"/>
              </w:rPr>
            </w:pPr>
          </w:p>
        </w:tc>
        <w:tc>
          <w:tcPr>
            <w:tcW w:w="2365" w:type="pct"/>
            <w:gridSpan w:val="2"/>
          </w:tcPr>
          <w:p w:rsidR="00F03B9C" w:rsidRPr="00B32C06" w:rsidRDefault="00F03B9C" w:rsidP="00352439">
            <w:pPr>
              <w:jc w:val="both"/>
              <w:rPr>
                <w:rFonts w:eastAsia="Calibri"/>
                <w:sz w:val="20"/>
              </w:rPr>
            </w:pPr>
            <w:r w:rsidRPr="00B32C06">
              <w:rPr>
                <w:rFonts w:eastAsia="Calibri"/>
                <w:sz w:val="20"/>
                <w:lang w:val="fr-CA"/>
              </w:rPr>
              <w:t>Demande d’autorisation de pourvoi déposée</w:t>
            </w:r>
          </w:p>
          <w:p w:rsidR="00F03B9C" w:rsidRPr="00B32C06" w:rsidRDefault="00F03B9C" w:rsidP="00352439">
            <w:pPr>
              <w:jc w:val="both"/>
              <w:rPr>
                <w:rFonts w:eastAsia="Calibri"/>
                <w:sz w:val="20"/>
              </w:rPr>
            </w:pPr>
          </w:p>
        </w:tc>
      </w:tr>
    </w:tbl>
    <w:p w:rsidR="00C64AFA" w:rsidRDefault="00C64AFA" w:rsidP="00C64AFA">
      <w:pPr>
        <w:rPr>
          <w:sz w:val="20"/>
          <w:szCs w:val="20"/>
        </w:rPr>
      </w:pPr>
    </w:p>
    <w:p w:rsidR="00C64AFA" w:rsidRDefault="007505E6" w:rsidP="00C64AFA">
      <w:pPr>
        <w:rPr>
          <w:sz w:val="20"/>
          <w:szCs w:val="20"/>
        </w:rPr>
      </w:pPr>
      <w:r w:rsidRPr="007505E6">
        <w:rPr>
          <w:sz w:val="20"/>
          <w:szCs w:val="20"/>
          <w:lang w:val="fr-CA"/>
        </w:rPr>
        <w:pict>
          <v:rect id="_x0000_i1082" style="width:2in;height:1pt" o:hrpct="0" o:hralign="center" o:hrstd="t" o:hrnoshade="t" o:hr="t" fillcolor="black [3213]" stroked="f"/>
        </w:pict>
      </w:r>
    </w:p>
    <w:p w:rsidR="00C64AFA" w:rsidRDefault="00C64AFA" w:rsidP="00C64AFA">
      <w:pPr>
        <w:rPr>
          <w:sz w:val="20"/>
          <w:szCs w:val="20"/>
        </w:rPr>
      </w:pPr>
    </w:p>
    <w:p w:rsidR="00C64AFA" w:rsidRDefault="00C64AFA" w:rsidP="008D292F">
      <w:pPr>
        <w:rPr>
          <w:sz w:val="20"/>
          <w:szCs w:val="20"/>
        </w:rPr>
      </w:pPr>
    </w:p>
    <w:p w:rsidR="008D292F" w:rsidRDefault="008D292F" w:rsidP="008D292F">
      <w:pPr>
        <w:rPr>
          <w:b/>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87A89" w:rsidRPr="005524D4" w:rsidRDefault="00587A89" w:rsidP="00587A89">
      <w:pPr>
        <w:tabs>
          <w:tab w:val="left" w:pos="-1440"/>
          <w:tab w:val="left" w:pos="-720"/>
        </w:tabs>
        <w:jc w:val="both"/>
        <w:rPr>
          <w:sz w:val="20"/>
          <w:szCs w:val="20"/>
        </w:rPr>
      </w:pPr>
      <w:r w:rsidRPr="005524D4">
        <w:rPr>
          <w:sz w:val="20"/>
          <w:szCs w:val="20"/>
        </w:rPr>
        <w:t>15.03.2012</w:t>
      </w:r>
    </w:p>
    <w:p w:rsidR="00587A89" w:rsidRPr="005524D4" w:rsidRDefault="00587A89" w:rsidP="00587A89">
      <w:pPr>
        <w:tabs>
          <w:tab w:val="left" w:pos="-1440"/>
          <w:tab w:val="left" w:pos="-720"/>
        </w:tabs>
        <w:jc w:val="both"/>
        <w:rPr>
          <w:sz w:val="20"/>
          <w:szCs w:val="20"/>
        </w:rPr>
      </w:pPr>
    </w:p>
    <w:p w:rsidR="00587A89" w:rsidRPr="005524D4" w:rsidRDefault="00587A89" w:rsidP="00587A89">
      <w:pPr>
        <w:tabs>
          <w:tab w:val="left" w:pos="-1440"/>
          <w:tab w:val="left" w:pos="-720"/>
        </w:tabs>
        <w:jc w:val="both"/>
        <w:rPr>
          <w:sz w:val="20"/>
          <w:szCs w:val="20"/>
        </w:rPr>
      </w:pPr>
      <w:r w:rsidRPr="005524D4">
        <w:rPr>
          <w:sz w:val="20"/>
          <w:szCs w:val="20"/>
        </w:rPr>
        <w:t xml:space="preserve">Before / </w:t>
      </w:r>
      <w:proofErr w:type="spellStart"/>
      <w:proofErr w:type="gramStart"/>
      <w:r w:rsidRPr="005524D4">
        <w:rPr>
          <w:sz w:val="20"/>
          <w:szCs w:val="20"/>
        </w:rPr>
        <w:t>Devant</w:t>
      </w:r>
      <w:proofErr w:type="spellEnd"/>
      <w:r w:rsidRPr="005524D4">
        <w:rPr>
          <w:sz w:val="20"/>
          <w:szCs w:val="20"/>
        </w:rPr>
        <w:t xml:space="preserve"> :</w:t>
      </w:r>
      <w:proofErr w:type="gramEnd"/>
      <w:r w:rsidRPr="005524D4">
        <w:rPr>
          <w:sz w:val="20"/>
          <w:szCs w:val="20"/>
        </w:rPr>
        <w:t xml:space="preserve">   </w:t>
      </w:r>
      <w:r w:rsidRPr="005524D4">
        <w:rPr>
          <w:sz w:val="20"/>
          <w:szCs w:val="20"/>
          <w:lang w:val="fr-CA"/>
        </w:rPr>
        <w:t>THE REGISTRAR / LE REGISTRAIRE</w:t>
      </w:r>
    </w:p>
    <w:p w:rsidR="00587A89" w:rsidRPr="005524D4" w:rsidRDefault="00587A89" w:rsidP="00587A89">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87A89" w:rsidRPr="002D3F55" w:rsidTr="0057194A">
        <w:tc>
          <w:tcPr>
            <w:tcW w:w="4338" w:type="dxa"/>
          </w:tcPr>
          <w:p w:rsidR="00587A89" w:rsidRPr="005524D4" w:rsidRDefault="007505E6" w:rsidP="0057194A">
            <w:pPr>
              <w:tabs>
                <w:tab w:val="left" w:pos="-1440"/>
                <w:tab w:val="left" w:pos="-720"/>
              </w:tabs>
              <w:jc w:val="both"/>
              <w:rPr>
                <w:sz w:val="20"/>
                <w:szCs w:val="20"/>
              </w:rPr>
            </w:pPr>
            <w:r w:rsidRPr="005524D4">
              <w:rPr>
                <w:sz w:val="20"/>
                <w:szCs w:val="20"/>
              </w:rPr>
              <w:fldChar w:fldCharType="begin"/>
            </w:r>
            <w:r w:rsidR="00587A89" w:rsidRPr="005524D4">
              <w:rPr>
                <w:sz w:val="20"/>
                <w:szCs w:val="20"/>
              </w:rPr>
              <w:instrText xml:space="preserve"> SEQ CHAPTER \h \r 1</w:instrText>
            </w:r>
            <w:r w:rsidRPr="005524D4">
              <w:rPr>
                <w:sz w:val="20"/>
                <w:szCs w:val="20"/>
              </w:rPr>
              <w:fldChar w:fldCharType="end"/>
            </w:r>
            <w:r w:rsidRPr="005524D4">
              <w:rPr>
                <w:sz w:val="20"/>
                <w:szCs w:val="20"/>
              </w:rPr>
              <w:fldChar w:fldCharType="begin"/>
            </w:r>
            <w:r w:rsidR="00587A89" w:rsidRPr="005524D4">
              <w:rPr>
                <w:sz w:val="20"/>
                <w:szCs w:val="20"/>
              </w:rPr>
              <w:instrText xml:space="preserve"> SEQ CHAPTER \h \r 1</w:instrText>
            </w:r>
            <w:r w:rsidRPr="005524D4">
              <w:rPr>
                <w:sz w:val="20"/>
                <w:szCs w:val="20"/>
              </w:rPr>
              <w:fldChar w:fldCharType="end"/>
            </w:r>
            <w:r w:rsidR="00587A89" w:rsidRPr="005524D4">
              <w:rPr>
                <w:b/>
                <w:bCs/>
                <w:sz w:val="20"/>
                <w:szCs w:val="20"/>
              </w:rPr>
              <w:t xml:space="preserve">Motion to extend the time to serve and file the respondent’s response to March 9, 2012 </w:t>
            </w:r>
          </w:p>
        </w:tc>
        <w:tc>
          <w:tcPr>
            <w:tcW w:w="1170" w:type="dxa"/>
          </w:tcPr>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tc>
        <w:tc>
          <w:tcPr>
            <w:tcW w:w="4327" w:type="dxa"/>
          </w:tcPr>
          <w:p w:rsidR="00587A89" w:rsidRPr="005524D4" w:rsidRDefault="007505E6" w:rsidP="0057194A">
            <w:pPr>
              <w:tabs>
                <w:tab w:val="left" w:pos="-1440"/>
                <w:tab w:val="left" w:pos="-720"/>
              </w:tabs>
              <w:jc w:val="both"/>
              <w:rPr>
                <w:sz w:val="20"/>
                <w:szCs w:val="20"/>
                <w:lang w:val="fr-CA"/>
              </w:rPr>
            </w:pPr>
            <w:r w:rsidRPr="005524D4">
              <w:rPr>
                <w:sz w:val="20"/>
                <w:szCs w:val="20"/>
              </w:rPr>
              <w:fldChar w:fldCharType="begin"/>
            </w:r>
            <w:r w:rsidR="00587A89" w:rsidRPr="005524D4">
              <w:rPr>
                <w:sz w:val="20"/>
                <w:szCs w:val="20"/>
                <w:lang w:val="fr-CA"/>
              </w:rPr>
              <w:instrText xml:space="preserve"> SEQ CHAPTER \h \r 1</w:instrText>
            </w:r>
            <w:r w:rsidRPr="005524D4">
              <w:rPr>
                <w:sz w:val="20"/>
                <w:szCs w:val="20"/>
              </w:rPr>
              <w:fldChar w:fldCharType="end"/>
            </w:r>
            <w:r w:rsidRPr="005524D4">
              <w:rPr>
                <w:sz w:val="20"/>
                <w:szCs w:val="20"/>
              </w:rPr>
              <w:fldChar w:fldCharType="begin"/>
            </w:r>
            <w:r w:rsidR="00587A89" w:rsidRPr="005524D4">
              <w:rPr>
                <w:sz w:val="20"/>
                <w:szCs w:val="20"/>
                <w:lang w:val="fr-CA"/>
              </w:rPr>
              <w:instrText xml:space="preserve"> SEQ CHAPTER \h \r 1</w:instrText>
            </w:r>
            <w:r w:rsidRPr="005524D4">
              <w:rPr>
                <w:sz w:val="20"/>
                <w:szCs w:val="20"/>
              </w:rPr>
              <w:fldChar w:fldCharType="end"/>
            </w:r>
            <w:r w:rsidR="00587A89" w:rsidRPr="005524D4">
              <w:rPr>
                <w:b/>
                <w:bCs/>
                <w:sz w:val="20"/>
                <w:szCs w:val="20"/>
                <w:lang w:val="fr-CA"/>
              </w:rPr>
              <w:t>Requête en prorogation du délai de signification et de dépôt de la réponse de l’intimé jusqu’au 9 mars 2012</w:t>
            </w:r>
          </w:p>
        </w:tc>
      </w:tr>
      <w:tr w:rsidR="00587A89" w:rsidRPr="005524D4" w:rsidTr="0057194A">
        <w:tc>
          <w:tcPr>
            <w:tcW w:w="4338" w:type="dxa"/>
          </w:tcPr>
          <w:p w:rsidR="00587A89" w:rsidRPr="005524D4" w:rsidRDefault="00587A89" w:rsidP="0057194A">
            <w:pPr>
              <w:tabs>
                <w:tab w:val="left" w:pos="-1440"/>
                <w:tab w:val="left" w:pos="-720"/>
              </w:tabs>
              <w:jc w:val="both"/>
              <w:rPr>
                <w:sz w:val="20"/>
                <w:szCs w:val="20"/>
              </w:rPr>
            </w:pPr>
            <w:r w:rsidRPr="005524D4">
              <w:rPr>
                <w:sz w:val="20"/>
                <w:szCs w:val="20"/>
              </w:rPr>
              <w:t>ABS Trucking Ltd.</w:t>
            </w: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r w:rsidRPr="005524D4">
              <w:rPr>
                <w:sz w:val="20"/>
                <w:szCs w:val="20"/>
              </w:rPr>
              <w:tab/>
              <w:t>v. (34634)</w:t>
            </w: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r w:rsidRPr="005524D4">
              <w:rPr>
                <w:sz w:val="20"/>
                <w:szCs w:val="20"/>
              </w:rPr>
              <w:t>City of Edmonton as represented by the Edmonton Subdivision and Development Appeal Board (Alta.)</w:t>
            </w:r>
          </w:p>
        </w:tc>
        <w:tc>
          <w:tcPr>
            <w:tcW w:w="1170" w:type="dxa"/>
          </w:tcPr>
          <w:p w:rsidR="00587A89" w:rsidRPr="005524D4" w:rsidRDefault="00587A89" w:rsidP="0057194A">
            <w:pPr>
              <w:tabs>
                <w:tab w:val="left" w:pos="-1440"/>
                <w:tab w:val="left" w:pos="-720"/>
              </w:tabs>
              <w:jc w:val="both"/>
              <w:rPr>
                <w:sz w:val="20"/>
                <w:szCs w:val="20"/>
              </w:rPr>
            </w:pPr>
          </w:p>
        </w:tc>
        <w:tc>
          <w:tcPr>
            <w:tcW w:w="4327" w:type="dxa"/>
          </w:tcPr>
          <w:p w:rsidR="00587A89" w:rsidRPr="005524D4" w:rsidRDefault="00587A89" w:rsidP="0057194A">
            <w:pPr>
              <w:tabs>
                <w:tab w:val="left" w:pos="-1440"/>
                <w:tab w:val="left" w:pos="-720"/>
              </w:tabs>
              <w:jc w:val="both"/>
              <w:rPr>
                <w:sz w:val="20"/>
                <w:szCs w:val="20"/>
              </w:rPr>
            </w:pPr>
          </w:p>
        </w:tc>
      </w:tr>
    </w:tbl>
    <w:p w:rsidR="00587A89" w:rsidRPr="005524D4" w:rsidRDefault="00587A89" w:rsidP="00587A89">
      <w:pPr>
        <w:tabs>
          <w:tab w:val="left" w:pos="-1440"/>
          <w:tab w:val="left" w:pos="-720"/>
        </w:tabs>
        <w:jc w:val="both"/>
        <w:rPr>
          <w:b/>
          <w:sz w:val="20"/>
          <w:szCs w:val="20"/>
        </w:rPr>
      </w:pPr>
    </w:p>
    <w:p w:rsidR="00587A89" w:rsidRPr="005524D4" w:rsidRDefault="00587A89" w:rsidP="00587A89">
      <w:pPr>
        <w:tabs>
          <w:tab w:val="left" w:pos="-1440"/>
          <w:tab w:val="left" w:pos="-720"/>
        </w:tabs>
        <w:jc w:val="both"/>
        <w:rPr>
          <w:sz w:val="20"/>
          <w:szCs w:val="20"/>
        </w:rPr>
      </w:pPr>
      <w:r w:rsidRPr="005524D4">
        <w:rPr>
          <w:b/>
          <w:sz w:val="20"/>
          <w:szCs w:val="20"/>
        </w:rPr>
        <w:t>GRANTED / ACCORDÉE</w:t>
      </w:r>
    </w:p>
    <w:p w:rsidR="00587A89" w:rsidRPr="005524D4" w:rsidRDefault="00587A89" w:rsidP="00587A89">
      <w:pPr>
        <w:tabs>
          <w:tab w:val="left" w:pos="-1440"/>
          <w:tab w:val="left" w:pos="-720"/>
        </w:tabs>
        <w:jc w:val="both"/>
        <w:rPr>
          <w:sz w:val="20"/>
          <w:szCs w:val="20"/>
        </w:rPr>
      </w:pPr>
    </w:p>
    <w:p w:rsidR="00587A89" w:rsidRPr="005524D4" w:rsidRDefault="00587A89" w:rsidP="00587A89">
      <w:pPr>
        <w:tabs>
          <w:tab w:val="left" w:pos="-1440"/>
          <w:tab w:val="left" w:pos="-720"/>
        </w:tabs>
        <w:spacing w:line="-19" w:lineRule="auto"/>
        <w:jc w:val="both"/>
        <w:rPr>
          <w:sz w:val="20"/>
          <w:szCs w:val="20"/>
          <w:lang w:val="fr-CA"/>
        </w:rPr>
      </w:pPr>
    </w:p>
    <w:p w:rsidR="00587A89" w:rsidRPr="005524D4" w:rsidRDefault="007505E6" w:rsidP="00587A89">
      <w:pPr>
        <w:tabs>
          <w:tab w:val="left" w:pos="-1440"/>
          <w:tab w:val="left" w:pos="-720"/>
        </w:tabs>
        <w:jc w:val="both"/>
        <w:rPr>
          <w:sz w:val="20"/>
          <w:szCs w:val="20"/>
        </w:rPr>
      </w:pPr>
      <w:r w:rsidRPr="007505E6">
        <w:rPr>
          <w:sz w:val="20"/>
          <w:szCs w:val="20"/>
          <w:lang w:val="fr-CA"/>
        </w:rPr>
        <w:pict>
          <v:rect id="_x0000_i1085" style="width:2in;height:1pt" o:hrpct="0" o:hralign="center" o:hrstd="t" o:hrnoshade="t" o:hr="t" fillcolor="black [3213]" stroked="f"/>
        </w:pict>
      </w:r>
    </w:p>
    <w:p w:rsidR="00587A89" w:rsidRPr="005524D4" w:rsidRDefault="00587A89" w:rsidP="00587A89">
      <w:pPr>
        <w:tabs>
          <w:tab w:val="left" w:pos="-1440"/>
          <w:tab w:val="left" w:pos="-720"/>
        </w:tabs>
        <w:jc w:val="both"/>
        <w:rPr>
          <w:sz w:val="20"/>
          <w:szCs w:val="20"/>
          <w:lang w:val="fr-CA"/>
        </w:rPr>
      </w:pPr>
    </w:p>
    <w:p w:rsidR="00587A89" w:rsidRPr="005524D4" w:rsidRDefault="00587A89" w:rsidP="00587A89">
      <w:pPr>
        <w:tabs>
          <w:tab w:val="left" w:pos="-1440"/>
          <w:tab w:val="left" w:pos="-720"/>
        </w:tabs>
        <w:jc w:val="both"/>
        <w:rPr>
          <w:sz w:val="20"/>
          <w:szCs w:val="20"/>
        </w:rPr>
      </w:pPr>
      <w:r w:rsidRPr="005524D4">
        <w:rPr>
          <w:sz w:val="20"/>
          <w:szCs w:val="20"/>
        </w:rPr>
        <w:t>16.03.2012</w:t>
      </w:r>
    </w:p>
    <w:p w:rsidR="00587A89" w:rsidRPr="005524D4" w:rsidRDefault="00587A89" w:rsidP="00587A89">
      <w:pPr>
        <w:tabs>
          <w:tab w:val="left" w:pos="-1440"/>
          <w:tab w:val="left" w:pos="-720"/>
        </w:tabs>
        <w:jc w:val="both"/>
        <w:rPr>
          <w:sz w:val="20"/>
          <w:szCs w:val="20"/>
        </w:rPr>
      </w:pPr>
    </w:p>
    <w:p w:rsidR="00587A89" w:rsidRPr="005524D4" w:rsidRDefault="00587A89" w:rsidP="00587A89">
      <w:pPr>
        <w:jc w:val="both"/>
        <w:rPr>
          <w:sz w:val="20"/>
          <w:szCs w:val="20"/>
          <w:lang w:val="fr-CA"/>
        </w:rPr>
      </w:pPr>
      <w:proofErr w:type="spellStart"/>
      <w:r w:rsidRPr="005524D4">
        <w:rPr>
          <w:sz w:val="20"/>
          <w:szCs w:val="20"/>
          <w:lang w:val="fr-CA"/>
        </w:rPr>
        <w:t>Before</w:t>
      </w:r>
      <w:proofErr w:type="spellEnd"/>
      <w:r w:rsidRPr="005524D4">
        <w:rPr>
          <w:sz w:val="20"/>
          <w:szCs w:val="20"/>
          <w:lang w:val="fr-CA"/>
        </w:rPr>
        <w:t xml:space="preserve"> / Devant:   THE REGISTRAR / LE REGISTRAIRE</w:t>
      </w:r>
    </w:p>
    <w:p w:rsidR="00587A89" w:rsidRPr="005524D4" w:rsidRDefault="00587A89" w:rsidP="00587A89">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87A89" w:rsidRPr="002D3F55" w:rsidTr="0057194A">
        <w:trPr>
          <w:trHeight w:val="151"/>
        </w:trPr>
        <w:tc>
          <w:tcPr>
            <w:tcW w:w="4338" w:type="dxa"/>
          </w:tcPr>
          <w:p w:rsidR="00587A89" w:rsidRPr="005524D4" w:rsidRDefault="007505E6" w:rsidP="0057194A">
            <w:pPr>
              <w:jc w:val="both"/>
              <w:rPr>
                <w:sz w:val="20"/>
                <w:szCs w:val="20"/>
              </w:rPr>
            </w:pPr>
            <w:r w:rsidRPr="005524D4">
              <w:rPr>
                <w:sz w:val="20"/>
                <w:szCs w:val="20"/>
              </w:rPr>
              <w:fldChar w:fldCharType="begin"/>
            </w:r>
            <w:r w:rsidR="00587A89" w:rsidRPr="005524D4">
              <w:rPr>
                <w:sz w:val="20"/>
                <w:szCs w:val="20"/>
              </w:rPr>
              <w:instrText xml:space="preserve"> SEQ CHAPTER \h \r 1</w:instrText>
            </w:r>
            <w:r w:rsidRPr="005524D4">
              <w:rPr>
                <w:sz w:val="20"/>
                <w:szCs w:val="20"/>
              </w:rPr>
              <w:fldChar w:fldCharType="end"/>
            </w:r>
            <w:r w:rsidR="00587A89" w:rsidRPr="005524D4">
              <w:rPr>
                <w:b/>
                <w:bCs/>
                <w:sz w:val="20"/>
                <w:szCs w:val="20"/>
              </w:rPr>
              <w:t xml:space="preserve">Motion by </w:t>
            </w:r>
            <w:proofErr w:type="spellStart"/>
            <w:r w:rsidR="00587A89" w:rsidRPr="005524D4">
              <w:rPr>
                <w:b/>
                <w:bCs/>
                <w:sz w:val="20"/>
                <w:szCs w:val="20"/>
              </w:rPr>
              <w:t>Sanofi</w:t>
            </w:r>
            <w:proofErr w:type="spellEnd"/>
            <w:r w:rsidR="00587A89" w:rsidRPr="005524D4">
              <w:rPr>
                <w:b/>
                <w:bCs/>
                <w:sz w:val="20"/>
                <w:szCs w:val="20"/>
              </w:rPr>
              <w:t>-Aventis to extend the time to serve and file their two applicants replies to March 9, 2012</w:t>
            </w:r>
          </w:p>
        </w:tc>
        <w:tc>
          <w:tcPr>
            <w:tcW w:w="1170" w:type="dxa"/>
          </w:tcPr>
          <w:p w:rsidR="00587A89" w:rsidRPr="005524D4" w:rsidRDefault="00587A89" w:rsidP="0057194A">
            <w:pPr>
              <w:jc w:val="both"/>
              <w:rPr>
                <w:sz w:val="20"/>
                <w:szCs w:val="20"/>
              </w:rPr>
            </w:pPr>
          </w:p>
          <w:p w:rsidR="00587A89" w:rsidRPr="005524D4" w:rsidRDefault="00587A89" w:rsidP="0057194A">
            <w:pPr>
              <w:jc w:val="both"/>
              <w:rPr>
                <w:sz w:val="20"/>
                <w:szCs w:val="20"/>
              </w:rPr>
            </w:pPr>
          </w:p>
          <w:p w:rsidR="00587A89" w:rsidRPr="005524D4" w:rsidRDefault="00587A89" w:rsidP="0057194A">
            <w:pPr>
              <w:jc w:val="both"/>
              <w:rPr>
                <w:sz w:val="20"/>
                <w:szCs w:val="20"/>
              </w:rPr>
            </w:pPr>
          </w:p>
          <w:p w:rsidR="00587A89" w:rsidRPr="005524D4" w:rsidRDefault="00587A89" w:rsidP="0057194A">
            <w:pPr>
              <w:jc w:val="both"/>
              <w:rPr>
                <w:sz w:val="20"/>
                <w:szCs w:val="20"/>
              </w:rPr>
            </w:pPr>
          </w:p>
        </w:tc>
        <w:tc>
          <w:tcPr>
            <w:tcW w:w="4327" w:type="dxa"/>
          </w:tcPr>
          <w:p w:rsidR="00587A89" w:rsidRPr="005524D4" w:rsidRDefault="00587A89" w:rsidP="0057194A">
            <w:pPr>
              <w:jc w:val="both"/>
              <w:rPr>
                <w:b/>
                <w:sz w:val="20"/>
                <w:szCs w:val="20"/>
                <w:lang w:val="fr-CA"/>
              </w:rPr>
            </w:pPr>
            <w:r w:rsidRPr="005524D4">
              <w:rPr>
                <w:b/>
                <w:sz w:val="20"/>
                <w:szCs w:val="20"/>
                <w:lang w:val="fr-CA"/>
              </w:rPr>
              <w:t xml:space="preserve">Requête de la demanderesse Sanofi-Aventis en prorogation du délai de signification et de dépôt de ses deux répliques jusqu’au 9 mars 2012 </w:t>
            </w:r>
            <w:r w:rsidR="007505E6" w:rsidRPr="005524D4">
              <w:rPr>
                <w:b/>
                <w:sz w:val="20"/>
                <w:szCs w:val="20"/>
              </w:rPr>
              <w:fldChar w:fldCharType="begin"/>
            </w:r>
            <w:r w:rsidRPr="005524D4">
              <w:rPr>
                <w:b/>
                <w:sz w:val="20"/>
                <w:szCs w:val="20"/>
                <w:lang w:val="fr-CA"/>
              </w:rPr>
              <w:instrText xml:space="preserve"> SEQ CHAPTER \h \r 1</w:instrText>
            </w:r>
            <w:r w:rsidR="007505E6" w:rsidRPr="005524D4">
              <w:rPr>
                <w:b/>
                <w:sz w:val="20"/>
                <w:szCs w:val="20"/>
              </w:rPr>
              <w:fldChar w:fldCharType="end"/>
            </w:r>
            <w:r w:rsidR="007505E6" w:rsidRPr="005524D4">
              <w:rPr>
                <w:b/>
                <w:sz w:val="20"/>
                <w:szCs w:val="20"/>
              </w:rPr>
              <w:fldChar w:fldCharType="begin"/>
            </w:r>
            <w:r w:rsidRPr="005524D4">
              <w:rPr>
                <w:b/>
                <w:sz w:val="20"/>
                <w:szCs w:val="20"/>
                <w:lang w:val="fr-CA"/>
              </w:rPr>
              <w:instrText xml:space="preserve"> SEQ CHAPTER \h \r 1</w:instrText>
            </w:r>
            <w:r w:rsidR="007505E6" w:rsidRPr="005524D4">
              <w:rPr>
                <w:b/>
                <w:sz w:val="20"/>
                <w:szCs w:val="20"/>
              </w:rPr>
              <w:fldChar w:fldCharType="end"/>
            </w:r>
          </w:p>
        </w:tc>
      </w:tr>
      <w:tr w:rsidR="00587A89" w:rsidRPr="002D3F55" w:rsidTr="0057194A">
        <w:trPr>
          <w:trHeight w:val="150"/>
        </w:trPr>
        <w:tc>
          <w:tcPr>
            <w:tcW w:w="4338" w:type="dxa"/>
          </w:tcPr>
          <w:p w:rsidR="00587A89" w:rsidRPr="005524D4" w:rsidRDefault="00587A89" w:rsidP="0057194A">
            <w:pPr>
              <w:tabs>
                <w:tab w:val="left" w:pos="-1440"/>
                <w:tab w:val="left" w:pos="-720"/>
              </w:tabs>
              <w:jc w:val="both"/>
              <w:rPr>
                <w:sz w:val="20"/>
                <w:szCs w:val="20"/>
              </w:rPr>
            </w:pPr>
            <w:r w:rsidRPr="005524D4">
              <w:rPr>
                <w:sz w:val="20"/>
                <w:szCs w:val="20"/>
              </w:rPr>
              <w:t>Schering Corporation et al.</w:t>
            </w: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r w:rsidRPr="005524D4">
              <w:rPr>
                <w:sz w:val="20"/>
                <w:szCs w:val="20"/>
              </w:rPr>
              <w:tab/>
              <w:t>v. (34600)</w:t>
            </w: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lang w:val="fr-CA"/>
              </w:rPr>
            </w:pPr>
            <w:proofErr w:type="spellStart"/>
            <w:r w:rsidRPr="005524D4">
              <w:rPr>
                <w:sz w:val="20"/>
                <w:szCs w:val="20"/>
                <w:lang w:val="fr-CA"/>
              </w:rPr>
              <w:t>Apotex</w:t>
            </w:r>
            <w:proofErr w:type="spellEnd"/>
            <w:r w:rsidRPr="005524D4">
              <w:rPr>
                <w:sz w:val="20"/>
                <w:szCs w:val="20"/>
                <w:lang w:val="fr-CA"/>
              </w:rPr>
              <w:t xml:space="preserve"> Inc. et al. (F.C.)</w:t>
            </w:r>
          </w:p>
        </w:tc>
        <w:tc>
          <w:tcPr>
            <w:tcW w:w="1170" w:type="dxa"/>
          </w:tcPr>
          <w:p w:rsidR="00587A89" w:rsidRPr="005524D4" w:rsidRDefault="00587A89" w:rsidP="0057194A">
            <w:pPr>
              <w:jc w:val="both"/>
              <w:rPr>
                <w:sz w:val="20"/>
                <w:szCs w:val="20"/>
                <w:lang w:val="fr-CA"/>
              </w:rPr>
            </w:pPr>
          </w:p>
        </w:tc>
        <w:tc>
          <w:tcPr>
            <w:tcW w:w="4327" w:type="dxa"/>
          </w:tcPr>
          <w:p w:rsidR="00587A89" w:rsidRPr="005524D4" w:rsidRDefault="00587A89" w:rsidP="0057194A">
            <w:pPr>
              <w:jc w:val="both"/>
              <w:rPr>
                <w:sz w:val="20"/>
                <w:szCs w:val="20"/>
                <w:lang w:val="fr-CA"/>
              </w:rPr>
            </w:pPr>
          </w:p>
        </w:tc>
      </w:tr>
    </w:tbl>
    <w:p w:rsidR="00587A89" w:rsidRPr="005524D4" w:rsidRDefault="00587A89" w:rsidP="00587A89">
      <w:pPr>
        <w:tabs>
          <w:tab w:val="left" w:pos="-1440"/>
          <w:tab w:val="left" w:pos="-720"/>
        </w:tabs>
        <w:jc w:val="both"/>
        <w:rPr>
          <w:sz w:val="20"/>
          <w:szCs w:val="20"/>
          <w:lang w:val="fr-CA"/>
        </w:rPr>
      </w:pPr>
    </w:p>
    <w:p w:rsidR="00587A89" w:rsidRPr="005524D4" w:rsidRDefault="00587A89" w:rsidP="00587A89">
      <w:pPr>
        <w:tabs>
          <w:tab w:val="left" w:pos="-1440"/>
          <w:tab w:val="left" w:pos="-720"/>
        </w:tabs>
        <w:jc w:val="both"/>
        <w:rPr>
          <w:sz w:val="20"/>
          <w:szCs w:val="20"/>
          <w:lang w:val="fr-CA"/>
        </w:rPr>
      </w:pPr>
      <w:r w:rsidRPr="005524D4">
        <w:rPr>
          <w:b/>
          <w:sz w:val="20"/>
          <w:szCs w:val="20"/>
          <w:lang w:val="fr-CA"/>
        </w:rPr>
        <w:t>GRANTED / ACCORDÉE</w:t>
      </w:r>
    </w:p>
    <w:p w:rsidR="00587A89" w:rsidRPr="005524D4" w:rsidRDefault="00587A89" w:rsidP="00587A89">
      <w:pPr>
        <w:tabs>
          <w:tab w:val="left" w:pos="-1440"/>
          <w:tab w:val="left" w:pos="-720"/>
        </w:tabs>
        <w:jc w:val="both"/>
        <w:rPr>
          <w:sz w:val="20"/>
          <w:szCs w:val="20"/>
          <w:lang w:val="fr-CA"/>
        </w:rPr>
      </w:pPr>
    </w:p>
    <w:p w:rsidR="00587A89" w:rsidRPr="005524D4" w:rsidRDefault="00587A89" w:rsidP="00587A89">
      <w:pPr>
        <w:tabs>
          <w:tab w:val="left" w:pos="-1440"/>
          <w:tab w:val="left" w:pos="-720"/>
        </w:tabs>
        <w:spacing w:line="-19" w:lineRule="auto"/>
        <w:jc w:val="both"/>
        <w:rPr>
          <w:sz w:val="20"/>
          <w:szCs w:val="20"/>
          <w:lang w:val="fr-CA"/>
        </w:rPr>
      </w:pPr>
    </w:p>
    <w:p w:rsidR="00587A89" w:rsidRPr="005524D4" w:rsidRDefault="007505E6" w:rsidP="00587A89">
      <w:pPr>
        <w:tabs>
          <w:tab w:val="left" w:pos="-1440"/>
          <w:tab w:val="left" w:pos="-720"/>
        </w:tabs>
        <w:jc w:val="both"/>
        <w:rPr>
          <w:sz w:val="20"/>
          <w:szCs w:val="20"/>
          <w:lang w:val="fr-CA"/>
        </w:rPr>
      </w:pPr>
      <w:r w:rsidRPr="007505E6">
        <w:rPr>
          <w:sz w:val="20"/>
          <w:szCs w:val="20"/>
          <w:lang w:val="fr-CA"/>
        </w:rPr>
        <w:pict>
          <v:rect id="_x0000_i1086" style="width:2in;height:1pt" o:hrpct="0" o:hralign="center" o:hrstd="t" o:hrnoshade="t" o:hr="t" fillcolor="black [3213]" stroked="f"/>
        </w:pict>
      </w:r>
    </w:p>
    <w:p w:rsidR="00587A89" w:rsidRPr="005524D4" w:rsidRDefault="00587A89" w:rsidP="00587A89">
      <w:pPr>
        <w:rPr>
          <w:sz w:val="20"/>
          <w:szCs w:val="20"/>
          <w:lang w:val="fr-CA"/>
        </w:rPr>
      </w:pPr>
    </w:p>
    <w:p w:rsidR="00587A89" w:rsidRPr="005524D4" w:rsidRDefault="00587A89" w:rsidP="00587A89">
      <w:pPr>
        <w:rPr>
          <w:sz w:val="20"/>
          <w:szCs w:val="20"/>
        </w:rPr>
      </w:pPr>
      <w:r w:rsidRPr="005524D4">
        <w:rPr>
          <w:sz w:val="20"/>
          <w:szCs w:val="20"/>
        </w:rPr>
        <w:br w:type="page"/>
      </w:r>
    </w:p>
    <w:p w:rsidR="00587A89" w:rsidRPr="005524D4" w:rsidRDefault="00587A89" w:rsidP="00587A89">
      <w:pPr>
        <w:tabs>
          <w:tab w:val="left" w:pos="-1440"/>
          <w:tab w:val="left" w:pos="-720"/>
        </w:tabs>
        <w:jc w:val="both"/>
        <w:rPr>
          <w:sz w:val="20"/>
          <w:szCs w:val="20"/>
        </w:rPr>
      </w:pPr>
      <w:r w:rsidRPr="005524D4">
        <w:rPr>
          <w:sz w:val="20"/>
          <w:szCs w:val="20"/>
        </w:rPr>
        <w:lastRenderedPageBreak/>
        <w:t>22.03.2012</w:t>
      </w:r>
    </w:p>
    <w:p w:rsidR="00587A89" w:rsidRPr="005524D4" w:rsidRDefault="00587A89" w:rsidP="00587A89">
      <w:pPr>
        <w:tabs>
          <w:tab w:val="left" w:pos="-1440"/>
          <w:tab w:val="left" w:pos="-720"/>
        </w:tabs>
        <w:jc w:val="both"/>
        <w:rPr>
          <w:sz w:val="20"/>
          <w:szCs w:val="20"/>
        </w:rPr>
      </w:pPr>
    </w:p>
    <w:p w:rsidR="00587A89" w:rsidRPr="005524D4" w:rsidRDefault="00587A89" w:rsidP="00587A89">
      <w:pPr>
        <w:tabs>
          <w:tab w:val="left" w:pos="-1440"/>
          <w:tab w:val="left" w:pos="-720"/>
        </w:tabs>
        <w:jc w:val="both"/>
        <w:rPr>
          <w:sz w:val="20"/>
          <w:szCs w:val="20"/>
        </w:rPr>
      </w:pPr>
      <w:r w:rsidRPr="005524D4">
        <w:rPr>
          <w:sz w:val="20"/>
          <w:szCs w:val="20"/>
        </w:rPr>
        <w:t xml:space="preserve">Before / </w:t>
      </w:r>
      <w:proofErr w:type="spellStart"/>
      <w:proofErr w:type="gramStart"/>
      <w:r w:rsidRPr="005524D4">
        <w:rPr>
          <w:sz w:val="20"/>
          <w:szCs w:val="20"/>
        </w:rPr>
        <w:t>Devant</w:t>
      </w:r>
      <w:proofErr w:type="spellEnd"/>
      <w:r w:rsidRPr="005524D4">
        <w:rPr>
          <w:sz w:val="20"/>
          <w:szCs w:val="20"/>
        </w:rPr>
        <w:t xml:space="preserve"> :</w:t>
      </w:r>
      <w:proofErr w:type="gramEnd"/>
      <w:r w:rsidRPr="005524D4">
        <w:rPr>
          <w:sz w:val="20"/>
          <w:szCs w:val="20"/>
        </w:rPr>
        <w:t xml:space="preserve">   THE DEPUTY REGISTRAR / LA REGISTRAIRE ADJOINTE</w:t>
      </w:r>
    </w:p>
    <w:p w:rsidR="00587A89" w:rsidRPr="005524D4" w:rsidRDefault="00587A89" w:rsidP="00587A89">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87A89" w:rsidRPr="002D3F55" w:rsidTr="0057194A">
        <w:tc>
          <w:tcPr>
            <w:tcW w:w="4338" w:type="dxa"/>
          </w:tcPr>
          <w:p w:rsidR="00587A89" w:rsidRPr="005524D4" w:rsidRDefault="00587A89" w:rsidP="0057194A">
            <w:pPr>
              <w:tabs>
                <w:tab w:val="left" w:pos="-1440"/>
                <w:tab w:val="left" w:pos="-720"/>
              </w:tabs>
              <w:jc w:val="both"/>
              <w:rPr>
                <w:b/>
                <w:sz w:val="20"/>
                <w:szCs w:val="20"/>
              </w:rPr>
            </w:pPr>
            <w:r w:rsidRPr="005524D4">
              <w:rPr>
                <w:b/>
                <w:sz w:val="20"/>
                <w:szCs w:val="20"/>
              </w:rPr>
              <w:t xml:space="preserve">Motion to extend the time to serve and file the joint respondents’ response and conditional application for leave to cross-appeal of Schaeffer, Minty and </w:t>
            </w:r>
            <w:proofErr w:type="spellStart"/>
            <w:r w:rsidRPr="005524D4">
              <w:rPr>
                <w:b/>
                <w:sz w:val="20"/>
                <w:szCs w:val="20"/>
              </w:rPr>
              <w:t>Pinder</w:t>
            </w:r>
            <w:proofErr w:type="spellEnd"/>
            <w:r w:rsidRPr="005524D4">
              <w:rPr>
                <w:b/>
                <w:sz w:val="20"/>
                <w:szCs w:val="20"/>
              </w:rPr>
              <w:t xml:space="preserve"> to March 13, 2012.</w:t>
            </w:r>
          </w:p>
          <w:p w:rsidR="00587A89" w:rsidRPr="005524D4" w:rsidRDefault="00587A89" w:rsidP="0057194A">
            <w:pPr>
              <w:tabs>
                <w:tab w:val="left" w:pos="-1440"/>
                <w:tab w:val="left" w:pos="-720"/>
              </w:tabs>
              <w:jc w:val="both"/>
              <w:rPr>
                <w:b/>
                <w:sz w:val="20"/>
                <w:szCs w:val="20"/>
              </w:rPr>
            </w:pPr>
          </w:p>
        </w:tc>
        <w:tc>
          <w:tcPr>
            <w:tcW w:w="1170" w:type="dxa"/>
          </w:tcPr>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p w:rsidR="00587A89" w:rsidRPr="005524D4" w:rsidRDefault="00587A89" w:rsidP="0057194A">
            <w:pPr>
              <w:tabs>
                <w:tab w:val="left" w:pos="-1440"/>
                <w:tab w:val="left" w:pos="-720"/>
              </w:tabs>
              <w:jc w:val="both"/>
              <w:rPr>
                <w:sz w:val="20"/>
                <w:szCs w:val="20"/>
              </w:rPr>
            </w:pPr>
          </w:p>
        </w:tc>
        <w:tc>
          <w:tcPr>
            <w:tcW w:w="4327" w:type="dxa"/>
          </w:tcPr>
          <w:p w:rsidR="00587A89" w:rsidRPr="005524D4" w:rsidRDefault="00587A89" w:rsidP="0057194A">
            <w:pPr>
              <w:tabs>
                <w:tab w:val="left" w:pos="-1440"/>
                <w:tab w:val="left" w:pos="-720"/>
              </w:tabs>
              <w:jc w:val="both"/>
              <w:rPr>
                <w:b/>
                <w:sz w:val="20"/>
                <w:szCs w:val="20"/>
                <w:lang w:val="fr-CA"/>
              </w:rPr>
            </w:pPr>
            <w:r w:rsidRPr="005524D4">
              <w:rPr>
                <w:b/>
                <w:sz w:val="20"/>
                <w:szCs w:val="20"/>
                <w:lang w:val="fr-CA"/>
              </w:rPr>
              <w:t xml:space="preserve">Requête en prorogation du délai de signification et de dépôt de la réponse et de la demande d’autorisation d’appel incident conditionnelle communes de Schaeffer, </w:t>
            </w:r>
            <w:proofErr w:type="spellStart"/>
            <w:r w:rsidRPr="005524D4">
              <w:rPr>
                <w:b/>
                <w:sz w:val="20"/>
                <w:szCs w:val="20"/>
                <w:lang w:val="fr-CA"/>
              </w:rPr>
              <w:t>Minty</w:t>
            </w:r>
            <w:proofErr w:type="spellEnd"/>
            <w:r w:rsidRPr="005524D4">
              <w:rPr>
                <w:b/>
                <w:sz w:val="20"/>
                <w:szCs w:val="20"/>
                <w:lang w:val="fr-CA"/>
              </w:rPr>
              <w:t xml:space="preserve"> et </w:t>
            </w:r>
            <w:proofErr w:type="spellStart"/>
            <w:r w:rsidRPr="005524D4">
              <w:rPr>
                <w:b/>
                <w:sz w:val="20"/>
                <w:szCs w:val="20"/>
                <w:lang w:val="fr-CA"/>
              </w:rPr>
              <w:t>Pinder</w:t>
            </w:r>
            <w:proofErr w:type="spellEnd"/>
            <w:r w:rsidRPr="005524D4">
              <w:rPr>
                <w:b/>
                <w:sz w:val="20"/>
                <w:szCs w:val="20"/>
                <w:lang w:val="fr-CA"/>
              </w:rPr>
              <w:t xml:space="preserve"> jusqu’au 13 mars 2012</w:t>
            </w:r>
            <w:r w:rsidR="007505E6" w:rsidRPr="005524D4">
              <w:rPr>
                <w:b/>
                <w:sz w:val="20"/>
                <w:szCs w:val="20"/>
              </w:rPr>
              <w:fldChar w:fldCharType="begin"/>
            </w:r>
            <w:r w:rsidRPr="005524D4">
              <w:rPr>
                <w:b/>
                <w:sz w:val="20"/>
                <w:szCs w:val="20"/>
                <w:lang w:val="fr-CA"/>
              </w:rPr>
              <w:instrText xml:space="preserve"> SEQ CHAPTER \h \r 1</w:instrText>
            </w:r>
            <w:r w:rsidR="007505E6" w:rsidRPr="005524D4">
              <w:rPr>
                <w:b/>
                <w:sz w:val="20"/>
                <w:szCs w:val="20"/>
              </w:rPr>
              <w:fldChar w:fldCharType="end"/>
            </w:r>
            <w:r w:rsidR="007505E6" w:rsidRPr="005524D4">
              <w:rPr>
                <w:b/>
                <w:sz w:val="20"/>
                <w:szCs w:val="20"/>
              </w:rPr>
              <w:fldChar w:fldCharType="begin"/>
            </w:r>
            <w:r w:rsidRPr="005524D4">
              <w:rPr>
                <w:b/>
                <w:sz w:val="20"/>
                <w:szCs w:val="20"/>
                <w:lang w:val="fr-CA"/>
              </w:rPr>
              <w:instrText xml:space="preserve"> SEQ CHAPTER \h \r 1</w:instrText>
            </w:r>
            <w:r w:rsidR="007505E6" w:rsidRPr="005524D4">
              <w:rPr>
                <w:b/>
                <w:sz w:val="20"/>
                <w:szCs w:val="20"/>
              </w:rPr>
              <w:fldChar w:fldCharType="end"/>
            </w:r>
            <w:r w:rsidR="007505E6" w:rsidRPr="005524D4">
              <w:rPr>
                <w:b/>
                <w:sz w:val="20"/>
                <w:szCs w:val="20"/>
              </w:rPr>
              <w:fldChar w:fldCharType="begin"/>
            </w:r>
            <w:r w:rsidRPr="005524D4">
              <w:rPr>
                <w:b/>
                <w:sz w:val="20"/>
                <w:szCs w:val="20"/>
                <w:lang w:val="fr-CA"/>
              </w:rPr>
              <w:instrText xml:space="preserve"> SEQ CHAPTER \h \r 1</w:instrText>
            </w:r>
            <w:r w:rsidR="007505E6" w:rsidRPr="005524D4">
              <w:rPr>
                <w:b/>
                <w:sz w:val="20"/>
                <w:szCs w:val="20"/>
              </w:rPr>
              <w:fldChar w:fldCharType="end"/>
            </w:r>
          </w:p>
        </w:tc>
      </w:tr>
      <w:tr w:rsidR="00587A89" w:rsidRPr="002D3F55" w:rsidTr="0057194A">
        <w:tc>
          <w:tcPr>
            <w:tcW w:w="4338" w:type="dxa"/>
          </w:tcPr>
          <w:p w:rsidR="00587A89" w:rsidRPr="005524D4" w:rsidRDefault="00587A89" w:rsidP="0057194A">
            <w:pPr>
              <w:tabs>
                <w:tab w:val="left" w:pos="-1440"/>
                <w:tab w:val="left" w:pos="-720"/>
              </w:tabs>
              <w:jc w:val="both"/>
              <w:rPr>
                <w:sz w:val="20"/>
                <w:szCs w:val="20"/>
                <w:lang w:val="fr-CA"/>
              </w:rPr>
            </w:pPr>
            <w:r w:rsidRPr="005524D4">
              <w:rPr>
                <w:sz w:val="20"/>
                <w:szCs w:val="20"/>
                <w:lang w:val="fr-CA"/>
              </w:rPr>
              <w:t>Police Constable Kris Wood et al.</w:t>
            </w:r>
          </w:p>
          <w:p w:rsidR="00587A89" w:rsidRPr="005524D4" w:rsidRDefault="00587A89" w:rsidP="0057194A">
            <w:pPr>
              <w:tabs>
                <w:tab w:val="left" w:pos="-1440"/>
                <w:tab w:val="left" w:pos="-720"/>
              </w:tabs>
              <w:jc w:val="both"/>
              <w:rPr>
                <w:sz w:val="20"/>
                <w:szCs w:val="20"/>
                <w:lang w:val="fr-CA"/>
              </w:rPr>
            </w:pPr>
          </w:p>
          <w:p w:rsidR="00587A89" w:rsidRPr="005524D4" w:rsidRDefault="00587A89" w:rsidP="0057194A">
            <w:pPr>
              <w:tabs>
                <w:tab w:val="left" w:pos="-1440"/>
                <w:tab w:val="left" w:pos="-720"/>
              </w:tabs>
              <w:jc w:val="both"/>
              <w:rPr>
                <w:sz w:val="20"/>
                <w:szCs w:val="20"/>
                <w:lang w:val="fr-CA"/>
              </w:rPr>
            </w:pPr>
            <w:r w:rsidRPr="005524D4">
              <w:rPr>
                <w:sz w:val="20"/>
                <w:szCs w:val="20"/>
                <w:lang w:val="fr-CA"/>
              </w:rPr>
              <w:tab/>
              <w:t>v. (34621)</w:t>
            </w:r>
          </w:p>
          <w:p w:rsidR="00587A89" w:rsidRPr="005524D4" w:rsidRDefault="00587A89" w:rsidP="0057194A">
            <w:pPr>
              <w:tabs>
                <w:tab w:val="left" w:pos="-1440"/>
                <w:tab w:val="left" w:pos="-720"/>
              </w:tabs>
              <w:jc w:val="both"/>
              <w:rPr>
                <w:sz w:val="20"/>
                <w:szCs w:val="20"/>
                <w:lang w:val="fr-CA"/>
              </w:rPr>
            </w:pPr>
          </w:p>
          <w:p w:rsidR="00587A89" w:rsidRPr="005524D4" w:rsidRDefault="00587A89" w:rsidP="0057194A">
            <w:pPr>
              <w:tabs>
                <w:tab w:val="left" w:pos="-1440"/>
                <w:tab w:val="left" w:pos="-720"/>
              </w:tabs>
              <w:jc w:val="both"/>
              <w:rPr>
                <w:sz w:val="20"/>
                <w:szCs w:val="20"/>
                <w:lang w:val="fr-CA"/>
              </w:rPr>
            </w:pPr>
            <w:r w:rsidRPr="005524D4">
              <w:rPr>
                <w:sz w:val="20"/>
                <w:szCs w:val="20"/>
                <w:lang w:val="fr-CA"/>
              </w:rPr>
              <w:t>Ruth Schaeffer et al. (Ont.)</w:t>
            </w:r>
          </w:p>
        </w:tc>
        <w:tc>
          <w:tcPr>
            <w:tcW w:w="1170" w:type="dxa"/>
          </w:tcPr>
          <w:p w:rsidR="00587A89" w:rsidRPr="005524D4" w:rsidRDefault="00587A89" w:rsidP="0057194A">
            <w:pPr>
              <w:tabs>
                <w:tab w:val="left" w:pos="-1440"/>
                <w:tab w:val="left" w:pos="-720"/>
              </w:tabs>
              <w:jc w:val="both"/>
              <w:rPr>
                <w:sz w:val="20"/>
                <w:szCs w:val="20"/>
                <w:lang w:val="fr-CA"/>
              </w:rPr>
            </w:pPr>
          </w:p>
        </w:tc>
        <w:tc>
          <w:tcPr>
            <w:tcW w:w="4327" w:type="dxa"/>
          </w:tcPr>
          <w:p w:rsidR="00587A89" w:rsidRPr="005524D4" w:rsidRDefault="00587A89" w:rsidP="0057194A">
            <w:pPr>
              <w:tabs>
                <w:tab w:val="left" w:pos="-1440"/>
                <w:tab w:val="left" w:pos="-720"/>
              </w:tabs>
              <w:jc w:val="both"/>
              <w:rPr>
                <w:sz w:val="20"/>
                <w:szCs w:val="20"/>
                <w:lang w:val="fr-CA"/>
              </w:rPr>
            </w:pPr>
          </w:p>
        </w:tc>
      </w:tr>
    </w:tbl>
    <w:p w:rsidR="00587A89" w:rsidRPr="005524D4" w:rsidRDefault="00587A89" w:rsidP="00587A89">
      <w:pPr>
        <w:tabs>
          <w:tab w:val="left" w:pos="-1440"/>
          <w:tab w:val="left" w:pos="-720"/>
        </w:tabs>
        <w:jc w:val="both"/>
        <w:rPr>
          <w:sz w:val="20"/>
          <w:szCs w:val="20"/>
          <w:lang w:val="fr-CA"/>
        </w:rPr>
      </w:pPr>
    </w:p>
    <w:p w:rsidR="00587A89" w:rsidRPr="005524D4" w:rsidRDefault="00587A89" w:rsidP="00587A89">
      <w:pPr>
        <w:tabs>
          <w:tab w:val="left" w:pos="-1440"/>
          <w:tab w:val="left" w:pos="-720"/>
        </w:tabs>
        <w:jc w:val="both"/>
        <w:rPr>
          <w:b/>
          <w:sz w:val="20"/>
          <w:szCs w:val="20"/>
          <w:lang w:val="fr-CA"/>
        </w:rPr>
      </w:pPr>
      <w:r w:rsidRPr="005524D4">
        <w:rPr>
          <w:b/>
          <w:sz w:val="20"/>
          <w:szCs w:val="20"/>
          <w:lang w:val="fr-CA"/>
        </w:rPr>
        <w:t>GRANTED / ACCORDÉE</w:t>
      </w:r>
    </w:p>
    <w:p w:rsidR="00587A89" w:rsidRPr="005524D4" w:rsidRDefault="00587A89" w:rsidP="00587A89">
      <w:pPr>
        <w:tabs>
          <w:tab w:val="left" w:pos="-1440"/>
          <w:tab w:val="left" w:pos="-720"/>
        </w:tabs>
        <w:jc w:val="both"/>
        <w:rPr>
          <w:sz w:val="20"/>
          <w:szCs w:val="20"/>
          <w:lang w:val="fr-CA"/>
        </w:rPr>
      </w:pPr>
    </w:p>
    <w:p w:rsidR="00587A89" w:rsidRPr="005524D4" w:rsidRDefault="007505E6" w:rsidP="00587A89">
      <w:pPr>
        <w:tabs>
          <w:tab w:val="left" w:pos="-1440"/>
          <w:tab w:val="left" w:pos="-720"/>
        </w:tabs>
        <w:jc w:val="both"/>
        <w:rPr>
          <w:sz w:val="20"/>
          <w:szCs w:val="20"/>
          <w:lang w:val="fr-CA"/>
        </w:rPr>
      </w:pPr>
      <w:r w:rsidRPr="007505E6">
        <w:rPr>
          <w:sz w:val="20"/>
          <w:szCs w:val="20"/>
          <w:lang w:val="fr-CA"/>
        </w:rPr>
        <w:pict>
          <v:rect id="_x0000_i1087" style="width:2in;height:1pt" o:hrpct="0" o:hralign="center" o:hrstd="t" o:hrnoshade="t" o:hr="t" fillcolor="black [3213]" stroked="f"/>
        </w:pict>
      </w:r>
    </w:p>
    <w:p w:rsidR="00587A89" w:rsidRPr="005524D4" w:rsidRDefault="00587A89" w:rsidP="00587A89">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2D3F5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732DB7" w:rsidP="00732DB7">
      <w:pPr>
        <w:widowControl w:val="0"/>
        <w:rPr>
          <w:sz w:val="20"/>
          <w:szCs w:val="20"/>
        </w:rPr>
      </w:pPr>
      <w:r w:rsidRPr="00C50A5C">
        <w:rPr>
          <w:sz w:val="20"/>
          <w:szCs w:val="20"/>
        </w:rPr>
        <w:t>2</w:t>
      </w:r>
      <w:r w:rsidR="00896597">
        <w:rPr>
          <w:sz w:val="20"/>
          <w:szCs w:val="20"/>
        </w:rPr>
        <w:t>3</w:t>
      </w:r>
      <w:r w:rsidRPr="00C50A5C">
        <w:rPr>
          <w:sz w:val="20"/>
          <w:szCs w:val="20"/>
        </w:rPr>
        <w:t>.0</w:t>
      </w:r>
      <w:r w:rsidR="00896597">
        <w:rPr>
          <w:sz w:val="20"/>
          <w:szCs w:val="20"/>
        </w:rPr>
        <w:t>3</w:t>
      </w:r>
      <w:r w:rsidRPr="00C50A5C">
        <w:rPr>
          <w:sz w:val="20"/>
          <w:szCs w:val="20"/>
        </w:rPr>
        <w:t>.201</w:t>
      </w:r>
      <w:r w:rsidR="00896597">
        <w:rPr>
          <w:sz w:val="20"/>
          <w:szCs w:val="20"/>
        </w:rPr>
        <w:t>2</w:t>
      </w:r>
    </w:p>
    <w:p w:rsidR="00732DB7" w:rsidRDefault="00732DB7" w:rsidP="00732DB7">
      <w:pPr>
        <w:widowControl w:val="0"/>
        <w:rPr>
          <w:sz w:val="20"/>
          <w:szCs w:val="20"/>
        </w:rPr>
      </w:pPr>
    </w:p>
    <w:p w:rsidR="00896597" w:rsidRPr="004F4DED" w:rsidRDefault="00896597" w:rsidP="00896597">
      <w:pPr>
        <w:widowControl w:val="0"/>
        <w:ind w:left="720" w:hanging="720"/>
        <w:rPr>
          <w:rFonts w:eastAsia="Calibri" w:cs="Times New Roman"/>
          <w:sz w:val="20"/>
          <w:szCs w:val="20"/>
          <w:u w:val="single"/>
        </w:rPr>
      </w:pPr>
      <w:r w:rsidRPr="004F4DED">
        <w:rPr>
          <w:rFonts w:eastAsia="Calibri" w:cs="Times New Roman"/>
          <w:sz w:val="20"/>
          <w:szCs w:val="20"/>
        </w:rPr>
        <w:t xml:space="preserve">Coram: </w:t>
      </w:r>
      <w:r w:rsidRPr="004F4DED">
        <w:rPr>
          <w:rFonts w:eastAsia="Calibri" w:cs="Times New Roman"/>
          <w:sz w:val="20"/>
          <w:szCs w:val="20"/>
        </w:rPr>
        <w:tab/>
      </w:r>
      <w:proofErr w:type="spellStart"/>
      <w:r w:rsidRPr="004F4DED">
        <w:rPr>
          <w:rFonts w:eastAsia="Calibri" w:cs="Times New Roman"/>
          <w:sz w:val="20"/>
          <w:szCs w:val="20"/>
          <w:u w:val="single"/>
        </w:rPr>
        <w:t>LeBel</w:t>
      </w:r>
      <w:proofErr w:type="spellEnd"/>
      <w:r w:rsidRPr="004F4DED">
        <w:rPr>
          <w:rFonts w:eastAsia="Calibri" w:cs="Times New Roman"/>
          <w:sz w:val="20"/>
          <w:szCs w:val="20"/>
          <w:u w:val="single"/>
        </w:rPr>
        <w:t xml:space="preserve">, </w:t>
      </w:r>
      <w:proofErr w:type="spellStart"/>
      <w:r w:rsidRPr="004F4DED">
        <w:rPr>
          <w:rFonts w:eastAsia="Calibri" w:cs="Times New Roman"/>
          <w:sz w:val="20"/>
          <w:szCs w:val="20"/>
          <w:u w:val="single"/>
        </w:rPr>
        <w:t>Deschamps</w:t>
      </w:r>
      <w:proofErr w:type="spellEnd"/>
      <w:r w:rsidRPr="004F4DED">
        <w:rPr>
          <w:rFonts w:eastAsia="Calibri" w:cs="Times New Roman"/>
          <w:sz w:val="20"/>
          <w:szCs w:val="20"/>
          <w:u w:val="single"/>
        </w:rPr>
        <w:t xml:space="preserve">, </w:t>
      </w:r>
      <w:proofErr w:type="spellStart"/>
      <w:r w:rsidRPr="004F4DED">
        <w:rPr>
          <w:rFonts w:eastAsia="Calibri" w:cs="Times New Roman"/>
          <w:sz w:val="20"/>
          <w:szCs w:val="20"/>
          <w:u w:val="single"/>
        </w:rPr>
        <w:t>Abella</w:t>
      </w:r>
      <w:proofErr w:type="spellEnd"/>
      <w:r w:rsidRPr="004F4DED">
        <w:rPr>
          <w:rFonts w:eastAsia="Calibri" w:cs="Times New Roman"/>
          <w:sz w:val="20"/>
          <w:szCs w:val="20"/>
          <w:u w:val="single"/>
        </w:rPr>
        <w:t xml:space="preserve">, Rothstein, Cromwell, </w:t>
      </w:r>
      <w:proofErr w:type="spellStart"/>
      <w:r w:rsidRPr="004F4DED">
        <w:rPr>
          <w:rFonts w:eastAsia="Calibri" w:cs="Times New Roman"/>
          <w:sz w:val="20"/>
          <w:szCs w:val="20"/>
          <w:u w:val="single"/>
        </w:rPr>
        <w:t>Moldaver</w:t>
      </w:r>
      <w:proofErr w:type="spellEnd"/>
      <w:r w:rsidRPr="004F4DED">
        <w:rPr>
          <w:rFonts w:eastAsia="Calibri" w:cs="Times New Roman"/>
          <w:sz w:val="20"/>
          <w:szCs w:val="20"/>
          <w:u w:val="single"/>
        </w:rPr>
        <w:t xml:space="preserve"> and </w:t>
      </w:r>
      <w:proofErr w:type="spellStart"/>
      <w:r w:rsidRPr="004F4DED">
        <w:rPr>
          <w:rFonts w:eastAsia="Calibri" w:cs="Times New Roman"/>
          <w:sz w:val="20"/>
          <w:szCs w:val="20"/>
          <w:u w:val="single"/>
        </w:rPr>
        <w:t>Karakatsanis</w:t>
      </w:r>
      <w:proofErr w:type="spellEnd"/>
      <w:r w:rsidRPr="004F4DED">
        <w:rPr>
          <w:rFonts w:eastAsia="Calibri" w:cs="Times New Roman"/>
          <w:sz w:val="20"/>
          <w:szCs w:val="20"/>
          <w:u w:val="single"/>
        </w:rPr>
        <w:t xml:space="preserve"> JJ.</w:t>
      </w:r>
    </w:p>
    <w:p w:rsidR="00732DB7" w:rsidRPr="00896597" w:rsidRDefault="00732DB7" w:rsidP="00732DB7">
      <w:pPr>
        <w:widowControl w:val="0"/>
        <w:ind w:left="720" w:hanging="72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896597" w:rsidP="00C1697B">
            <w:pPr>
              <w:widowControl w:val="0"/>
              <w:jc w:val="both"/>
              <w:rPr>
                <w:b/>
                <w:sz w:val="20"/>
                <w:szCs w:val="20"/>
              </w:rPr>
            </w:pPr>
            <w:r w:rsidRPr="004F4DED">
              <w:rPr>
                <w:rStyle w:val="SCCSsocChar"/>
                <w:b/>
                <w:i w:val="0"/>
              </w:rPr>
              <w:t>Her Majesty the Queen</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896597">
              <w:rPr>
                <w:b/>
                <w:sz w:val="20"/>
                <w:szCs w:val="20"/>
              </w:rPr>
              <w:t>4</w:t>
            </w:r>
            <w:r w:rsidRPr="00C50A5C">
              <w:rPr>
                <w:b/>
                <w:sz w:val="20"/>
                <w:szCs w:val="20"/>
              </w:rPr>
              <w:t>1</w:t>
            </w:r>
            <w:r w:rsidR="00896597">
              <w:rPr>
                <w:b/>
                <w:sz w:val="20"/>
                <w:szCs w:val="20"/>
              </w:rPr>
              <w:t>44</w:t>
            </w:r>
            <w:r w:rsidRPr="00C50A5C">
              <w:rPr>
                <w:b/>
                <w:sz w:val="20"/>
                <w:szCs w:val="20"/>
              </w:rPr>
              <w:t>)</w:t>
            </w:r>
          </w:p>
          <w:p w:rsidR="00732DB7" w:rsidRPr="00C50A5C" w:rsidRDefault="00732DB7" w:rsidP="00C1697B">
            <w:pPr>
              <w:widowControl w:val="0"/>
              <w:jc w:val="both"/>
              <w:rPr>
                <w:b/>
                <w:sz w:val="20"/>
                <w:szCs w:val="20"/>
              </w:rPr>
            </w:pPr>
          </w:p>
          <w:p w:rsidR="00732DB7" w:rsidRPr="00896597" w:rsidRDefault="00896597" w:rsidP="00896597">
            <w:pPr>
              <w:widowControl w:val="0"/>
              <w:jc w:val="both"/>
              <w:rPr>
                <w:sz w:val="20"/>
                <w:szCs w:val="20"/>
              </w:rPr>
            </w:pPr>
            <w:r w:rsidRPr="004F4DED">
              <w:rPr>
                <w:rStyle w:val="SCCSsocChar"/>
                <w:b/>
                <w:i w:val="0"/>
              </w:rPr>
              <w:t>John H. Craig</w:t>
            </w:r>
            <w:r w:rsidR="00732DB7" w:rsidRPr="00C50A5C">
              <w:rPr>
                <w:b/>
                <w:sz w:val="20"/>
                <w:szCs w:val="20"/>
              </w:rPr>
              <w:t xml:space="preserve"> (</w:t>
            </w:r>
            <w:r>
              <w:rPr>
                <w:b/>
                <w:sz w:val="20"/>
                <w:szCs w:val="20"/>
              </w:rPr>
              <w:t>F</w:t>
            </w:r>
            <w:r w:rsidR="00732DB7" w:rsidRPr="00C50A5C">
              <w:rPr>
                <w:b/>
                <w:sz w:val="20"/>
                <w:szCs w:val="20"/>
              </w:rPr>
              <w:t>.C.) (Civil) (By Leave)</w:t>
            </w:r>
          </w:p>
        </w:tc>
        <w:tc>
          <w:tcPr>
            <w:tcW w:w="720" w:type="dxa"/>
            <w:tcMar>
              <w:left w:w="0" w:type="dxa"/>
              <w:right w:w="0" w:type="dxa"/>
            </w:tcMar>
          </w:tcPr>
          <w:p w:rsidR="00732DB7" w:rsidRPr="00896597" w:rsidRDefault="00732DB7" w:rsidP="00732DB7">
            <w:pPr>
              <w:widowControl w:val="0"/>
              <w:jc w:val="center"/>
              <w:rPr>
                <w:sz w:val="20"/>
                <w:szCs w:val="20"/>
              </w:rPr>
            </w:pPr>
          </w:p>
        </w:tc>
        <w:tc>
          <w:tcPr>
            <w:tcW w:w="4380" w:type="dxa"/>
            <w:tcMar>
              <w:left w:w="0" w:type="dxa"/>
              <w:right w:w="0" w:type="dxa"/>
            </w:tcMar>
          </w:tcPr>
          <w:p w:rsidR="00896597" w:rsidRPr="00347F00" w:rsidRDefault="00896597" w:rsidP="00896597">
            <w:pPr>
              <w:jc w:val="both"/>
              <w:rPr>
                <w:sz w:val="20"/>
                <w:szCs w:val="20"/>
              </w:rPr>
            </w:pPr>
            <w:r w:rsidRPr="00347F00">
              <w:rPr>
                <w:sz w:val="20"/>
                <w:szCs w:val="20"/>
              </w:rPr>
              <w:t>Simon Fothergill</w:t>
            </w:r>
            <w:r>
              <w:rPr>
                <w:sz w:val="20"/>
                <w:szCs w:val="20"/>
              </w:rPr>
              <w:t xml:space="preserve"> and </w:t>
            </w:r>
            <w:r w:rsidRPr="00347F00">
              <w:rPr>
                <w:sz w:val="20"/>
                <w:szCs w:val="20"/>
              </w:rPr>
              <w:t>Daniel Bourgeois</w:t>
            </w:r>
            <w:r>
              <w:rPr>
                <w:sz w:val="20"/>
                <w:szCs w:val="20"/>
              </w:rPr>
              <w:t xml:space="preserve"> f</w:t>
            </w:r>
            <w:r w:rsidRPr="00347F00">
              <w:rPr>
                <w:sz w:val="20"/>
                <w:szCs w:val="20"/>
              </w:rPr>
              <w:t xml:space="preserve">or the </w:t>
            </w:r>
            <w:r>
              <w:rPr>
                <w:sz w:val="20"/>
                <w:szCs w:val="20"/>
              </w:rPr>
              <w:t>a</w:t>
            </w:r>
            <w:r w:rsidRPr="00347F00">
              <w:rPr>
                <w:sz w:val="20"/>
                <w:szCs w:val="20"/>
              </w:rPr>
              <w:t>ppellant.</w:t>
            </w:r>
          </w:p>
          <w:p w:rsidR="00896597" w:rsidRPr="00347F00" w:rsidRDefault="00896597" w:rsidP="00896597">
            <w:pPr>
              <w:jc w:val="both"/>
              <w:rPr>
                <w:sz w:val="20"/>
                <w:szCs w:val="20"/>
              </w:rPr>
            </w:pPr>
          </w:p>
          <w:p w:rsidR="00732DB7" w:rsidRPr="00C50A5C" w:rsidRDefault="00896597" w:rsidP="00896597">
            <w:pPr>
              <w:widowControl w:val="0"/>
              <w:jc w:val="both"/>
              <w:rPr>
                <w:sz w:val="20"/>
                <w:szCs w:val="20"/>
              </w:rPr>
            </w:pPr>
            <w:r w:rsidRPr="00347F00">
              <w:rPr>
                <w:sz w:val="20"/>
                <w:szCs w:val="20"/>
              </w:rPr>
              <w:t>Glenn Ernst</w:t>
            </w:r>
            <w:r>
              <w:rPr>
                <w:sz w:val="20"/>
                <w:szCs w:val="20"/>
              </w:rPr>
              <w:t xml:space="preserve"> and </w:t>
            </w:r>
            <w:proofErr w:type="spellStart"/>
            <w:r w:rsidRPr="00347F00">
              <w:rPr>
                <w:sz w:val="20"/>
                <w:szCs w:val="20"/>
              </w:rPr>
              <w:t>Sandon</w:t>
            </w:r>
            <w:proofErr w:type="spellEnd"/>
            <w:r w:rsidRPr="00347F00">
              <w:rPr>
                <w:sz w:val="20"/>
                <w:szCs w:val="20"/>
              </w:rPr>
              <w:t xml:space="preserve"> </w:t>
            </w:r>
            <w:proofErr w:type="spellStart"/>
            <w:r w:rsidRPr="00347F00">
              <w:rPr>
                <w:sz w:val="20"/>
                <w:szCs w:val="20"/>
              </w:rPr>
              <w:t>Shogilev</w:t>
            </w:r>
            <w:proofErr w:type="spellEnd"/>
            <w:r>
              <w:rPr>
                <w:sz w:val="20"/>
                <w:szCs w:val="20"/>
              </w:rPr>
              <w:t xml:space="preserve"> f</w:t>
            </w:r>
            <w:r w:rsidRPr="00347F00">
              <w:rPr>
                <w:sz w:val="20"/>
                <w:szCs w:val="20"/>
              </w:rPr>
              <w:t xml:space="preserve">or the </w:t>
            </w:r>
            <w:r>
              <w:rPr>
                <w:sz w:val="20"/>
                <w:szCs w:val="20"/>
              </w:rPr>
              <w:t>r</w:t>
            </w:r>
            <w:r w:rsidRPr="00347F00">
              <w:rPr>
                <w:sz w:val="20"/>
                <w:szCs w:val="20"/>
              </w:rPr>
              <w:t>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2D3F55"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896597" w:rsidP="00896597">
            <w:pPr>
              <w:widowControl w:val="0"/>
              <w:jc w:val="both"/>
              <w:rPr>
                <w:b/>
                <w:sz w:val="20"/>
                <w:szCs w:val="20"/>
              </w:rPr>
            </w:pPr>
            <w:r w:rsidRPr="00B10F22">
              <w:rPr>
                <w:sz w:val="20"/>
                <w:szCs w:val="20"/>
              </w:rPr>
              <w:t xml:space="preserve">Taxation - Income tax - “Chief source of income” - Statutory interpretation - </w:t>
            </w:r>
            <w:r w:rsidRPr="00B10F22">
              <w:rPr>
                <w:i/>
                <w:sz w:val="20"/>
                <w:szCs w:val="20"/>
              </w:rPr>
              <w:t xml:space="preserve">Stare </w:t>
            </w:r>
            <w:proofErr w:type="spellStart"/>
            <w:r w:rsidRPr="00B10F22">
              <w:rPr>
                <w:i/>
                <w:sz w:val="20"/>
                <w:szCs w:val="20"/>
              </w:rPr>
              <w:t>decisis</w:t>
            </w:r>
            <w:proofErr w:type="spellEnd"/>
            <w:r w:rsidRPr="00B10F22">
              <w:rPr>
                <w:sz w:val="20"/>
                <w:szCs w:val="20"/>
              </w:rPr>
              <w:t xml:space="preserve"> - Whether the doctrine of </w:t>
            </w:r>
            <w:r w:rsidRPr="00B10F22">
              <w:rPr>
                <w:i/>
                <w:sz w:val="20"/>
                <w:szCs w:val="20"/>
              </w:rPr>
              <w:t xml:space="preserve">stare </w:t>
            </w:r>
            <w:proofErr w:type="spellStart"/>
            <w:r w:rsidRPr="00B10F22">
              <w:rPr>
                <w:i/>
                <w:sz w:val="20"/>
                <w:szCs w:val="20"/>
              </w:rPr>
              <w:t>decisis</w:t>
            </w:r>
            <w:proofErr w:type="spellEnd"/>
            <w:r w:rsidRPr="00B10F22">
              <w:rPr>
                <w:sz w:val="20"/>
                <w:szCs w:val="20"/>
              </w:rPr>
              <w:t xml:space="preserve"> compelled the Court of Appeal to follow this Court’s decision in </w:t>
            </w:r>
            <w:proofErr w:type="spellStart"/>
            <w:r w:rsidRPr="00B10F22">
              <w:rPr>
                <w:i/>
                <w:sz w:val="20"/>
                <w:szCs w:val="20"/>
              </w:rPr>
              <w:t>Moldowan</w:t>
            </w:r>
            <w:proofErr w:type="spellEnd"/>
            <w:r w:rsidRPr="00B10F22">
              <w:rPr>
                <w:i/>
                <w:sz w:val="20"/>
                <w:szCs w:val="20"/>
              </w:rPr>
              <w:t xml:space="preserve"> v. Canada</w:t>
            </w:r>
            <w:r w:rsidRPr="00B10F22">
              <w:rPr>
                <w:sz w:val="20"/>
                <w:szCs w:val="20"/>
              </w:rPr>
              <w:t xml:space="preserve">, [1978] 1 S.C.R. 480, and whether that doctrine should discourage this Court from revisiting its interpretation of s. 31 of the </w:t>
            </w:r>
            <w:r w:rsidRPr="00B10F22">
              <w:rPr>
                <w:i/>
                <w:sz w:val="20"/>
                <w:szCs w:val="20"/>
              </w:rPr>
              <w:t>Income Tax Act</w:t>
            </w:r>
            <w:r w:rsidRPr="00B10F22">
              <w:rPr>
                <w:sz w:val="20"/>
                <w:szCs w:val="20"/>
              </w:rPr>
              <w:t xml:space="preserve"> - Whether this Court’s interpretation of s. 31 in </w:t>
            </w:r>
            <w:proofErr w:type="spellStart"/>
            <w:r w:rsidRPr="00B10F22">
              <w:rPr>
                <w:i/>
                <w:sz w:val="20"/>
                <w:szCs w:val="20"/>
              </w:rPr>
              <w:t>Moldowan</w:t>
            </w:r>
            <w:proofErr w:type="spellEnd"/>
            <w:r w:rsidRPr="00B10F22">
              <w:rPr>
                <w:sz w:val="20"/>
                <w:szCs w:val="20"/>
              </w:rPr>
              <w:t xml:space="preserve"> is correct, with the result that the respondent’s chief source of income was neither farming nor a combination of farming and his law practice - </w:t>
            </w:r>
            <w:r w:rsidRPr="00B10F22">
              <w:rPr>
                <w:i/>
                <w:sz w:val="20"/>
                <w:szCs w:val="20"/>
              </w:rPr>
              <w:t>Income Tax Act</w:t>
            </w:r>
            <w:r w:rsidRPr="00B10F22">
              <w:rPr>
                <w:sz w:val="20"/>
                <w:szCs w:val="20"/>
              </w:rPr>
              <w:t>, R.S.C. 1985, c. 1 (5th Supp.), s. 31.</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896597" w:rsidP="00C1697B">
            <w:pPr>
              <w:widowControl w:val="0"/>
              <w:jc w:val="both"/>
              <w:rPr>
                <w:sz w:val="20"/>
                <w:szCs w:val="20"/>
                <w:lang w:val="fr-CA"/>
              </w:rPr>
            </w:pPr>
            <w:r w:rsidRPr="00E35320">
              <w:rPr>
                <w:rFonts w:eastAsia="Calibri" w:cs="Times New Roman"/>
                <w:sz w:val="20"/>
                <w:szCs w:val="20"/>
                <w:lang w:val="fr-CA"/>
              </w:rPr>
              <w:t xml:space="preserve">Droit fiscal </w:t>
            </w:r>
            <w:r w:rsidRPr="00E35320">
              <w:rPr>
                <w:rFonts w:eastAsia="Calibri" w:cs="Times New Roman"/>
                <w:sz w:val="20"/>
                <w:szCs w:val="20"/>
                <w:lang w:val="fr-CA"/>
              </w:rPr>
              <w:noBreakHyphen/>
              <w:t xml:space="preserve"> Impôt sur le revenu </w:t>
            </w:r>
            <w:r w:rsidRPr="00E35320">
              <w:rPr>
                <w:rFonts w:eastAsia="Calibri" w:cs="Times New Roman"/>
                <w:sz w:val="20"/>
                <w:szCs w:val="20"/>
                <w:lang w:val="fr-CA"/>
              </w:rPr>
              <w:noBreakHyphen/>
              <w:t xml:space="preserve"> « Source principale de revenu » </w:t>
            </w:r>
            <w:r w:rsidRPr="00E35320">
              <w:rPr>
                <w:rFonts w:eastAsia="Calibri" w:cs="Times New Roman"/>
                <w:sz w:val="20"/>
                <w:szCs w:val="20"/>
                <w:lang w:val="fr-CA"/>
              </w:rPr>
              <w:noBreakHyphen/>
              <w:t xml:space="preserve"> Interprétation de la loi </w:t>
            </w:r>
            <w:r w:rsidRPr="00E35320">
              <w:rPr>
                <w:rFonts w:eastAsia="Calibri" w:cs="Times New Roman"/>
                <w:sz w:val="20"/>
                <w:szCs w:val="20"/>
                <w:lang w:val="fr-CA"/>
              </w:rPr>
              <w:noBreakHyphen/>
              <w:t xml:space="preserve"> </w:t>
            </w:r>
            <w:proofErr w:type="spellStart"/>
            <w:r w:rsidRPr="00E35320">
              <w:rPr>
                <w:rFonts w:eastAsia="Calibri" w:cs="Times New Roman"/>
                <w:i/>
                <w:sz w:val="20"/>
                <w:szCs w:val="20"/>
                <w:lang w:val="fr-CA"/>
              </w:rPr>
              <w:t>Stare</w:t>
            </w:r>
            <w:proofErr w:type="spellEnd"/>
            <w:r w:rsidRPr="00E35320">
              <w:rPr>
                <w:rFonts w:eastAsia="Calibri" w:cs="Times New Roman"/>
                <w:i/>
                <w:sz w:val="20"/>
                <w:szCs w:val="20"/>
                <w:lang w:val="fr-CA"/>
              </w:rPr>
              <w:t xml:space="preserve"> </w:t>
            </w:r>
            <w:proofErr w:type="spellStart"/>
            <w:r w:rsidRPr="00E35320">
              <w:rPr>
                <w:rFonts w:eastAsia="Calibri" w:cs="Times New Roman"/>
                <w:i/>
                <w:sz w:val="20"/>
                <w:szCs w:val="20"/>
                <w:lang w:val="fr-CA"/>
              </w:rPr>
              <w:t>decisis</w:t>
            </w:r>
            <w:proofErr w:type="spellEnd"/>
            <w:r w:rsidRPr="00E35320">
              <w:rPr>
                <w:rFonts w:eastAsia="Calibri" w:cs="Times New Roman"/>
                <w:sz w:val="20"/>
                <w:szCs w:val="20"/>
                <w:lang w:val="fr-CA"/>
              </w:rPr>
              <w:t xml:space="preserve"> </w:t>
            </w:r>
            <w:r w:rsidRPr="00E35320">
              <w:rPr>
                <w:rFonts w:eastAsia="Calibri" w:cs="Times New Roman"/>
                <w:sz w:val="20"/>
                <w:szCs w:val="20"/>
                <w:lang w:val="fr-CA"/>
              </w:rPr>
              <w:noBreakHyphen/>
              <w:t xml:space="preserve"> La règle du </w:t>
            </w:r>
            <w:proofErr w:type="spellStart"/>
            <w:r w:rsidRPr="00E35320">
              <w:rPr>
                <w:rFonts w:eastAsia="Calibri" w:cs="Times New Roman"/>
                <w:i/>
                <w:sz w:val="20"/>
                <w:szCs w:val="20"/>
                <w:lang w:val="fr-CA"/>
              </w:rPr>
              <w:t>stare</w:t>
            </w:r>
            <w:proofErr w:type="spellEnd"/>
            <w:r w:rsidRPr="00E35320">
              <w:rPr>
                <w:rFonts w:eastAsia="Calibri" w:cs="Times New Roman"/>
                <w:i/>
                <w:sz w:val="20"/>
                <w:szCs w:val="20"/>
                <w:lang w:val="fr-CA"/>
              </w:rPr>
              <w:t xml:space="preserve"> </w:t>
            </w:r>
            <w:proofErr w:type="spellStart"/>
            <w:r w:rsidRPr="00E35320">
              <w:rPr>
                <w:rFonts w:eastAsia="Calibri" w:cs="Times New Roman"/>
                <w:i/>
                <w:sz w:val="20"/>
                <w:szCs w:val="20"/>
                <w:lang w:val="fr-CA"/>
              </w:rPr>
              <w:t>decisis</w:t>
            </w:r>
            <w:proofErr w:type="spellEnd"/>
            <w:r w:rsidRPr="00E35320">
              <w:rPr>
                <w:rFonts w:eastAsia="Calibri" w:cs="Times New Roman"/>
                <w:sz w:val="20"/>
                <w:szCs w:val="20"/>
                <w:lang w:val="fr-CA"/>
              </w:rPr>
              <w:t xml:space="preserve"> </w:t>
            </w:r>
            <w:proofErr w:type="spellStart"/>
            <w:r w:rsidRPr="00E35320">
              <w:rPr>
                <w:rFonts w:eastAsia="Calibri" w:cs="Times New Roman"/>
                <w:sz w:val="20"/>
                <w:szCs w:val="20"/>
                <w:lang w:val="fr-CA"/>
              </w:rPr>
              <w:t>contraignait</w:t>
            </w:r>
            <w:r w:rsidRPr="00E35320">
              <w:rPr>
                <w:rFonts w:eastAsia="Calibri" w:cs="Times New Roman"/>
                <w:sz w:val="20"/>
                <w:szCs w:val="20"/>
                <w:lang w:val="fr-CA"/>
              </w:rPr>
              <w:noBreakHyphen/>
              <w:t>elle</w:t>
            </w:r>
            <w:proofErr w:type="spellEnd"/>
            <w:r w:rsidRPr="00E35320">
              <w:rPr>
                <w:rFonts w:eastAsia="Calibri" w:cs="Times New Roman"/>
                <w:sz w:val="20"/>
                <w:szCs w:val="20"/>
                <w:lang w:val="fr-CA"/>
              </w:rPr>
              <w:t xml:space="preserve"> la Cour d’appel à appliquer l’arrêt de notre Cour dans l’affaire </w:t>
            </w:r>
            <w:proofErr w:type="spellStart"/>
            <w:r w:rsidRPr="00E35320">
              <w:rPr>
                <w:rFonts w:eastAsia="Calibri" w:cs="Times New Roman"/>
                <w:i/>
                <w:sz w:val="20"/>
                <w:szCs w:val="20"/>
                <w:lang w:val="fr-CA"/>
              </w:rPr>
              <w:t>Moldowan</w:t>
            </w:r>
            <w:proofErr w:type="spellEnd"/>
            <w:r w:rsidRPr="00E35320">
              <w:rPr>
                <w:rFonts w:eastAsia="Calibri" w:cs="Times New Roman"/>
                <w:i/>
                <w:sz w:val="20"/>
                <w:szCs w:val="20"/>
                <w:lang w:val="fr-CA"/>
              </w:rPr>
              <w:t xml:space="preserve"> c. Canada</w:t>
            </w:r>
            <w:r w:rsidRPr="00E35320">
              <w:rPr>
                <w:rFonts w:eastAsia="Calibri" w:cs="Times New Roman"/>
                <w:sz w:val="20"/>
                <w:szCs w:val="20"/>
                <w:lang w:val="fr-CA"/>
              </w:rPr>
              <w:t xml:space="preserve">, [1978] 1 R.C.S. 480? Et cette règle </w:t>
            </w:r>
            <w:proofErr w:type="spellStart"/>
            <w:r w:rsidRPr="00E35320">
              <w:rPr>
                <w:rFonts w:eastAsia="Calibri" w:cs="Times New Roman"/>
                <w:sz w:val="20"/>
                <w:szCs w:val="20"/>
                <w:lang w:val="fr-CA"/>
              </w:rPr>
              <w:t>devrait</w:t>
            </w:r>
            <w:r w:rsidRPr="00E35320">
              <w:rPr>
                <w:rFonts w:eastAsia="Calibri" w:cs="Times New Roman"/>
                <w:sz w:val="20"/>
                <w:szCs w:val="20"/>
                <w:lang w:val="fr-CA"/>
              </w:rPr>
              <w:noBreakHyphen/>
              <w:t>elle</w:t>
            </w:r>
            <w:proofErr w:type="spellEnd"/>
            <w:r w:rsidRPr="00E35320">
              <w:rPr>
                <w:rFonts w:eastAsia="Calibri" w:cs="Times New Roman"/>
                <w:sz w:val="20"/>
                <w:szCs w:val="20"/>
                <w:lang w:val="fr-CA"/>
              </w:rPr>
              <w:t xml:space="preserve"> décourager notre Cour de revoir l’interprétation qu’elle a donnée à l’art. 31 de la </w:t>
            </w:r>
            <w:r w:rsidRPr="00E35320">
              <w:rPr>
                <w:rFonts w:eastAsia="Calibri" w:cs="Times New Roman"/>
                <w:i/>
                <w:sz w:val="20"/>
                <w:szCs w:val="20"/>
                <w:lang w:val="fr-CA"/>
              </w:rPr>
              <w:t>Loi de l’impôt sur le revenu</w:t>
            </w:r>
            <w:r w:rsidRPr="00E35320">
              <w:rPr>
                <w:rFonts w:eastAsia="Calibri" w:cs="Times New Roman"/>
                <w:sz w:val="20"/>
                <w:szCs w:val="20"/>
                <w:lang w:val="fr-CA"/>
              </w:rPr>
              <w:t>?</w:t>
            </w:r>
            <w:r w:rsidRPr="00E35320">
              <w:rPr>
                <w:rFonts w:eastAsia="Calibri" w:cs="Times New Roman"/>
                <w:i/>
                <w:sz w:val="20"/>
                <w:szCs w:val="20"/>
                <w:lang w:val="fr-CA"/>
              </w:rPr>
              <w:t xml:space="preserve"> </w:t>
            </w:r>
            <w:r w:rsidRPr="00E35320">
              <w:rPr>
                <w:rFonts w:eastAsia="Calibri" w:cs="Times New Roman"/>
                <w:sz w:val="20"/>
                <w:szCs w:val="20"/>
                <w:lang w:val="fr-CA"/>
              </w:rPr>
              <w:noBreakHyphen/>
              <w:t xml:space="preserve"> Notre Cour </w:t>
            </w:r>
            <w:proofErr w:type="spellStart"/>
            <w:r w:rsidRPr="00E35320">
              <w:rPr>
                <w:rFonts w:eastAsia="Calibri" w:cs="Times New Roman"/>
                <w:sz w:val="20"/>
                <w:szCs w:val="20"/>
                <w:lang w:val="fr-CA"/>
              </w:rPr>
              <w:t>a</w:t>
            </w:r>
            <w:r w:rsidRPr="00E35320">
              <w:rPr>
                <w:rFonts w:eastAsia="Calibri" w:cs="Times New Roman"/>
                <w:sz w:val="20"/>
                <w:szCs w:val="20"/>
                <w:lang w:val="fr-CA"/>
              </w:rPr>
              <w:noBreakHyphen/>
              <w:t>t</w:t>
            </w:r>
            <w:r w:rsidRPr="00E35320">
              <w:rPr>
                <w:rFonts w:eastAsia="Calibri" w:cs="Times New Roman"/>
                <w:sz w:val="20"/>
                <w:szCs w:val="20"/>
                <w:lang w:val="fr-CA"/>
              </w:rPr>
              <w:noBreakHyphen/>
              <w:t>elle</w:t>
            </w:r>
            <w:proofErr w:type="spellEnd"/>
            <w:r w:rsidRPr="00E35320">
              <w:rPr>
                <w:rFonts w:eastAsia="Calibri" w:cs="Times New Roman"/>
                <w:sz w:val="20"/>
                <w:szCs w:val="20"/>
                <w:lang w:val="fr-CA"/>
              </w:rPr>
              <w:t xml:space="preserve"> correctement interprété l’art. 31 dans </w:t>
            </w:r>
            <w:proofErr w:type="spellStart"/>
            <w:r w:rsidRPr="00E35320">
              <w:rPr>
                <w:rFonts w:eastAsia="Calibri" w:cs="Times New Roman"/>
                <w:i/>
                <w:sz w:val="20"/>
                <w:szCs w:val="20"/>
                <w:lang w:val="fr-CA"/>
              </w:rPr>
              <w:t>Moldowan</w:t>
            </w:r>
            <w:proofErr w:type="spellEnd"/>
            <w:r w:rsidRPr="00E35320">
              <w:rPr>
                <w:rFonts w:eastAsia="Calibri" w:cs="Times New Roman"/>
                <w:sz w:val="20"/>
                <w:szCs w:val="20"/>
                <w:lang w:val="fr-CA"/>
              </w:rPr>
              <w:t xml:space="preserve">, de sorte que la source principale de revenu de l’intimé n’était ni l’agriculture, ni une combinaison de l’agriculture et de sa pratique du droit </w:t>
            </w:r>
            <w:r w:rsidRPr="00E35320">
              <w:rPr>
                <w:rFonts w:eastAsia="Calibri" w:cs="Times New Roman"/>
                <w:sz w:val="20"/>
                <w:szCs w:val="20"/>
                <w:lang w:val="fr-CA"/>
              </w:rPr>
              <w:noBreakHyphen/>
              <w:t xml:space="preserve"> </w:t>
            </w:r>
            <w:r w:rsidRPr="00E35320">
              <w:rPr>
                <w:rFonts w:eastAsia="Calibri" w:cs="Times New Roman"/>
                <w:i/>
                <w:sz w:val="20"/>
                <w:szCs w:val="20"/>
                <w:lang w:val="fr-CA"/>
              </w:rPr>
              <w:t>Loi de l’impôt sur le revenu</w:t>
            </w:r>
            <w:r w:rsidRPr="00E35320">
              <w:rPr>
                <w:rFonts w:eastAsia="Calibri" w:cs="Times New Roman"/>
                <w:sz w:val="20"/>
                <w:szCs w:val="20"/>
                <w:lang w:val="fr-CA"/>
              </w:rPr>
              <w:t>, L.R.C. 1985, ch. 1 (5</w:t>
            </w:r>
            <w:r w:rsidRPr="00E35320">
              <w:rPr>
                <w:rFonts w:eastAsia="Calibri" w:cs="Times New Roman"/>
                <w:sz w:val="20"/>
                <w:szCs w:val="20"/>
                <w:vertAlign w:val="superscript"/>
                <w:lang w:val="fr-CA"/>
              </w:rPr>
              <w:t>e </w:t>
            </w:r>
            <w:r w:rsidRPr="00E35320">
              <w:rPr>
                <w:rFonts w:eastAsia="Calibri" w:cs="Times New Roman"/>
                <w:sz w:val="20"/>
                <w:szCs w:val="20"/>
                <w:lang w:val="fr-CA"/>
              </w:rPr>
              <w:t>suppl.), art. 31.</w:t>
            </w:r>
          </w:p>
        </w:tc>
      </w:tr>
    </w:tbl>
    <w:p w:rsidR="00732DB7" w:rsidRDefault="00732DB7" w:rsidP="00732DB7">
      <w:pPr>
        <w:widowControl w:val="0"/>
        <w:rPr>
          <w:sz w:val="20"/>
          <w:szCs w:val="20"/>
          <w:lang w:val="fr-CA"/>
        </w:rPr>
      </w:pPr>
    </w:p>
    <w:p w:rsidR="002A27D1" w:rsidRDefault="007505E6" w:rsidP="002A27D1">
      <w:pPr>
        <w:widowControl w:val="0"/>
        <w:rPr>
          <w:sz w:val="20"/>
          <w:szCs w:val="20"/>
        </w:rPr>
      </w:pPr>
      <w:r w:rsidRPr="007505E6">
        <w:rPr>
          <w:sz w:val="20"/>
          <w:szCs w:val="20"/>
          <w:lang w:val="fr-CA"/>
        </w:rPr>
        <w:pict>
          <v:rect id="_x0000_i1090" style="width:2in;height:1pt" o:hrpct="0" o:hralign="center" o:hrstd="t" o:hrnoshade="t" o:hr="t" fillcolor="black [3213]" stroked="f"/>
        </w:pict>
      </w:r>
    </w:p>
    <w:p w:rsidR="002A27D1" w:rsidRDefault="002A27D1" w:rsidP="002A27D1">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57194A">
            <w:pPr>
              <w:keepNext/>
              <w:keepLines/>
              <w:rPr>
                <w:b/>
                <w:szCs w:val="24"/>
              </w:rPr>
            </w:pPr>
            <w:r w:rsidRPr="00C50A5C">
              <w:rPr>
                <w:b/>
                <w:szCs w:val="24"/>
              </w:rPr>
              <w:lastRenderedPageBreak/>
              <w:t>AGENDA FOR A</w:t>
            </w:r>
            <w:r w:rsidR="0057194A">
              <w:rPr>
                <w:b/>
                <w:szCs w:val="24"/>
              </w:rPr>
              <w:t>PRIL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57194A">
            <w:pPr>
              <w:keepNext/>
              <w:keepLines/>
              <w:rPr>
                <w:b/>
                <w:szCs w:val="24"/>
                <w:lang w:val="fr-CA"/>
              </w:rPr>
            </w:pPr>
            <w:r w:rsidRPr="00C50A5C">
              <w:rPr>
                <w:b/>
                <w:szCs w:val="24"/>
                <w:lang w:val="fr-CA"/>
              </w:rPr>
              <w:t>CALENDRIER D</w:t>
            </w:r>
            <w:r w:rsidR="0057194A">
              <w:rPr>
                <w:b/>
                <w:szCs w:val="24"/>
                <w:lang w:val="fr-CA"/>
              </w:rPr>
              <w:t>’</w:t>
            </w:r>
            <w:r w:rsidRPr="00C50A5C">
              <w:rPr>
                <w:b/>
                <w:szCs w:val="24"/>
                <w:lang w:val="fr-CA"/>
              </w:rPr>
              <w:t>A</w:t>
            </w:r>
            <w:r w:rsidR="0057194A">
              <w:rPr>
                <w:b/>
                <w:szCs w:val="24"/>
                <w:lang w:val="fr-CA"/>
              </w:rPr>
              <w:t>VRIL 2012</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2F3930">
        <w:rPr>
          <w:b/>
          <w:sz w:val="20"/>
          <w:szCs w:val="20"/>
        </w:rPr>
        <w:t>April 10</w:t>
      </w:r>
      <w:r w:rsidRPr="00DD0B49">
        <w:rPr>
          <w:b/>
          <w:sz w:val="20"/>
          <w:szCs w:val="20"/>
        </w:rPr>
        <w:t xml:space="preserve"> and </w:t>
      </w:r>
      <w:r w:rsidR="002F3930">
        <w:rPr>
          <w:b/>
          <w:sz w:val="20"/>
          <w:szCs w:val="20"/>
        </w:rPr>
        <w:t>16</w:t>
      </w:r>
      <w:r w:rsidRPr="00DD0B49">
        <w:rPr>
          <w:b/>
          <w:sz w:val="20"/>
          <w:szCs w:val="20"/>
        </w:rPr>
        <w:t>, 201</w:t>
      </w:r>
      <w:r w:rsidR="002F3930">
        <w:rPr>
          <w:b/>
          <w:sz w:val="20"/>
          <w:szCs w:val="20"/>
        </w:rPr>
        <w:t>2</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CALENDRIER de la semaine du 1</w:t>
      </w:r>
      <w:r w:rsidR="002F3930">
        <w:rPr>
          <w:b/>
          <w:sz w:val="20"/>
          <w:szCs w:val="20"/>
          <w:lang w:val="fr-CA"/>
        </w:rPr>
        <w:t>0 avril</w:t>
      </w:r>
      <w:r w:rsidRPr="00DD0B49">
        <w:rPr>
          <w:b/>
          <w:sz w:val="20"/>
          <w:szCs w:val="20"/>
          <w:lang w:val="fr-CA"/>
        </w:rPr>
        <w:t xml:space="preserve"> et celle du </w:t>
      </w:r>
      <w:r w:rsidR="002F3930">
        <w:rPr>
          <w:b/>
          <w:sz w:val="20"/>
          <w:szCs w:val="20"/>
          <w:lang w:val="fr-CA"/>
        </w:rPr>
        <w:t>16</w:t>
      </w:r>
      <w:r w:rsidRPr="00DD0B49">
        <w:rPr>
          <w:b/>
          <w:sz w:val="20"/>
          <w:szCs w:val="20"/>
          <w:lang w:val="fr-CA"/>
        </w:rPr>
        <w:t xml:space="preserve"> </w:t>
      </w:r>
      <w:r w:rsidR="002F3930">
        <w:rPr>
          <w:b/>
          <w:sz w:val="20"/>
          <w:szCs w:val="20"/>
          <w:lang w:val="fr-CA"/>
        </w:rPr>
        <w:t>a</w:t>
      </w:r>
      <w:r w:rsidRPr="00DD0B49">
        <w:rPr>
          <w:b/>
          <w:sz w:val="20"/>
          <w:szCs w:val="20"/>
          <w:lang w:val="fr-CA"/>
        </w:rPr>
        <w:t>vr</w:t>
      </w:r>
      <w:r w:rsidR="002F3930">
        <w:rPr>
          <w:b/>
          <w:sz w:val="20"/>
          <w:szCs w:val="20"/>
          <w:lang w:val="fr-CA"/>
        </w:rPr>
        <w:t>il</w:t>
      </w:r>
      <w:r w:rsidRPr="00DD0B49">
        <w:rPr>
          <w:b/>
          <w:sz w:val="20"/>
          <w:szCs w:val="20"/>
          <w:lang w:val="fr-CA"/>
        </w:rPr>
        <w:t xml:space="preserve"> 201</w:t>
      </w:r>
      <w:r w:rsidR="002F3930">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2F3930">
        <w:rPr>
          <w:sz w:val="20"/>
          <w:szCs w:val="20"/>
        </w:rPr>
        <w:t>April 2</w:t>
      </w:r>
      <w:r w:rsidRPr="00DD0B49">
        <w:rPr>
          <w:sz w:val="20"/>
          <w:szCs w:val="20"/>
        </w:rPr>
        <w:t>, 2</w:t>
      </w:r>
      <w:r w:rsidR="002F3930">
        <w:rPr>
          <w:sz w:val="20"/>
          <w:szCs w:val="20"/>
        </w:rPr>
        <w:t>3</w:t>
      </w:r>
      <w:r w:rsidRPr="00DD0B49">
        <w:rPr>
          <w:sz w:val="20"/>
          <w:szCs w:val="20"/>
        </w:rPr>
        <w:t xml:space="preserve"> and </w:t>
      </w:r>
      <w:r w:rsidR="002F3930">
        <w:rPr>
          <w:sz w:val="20"/>
          <w:szCs w:val="20"/>
        </w:rPr>
        <w:t>30</w:t>
      </w:r>
      <w:r w:rsidRPr="00DD0B49">
        <w:rPr>
          <w:sz w:val="20"/>
          <w:szCs w:val="20"/>
        </w:rPr>
        <w:t>, 201</w:t>
      </w:r>
      <w:r w:rsidR="002F3930">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2F3930">
        <w:rPr>
          <w:sz w:val="20"/>
          <w:szCs w:val="20"/>
          <w:lang w:val="fr-CA"/>
        </w:rPr>
        <w:t>2</w:t>
      </w:r>
      <w:r w:rsidRPr="00DD0B49">
        <w:rPr>
          <w:sz w:val="20"/>
          <w:szCs w:val="20"/>
          <w:lang w:val="fr-CA"/>
        </w:rPr>
        <w:t>, 2</w:t>
      </w:r>
      <w:r w:rsidR="002F3930">
        <w:rPr>
          <w:sz w:val="20"/>
          <w:szCs w:val="20"/>
          <w:lang w:val="fr-CA"/>
        </w:rPr>
        <w:t>3</w:t>
      </w:r>
      <w:r w:rsidRPr="00DD0B49">
        <w:rPr>
          <w:sz w:val="20"/>
          <w:szCs w:val="20"/>
          <w:lang w:val="fr-CA"/>
        </w:rPr>
        <w:t xml:space="preserve"> et du </w:t>
      </w:r>
      <w:r w:rsidR="002F3930">
        <w:rPr>
          <w:sz w:val="20"/>
          <w:szCs w:val="20"/>
          <w:lang w:val="fr-CA"/>
        </w:rPr>
        <w:t>30</w:t>
      </w:r>
      <w:r w:rsidRPr="00DD0B49">
        <w:rPr>
          <w:sz w:val="20"/>
          <w:szCs w:val="20"/>
          <w:lang w:val="fr-CA"/>
        </w:rPr>
        <w:t xml:space="preserve"> </w:t>
      </w:r>
      <w:r w:rsidR="002F3930">
        <w:rPr>
          <w:sz w:val="20"/>
          <w:szCs w:val="20"/>
          <w:lang w:val="fr-CA"/>
        </w:rPr>
        <w:t>a</w:t>
      </w:r>
      <w:r w:rsidRPr="00DD0B49">
        <w:rPr>
          <w:sz w:val="20"/>
          <w:szCs w:val="20"/>
          <w:lang w:val="fr-CA"/>
        </w:rPr>
        <w:t>v</w:t>
      </w:r>
      <w:r w:rsidR="002F3930">
        <w:rPr>
          <w:sz w:val="20"/>
          <w:szCs w:val="20"/>
          <w:lang w:val="fr-CA"/>
        </w:rPr>
        <w:t>ril</w:t>
      </w:r>
      <w:r w:rsidRPr="00DD0B49">
        <w:rPr>
          <w:sz w:val="20"/>
          <w:szCs w:val="20"/>
          <w:lang w:val="fr-CA"/>
        </w:rPr>
        <w:t xml:space="preserve"> 201</w:t>
      </w:r>
      <w:r w:rsidR="002F3930">
        <w:rPr>
          <w:sz w:val="20"/>
          <w:szCs w:val="20"/>
          <w:lang w:val="fr-CA"/>
        </w:rPr>
        <w:t>2</w:t>
      </w:r>
      <w:r w:rsidRPr="00DD0B49">
        <w:rPr>
          <w:sz w:val="20"/>
          <w:szCs w:val="20"/>
          <w:lang w:val="fr-CA"/>
        </w:rPr>
        <w:t>.</w:t>
      </w:r>
    </w:p>
    <w:p w:rsidR="004B66B4" w:rsidRPr="00DD0B49" w:rsidRDefault="007505E6" w:rsidP="004B66B4">
      <w:pPr>
        <w:rPr>
          <w:sz w:val="20"/>
          <w:szCs w:val="20"/>
        </w:rPr>
      </w:pPr>
      <w:r w:rsidRPr="007505E6">
        <w:rPr>
          <w:sz w:val="20"/>
          <w:szCs w:val="20"/>
        </w:rPr>
        <w:pict>
          <v:rect id="_x0000_i1093"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57194A" w:rsidRPr="002D3F55" w:rsidTr="0057194A">
        <w:trPr>
          <w:cantSplit/>
        </w:trPr>
        <w:tc>
          <w:tcPr>
            <w:tcW w:w="2398" w:type="dxa"/>
          </w:tcPr>
          <w:p w:rsidR="0057194A" w:rsidRPr="00E4453F" w:rsidRDefault="0057194A" w:rsidP="0057194A">
            <w:pPr>
              <w:rPr>
                <w:rFonts w:eastAsia="Calibri" w:cs="Times New Roman"/>
                <w:sz w:val="20"/>
                <w:szCs w:val="20"/>
              </w:rPr>
            </w:pPr>
            <w:r w:rsidRPr="00E4453F">
              <w:rPr>
                <w:rFonts w:eastAsia="Calibri" w:cs="Times New Roman"/>
                <w:sz w:val="20"/>
                <w:szCs w:val="20"/>
              </w:rPr>
              <w:t>DATE OF HEARING /</w:t>
            </w:r>
          </w:p>
          <w:p w:rsidR="0057194A" w:rsidRPr="00E4453F" w:rsidRDefault="0057194A" w:rsidP="0057194A">
            <w:pPr>
              <w:rPr>
                <w:rFonts w:eastAsia="Calibri" w:cs="Times New Roman"/>
                <w:sz w:val="20"/>
                <w:szCs w:val="20"/>
              </w:rPr>
            </w:pPr>
            <w:r w:rsidRPr="00E4453F">
              <w:rPr>
                <w:rFonts w:eastAsia="Calibri" w:cs="Times New Roman"/>
                <w:sz w:val="20"/>
                <w:szCs w:val="20"/>
              </w:rPr>
              <w:t>DATE D’AUDITION</w:t>
            </w:r>
          </w:p>
        </w:tc>
        <w:tc>
          <w:tcPr>
            <w:tcW w:w="7178" w:type="dxa"/>
          </w:tcPr>
          <w:p w:rsidR="0057194A" w:rsidRPr="00E4453F" w:rsidRDefault="0057194A" w:rsidP="0057194A">
            <w:pPr>
              <w:rPr>
                <w:rFonts w:eastAsia="Calibri" w:cs="Times New Roman"/>
                <w:sz w:val="20"/>
                <w:szCs w:val="20"/>
                <w:lang w:val="fr-CA"/>
              </w:rPr>
            </w:pPr>
            <w:r w:rsidRPr="00E4453F">
              <w:rPr>
                <w:rFonts w:eastAsia="Calibri" w:cs="Times New Roman"/>
                <w:sz w:val="20"/>
                <w:szCs w:val="20"/>
                <w:lang w:val="fr-CA"/>
              </w:rPr>
              <w:t>NAME AND CASE NUMBER /</w:t>
            </w:r>
          </w:p>
          <w:p w:rsidR="0057194A" w:rsidRPr="00E4453F" w:rsidRDefault="0057194A" w:rsidP="0057194A">
            <w:pPr>
              <w:rPr>
                <w:rFonts w:eastAsia="Calibri" w:cs="Times New Roman"/>
                <w:sz w:val="20"/>
                <w:szCs w:val="20"/>
                <w:lang w:val="fr-CA"/>
              </w:rPr>
            </w:pPr>
            <w:r w:rsidRPr="00E4453F">
              <w:rPr>
                <w:rFonts w:eastAsia="Calibri" w:cs="Times New Roman"/>
                <w:sz w:val="20"/>
                <w:szCs w:val="20"/>
                <w:lang w:val="fr-CA"/>
              </w:rPr>
              <w:t>NOM DE LA CAUSE ET NUMÉRO</w:t>
            </w:r>
          </w:p>
        </w:tc>
      </w:tr>
      <w:tr w:rsidR="0057194A" w:rsidRPr="0057194A" w:rsidTr="0057194A">
        <w:trPr>
          <w:cantSplit/>
        </w:trPr>
        <w:tc>
          <w:tcPr>
            <w:tcW w:w="2398" w:type="dxa"/>
          </w:tcPr>
          <w:p w:rsidR="0057194A" w:rsidRPr="00E4453F" w:rsidRDefault="0057194A" w:rsidP="0057194A">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w:t>
            </w:r>
            <w:r>
              <w:rPr>
                <w:rFonts w:eastAsia="Calibri" w:cs="Times New Roman"/>
                <w:sz w:val="20"/>
                <w:szCs w:val="20"/>
              </w:rPr>
              <w:t>11</w:t>
            </w:r>
          </w:p>
        </w:tc>
        <w:tc>
          <w:tcPr>
            <w:tcW w:w="7178" w:type="dxa"/>
          </w:tcPr>
          <w:p w:rsidR="0057194A" w:rsidRPr="0057194A" w:rsidRDefault="0057194A" w:rsidP="0057194A">
            <w:pPr>
              <w:jc w:val="both"/>
              <w:rPr>
                <w:rFonts w:eastAsia="Calibri" w:cs="Times New Roman"/>
                <w:sz w:val="20"/>
                <w:szCs w:val="20"/>
                <w:lang w:val="fr-CA"/>
              </w:rPr>
            </w:pPr>
            <w:r w:rsidRPr="0057194A">
              <w:rPr>
                <w:rStyle w:val="SCCSsocChar"/>
                <w:lang w:val="fr-CA"/>
              </w:rPr>
              <w:t>Personne d</w:t>
            </w:r>
            <w:r>
              <w:rPr>
                <w:rStyle w:val="SCCSsocChar"/>
                <w:lang w:val="fr-CA"/>
              </w:rPr>
              <w:t>é</w:t>
            </w:r>
            <w:r w:rsidRPr="0057194A">
              <w:rPr>
                <w:rStyle w:val="SCCSsocChar"/>
                <w:lang w:val="fr-CA"/>
              </w:rPr>
              <w:t>sign</w:t>
            </w:r>
            <w:r>
              <w:rPr>
                <w:rStyle w:val="SCCSsocChar"/>
                <w:lang w:val="fr-CA"/>
              </w:rPr>
              <w:t>é</w:t>
            </w:r>
            <w:r w:rsidRPr="0057194A">
              <w:rPr>
                <w:rStyle w:val="SCCSsocChar"/>
                <w:lang w:val="fr-CA"/>
              </w:rPr>
              <w:t>e B c. Sa Majesté la Reine</w:t>
            </w:r>
            <w:r w:rsidRPr="0057194A">
              <w:rPr>
                <w:rFonts w:eastAsia="Calibri" w:cs="Times New Roman"/>
                <w:sz w:val="20"/>
                <w:szCs w:val="20"/>
                <w:lang w:val="fr-CA"/>
              </w:rPr>
              <w:t xml:space="preserve"> (</w:t>
            </w:r>
            <w:proofErr w:type="spellStart"/>
            <w:r w:rsidRPr="0057194A">
              <w:rPr>
                <w:rFonts w:eastAsia="Calibri" w:cs="Times New Roman"/>
                <w:sz w:val="20"/>
                <w:szCs w:val="20"/>
                <w:lang w:val="fr-CA"/>
              </w:rPr>
              <w:t>Qc</w:t>
            </w:r>
            <w:proofErr w:type="spellEnd"/>
            <w:r w:rsidRPr="0057194A">
              <w:rPr>
                <w:rFonts w:eastAsia="Calibri" w:cs="Times New Roman"/>
                <w:sz w:val="20"/>
                <w:szCs w:val="20"/>
                <w:lang w:val="fr-CA"/>
              </w:rPr>
              <w:t>) (Criminelle) (Autorisation) (34053)</w:t>
            </w:r>
          </w:p>
          <w:p w:rsidR="0057194A" w:rsidRDefault="0057194A" w:rsidP="0057194A">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 xml:space="preserve">Early start time: 9:00 a.m. / </w:t>
            </w:r>
            <w:proofErr w:type="spellStart"/>
            <w:r w:rsidRPr="00E4453F">
              <w:rPr>
                <w:rFonts w:eastAsia="Calibri" w:cs="Times New Roman"/>
                <w:sz w:val="20"/>
                <w:szCs w:val="20"/>
                <w:lang w:val="en-US"/>
              </w:rPr>
              <w:t>Horaire</w:t>
            </w:r>
            <w:proofErr w:type="spellEnd"/>
            <w:r w:rsidRPr="00E4453F">
              <w:rPr>
                <w:rFonts w:eastAsia="Calibri" w:cs="Times New Roman"/>
                <w:sz w:val="20"/>
                <w:szCs w:val="20"/>
                <w:lang w:val="en-US"/>
              </w:rPr>
              <w:t xml:space="preserve"> </w:t>
            </w:r>
            <w:proofErr w:type="spellStart"/>
            <w:r w:rsidRPr="00E4453F">
              <w:rPr>
                <w:rFonts w:eastAsia="Calibri" w:cs="Times New Roman"/>
                <w:sz w:val="20"/>
                <w:szCs w:val="20"/>
                <w:lang w:val="en-US"/>
              </w:rPr>
              <w:t>modifié</w:t>
            </w:r>
            <w:proofErr w:type="spellEnd"/>
            <w:r w:rsidRPr="00E4453F">
              <w:rPr>
                <w:rFonts w:eastAsia="Calibri" w:cs="Times New Roman"/>
                <w:sz w:val="20"/>
                <w:szCs w:val="20"/>
                <w:lang w:val="en-US"/>
              </w:rPr>
              <w:t xml:space="preserve"> : audience </w:t>
            </w:r>
            <w:proofErr w:type="spellStart"/>
            <w:r w:rsidRPr="00E4453F">
              <w:rPr>
                <w:rFonts w:eastAsia="Calibri" w:cs="Times New Roman"/>
                <w:sz w:val="20"/>
                <w:szCs w:val="20"/>
                <w:lang w:val="en-US"/>
              </w:rPr>
              <w:t>débutant</w:t>
            </w:r>
            <w:proofErr w:type="spellEnd"/>
            <w:r w:rsidRPr="00E4453F">
              <w:rPr>
                <w:rFonts w:eastAsia="Calibri" w:cs="Times New Roman"/>
                <w:sz w:val="20"/>
                <w:szCs w:val="20"/>
                <w:lang w:val="en-US"/>
              </w:rPr>
              <w:t xml:space="preserve"> à 9 h)</w:t>
            </w:r>
          </w:p>
          <w:p w:rsidR="0057194A" w:rsidRPr="0057194A" w:rsidRDefault="0057194A" w:rsidP="0057194A">
            <w:pPr>
              <w:jc w:val="both"/>
              <w:rPr>
                <w:rFonts w:eastAsia="Calibri" w:cs="Times New Roman"/>
                <w:sz w:val="20"/>
                <w:szCs w:val="20"/>
                <w:lang w:val="fr-CA"/>
              </w:rPr>
            </w:pPr>
          </w:p>
        </w:tc>
      </w:tr>
      <w:tr w:rsidR="0057194A" w:rsidRPr="00096C5F" w:rsidTr="0057194A">
        <w:trPr>
          <w:cantSplit/>
        </w:trPr>
        <w:tc>
          <w:tcPr>
            <w:tcW w:w="2398" w:type="dxa"/>
          </w:tcPr>
          <w:p w:rsidR="0057194A" w:rsidRPr="00E4453F" w:rsidRDefault="0057194A" w:rsidP="0057194A">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w:t>
            </w:r>
            <w:r>
              <w:rPr>
                <w:rFonts w:eastAsia="Calibri" w:cs="Times New Roman"/>
                <w:sz w:val="20"/>
                <w:szCs w:val="20"/>
              </w:rPr>
              <w:t>12</w:t>
            </w:r>
          </w:p>
        </w:tc>
        <w:tc>
          <w:tcPr>
            <w:tcW w:w="7178" w:type="dxa"/>
          </w:tcPr>
          <w:p w:rsidR="0057194A" w:rsidRPr="00096C5F" w:rsidRDefault="0057194A" w:rsidP="0057194A">
            <w:pPr>
              <w:jc w:val="both"/>
              <w:rPr>
                <w:rFonts w:eastAsia="Calibri" w:cs="Times New Roman"/>
                <w:sz w:val="20"/>
                <w:szCs w:val="20"/>
              </w:rPr>
            </w:pPr>
            <w:r>
              <w:rPr>
                <w:rStyle w:val="SCCSsocChar"/>
              </w:rPr>
              <w:t>Rober</w:t>
            </w:r>
            <w:r w:rsidRPr="00096C5F">
              <w:rPr>
                <w:rStyle w:val="SCCSsocChar"/>
              </w:rPr>
              <w:t>t</w:t>
            </w:r>
            <w:r>
              <w:rPr>
                <w:rStyle w:val="SCCSsocChar"/>
              </w:rPr>
              <w:t xml:space="preserve"> Josep</w:t>
            </w:r>
            <w:r w:rsidRPr="00096C5F">
              <w:rPr>
                <w:rStyle w:val="SCCSsocChar"/>
              </w:rPr>
              <w:t>h</w:t>
            </w:r>
            <w:r>
              <w:rPr>
                <w:rStyle w:val="SCCSsocChar"/>
              </w:rPr>
              <w:t xml:space="preserve"> </w:t>
            </w:r>
            <w:proofErr w:type="spellStart"/>
            <w:r>
              <w:rPr>
                <w:rStyle w:val="SCCSsocChar"/>
              </w:rPr>
              <w:t>Kociuk</w:t>
            </w:r>
            <w:proofErr w:type="spellEnd"/>
            <w:r>
              <w:rPr>
                <w:rStyle w:val="SCCSsocChar"/>
              </w:rPr>
              <w:t xml:space="preserve"> </w:t>
            </w:r>
            <w:r w:rsidRPr="00E4453F">
              <w:rPr>
                <w:rStyle w:val="SCCSsocChar"/>
              </w:rPr>
              <w:t>v. Her Majesty the Queen</w:t>
            </w:r>
            <w:r w:rsidRPr="00096C5F">
              <w:rPr>
                <w:rStyle w:val="SCCSsocChar"/>
              </w:rPr>
              <w:t xml:space="preserve"> </w:t>
            </w:r>
            <w:r w:rsidRPr="00096C5F">
              <w:rPr>
                <w:rFonts w:eastAsia="Calibri" w:cs="Times New Roman"/>
                <w:sz w:val="20"/>
                <w:szCs w:val="20"/>
              </w:rPr>
              <w:t>(</w:t>
            </w:r>
            <w:r>
              <w:rPr>
                <w:rFonts w:eastAsia="Calibri" w:cs="Times New Roman"/>
                <w:sz w:val="20"/>
                <w:szCs w:val="20"/>
              </w:rPr>
              <w:t>Man.</w:t>
            </w:r>
            <w:r w:rsidRPr="00096C5F">
              <w:rPr>
                <w:rFonts w:eastAsia="Calibri" w:cs="Times New Roman"/>
                <w:sz w:val="20"/>
                <w:szCs w:val="20"/>
              </w:rPr>
              <w:t>) (C</w:t>
            </w:r>
            <w:r>
              <w:rPr>
                <w:rFonts w:eastAsia="Calibri" w:cs="Times New Roman"/>
                <w:sz w:val="20"/>
                <w:szCs w:val="20"/>
              </w:rPr>
              <w:t>r</w:t>
            </w:r>
            <w:r w:rsidRPr="00096C5F">
              <w:rPr>
                <w:rFonts w:eastAsia="Calibri" w:cs="Times New Roman"/>
                <w:sz w:val="20"/>
                <w:szCs w:val="20"/>
              </w:rPr>
              <w:t>i</w:t>
            </w:r>
            <w:r>
              <w:rPr>
                <w:rFonts w:eastAsia="Calibri" w:cs="Times New Roman"/>
                <w:sz w:val="20"/>
                <w:szCs w:val="20"/>
              </w:rPr>
              <w:t>m</w:t>
            </w:r>
            <w:r w:rsidRPr="00096C5F">
              <w:rPr>
                <w:rFonts w:eastAsia="Calibri" w:cs="Times New Roman"/>
                <w:sz w:val="20"/>
                <w:szCs w:val="20"/>
              </w:rPr>
              <w:t>i</w:t>
            </w:r>
            <w:r>
              <w:rPr>
                <w:rFonts w:eastAsia="Calibri" w:cs="Times New Roman"/>
                <w:sz w:val="20"/>
                <w:szCs w:val="20"/>
              </w:rPr>
              <w:t>na</w:t>
            </w:r>
            <w:r w:rsidRPr="00096C5F">
              <w:rPr>
                <w:rFonts w:eastAsia="Calibri" w:cs="Times New Roman"/>
                <w:sz w:val="20"/>
                <w:szCs w:val="20"/>
              </w:rPr>
              <w:t>l) (</w:t>
            </w:r>
            <w:r>
              <w:rPr>
                <w:rFonts w:eastAsia="Calibri" w:cs="Times New Roman"/>
                <w:sz w:val="20"/>
                <w:szCs w:val="20"/>
              </w:rPr>
              <w:t>As of Right</w:t>
            </w:r>
            <w:r w:rsidRPr="00096C5F">
              <w:rPr>
                <w:rFonts w:eastAsia="Calibri" w:cs="Times New Roman"/>
                <w:sz w:val="20"/>
                <w:szCs w:val="20"/>
              </w:rPr>
              <w:t>) (345</w:t>
            </w:r>
            <w:r>
              <w:rPr>
                <w:rFonts w:eastAsia="Calibri" w:cs="Times New Roman"/>
                <w:sz w:val="20"/>
                <w:szCs w:val="20"/>
              </w:rPr>
              <w:t>1</w:t>
            </w:r>
            <w:r w:rsidRPr="00096C5F">
              <w:rPr>
                <w:rFonts w:eastAsia="Calibri" w:cs="Times New Roman"/>
                <w:sz w:val="20"/>
                <w:szCs w:val="20"/>
              </w:rPr>
              <w:t>7)</w:t>
            </w:r>
          </w:p>
          <w:p w:rsidR="0057194A" w:rsidRPr="00096C5F" w:rsidRDefault="0057194A" w:rsidP="0057194A">
            <w:pPr>
              <w:jc w:val="both"/>
              <w:rPr>
                <w:rFonts w:eastAsia="Calibri" w:cs="Times New Roman"/>
                <w:sz w:val="20"/>
                <w:szCs w:val="20"/>
              </w:rPr>
            </w:pPr>
          </w:p>
        </w:tc>
      </w:tr>
      <w:tr w:rsidR="0057194A" w:rsidRPr="00D41B13" w:rsidTr="0057194A">
        <w:trPr>
          <w:cantSplit/>
        </w:trPr>
        <w:tc>
          <w:tcPr>
            <w:tcW w:w="2398" w:type="dxa"/>
          </w:tcPr>
          <w:p w:rsidR="0057194A" w:rsidRPr="00E4453F" w:rsidRDefault="0057194A" w:rsidP="0057194A">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w:t>
            </w:r>
            <w:r>
              <w:rPr>
                <w:rFonts w:eastAsia="Calibri" w:cs="Times New Roman"/>
                <w:sz w:val="20"/>
                <w:szCs w:val="20"/>
              </w:rPr>
              <w:t>13</w:t>
            </w:r>
          </w:p>
        </w:tc>
        <w:tc>
          <w:tcPr>
            <w:tcW w:w="7178" w:type="dxa"/>
          </w:tcPr>
          <w:p w:rsidR="0057194A" w:rsidRPr="00D41B13" w:rsidRDefault="0057194A" w:rsidP="0057194A">
            <w:pPr>
              <w:jc w:val="both"/>
              <w:rPr>
                <w:rFonts w:eastAsia="Calibri" w:cs="Times New Roman"/>
                <w:sz w:val="20"/>
                <w:szCs w:val="20"/>
                <w:lang w:val="fr-CA"/>
              </w:rPr>
            </w:pPr>
            <w:r w:rsidRPr="00844298">
              <w:rPr>
                <w:rStyle w:val="SCCSsocChar"/>
              </w:rPr>
              <w:t xml:space="preserve">Adrian John </w:t>
            </w:r>
            <w:proofErr w:type="spellStart"/>
            <w:r w:rsidRPr="00844298">
              <w:rPr>
                <w:rStyle w:val="SCCSsocChar"/>
              </w:rPr>
              <w:t>Walle</w:t>
            </w:r>
            <w:proofErr w:type="spellEnd"/>
            <w:r w:rsidRPr="00844298">
              <w:rPr>
                <w:rStyle w:val="SCCSsocChar"/>
              </w:rPr>
              <w:t xml:space="preserve"> </w:t>
            </w:r>
            <w:r w:rsidR="00D41B13" w:rsidRPr="00844298">
              <w:rPr>
                <w:rStyle w:val="SCCSsocChar"/>
              </w:rPr>
              <w:t>v</w:t>
            </w:r>
            <w:r w:rsidRPr="00844298">
              <w:rPr>
                <w:rStyle w:val="SCCSsocChar"/>
              </w:rPr>
              <w:t>. Her Majesty the Queen</w:t>
            </w:r>
            <w:r w:rsidRPr="00844298">
              <w:rPr>
                <w:rFonts w:eastAsia="Calibri" w:cs="Times New Roman"/>
                <w:sz w:val="20"/>
                <w:szCs w:val="20"/>
              </w:rPr>
              <w:t xml:space="preserve"> (Alta.) </w:t>
            </w:r>
            <w:r w:rsidRPr="00D41B13">
              <w:rPr>
                <w:rFonts w:eastAsia="Calibri" w:cs="Times New Roman"/>
                <w:sz w:val="20"/>
                <w:szCs w:val="20"/>
                <w:lang w:val="fr-CA"/>
              </w:rPr>
              <w:t>(</w:t>
            </w:r>
            <w:proofErr w:type="spellStart"/>
            <w:r w:rsidRPr="00D41B13">
              <w:rPr>
                <w:rFonts w:eastAsia="Calibri" w:cs="Times New Roman"/>
                <w:sz w:val="20"/>
                <w:szCs w:val="20"/>
                <w:lang w:val="fr-CA"/>
              </w:rPr>
              <w:t>Criminal</w:t>
            </w:r>
            <w:proofErr w:type="spellEnd"/>
            <w:r w:rsidRPr="00D41B13">
              <w:rPr>
                <w:rFonts w:eastAsia="Calibri" w:cs="Times New Roman"/>
                <w:sz w:val="20"/>
                <w:szCs w:val="20"/>
                <w:lang w:val="fr-CA"/>
              </w:rPr>
              <w:t xml:space="preserve">) (By </w:t>
            </w:r>
            <w:proofErr w:type="spellStart"/>
            <w:r w:rsidRPr="00D41B13">
              <w:rPr>
                <w:rFonts w:eastAsia="Calibri" w:cs="Times New Roman"/>
                <w:sz w:val="20"/>
                <w:szCs w:val="20"/>
                <w:lang w:val="fr-CA"/>
              </w:rPr>
              <w:t>Leave</w:t>
            </w:r>
            <w:proofErr w:type="spellEnd"/>
            <w:r w:rsidRPr="00D41B13">
              <w:rPr>
                <w:rFonts w:eastAsia="Calibri" w:cs="Times New Roman"/>
                <w:sz w:val="20"/>
                <w:szCs w:val="20"/>
                <w:lang w:val="fr-CA"/>
              </w:rPr>
              <w:t>) (34080)</w:t>
            </w:r>
          </w:p>
          <w:p w:rsidR="0057194A" w:rsidRPr="00D41B13" w:rsidRDefault="0057194A" w:rsidP="0057194A">
            <w:pPr>
              <w:jc w:val="both"/>
              <w:rPr>
                <w:rFonts w:eastAsia="Calibri" w:cs="Times New Roman"/>
                <w:sz w:val="20"/>
                <w:szCs w:val="20"/>
                <w:lang w:val="fr-CA"/>
              </w:rPr>
            </w:pPr>
          </w:p>
        </w:tc>
      </w:tr>
      <w:tr w:rsidR="0057194A" w:rsidRPr="002D3F55" w:rsidTr="0057194A">
        <w:trPr>
          <w:cantSplit/>
        </w:trPr>
        <w:tc>
          <w:tcPr>
            <w:tcW w:w="2398" w:type="dxa"/>
          </w:tcPr>
          <w:p w:rsidR="0057194A" w:rsidRPr="00D41B13" w:rsidRDefault="0057194A" w:rsidP="0057194A">
            <w:pPr>
              <w:rPr>
                <w:rFonts w:eastAsia="Calibri" w:cs="Times New Roman"/>
                <w:sz w:val="20"/>
                <w:szCs w:val="20"/>
                <w:lang w:val="fr-CA"/>
              </w:rPr>
            </w:pPr>
            <w:r w:rsidRPr="00D41B13">
              <w:rPr>
                <w:rFonts w:eastAsia="Calibri" w:cs="Times New Roman"/>
                <w:sz w:val="20"/>
                <w:szCs w:val="20"/>
                <w:lang w:val="fr-CA"/>
              </w:rPr>
              <w:t>2012-04-16</w:t>
            </w:r>
          </w:p>
        </w:tc>
        <w:tc>
          <w:tcPr>
            <w:tcW w:w="7178" w:type="dxa"/>
          </w:tcPr>
          <w:p w:rsidR="0057194A" w:rsidRPr="0057194A" w:rsidRDefault="0057194A" w:rsidP="0057194A">
            <w:pPr>
              <w:jc w:val="both"/>
              <w:rPr>
                <w:rFonts w:eastAsia="Calibri" w:cs="Times New Roman"/>
                <w:sz w:val="20"/>
                <w:szCs w:val="20"/>
                <w:lang w:val="fr-CA"/>
              </w:rPr>
            </w:pPr>
            <w:r w:rsidRPr="0057194A">
              <w:rPr>
                <w:rStyle w:val="SCCSsocChar"/>
                <w:lang w:val="fr-CA"/>
              </w:rPr>
              <w:t xml:space="preserve">Sa Majesté la Reine c. Carmelo </w:t>
            </w:r>
            <w:proofErr w:type="spellStart"/>
            <w:r w:rsidRPr="0057194A">
              <w:rPr>
                <w:rStyle w:val="SCCSsocChar"/>
                <w:lang w:val="fr-CA"/>
              </w:rPr>
              <w:t>Venneri</w:t>
            </w:r>
            <w:proofErr w:type="spellEnd"/>
            <w:r w:rsidRPr="0057194A">
              <w:rPr>
                <w:rFonts w:eastAsia="Calibri" w:cs="Times New Roman"/>
                <w:sz w:val="20"/>
                <w:szCs w:val="20"/>
                <w:lang w:val="fr-CA"/>
              </w:rPr>
              <w:t xml:space="preserve"> (</w:t>
            </w:r>
            <w:proofErr w:type="spellStart"/>
            <w:r w:rsidRPr="0057194A">
              <w:rPr>
                <w:rFonts w:eastAsia="Calibri" w:cs="Times New Roman"/>
                <w:sz w:val="20"/>
                <w:szCs w:val="20"/>
                <w:lang w:val="fr-CA"/>
              </w:rPr>
              <w:t>Qc</w:t>
            </w:r>
            <w:proofErr w:type="spellEnd"/>
            <w:r w:rsidRPr="0057194A">
              <w:rPr>
                <w:rFonts w:eastAsia="Calibri" w:cs="Times New Roman"/>
                <w:sz w:val="20"/>
                <w:szCs w:val="20"/>
                <w:lang w:val="fr-CA"/>
              </w:rPr>
              <w:t>) (Criminelle) (De plein droit) (34523)</w:t>
            </w:r>
          </w:p>
          <w:p w:rsidR="0057194A" w:rsidRPr="0057194A" w:rsidRDefault="0057194A" w:rsidP="0057194A">
            <w:pPr>
              <w:jc w:val="both"/>
              <w:rPr>
                <w:rFonts w:eastAsia="Calibri" w:cs="Times New Roman"/>
                <w:sz w:val="20"/>
                <w:szCs w:val="20"/>
                <w:lang w:val="fr-CA"/>
              </w:rPr>
            </w:pPr>
          </w:p>
        </w:tc>
      </w:tr>
      <w:tr w:rsidR="0057194A" w:rsidRPr="00D73FE8" w:rsidTr="0057194A">
        <w:trPr>
          <w:cantSplit/>
        </w:trPr>
        <w:tc>
          <w:tcPr>
            <w:tcW w:w="2398" w:type="dxa"/>
          </w:tcPr>
          <w:p w:rsidR="0057194A" w:rsidRPr="00D41B13" w:rsidRDefault="0057194A" w:rsidP="0057194A">
            <w:pPr>
              <w:rPr>
                <w:rFonts w:eastAsia="Calibri" w:cs="Times New Roman"/>
                <w:sz w:val="20"/>
                <w:szCs w:val="20"/>
                <w:lang w:val="fr-CA"/>
              </w:rPr>
            </w:pPr>
            <w:r w:rsidRPr="00D41B13">
              <w:rPr>
                <w:rFonts w:eastAsia="Calibri" w:cs="Times New Roman"/>
                <w:sz w:val="20"/>
                <w:szCs w:val="20"/>
                <w:lang w:val="fr-CA"/>
              </w:rPr>
              <w:t>2012-04-17</w:t>
            </w:r>
          </w:p>
        </w:tc>
        <w:tc>
          <w:tcPr>
            <w:tcW w:w="7178" w:type="dxa"/>
          </w:tcPr>
          <w:p w:rsidR="0057194A" w:rsidRPr="00096C5F" w:rsidRDefault="0057194A" w:rsidP="0057194A">
            <w:pPr>
              <w:jc w:val="both"/>
              <w:rPr>
                <w:rFonts w:eastAsia="Calibri" w:cs="Times New Roman"/>
                <w:sz w:val="20"/>
                <w:szCs w:val="20"/>
              </w:rPr>
            </w:pPr>
            <w:proofErr w:type="spellStart"/>
            <w:r w:rsidRPr="00D41B13">
              <w:rPr>
                <w:rStyle w:val="SCCSsocChar"/>
              </w:rPr>
              <w:t>Cogeco</w:t>
            </w:r>
            <w:proofErr w:type="spellEnd"/>
            <w:r w:rsidRPr="00D41B13">
              <w:rPr>
                <w:rStyle w:val="SCCSsocChar"/>
              </w:rPr>
              <w:t xml:space="preserve"> Cable Inc. et </w:t>
            </w:r>
            <w:r w:rsidRPr="001B70CE">
              <w:rPr>
                <w:rStyle w:val="SCCSsocChar"/>
              </w:rPr>
              <w:t xml:space="preserve">al. v. </w:t>
            </w:r>
            <w:r w:rsidR="001B70CE" w:rsidRPr="001B70CE">
              <w:rPr>
                <w:rStyle w:val="SCCSsocChar"/>
              </w:rPr>
              <w:t>Bell Media Inc. et al.</w:t>
            </w:r>
            <w:r w:rsidRPr="001B70CE">
              <w:rPr>
                <w:rFonts w:eastAsia="Calibri" w:cs="Times New Roman"/>
                <w:sz w:val="20"/>
                <w:szCs w:val="20"/>
              </w:rPr>
              <w:t xml:space="preserve"> (</w:t>
            </w:r>
            <w:r w:rsidR="001B70CE">
              <w:rPr>
                <w:rFonts w:eastAsia="Calibri" w:cs="Times New Roman"/>
                <w:sz w:val="20"/>
                <w:szCs w:val="20"/>
              </w:rPr>
              <w:t>F.C.</w:t>
            </w:r>
            <w:r w:rsidRPr="001B70CE">
              <w:rPr>
                <w:rFonts w:eastAsia="Calibri" w:cs="Times New Roman"/>
                <w:sz w:val="20"/>
                <w:szCs w:val="20"/>
              </w:rPr>
              <w:t xml:space="preserve">) </w:t>
            </w:r>
            <w:r w:rsidRPr="00096C5F">
              <w:rPr>
                <w:rFonts w:eastAsia="Calibri" w:cs="Times New Roman"/>
                <w:sz w:val="20"/>
                <w:szCs w:val="20"/>
              </w:rPr>
              <w:t>(Ci</w:t>
            </w:r>
            <w:r w:rsidR="001B70CE">
              <w:rPr>
                <w:rFonts w:eastAsia="Calibri" w:cs="Times New Roman"/>
                <w:sz w:val="20"/>
                <w:szCs w:val="20"/>
              </w:rPr>
              <w:t>v</w:t>
            </w:r>
            <w:r w:rsidRPr="00096C5F">
              <w:rPr>
                <w:rFonts w:eastAsia="Calibri" w:cs="Times New Roman"/>
                <w:sz w:val="20"/>
                <w:szCs w:val="20"/>
              </w:rPr>
              <w:t>il) (</w:t>
            </w:r>
            <w:r>
              <w:rPr>
                <w:rFonts w:eastAsia="Calibri" w:cs="Times New Roman"/>
                <w:sz w:val="20"/>
                <w:szCs w:val="20"/>
              </w:rPr>
              <w:t>By Leave</w:t>
            </w:r>
            <w:r w:rsidRPr="00096C5F">
              <w:rPr>
                <w:rFonts w:eastAsia="Calibri" w:cs="Times New Roman"/>
                <w:sz w:val="20"/>
                <w:szCs w:val="20"/>
              </w:rPr>
              <w:t>) (34</w:t>
            </w:r>
            <w:r w:rsidR="001B70CE">
              <w:rPr>
                <w:rFonts w:eastAsia="Calibri" w:cs="Times New Roman"/>
                <w:sz w:val="20"/>
                <w:szCs w:val="20"/>
              </w:rPr>
              <w:t>231</w:t>
            </w:r>
            <w:r w:rsidRPr="00096C5F">
              <w:rPr>
                <w:rFonts w:eastAsia="Calibri" w:cs="Times New Roman"/>
                <w:sz w:val="20"/>
                <w:szCs w:val="20"/>
              </w:rPr>
              <w:t>)</w:t>
            </w:r>
          </w:p>
          <w:p w:rsidR="0057194A" w:rsidRPr="00096C5F" w:rsidRDefault="0057194A" w:rsidP="001B70CE">
            <w:pPr>
              <w:jc w:val="both"/>
              <w:rPr>
                <w:rFonts w:eastAsia="Calibri" w:cs="Times New Roman"/>
                <w:sz w:val="20"/>
                <w:szCs w:val="20"/>
              </w:rPr>
            </w:pPr>
          </w:p>
        </w:tc>
      </w:tr>
      <w:tr w:rsidR="0057194A" w:rsidRPr="00E4453F" w:rsidTr="0057194A">
        <w:trPr>
          <w:cantSplit/>
        </w:trPr>
        <w:tc>
          <w:tcPr>
            <w:tcW w:w="2398" w:type="dxa"/>
          </w:tcPr>
          <w:p w:rsidR="0057194A" w:rsidRPr="00E4453F" w:rsidRDefault="0057194A" w:rsidP="001B70CE">
            <w:pPr>
              <w:rPr>
                <w:rFonts w:eastAsia="Calibri" w:cs="Times New Roman"/>
                <w:sz w:val="20"/>
                <w:szCs w:val="20"/>
              </w:rPr>
            </w:pPr>
            <w:r w:rsidRPr="00E4453F">
              <w:rPr>
                <w:rFonts w:eastAsia="Calibri" w:cs="Times New Roman"/>
                <w:sz w:val="20"/>
                <w:szCs w:val="20"/>
              </w:rPr>
              <w:t>2012-0</w:t>
            </w:r>
            <w:r w:rsidR="001B70CE">
              <w:rPr>
                <w:rFonts w:eastAsia="Calibri" w:cs="Times New Roman"/>
                <w:sz w:val="20"/>
                <w:szCs w:val="20"/>
              </w:rPr>
              <w:t>4</w:t>
            </w:r>
            <w:r w:rsidRPr="00E4453F">
              <w:rPr>
                <w:rFonts w:eastAsia="Calibri" w:cs="Times New Roman"/>
                <w:sz w:val="20"/>
                <w:szCs w:val="20"/>
              </w:rPr>
              <w:t>-1</w:t>
            </w:r>
            <w:r w:rsidR="001B70CE">
              <w:rPr>
                <w:rFonts w:eastAsia="Calibri" w:cs="Times New Roman"/>
                <w:sz w:val="20"/>
                <w:szCs w:val="20"/>
              </w:rPr>
              <w:t>8</w:t>
            </w:r>
          </w:p>
        </w:tc>
        <w:tc>
          <w:tcPr>
            <w:tcW w:w="7178" w:type="dxa"/>
          </w:tcPr>
          <w:p w:rsidR="0057194A" w:rsidRDefault="0057194A" w:rsidP="0057194A">
            <w:pPr>
              <w:jc w:val="both"/>
              <w:rPr>
                <w:rFonts w:eastAsia="Calibri" w:cs="Times New Roman"/>
                <w:sz w:val="20"/>
                <w:szCs w:val="20"/>
              </w:rPr>
            </w:pPr>
            <w:proofErr w:type="spellStart"/>
            <w:r>
              <w:rPr>
                <w:rStyle w:val="SCCSsocChar"/>
              </w:rPr>
              <w:t>T</w:t>
            </w:r>
            <w:r w:rsidR="001B70CE">
              <w:rPr>
                <w:rStyle w:val="SCCSsocChar"/>
              </w:rPr>
              <w:t>eva</w:t>
            </w:r>
            <w:proofErr w:type="spellEnd"/>
            <w:r w:rsidR="001B70CE">
              <w:rPr>
                <w:rStyle w:val="SCCSsocChar"/>
              </w:rPr>
              <w:t xml:space="preserve"> Canada Limited</w:t>
            </w:r>
            <w:r w:rsidRPr="00E4453F">
              <w:rPr>
                <w:rStyle w:val="SCCSsocChar"/>
              </w:rPr>
              <w:t xml:space="preserve"> v. </w:t>
            </w:r>
            <w:r w:rsidR="001B70CE">
              <w:rPr>
                <w:rStyle w:val="SCCSsocChar"/>
              </w:rPr>
              <w:t xml:space="preserve">Pfizer Canada Inc. et al. </w:t>
            </w:r>
            <w:r w:rsidRPr="00E4453F">
              <w:rPr>
                <w:rFonts w:eastAsia="Calibri" w:cs="Times New Roman"/>
                <w:sz w:val="20"/>
                <w:szCs w:val="20"/>
              </w:rPr>
              <w:t>(</w:t>
            </w:r>
            <w:r w:rsidR="001B70CE">
              <w:rPr>
                <w:rFonts w:eastAsia="Calibri" w:cs="Times New Roman"/>
                <w:sz w:val="20"/>
                <w:szCs w:val="20"/>
              </w:rPr>
              <w:t>F.C</w:t>
            </w:r>
            <w:r>
              <w:rPr>
                <w:rFonts w:eastAsia="Calibri" w:cs="Times New Roman"/>
                <w:sz w:val="20"/>
                <w:szCs w:val="20"/>
              </w:rPr>
              <w:t>.</w:t>
            </w:r>
            <w:r w:rsidRPr="00E4453F">
              <w:rPr>
                <w:rFonts w:eastAsia="Calibri" w:cs="Times New Roman"/>
                <w:sz w:val="20"/>
                <w:szCs w:val="20"/>
              </w:rPr>
              <w:t>) (Ci</w:t>
            </w:r>
            <w:r w:rsidR="001B70CE">
              <w:rPr>
                <w:rFonts w:eastAsia="Calibri" w:cs="Times New Roman"/>
                <w:sz w:val="20"/>
                <w:szCs w:val="20"/>
              </w:rPr>
              <w:t>v</w:t>
            </w:r>
            <w:r w:rsidRPr="00E4453F">
              <w:rPr>
                <w:rFonts w:eastAsia="Calibri" w:cs="Times New Roman"/>
                <w:sz w:val="20"/>
                <w:szCs w:val="20"/>
              </w:rPr>
              <w:t>il) (</w:t>
            </w:r>
            <w:r>
              <w:rPr>
                <w:rFonts w:eastAsia="Calibri" w:cs="Times New Roman"/>
                <w:sz w:val="20"/>
                <w:szCs w:val="20"/>
              </w:rPr>
              <w:t>By Leave</w:t>
            </w:r>
            <w:r w:rsidRPr="00E4453F">
              <w:rPr>
                <w:rFonts w:eastAsia="Calibri" w:cs="Times New Roman"/>
                <w:sz w:val="20"/>
                <w:szCs w:val="20"/>
              </w:rPr>
              <w:t>) (3</w:t>
            </w:r>
            <w:r w:rsidR="001B70CE">
              <w:rPr>
                <w:rFonts w:eastAsia="Calibri" w:cs="Times New Roman"/>
                <w:sz w:val="20"/>
                <w:szCs w:val="20"/>
              </w:rPr>
              <w:t>3</w:t>
            </w:r>
            <w:r>
              <w:rPr>
                <w:rFonts w:eastAsia="Calibri" w:cs="Times New Roman"/>
                <w:sz w:val="20"/>
                <w:szCs w:val="20"/>
              </w:rPr>
              <w:t>9</w:t>
            </w:r>
            <w:r w:rsidR="001B70CE">
              <w:rPr>
                <w:rFonts w:eastAsia="Calibri" w:cs="Times New Roman"/>
                <w:sz w:val="20"/>
                <w:szCs w:val="20"/>
              </w:rPr>
              <w:t>51</w:t>
            </w:r>
            <w:r w:rsidRPr="00E4453F">
              <w:rPr>
                <w:rFonts w:eastAsia="Calibri" w:cs="Times New Roman"/>
                <w:sz w:val="20"/>
                <w:szCs w:val="20"/>
              </w:rPr>
              <w:t>)</w:t>
            </w:r>
          </w:p>
          <w:p w:rsidR="00644850" w:rsidRDefault="00644850" w:rsidP="00644850">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 xml:space="preserve">Early start time: 9:00 a.m. / </w:t>
            </w:r>
            <w:proofErr w:type="spellStart"/>
            <w:r w:rsidRPr="00E4453F">
              <w:rPr>
                <w:rFonts w:eastAsia="Calibri" w:cs="Times New Roman"/>
                <w:sz w:val="20"/>
                <w:szCs w:val="20"/>
                <w:lang w:val="en-US"/>
              </w:rPr>
              <w:t>Horaire</w:t>
            </w:r>
            <w:proofErr w:type="spellEnd"/>
            <w:r w:rsidRPr="00E4453F">
              <w:rPr>
                <w:rFonts w:eastAsia="Calibri" w:cs="Times New Roman"/>
                <w:sz w:val="20"/>
                <w:szCs w:val="20"/>
                <w:lang w:val="en-US"/>
              </w:rPr>
              <w:t xml:space="preserve"> </w:t>
            </w:r>
            <w:proofErr w:type="spellStart"/>
            <w:r w:rsidRPr="00E4453F">
              <w:rPr>
                <w:rFonts w:eastAsia="Calibri" w:cs="Times New Roman"/>
                <w:sz w:val="20"/>
                <w:szCs w:val="20"/>
                <w:lang w:val="en-US"/>
              </w:rPr>
              <w:t>modifié</w:t>
            </w:r>
            <w:proofErr w:type="spellEnd"/>
            <w:r w:rsidRPr="00E4453F">
              <w:rPr>
                <w:rFonts w:eastAsia="Calibri" w:cs="Times New Roman"/>
                <w:sz w:val="20"/>
                <w:szCs w:val="20"/>
                <w:lang w:val="en-US"/>
              </w:rPr>
              <w:t xml:space="preserve"> : audience </w:t>
            </w:r>
            <w:proofErr w:type="spellStart"/>
            <w:r w:rsidRPr="00E4453F">
              <w:rPr>
                <w:rFonts w:eastAsia="Calibri" w:cs="Times New Roman"/>
                <w:sz w:val="20"/>
                <w:szCs w:val="20"/>
                <w:lang w:val="en-US"/>
              </w:rPr>
              <w:t>débutant</w:t>
            </w:r>
            <w:proofErr w:type="spellEnd"/>
            <w:r w:rsidRPr="00E4453F">
              <w:rPr>
                <w:rFonts w:eastAsia="Calibri" w:cs="Times New Roman"/>
                <w:sz w:val="20"/>
                <w:szCs w:val="20"/>
                <w:lang w:val="en-US"/>
              </w:rPr>
              <w:t xml:space="preserve"> à 9 h)</w:t>
            </w:r>
          </w:p>
          <w:p w:rsidR="0057194A" w:rsidRPr="00E4453F" w:rsidRDefault="0057194A" w:rsidP="0057194A">
            <w:pPr>
              <w:jc w:val="both"/>
              <w:rPr>
                <w:rFonts w:eastAsia="Calibri" w:cs="Times New Roman"/>
                <w:sz w:val="20"/>
                <w:szCs w:val="20"/>
              </w:rPr>
            </w:pPr>
          </w:p>
        </w:tc>
      </w:tr>
      <w:tr w:rsidR="0057194A" w:rsidRPr="002D3F55" w:rsidTr="0057194A">
        <w:trPr>
          <w:cantSplit/>
        </w:trPr>
        <w:tc>
          <w:tcPr>
            <w:tcW w:w="2398" w:type="dxa"/>
          </w:tcPr>
          <w:p w:rsidR="0057194A" w:rsidRPr="00E4453F" w:rsidRDefault="0057194A" w:rsidP="001B70CE">
            <w:pPr>
              <w:rPr>
                <w:rFonts w:eastAsia="Calibri" w:cs="Times New Roman"/>
                <w:sz w:val="20"/>
                <w:szCs w:val="20"/>
              </w:rPr>
            </w:pPr>
            <w:r w:rsidRPr="00E4453F">
              <w:rPr>
                <w:rFonts w:eastAsia="Calibri" w:cs="Times New Roman"/>
                <w:sz w:val="20"/>
                <w:szCs w:val="20"/>
              </w:rPr>
              <w:t>2012-0</w:t>
            </w:r>
            <w:r w:rsidR="001B70CE">
              <w:rPr>
                <w:rFonts w:eastAsia="Calibri" w:cs="Times New Roman"/>
                <w:sz w:val="20"/>
                <w:szCs w:val="20"/>
              </w:rPr>
              <w:t>4</w:t>
            </w:r>
            <w:r w:rsidRPr="00E4453F">
              <w:rPr>
                <w:rFonts w:eastAsia="Calibri" w:cs="Times New Roman"/>
                <w:sz w:val="20"/>
                <w:szCs w:val="20"/>
              </w:rPr>
              <w:t>-1</w:t>
            </w:r>
            <w:r w:rsidR="001B70CE">
              <w:rPr>
                <w:rFonts w:eastAsia="Calibri" w:cs="Times New Roman"/>
                <w:sz w:val="20"/>
                <w:szCs w:val="20"/>
              </w:rPr>
              <w:t>9</w:t>
            </w:r>
          </w:p>
        </w:tc>
        <w:tc>
          <w:tcPr>
            <w:tcW w:w="7178" w:type="dxa"/>
          </w:tcPr>
          <w:p w:rsidR="0057194A" w:rsidRPr="00480EB7" w:rsidRDefault="001B70CE" w:rsidP="0057194A">
            <w:pPr>
              <w:jc w:val="both"/>
              <w:rPr>
                <w:rFonts w:eastAsia="Calibri" w:cs="Times New Roman"/>
                <w:sz w:val="20"/>
                <w:szCs w:val="20"/>
                <w:lang w:val="fr-CA"/>
              </w:rPr>
            </w:pPr>
            <w:r w:rsidRPr="001B70CE">
              <w:rPr>
                <w:rStyle w:val="SCCSsocChar"/>
                <w:lang w:val="fr-CA"/>
              </w:rPr>
              <w:t>Sa Majesté la Reine</w:t>
            </w:r>
            <w:r w:rsidR="0057194A" w:rsidRPr="001B70CE">
              <w:rPr>
                <w:rStyle w:val="SCCSsocChar"/>
                <w:lang w:val="fr-CA"/>
              </w:rPr>
              <w:t xml:space="preserve"> </w:t>
            </w:r>
            <w:r w:rsidRPr="001B70CE">
              <w:rPr>
                <w:rStyle w:val="SCCSsocChar"/>
                <w:lang w:val="fr-CA"/>
              </w:rPr>
              <w:t>c</w:t>
            </w:r>
            <w:r w:rsidR="0057194A" w:rsidRPr="001B70CE">
              <w:rPr>
                <w:rStyle w:val="SCCSsocChar"/>
                <w:lang w:val="fr-CA"/>
              </w:rPr>
              <w:t xml:space="preserve">. </w:t>
            </w:r>
            <w:proofErr w:type="spellStart"/>
            <w:r>
              <w:rPr>
                <w:rStyle w:val="SCCSsocChar"/>
                <w:lang w:val="fr-CA"/>
              </w:rPr>
              <w:t>Suganthini</w:t>
            </w:r>
            <w:proofErr w:type="spellEnd"/>
            <w:r>
              <w:rPr>
                <w:rStyle w:val="SCCSsocChar"/>
                <w:lang w:val="fr-CA"/>
              </w:rPr>
              <w:t xml:space="preserve"> </w:t>
            </w:r>
            <w:proofErr w:type="spellStart"/>
            <w:r w:rsidR="0057194A" w:rsidRPr="001B70CE">
              <w:rPr>
                <w:rStyle w:val="SCCSsocChar"/>
                <w:lang w:val="fr-CA"/>
              </w:rPr>
              <w:t>Ma</w:t>
            </w:r>
            <w:r>
              <w:rPr>
                <w:rStyle w:val="SCCSsocChar"/>
                <w:lang w:val="fr-CA"/>
              </w:rPr>
              <w:t>yura</w:t>
            </w:r>
            <w:r w:rsidR="0057194A" w:rsidRPr="001B70CE">
              <w:rPr>
                <w:rStyle w:val="SCCSsocChar"/>
                <w:lang w:val="fr-CA"/>
              </w:rPr>
              <w:t>n</w:t>
            </w:r>
            <w:proofErr w:type="spellEnd"/>
            <w:r w:rsidR="0057194A" w:rsidRPr="001B70CE">
              <w:rPr>
                <w:rFonts w:eastAsia="Calibri" w:cs="Times New Roman"/>
                <w:sz w:val="20"/>
                <w:szCs w:val="20"/>
                <w:lang w:val="fr-CA"/>
              </w:rPr>
              <w:t xml:space="preserve"> (</w:t>
            </w:r>
            <w:proofErr w:type="spellStart"/>
            <w:r>
              <w:rPr>
                <w:rFonts w:eastAsia="Calibri" w:cs="Times New Roman"/>
                <w:sz w:val="20"/>
                <w:szCs w:val="20"/>
                <w:lang w:val="fr-CA"/>
              </w:rPr>
              <w:t>Qc</w:t>
            </w:r>
            <w:proofErr w:type="spellEnd"/>
            <w:r w:rsidR="0057194A" w:rsidRPr="001B70CE">
              <w:rPr>
                <w:rFonts w:eastAsia="Calibri" w:cs="Times New Roman"/>
                <w:sz w:val="20"/>
                <w:szCs w:val="20"/>
                <w:lang w:val="fr-CA"/>
              </w:rPr>
              <w:t xml:space="preserve">) </w:t>
            </w:r>
            <w:r w:rsidR="0057194A" w:rsidRPr="00480EB7">
              <w:rPr>
                <w:rFonts w:eastAsia="Calibri" w:cs="Times New Roman"/>
                <w:sz w:val="20"/>
                <w:szCs w:val="20"/>
                <w:lang w:val="fr-CA"/>
              </w:rPr>
              <w:t>(Crimin</w:t>
            </w:r>
            <w:r w:rsidRPr="00480EB7">
              <w:rPr>
                <w:rFonts w:eastAsia="Calibri" w:cs="Times New Roman"/>
                <w:sz w:val="20"/>
                <w:szCs w:val="20"/>
                <w:lang w:val="fr-CA"/>
              </w:rPr>
              <w:t>e</w:t>
            </w:r>
            <w:r w:rsidR="0057194A" w:rsidRPr="00480EB7">
              <w:rPr>
                <w:rFonts w:eastAsia="Calibri" w:cs="Times New Roman"/>
                <w:sz w:val="20"/>
                <w:szCs w:val="20"/>
                <w:lang w:val="fr-CA"/>
              </w:rPr>
              <w:t>l</w:t>
            </w:r>
            <w:r w:rsidRPr="00480EB7">
              <w:rPr>
                <w:rFonts w:eastAsia="Calibri" w:cs="Times New Roman"/>
                <w:sz w:val="20"/>
                <w:szCs w:val="20"/>
                <w:lang w:val="fr-CA"/>
              </w:rPr>
              <w:t>le</w:t>
            </w:r>
            <w:r w:rsidR="0057194A" w:rsidRPr="00480EB7">
              <w:rPr>
                <w:rFonts w:eastAsia="Calibri" w:cs="Times New Roman"/>
                <w:sz w:val="20"/>
                <w:szCs w:val="20"/>
                <w:lang w:val="fr-CA"/>
              </w:rPr>
              <w:t>) (</w:t>
            </w:r>
            <w:r w:rsidRPr="00480EB7">
              <w:rPr>
                <w:rFonts w:eastAsia="Calibri" w:cs="Times New Roman"/>
                <w:sz w:val="20"/>
                <w:szCs w:val="20"/>
                <w:lang w:val="fr-CA"/>
              </w:rPr>
              <w:t>De plein droit</w:t>
            </w:r>
            <w:r w:rsidR="0057194A" w:rsidRPr="00480EB7">
              <w:rPr>
                <w:rFonts w:eastAsia="Calibri" w:cs="Times New Roman"/>
                <w:sz w:val="20"/>
                <w:szCs w:val="20"/>
                <w:lang w:val="fr-CA"/>
              </w:rPr>
              <w:t>) (34</w:t>
            </w:r>
            <w:r w:rsidR="004A1C7B">
              <w:rPr>
                <w:rFonts w:eastAsia="Calibri" w:cs="Times New Roman"/>
                <w:sz w:val="20"/>
                <w:szCs w:val="20"/>
                <w:lang w:val="fr-CA"/>
              </w:rPr>
              <w:t>526</w:t>
            </w:r>
            <w:r w:rsidR="0057194A" w:rsidRPr="00480EB7">
              <w:rPr>
                <w:rFonts w:eastAsia="Calibri" w:cs="Times New Roman"/>
                <w:sz w:val="20"/>
                <w:szCs w:val="20"/>
                <w:lang w:val="fr-CA"/>
              </w:rPr>
              <w:t>)</w:t>
            </w:r>
          </w:p>
          <w:p w:rsidR="0057194A" w:rsidRPr="00480EB7" w:rsidRDefault="0057194A" w:rsidP="0057194A">
            <w:pPr>
              <w:jc w:val="both"/>
              <w:rPr>
                <w:rFonts w:eastAsia="Calibri" w:cs="Times New Roman"/>
                <w:sz w:val="20"/>
                <w:szCs w:val="20"/>
                <w:lang w:val="fr-CA"/>
              </w:rPr>
            </w:pPr>
          </w:p>
        </w:tc>
      </w:tr>
    </w:tbl>
    <w:p w:rsidR="00AE5C1C" w:rsidRPr="00480EB7" w:rsidRDefault="00AE5C1C" w:rsidP="004B66B4">
      <w:pPr>
        <w:rPr>
          <w:sz w:val="20"/>
          <w:szCs w:val="20"/>
          <w:lang w:val="fr-CA"/>
        </w:rPr>
      </w:pPr>
    </w:p>
    <w:p w:rsidR="004B66B4" w:rsidRPr="00DD0B49" w:rsidRDefault="007505E6" w:rsidP="002868D0">
      <w:pPr>
        <w:jc w:val="both"/>
        <w:rPr>
          <w:sz w:val="20"/>
          <w:szCs w:val="20"/>
        </w:rPr>
      </w:pPr>
      <w:r w:rsidRPr="007505E6">
        <w:rPr>
          <w:sz w:val="20"/>
          <w:szCs w:val="20"/>
          <w:lang w:val="fr-CA"/>
        </w:rPr>
        <w:pict>
          <v:rect id="_x0000_i1094" style="width:2in;height:1pt" o:hrpct="0" o:hralign="center" o:hrstd="t" o:hrnoshade="t" o:hr="t" fillcolor="black [3213]" stroked="f"/>
        </w:pict>
      </w:r>
    </w:p>
    <w:p w:rsidR="004B66B4" w:rsidRDefault="004B66B4" w:rsidP="004B66B4">
      <w:pPr>
        <w:tabs>
          <w:tab w:val="left" w:pos="1980"/>
        </w:tabs>
        <w:jc w:val="both"/>
        <w:rPr>
          <w:sz w:val="20"/>
          <w:szCs w:val="20"/>
        </w:rPr>
      </w:pPr>
    </w:p>
    <w:p w:rsidR="00EB2FCC" w:rsidRPr="00DD0B49" w:rsidRDefault="00EB2FCC"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EB2FCC" w:rsidRDefault="00EB2FC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166210" w:rsidRPr="00126DF0" w:rsidRDefault="007505E6" w:rsidP="00166210">
      <w:pPr>
        <w:widowControl w:val="0"/>
        <w:ind w:left="720" w:hanging="720"/>
        <w:jc w:val="both"/>
        <w:rPr>
          <w:b/>
          <w:i/>
          <w:sz w:val="20"/>
          <w:szCs w:val="20"/>
        </w:rPr>
      </w:pPr>
      <w:r w:rsidRPr="00126DF0">
        <w:rPr>
          <w:b/>
          <w:sz w:val="20"/>
          <w:szCs w:val="20"/>
        </w:rPr>
        <w:fldChar w:fldCharType="begin"/>
      </w:r>
      <w:r w:rsidR="00166210" w:rsidRPr="00126DF0">
        <w:rPr>
          <w:b/>
          <w:sz w:val="20"/>
          <w:szCs w:val="20"/>
        </w:rPr>
        <w:instrText xml:space="preserve"> SEQ CHAPTER \h \r 1</w:instrText>
      </w:r>
      <w:r w:rsidRPr="00126DF0">
        <w:rPr>
          <w:b/>
          <w:sz w:val="20"/>
          <w:szCs w:val="20"/>
        </w:rPr>
        <w:fldChar w:fldCharType="end"/>
      </w:r>
      <w:r w:rsidR="00166210" w:rsidRPr="00126DF0">
        <w:rPr>
          <w:b/>
          <w:sz w:val="20"/>
          <w:szCs w:val="20"/>
        </w:rPr>
        <w:t>34053</w:t>
      </w:r>
      <w:r w:rsidR="00166210" w:rsidRPr="00126DF0">
        <w:rPr>
          <w:sz w:val="20"/>
          <w:szCs w:val="20"/>
        </w:rPr>
        <w:tab/>
      </w:r>
      <w:r w:rsidR="00166210" w:rsidRPr="00126DF0">
        <w:rPr>
          <w:b/>
          <w:i/>
          <w:sz w:val="20"/>
          <w:szCs w:val="20"/>
        </w:rPr>
        <w:t xml:space="preserve">Named person B v. Her Majesty the Queen - and - Jacqueline </w:t>
      </w:r>
      <w:proofErr w:type="spellStart"/>
      <w:r w:rsidR="00166210" w:rsidRPr="00126DF0">
        <w:rPr>
          <w:b/>
          <w:i/>
          <w:sz w:val="20"/>
          <w:szCs w:val="20"/>
        </w:rPr>
        <w:t>Benoît</w:t>
      </w:r>
      <w:proofErr w:type="spellEnd"/>
      <w:r w:rsidR="00166210" w:rsidRPr="00126DF0">
        <w:rPr>
          <w:b/>
          <w:i/>
          <w:sz w:val="20"/>
          <w:szCs w:val="20"/>
        </w:rPr>
        <w:t xml:space="preserve">, Raymond Bouchard, Denis </w:t>
      </w:r>
      <w:proofErr w:type="spellStart"/>
      <w:r w:rsidR="00166210" w:rsidRPr="00126DF0">
        <w:rPr>
          <w:b/>
          <w:i/>
          <w:sz w:val="20"/>
          <w:szCs w:val="20"/>
        </w:rPr>
        <w:t>Corriveau</w:t>
      </w:r>
      <w:proofErr w:type="spellEnd"/>
      <w:r w:rsidR="00166210" w:rsidRPr="00126DF0">
        <w:rPr>
          <w:b/>
          <w:i/>
          <w:sz w:val="20"/>
          <w:szCs w:val="20"/>
        </w:rPr>
        <w:t xml:space="preserve">, Marcel Demers, Raymond </w:t>
      </w:r>
      <w:proofErr w:type="spellStart"/>
      <w:r w:rsidR="00166210" w:rsidRPr="00126DF0">
        <w:rPr>
          <w:b/>
          <w:i/>
          <w:sz w:val="20"/>
          <w:szCs w:val="20"/>
        </w:rPr>
        <w:t>Desfossés</w:t>
      </w:r>
      <w:proofErr w:type="spellEnd"/>
      <w:r w:rsidR="00166210" w:rsidRPr="00126DF0">
        <w:rPr>
          <w:b/>
          <w:i/>
          <w:sz w:val="20"/>
          <w:szCs w:val="20"/>
        </w:rPr>
        <w:t xml:space="preserve">, Gilles Dubois, </w:t>
      </w:r>
      <w:proofErr w:type="spellStart"/>
      <w:r w:rsidR="00166210" w:rsidRPr="00126DF0">
        <w:rPr>
          <w:b/>
          <w:i/>
          <w:sz w:val="20"/>
          <w:szCs w:val="20"/>
        </w:rPr>
        <w:t>Frédéric</w:t>
      </w:r>
      <w:proofErr w:type="spellEnd"/>
      <w:r w:rsidR="00166210" w:rsidRPr="00126DF0">
        <w:rPr>
          <w:b/>
          <w:i/>
          <w:sz w:val="20"/>
          <w:szCs w:val="20"/>
        </w:rPr>
        <w:t xml:space="preserve"> </w:t>
      </w:r>
      <w:proofErr w:type="spellStart"/>
      <w:r w:rsidR="00166210" w:rsidRPr="00126DF0">
        <w:rPr>
          <w:b/>
          <w:i/>
          <w:sz w:val="20"/>
          <w:szCs w:val="20"/>
        </w:rPr>
        <w:t>Faucher</w:t>
      </w:r>
      <w:proofErr w:type="spellEnd"/>
      <w:r w:rsidR="00166210" w:rsidRPr="00126DF0">
        <w:rPr>
          <w:b/>
          <w:i/>
          <w:sz w:val="20"/>
          <w:szCs w:val="20"/>
        </w:rPr>
        <w:t xml:space="preserve">, Jean-Claude Gagné, Denis </w:t>
      </w:r>
      <w:proofErr w:type="spellStart"/>
      <w:r w:rsidR="00166210" w:rsidRPr="00126DF0">
        <w:rPr>
          <w:b/>
          <w:i/>
          <w:sz w:val="20"/>
          <w:szCs w:val="20"/>
        </w:rPr>
        <w:t>Gaudreault</w:t>
      </w:r>
      <w:proofErr w:type="spellEnd"/>
      <w:r w:rsidR="00166210" w:rsidRPr="00126DF0">
        <w:rPr>
          <w:b/>
          <w:i/>
          <w:sz w:val="20"/>
          <w:szCs w:val="20"/>
        </w:rPr>
        <w:t xml:space="preserve"> and </w:t>
      </w:r>
      <w:proofErr w:type="spellStart"/>
      <w:r w:rsidR="00166210" w:rsidRPr="00126DF0">
        <w:rPr>
          <w:b/>
          <w:i/>
          <w:sz w:val="20"/>
          <w:szCs w:val="20"/>
        </w:rPr>
        <w:t>Gérard</w:t>
      </w:r>
      <w:proofErr w:type="spellEnd"/>
      <w:r w:rsidR="00166210" w:rsidRPr="00126DF0">
        <w:rPr>
          <w:b/>
          <w:i/>
          <w:sz w:val="20"/>
          <w:szCs w:val="20"/>
        </w:rPr>
        <w:t xml:space="preserve"> Hubert</w:t>
      </w:r>
    </w:p>
    <w:p w:rsidR="00166210" w:rsidRPr="00126DF0" w:rsidRDefault="00166210" w:rsidP="00166210">
      <w:pPr>
        <w:widowControl w:val="0"/>
        <w:jc w:val="both"/>
        <w:rPr>
          <w:sz w:val="20"/>
          <w:szCs w:val="20"/>
        </w:rPr>
      </w:pPr>
    </w:p>
    <w:p w:rsidR="00166210" w:rsidRPr="00126DF0" w:rsidRDefault="00166210" w:rsidP="00166210">
      <w:pPr>
        <w:jc w:val="both"/>
        <w:rPr>
          <w:smallCaps/>
          <w:sz w:val="20"/>
          <w:szCs w:val="20"/>
        </w:rPr>
      </w:pPr>
      <w:r w:rsidRPr="00126DF0">
        <w:rPr>
          <w:smallCaps/>
          <w:sz w:val="20"/>
          <w:szCs w:val="20"/>
        </w:rPr>
        <w:t>(Publication Ban in Case) (Publication Ban on Party) (Sealing Order)</w:t>
      </w:r>
    </w:p>
    <w:p w:rsidR="00166210" w:rsidRPr="00126DF0" w:rsidRDefault="00166210" w:rsidP="00166210">
      <w:pPr>
        <w:widowControl w:val="0"/>
        <w:jc w:val="both"/>
        <w:rPr>
          <w:sz w:val="20"/>
          <w:szCs w:val="20"/>
        </w:rPr>
      </w:pPr>
    </w:p>
    <w:p w:rsidR="00166210" w:rsidRPr="00126DF0" w:rsidRDefault="00166210" w:rsidP="00166210">
      <w:pPr>
        <w:widowControl w:val="0"/>
        <w:jc w:val="both"/>
        <w:rPr>
          <w:sz w:val="20"/>
          <w:szCs w:val="20"/>
        </w:rPr>
      </w:pPr>
      <w:r w:rsidRPr="00126DF0">
        <w:rPr>
          <w:sz w:val="20"/>
          <w:szCs w:val="20"/>
        </w:rPr>
        <w:t xml:space="preserve">Criminal law - Evidence - Informer privilege - Standards and guidelines - Whether appellant has status of police informer - Standards and guidelines with which police and Crown counsel must comply in exercising their discretion to decide whether person has status of informer. </w:t>
      </w:r>
    </w:p>
    <w:p w:rsidR="00166210" w:rsidRPr="00126DF0" w:rsidRDefault="00166210" w:rsidP="00166210">
      <w:pPr>
        <w:widowControl w:val="0"/>
        <w:jc w:val="both"/>
        <w:rPr>
          <w:sz w:val="20"/>
          <w:szCs w:val="20"/>
        </w:rPr>
      </w:pPr>
    </w:p>
    <w:p w:rsidR="00166210" w:rsidRPr="00126DF0" w:rsidRDefault="00166210" w:rsidP="00166210">
      <w:pPr>
        <w:widowControl w:val="0"/>
        <w:jc w:val="both"/>
        <w:rPr>
          <w:sz w:val="20"/>
          <w:szCs w:val="20"/>
        </w:rPr>
      </w:pPr>
      <w:r w:rsidRPr="00126DF0">
        <w:rPr>
          <w:sz w:val="20"/>
          <w:szCs w:val="20"/>
        </w:rPr>
        <w:t>This case is central to a vast initiative to dismantle an organized crime network in Quebec.  An investigation led to the arrest of ten people on the strength, among other things, of information received from the appellant, B.  In the context of the trials, the Crown filed a preliminary motion to determine whether B had the status of a police informer.  Gagnon J. of the Superior Court granted the motion in part.</w:t>
      </w:r>
    </w:p>
    <w:p w:rsidR="00166210" w:rsidRPr="00126DF0" w:rsidRDefault="00166210" w:rsidP="00166210">
      <w:pPr>
        <w:widowControl w:val="0"/>
        <w:jc w:val="both"/>
        <w:rPr>
          <w:sz w:val="20"/>
          <w:szCs w:val="20"/>
        </w:rPr>
      </w:pPr>
    </w:p>
    <w:p w:rsidR="00166210" w:rsidRPr="00126DF0" w:rsidRDefault="00166210" w:rsidP="00166210">
      <w:pPr>
        <w:widowControl w:val="0"/>
        <w:jc w:val="both"/>
        <w:rPr>
          <w:sz w:val="20"/>
          <w:szCs w:val="20"/>
        </w:rPr>
      </w:pPr>
    </w:p>
    <w:p w:rsidR="00166210" w:rsidRPr="00126DF0" w:rsidRDefault="00166210" w:rsidP="00166210">
      <w:pPr>
        <w:widowControl w:val="0"/>
        <w:ind w:left="3600" w:hanging="3600"/>
        <w:jc w:val="both"/>
        <w:rPr>
          <w:sz w:val="20"/>
          <w:szCs w:val="20"/>
        </w:rPr>
      </w:pPr>
      <w:r w:rsidRPr="00126DF0">
        <w:rPr>
          <w:sz w:val="20"/>
          <w:szCs w:val="20"/>
        </w:rPr>
        <w:t>Origin of the case:</w:t>
      </w:r>
      <w:r w:rsidRPr="00126DF0">
        <w:rPr>
          <w:sz w:val="20"/>
          <w:szCs w:val="20"/>
        </w:rPr>
        <w:tab/>
        <w:t>Quebec</w:t>
      </w:r>
    </w:p>
    <w:p w:rsidR="00166210" w:rsidRPr="00126DF0" w:rsidRDefault="00166210" w:rsidP="00166210">
      <w:pPr>
        <w:widowControl w:val="0"/>
        <w:ind w:left="3600" w:hanging="3600"/>
        <w:jc w:val="both"/>
        <w:rPr>
          <w:sz w:val="20"/>
          <w:szCs w:val="20"/>
        </w:rPr>
      </w:pPr>
    </w:p>
    <w:p w:rsidR="00166210" w:rsidRPr="00126DF0" w:rsidRDefault="00166210" w:rsidP="00166210">
      <w:pPr>
        <w:widowControl w:val="0"/>
        <w:ind w:left="3600" w:hanging="3600"/>
        <w:jc w:val="both"/>
        <w:rPr>
          <w:sz w:val="20"/>
          <w:szCs w:val="20"/>
        </w:rPr>
      </w:pPr>
      <w:r w:rsidRPr="00126DF0">
        <w:rPr>
          <w:sz w:val="20"/>
          <w:szCs w:val="20"/>
        </w:rPr>
        <w:t>File No.:</w:t>
      </w:r>
      <w:r w:rsidRPr="00126DF0">
        <w:rPr>
          <w:sz w:val="20"/>
          <w:szCs w:val="20"/>
        </w:rPr>
        <w:tab/>
        <w:t>34053</w:t>
      </w:r>
    </w:p>
    <w:p w:rsidR="00166210" w:rsidRPr="00126DF0" w:rsidRDefault="00166210" w:rsidP="00166210">
      <w:pPr>
        <w:widowControl w:val="0"/>
        <w:ind w:left="3600" w:hanging="3600"/>
        <w:jc w:val="both"/>
        <w:rPr>
          <w:sz w:val="20"/>
          <w:szCs w:val="20"/>
        </w:rPr>
      </w:pPr>
    </w:p>
    <w:p w:rsidR="00166210" w:rsidRPr="00126DF0" w:rsidRDefault="00166210" w:rsidP="00166210">
      <w:pPr>
        <w:widowControl w:val="0"/>
        <w:ind w:left="3600" w:hanging="3600"/>
        <w:jc w:val="both"/>
        <w:rPr>
          <w:sz w:val="20"/>
          <w:szCs w:val="20"/>
        </w:rPr>
      </w:pPr>
      <w:r w:rsidRPr="00126DF0">
        <w:rPr>
          <w:sz w:val="20"/>
          <w:szCs w:val="20"/>
        </w:rPr>
        <w:t>Judgment of the Superior Court:</w:t>
      </w:r>
      <w:r w:rsidRPr="00126DF0">
        <w:rPr>
          <w:sz w:val="20"/>
          <w:szCs w:val="20"/>
        </w:rPr>
        <w:tab/>
        <w:t>September 17, 2010</w:t>
      </w:r>
    </w:p>
    <w:p w:rsidR="00166210" w:rsidRPr="00126DF0" w:rsidRDefault="00166210" w:rsidP="00166210">
      <w:pPr>
        <w:widowControl w:val="0"/>
        <w:ind w:left="3600" w:hanging="3600"/>
        <w:jc w:val="both"/>
        <w:rPr>
          <w:sz w:val="20"/>
          <w:szCs w:val="20"/>
        </w:rPr>
      </w:pPr>
    </w:p>
    <w:p w:rsidR="00166210" w:rsidRPr="00126DF0" w:rsidRDefault="00166210" w:rsidP="00166210">
      <w:pPr>
        <w:widowControl w:val="0"/>
        <w:ind w:left="3600" w:hanging="3600"/>
        <w:jc w:val="both"/>
        <w:rPr>
          <w:sz w:val="20"/>
          <w:szCs w:val="20"/>
        </w:rPr>
      </w:pPr>
      <w:r w:rsidRPr="00126DF0">
        <w:rPr>
          <w:sz w:val="20"/>
          <w:szCs w:val="20"/>
        </w:rPr>
        <w:t>Counsel:</w:t>
      </w:r>
      <w:r w:rsidRPr="00126DF0">
        <w:rPr>
          <w:sz w:val="20"/>
          <w:szCs w:val="20"/>
        </w:rPr>
        <w:tab/>
        <w:t>Dominique Bertrand for the appellant</w:t>
      </w:r>
    </w:p>
    <w:p w:rsidR="00166210" w:rsidRPr="00126DF0" w:rsidRDefault="00166210" w:rsidP="00166210">
      <w:pPr>
        <w:widowControl w:val="0"/>
        <w:ind w:left="3600" w:hanging="3600"/>
        <w:jc w:val="both"/>
        <w:rPr>
          <w:sz w:val="20"/>
          <w:szCs w:val="20"/>
          <w:lang w:val="fr-CA"/>
        </w:rPr>
      </w:pPr>
      <w:r w:rsidRPr="00126DF0">
        <w:rPr>
          <w:sz w:val="20"/>
          <w:szCs w:val="20"/>
        </w:rPr>
        <w:tab/>
      </w:r>
      <w:r w:rsidRPr="00126DF0">
        <w:rPr>
          <w:sz w:val="20"/>
          <w:szCs w:val="20"/>
          <w:lang w:val="fr-CA"/>
        </w:rPr>
        <w:t xml:space="preserve">Mélanie Dufour and Jacques </w:t>
      </w:r>
      <w:proofErr w:type="spellStart"/>
      <w:r w:rsidRPr="00126DF0">
        <w:rPr>
          <w:sz w:val="20"/>
          <w:szCs w:val="20"/>
          <w:lang w:val="fr-CA"/>
        </w:rPr>
        <w:t>Casgrain</w:t>
      </w:r>
      <w:proofErr w:type="spellEnd"/>
      <w:r w:rsidRPr="00126DF0">
        <w:rPr>
          <w:sz w:val="20"/>
          <w:szCs w:val="20"/>
          <w:lang w:val="fr-CA"/>
        </w:rPr>
        <w:t xml:space="preserve"> for the </w:t>
      </w:r>
      <w:proofErr w:type="spellStart"/>
      <w:r w:rsidRPr="00126DF0">
        <w:rPr>
          <w:sz w:val="20"/>
          <w:szCs w:val="20"/>
          <w:lang w:val="fr-CA"/>
        </w:rPr>
        <w:t>respondent</w:t>
      </w:r>
      <w:proofErr w:type="spellEnd"/>
    </w:p>
    <w:p w:rsidR="00166210" w:rsidRPr="00126DF0" w:rsidRDefault="00166210" w:rsidP="00166210">
      <w:pPr>
        <w:widowControl w:val="0"/>
        <w:ind w:left="3600" w:hanging="3600"/>
        <w:jc w:val="both"/>
        <w:rPr>
          <w:sz w:val="20"/>
          <w:szCs w:val="20"/>
          <w:lang w:val="fr-CA"/>
        </w:rPr>
      </w:pPr>
      <w:r w:rsidRPr="00126DF0">
        <w:rPr>
          <w:sz w:val="20"/>
          <w:szCs w:val="20"/>
          <w:lang w:val="fr-CA"/>
        </w:rPr>
        <w:tab/>
        <w:t>Louis Belleau for Frédéric Faucher</w:t>
      </w:r>
    </w:p>
    <w:p w:rsidR="00166210" w:rsidRPr="00126DF0" w:rsidRDefault="00166210" w:rsidP="00166210">
      <w:pPr>
        <w:widowControl w:val="0"/>
        <w:ind w:left="3600" w:hanging="3600"/>
        <w:jc w:val="both"/>
        <w:rPr>
          <w:sz w:val="20"/>
          <w:szCs w:val="20"/>
          <w:lang w:val="fr-CA"/>
        </w:rPr>
      </w:pPr>
      <w:r w:rsidRPr="00126DF0">
        <w:rPr>
          <w:sz w:val="20"/>
          <w:szCs w:val="20"/>
          <w:lang w:val="fr-CA"/>
        </w:rPr>
        <w:tab/>
        <w:t xml:space="preserve">Patrick </w:t>
      </w:r>
      <w:proofErr w:type="spellStart"/>
      <w:r w:rsidRPr="00126DF0">
        <w:rPr>
          <w:sz w:val="20"/>
          <w:szCs w:val="20"/>
          <w:lang w:val="fr-CA"/>
        </w:rPr>
        <w:t>Cozannet</w:t>
      </w:r>
      <w:proofErr w:type="spellEnd"/>
      <w:r w:rsidRPr="00126DF0">
        <w:rPr>
          <w:sz w:val="20"/>
          <w:szCs w:val="20"/>
          <w:lang w:val="fr-CA"/>
        </w:rPr>
        <w:t xml:space="preserve"> for Jean-Claude Gagné</w:t>
      </w:r>
    </w:p>
    <w:p w:rsidR="00166210" w:rsidRPr="00126DF0" w:rsidRDefault="00166210" w:rsidP="00166210">
      <w:pPr>
        <w:widowControl w:val="0"/>
        <w:ind w:left="3600" w:hanging="3600"/>
        <w:jc w:val="both"/>
        <w:rPr>
          <w:sz w:val="20"/>
          <w:szCs w:val="20"/>
          <w:lang w:val="fr-CA"/>
        </w:rPr>
      </w:pPr>
      <w:r w:rsidRPr="00126DF0">
        <w:rPr>
          <w:sz w:val="20"/>
          <w:szCs w:val="20"/>
          <w:lang w:val="fr-CA"/>
        </w:rPr>
        <w:tab/>
        <w:t xml:space="preserve">Michel </w:t>
      </w:r>
      <w:proofErr w:type="spellStart"/>
      <w:r w:rsidRPr="00126DF0">
        <w:rPr>
          <w:sz w:val="20"/>
          <w:szCs w:val="20"/>
          <w:lang w:val="fr-CA"/>
        </w:rPr>
        <w:t>Croteau</w:t>
      </w:r>
      <w:proofErr w:type="spellEnd"/>
      <w:r w:rsidRPr="00126DF0">
        <w:rPr>
          <w:sz w:val="20"/>
          <w:szCs w:val="20"/>
          <w:lang w:val="fr-CA"/>
        </w:rPr>
        <w:t xml:space="preserve"> for Denis </w:t>
      </w:r>
      <w:proofErr w:type="spellStart"/>
      <w:r w:rsidRPr="00126DF0">
        <w:rPr>
          <w:sz w:val="20"/>
          <w:szCs w:val="20"/>
          <w:lang w:val="fr-CA"/>
        </w:rPr>
        <w:t>Gaudreault</w:t>
      </w:r>
      <w:proofErr w:type="spellEnd"/>
    </w:p>
    <w:p w:rsidR="00166210" w:rsidRPr="00126DF0" w:rsidRDefault="00166210" w:rsidP="00166210">
      <w:pPr>
        <w:widowControl w:val="0"/>
        <w:ind w:left="3600" w:hanging="3600"/>
        <w:jc w:val="both"/>
        <w:rPr>
          <w:sz w:val="20"/>
          <w:szCs w:val="20"/>
          <w:lang w:val="fr-CA"/>
        </w:rPr>
      </w:pPr>
      <w:r w:rsidRPr="00126DF0">
        <w:rPr>
          <w:sz w:val="20"/>
          <w:szCs w:val="20"/>
          <w:lang w:val="fr-CA"/>
        </w:rPr>
        <w:tab/>
        <w:t xml:space="preserve">Véronique </w:t>
      </w:r>
      <w:proofErr w:type="spellStart"/>
      <w:r w:rsidRPr="00126DF0">
        <w:rPr>
          <w:sz w:val="20"/>
          <w:szCs w:val="20"/>
          <w:lang w:val="fr-CA"/>
        </w:rPr>
        <w:t>Courtecuisse</w:t>
      </w:r>
      <w:proofErr w:type="spellEnd"/>
      <w:r w:rsidRPr="00126DF0">
        <w:rPr>
          <w:sz w:val="20"/>
          <w:szCs w:val="20"/>
          <w:lang w:val="fr-CA"/>
        </w:rPr>
        <w:t xml:space="preserve"> for Raymond Bouchard</w:t>
      </w:r>
    </w:p>
    <w:p w:rsidR="00166210" w:rsidRPr="00126DF0" w:rsidRDefault="00166210" w:rsidP="00166210">
      <w:pPr>
        <w:widowControl w:val="0"/>
        <w:ind w:left="3600" w:hanging="3600"/>
        <w:jc w:val="both"/>
        <w:rPr>
          <w:sz w:val="20"/>
          <w:szCs w:val="20"/>
          <w:lang w:val="fr-CA"/>
        </w:rPr>
      </w:pPr>
      <w:r w:rsidRPr="00126DF0">
        <w:rPr>
          <w:sz w:val="20"/>
          <w:szCs w:val="20"/>
          <w:lang w:val="fr-CA"/>
        </w:rPr>
        <w:tab/>
        <w:t xml:space="preserve">Christian Gauthier for Denis </w:t>
      </w:r>
      <w:proofErr w:type="spellStart"/>
      <w:r w:rsidRPr="00126DF0">
        <w:rPr>
          <w:sz w:val="20"/>
          <w:szCs w:val="20"/>
          <w:lang w:val="fr-CA"/>
        </w:rPr>
        <w:t>Corriveau</w:t>
      </w:r>
      <w:proofErr w:type="spellEnd"/>
    </w:p>
    <w:p w:rsidR="00166210" w:rsidRPr="00126DF0" w:rsidRDefault="00166210" w:rsidP="00166210">
      <w:pPr>
        <w:widowControl w:val="0"/>
        <w:ind w:left="3600" w:hanging="3600"/>
        <w:jc w:val="both"/>
        <w:rPr>
          <w:sz w:val="20"/>
          <w:szCs w:val="20"/>
          <w:lang w:val="fr-CA"/>
        </w:rPr>
      </w:pPr>
      <w:r w:rsidRPr="00126DF0">
        <w:rPr>
          <w:sz w:val="20"/>
          <w:szCs w:val="20"/>
          <w:lang w:val="fr-CA"/>
        </w:rPr>
        <w:tab/>
        <w:t xml:space="preserve">Jacques </w:t>
      </w:r>
      <w:proofErr w:type="spellStart"/>
      <w:r w:rsidRPr="00126DF0">
        <w:rPr>
          <w:sz w:val="20"/>
          <w:szCs w:val="20"/>
          <w:lang w:val="fr-CA"/>
        </w:rPr>
        <w:t>Larochelle</w:t>
      </w:r>
      <w:proofErr w:type="spellEnd"/>
      <w:r w:rsidRPr="00126DF0">
        <w:rPr>
          <w:sz w:val="20"/>
          <w:szCs w:val="20"/>
          <w:lang w:val="fr-CA"/>
        </w:rPr>
        <w:t xml:space="preserve"> for Marcel Demers</w:t>
      </w:r>
    </w:p>
    <w:p w:rsidR="00166210" w:rsidRPr="00126DF0" w:rsidRDefault="00166210" w:rsidP="00166210">
      <w:pPr>
        <w:widowControl w:val="0"/>
        <w:ind w:left="3600" w:hanging="3600"/>
        <w:jc w:val="both"/>
        <w:rPr>
          <w:sz w:val="20"/>
          <w:szCs w:val="20"/>
          <w:lang w:val="fr-CA"/>
        </w:rPr>
      </w:pPr>
      <w:r w:rsidRPr="00126DF0">
        <w:rPr>
          <w:sz w:val="20"/>
          <w:szCs w:val="20"/>
          <w:lang w:val="fr-CA"/>
        </w:rPr>
        <w:tab/>
        <w:t xml:space="preserve">Élise </w:t>
      </w:r>
      <w:proofErr w:type="spellStart"/>
      <w:r w:rsidRPr="00126DF0">
        <w:rPr>
          <w:sz w:val="20"/>
          <w:szCs w:val="20"/>
          <w:lang w:val="fr-CA"/>
        </w:rPr>
        <w:t>Pinsonnault</w:t>
      </w:r>
      <w:proofErr w:type="spellEnd"/>
      <w:r w:rsidRPr="00126DF0">
        <w:rPr>
          <w:sz w:val="20"/>
          <w:szCs w:val="20"/>
          <w:lang w:val="fr-CA"/>
        </w:rPr>
        <w:t xml:space="preserve"> for Gérard Hubert</w:t>
      </w:r>
    </w:p>
    <w:p w:rsidR="00166210" w:rsidRPr="00126DF0" w:rsidRDefault="00166210" w:rsidP="00166210">
      <w:pPr>
        <w:widowControl w:val="0"/>
        <w:ind w:left="3600" w:hanging="3600"/>
        <w:jc w:val="both"/>
        <w:rPr>
          <w:sz w:val="20"/>
          <w:szCs w:val="20"/>
        </w:rPr>
      </w:pPr>
      <w:r w:rsidRPr="00126DF0">
        <w:rPr>
          <w:sz w:val="20"/>
          <w:szCs w:val="20"/>
          <w:lang w:val="fr-CA"/>
        </w:rPr>
        <w:tab/>
      </w:r>
      <w:r w:rsidRPr="00126DF0">
        <w:rPr>
          <w:sz w:val="20"/>
          <w:szCs w:val="20"/>
        </w:rPr>
        <w:t xml:space="preserve">Carl Thibault for Jacqueline </w:t>
      </w:r>
      <w:proofErr w:type="spellStart"/>
      <w:r w:rsidRPr="00126DF0">
        <w:rPr>
          <w:sz w:val="20"/>
          <w:szCs w:val="20"/>
        </w:rPr>
        <w:t>Benoît</w:t>
      </w:r>
      <w:proofErr w:type="spellEnd"/>
    </w:p>
    <w:p w:rsidR="00166210" w:rsidRPr="00126DF0" w:rsidRDefault="00166210" w:rsidP="00166210">
      <w:pPr>
        <w:widowControl w:val="0"/>
        <w:ind w:left="3600" w:hanging="3600"/>
        <w:jc w:val="both"/>
        <w:rPr>
          <w:sz w:val="20"/>
          <w:szCs w:val="20"/>
        </w:rPr>
      </w:pPr>
      <w:r w:rsidRPr="00126DF0">
        <w:rPr>
          <w:sz w:val="20"/>
          <w:szCs w:val="20"/>
        </w:rPr>
        <w:tab/>
        <w:t>Thomas Walsh for Gilles Dubois</w:t>
      </w:r>
    </w:p>
    <w:p w:rsidR="00166210" w:rsidRPr="00126DF0" w:rsidRDefault="00166210" w:rsidP="00166210">
      <w:pPr>
        <w:widowControl w:val="0"/>
        <w:ind w:left="3600" w:hanging="3600"/>
        <w:jc w:val="both"/>
        <w:rPr>
          <w:sz w:val="20"/>
          <w:szCs w:val="20"/>
        </w:rPr>
      </w:pPr>
      <w:r w:rsidRPr="00126DF0">
        <w:rPr>
          <w:sz w:val="20"/>
          <w:szCs w:val="20"/>
        </w:rPr>
        <w:tab/>
        <w:t xml:space="preserve">Raymond </w:t>
      </w:r>
      <w:proofErr w:type="spellStart"/>
      <w:r w:rsidRPr="00126DF0">
        <w:rPr>
          <w:sz w:val="20"/>
          <w:szCs w:val="20"/>
        </w:rPr>
        <w:t>Desfossés</w:t>
      </w:r>
      <w:proofErr w:type="spellEnd"/>
      <w:r w:rsidRPr="00126DF0">
        <w:rPr>
          <w:sz w:val="20"/>
          <w:szCs w:val="20"/>
        </w:rPr>
        <w:t xml:space="preserve"> for himself</w:t>
      </w:r>
    </w:p>
    <w:p w:rsidR="004A1C7B" w:rsidRDefault="004A1C7B" w:rsidP="00223D9F">
      <w:pPr>
        <w:tabs>
          <w:tab w:val="left" w:pos="-1440"/>
          <w:tab w:val="left" w:pos="-720"/>
        </w:tabs>
        <w:ind w:left="720" w:hanging="720"/>
        <w:jc w:val="both"/>
        <w:rPr>
          <w:sz w:val="20"/>
          <w:szCs w:val="20"/>
          <w:lang w:val="fr-CA"/>
        </w:rPr>
      </w:pPr>
    </w:p>
    <w:p w:rsidR="000B3C9A" w:rsidRDefault="007505E6" w:rsidP="00223D9F">
      <w:pPr>
        <w:tabs>
          <w:tab w:val="left" w:pos="-1440"/>
          <w:tab w:val="left" w:pos="-720"/>
        </w:tabs>
        <w:ind w:left="720" w:hanging="720"/>
        <w:jc w:val="both"/>
        <w:rPr>
          <w:sz w:val="20"/>
          <w:szCs w:val="20"/>
        </w:rPr>
      </w:pPr>
      <w:r w:rsidRPr="007505E6">
        <w:rPr>
          <w:sz w:val="20"/>
          <w:szCs w:val="20"/>
          <w:lang w:val="fr-CA"/>
        </w:rPr>
        <w:pict>
          <v:rect id="_x0000_i1097" style="width:2in;height:1pt" o:hrpct="0" o:hralign="center" o:hrstd="t" o:hrnoshade="t" o:hr="t" fillcolor="black [3213]" stroked="f"/>
        </w:pict>
      </w:r>
    </w:p>
    <w:p w:rsidR="00223D9F" w:rsidRDefault="00223D9F" w:rsidP="000B3C9A">
      <w:pPr>
        <w:tabs>
          <w:tab w:val="left" w:pos="-1440"/>
          <w:tab w:val="left" w:pos="-720"/>
        </w:tabs>
        <w:ind w:left="720" w:hanging="720"/>
        <w:jc w:val="both"/>
        <w:rPr>
          <w:sz w:val="20"/>
          <w:szCs w:val="20"/>
        </w:rPr>
      </w:pPr>
    </w:p>
    <w:p w:rsidR="00223D9F" w:rsidRDefault="00223D9F" w:rsidP="000B3C9A">
      <w:pPr>
        <w:tabs>
          <w:tab w:val="left" w:pos="-1440"/>
          <w:tab w:val="left" w:pos="-720"/>
        </w:tabs>
        <w:ind w:left="720" w:hanging="720"/>
        <w:jc w:val="both"/>
        <w:rPr>
          <w:sz w:val="20"/>
          <w:szCs w:val="20"/>
        </w:rPr>
      </w:pPr>
    </w:p>
    <w:p w:rsidR="00223D9F" w:rsidRDefault="00223D9F">
      <w:pPr>
        <w:rPr>
          <w:sz w:val="20"/>
          <w:szCs w:val="20"/>
        </w:rPr>
      </w:pPr>
      <w:r>
        <w:rPr>
          <w:sz w:val="20"/>
          <w:szCs w:val="20"/>
        </w:rPr>
        <w:br w:type="page"/>
      </w:r>
    </w:p>
    <w:bookmarkStart w:id="3" w:name="1"/>
    <w:bookmarkEnd w:id="3"/>
    <w:p w:rsidR="00166210" w:rsidRPr="005B3592" w:rsidRDefault="007505E6" w:rsidP="00166210">
      <w:pPr>
        <w:widowControl w:val="0"/>
        <w:ind w:left="720" w:hanging="720"/>
        <w:jc w:val="both"/>
        <w:rPr>
          <w:b/>
          <w:i/>
          <w:sz w:val="20"/>
          <w:szCs w:val="20"/>
          <w:lang w:val="fr-CA"/>
        </w:rPr>
      </w:pPr>
      <w:r w:rsidRPr="007505E6">
        <w:rPr>
          <w:b/>
          <w:sz w:val="20"/>
          <w:szCs w:val="20"/>
          <w:lang w:val="fr-CA"/>
        </w:rPr>
        <w:lastRenderedPageBreak/>
        <w:fldChar w:fldCharType="begin"/>
      </w:r>
      <w:r w:rsidR="00166210" w:rsidRPr="005B3592">
        <w:rPr>
          <w:b/>
          <w:sz w:val="20"/>
          <w:szCs w:val="20"/>
          <w:lang w:val="fr-CA"/>
        </w:rPr>
        <w:instrText xml:space="preserve"> SEQ CHAPTER \h \r 1</w:instrText>
      </w:r>
      <w:r w:rsidRPr="005B3592">
        <w:rPr>
          <w:b/>
          <w:sz w:val="20"/>
          <w:szCs w:val="20"/>
        </w:rPr>
        <w:fldChar w:fldCharType="end"/>
      </w:r>
      <w:r w:rsidR="00166210" w:rsidRPr="005B3592">
        <w:rPr>
          <w:b/>
          <w:sz w:val="20"/>
          <w:szCs w:val="20"/>
          <w:lang w:val="fr-CA"/>
        </w:rPr>
        <w:t>34053</w:t>
      </w:r>
      <w:r w:rsidR="00166210" w:rsidRPr="005B3592">
        <w:rPr>
          <w:sz w:val="20"/>
          <w:szCs w:val="20"/>
          <w:lang w:val="fr-CA"/>
        </w:rPr>
        <w:tab/>
      </w:r>
      <w:bookmarkStart w:id="4" w:name="3"/>
      <w:bookmarkEnd w:id="4"/>
      <w:r w:rsidR="00166210" w:rsidRPr="005B3592">
        <w:rPr>
          <w:b/>
          <w:i/>
          <w:sz w:val="20"/>
          <w:szCs w:val="20"/>
          <w:lang w:val="fr-CA"/>
        </w:rPr>
        <w:t xml:space="preserve">Personne désignée B c. Sa Majesté la Reine - et - Jacqueline Benoît, Raymond Bouchard, Denis </w:t>
      </w:r>
      <w:proofErr w:type="spellStart"/>
      <w:r w:rsidR="00166210" w:rsidRPr="005B3592">
        <w:rPr>
          <w:b/>
          <w:i/>
          <w:sz w:val="20"/>
          <w:szCs w:val="20"/>
          <w:lang w:val="fr-CA"/>
        </w:rPr>
        <w:t>Corriveau</w:t>
      </w:r>
      <w:proofErr w:type="spellEnd"/>
      <w:r w:rsidR="00166210" w:rsidRPr="005B3592">
        <w:rPr>
          <w:b/>
          <w:i/>
          <w:sz w:val="20"/>
          <w:szCs w:val="20"/>
          <w:lang w:val="fr-CA"/>
        </w:rPr>
        <w:t xml:space="preserve">, Marcel Demers, Raymond Desfossés, Gilles Dubois, Frédéric Faucher, Jean-Claude Gagné, Denis </w:t>
      </w:r>
      <w:proofErr w:type="spellStart"/>
      <w:r w:rsidR="00166210" w:rsidRPr="005B3592">
        <w:rPr>
          <w:b/>
          <w:i/>
          <w:sz w:val="20"/>
          <w:szCs w:val="20"/>
          <w:lang w:val="fr-CA"/>
        </w:rPr>
        <w:t>Gaudreault</w:t>
      </w:r>
      <w:proofErr w:type="spellEnd"/>
      <w:r w:rsidR="00166210" w:rsidRPr="005B3592">
        <w:rPr>
          <w:b/>
          <w:i/>
          <w:sz w:val="20"/>
          <w:szCs w:val="20"/>
          <w:lang w:val="fr-CA"/>
        </w:rPr>
        <w:t xml:space="preserve"> et Gérard Hubert</w:t>
      </w:r>
    </w:p>
    <w:p w:rsidR="00166210" w:rsidRPr="005B3592" w:rsidRDefault="00166210" w:rsidP="00166210">
      <w:pPr>
        <w:widowControl w:val="0"/>
        <w:jc w:val="both"/>
        <w:rPr>
          <w:sz w:val="20"/>
          <w:szCs w:val="20"/>
          <w:lang w:val="fr-CA"/>
        </w:rPr>
      </w:pPr>
    </w:p>
    <w:p w:rsidR="00166210" w:rsidRPr="005B3592" w:rsidRDefault="00166210" w:rsidP="00166210">
      <w:pPr>
        <w:jc w:val="both"/>
        <w:rPr>
          <w:smallCaps/>
          <w:sz w:val="20"/>
          <w:szCs w:val="20"/>
          <w:lang w:val="fr-CA"/>
        </w:rPr>
      </w:pPr>
      <w:r w:rsidRPr="005B3592">
        <w:rPr>
          <w:smallCaps/>
          <w:sz w:val="20"/>
          <w:szCs w:val="20"/>
          <w:lang w:val="fr-CA"/>
        </w:rPr>
        <w:t>(Ordonnance de non publication dans le dossier) (Ordonnance de non publication visant une partie) (Ordonnance de mise sous scellés)</w:t>
      </w:r>
    </w:p>
    <w:p w:rsidR="00166210" w:rsidRPr="005B3592" w:rsidRDefault="00166210" w:rsidP="00166210">
      <w:pPr>
        <w:widowControl w:val="0"/>
        <w:jc w:val="both"/>
        <w:rPr>
          <w:sz w:val="20"/>
          <w:szCs w:val="20"/>
          <w:lang w:val="fr-CA"/>
        </w:rPr>
      </w:pPr>
    </w:p>
    <w:p w:rsidR="00166210" w:rsidRPr="005B3592" w:rsidRDefault="00166210" w:rsidP="00166210">
      <w:pPr>
        <w:widowControl w:val="0"/>
        <w:jc w:val="both"/>
        <w:rPr>
          <w:sz w:val="20"/>
          <w:szCs w:val="20"/>
          <w:lang w:val="fr-CA"/>
        </w:rPr>
      </w:pPr>
      <w:r w:rsidRPr="005B3592">
        <w:rPr>
          <w:sz w:val="20"/>
          <w:szCs w:val="20"/>
          <w:lang w:val="fr-CA"/>
        </w:rPr>
        <w:t xml:space="preserve">Droit criminel - Preuve - Privilège relatif aux indicateurs de police - Normes et directives - L’appelante bénéficie-t-elle du statut d’indicateur de police? - Quelles sont les normes et directives auxquelles les policiers et les avocats du ministère public doivent se conformer dans le cadre de l’exercice de leur pouvoir discrétionnaire de décider si une personne bénéficie du statut d’indicateur de police? </w:t>
      </w:r>
    </w:p>
    <w:p w:rsidR="00166210" w:rsidRPr="005B3592" w:rsidRDefault="00166210" w:rsidP="00166210">
      <w:pPr>
        <w:widowControl w:val="0"/>
        <w:jc w:val="both"/>
        <w:rPr>
          <w:sz w:val="20"/>
          <w:szCs w:val="20"/>
          <w:lang w:val="fr-CA"/>
        </w:rPr>
      </w:pPr>
    </w:p>
    <w:p w:rsidR="00166210" w:rsidRPr="005B3592" w:rsidRDefault="00166210" w:rsidP="00166210">
      <w:pPr>
        <w:widowControl w:val="0"/>
        <w:jc w:val="both"/>
        <w:rPr>
          <w:sz w:val="20"/>
          <w:szCs w:val="20"/>
          <w:lang w:val="fr-CA"/>
        </w:rPr>
      </w:pPr>
      <w:r w:rsidRPr="005B3592">
        <w:rPr>
          <w:sz w:val="20"/>
          <w:szCs w:val="20"/>
          <w:lang w:val="fr-CA"/>
        </w:rPr>
        <w:t>Le présent dossier est à la base d’un vaste projet de démantèlement d’un réseau de crime organisé au Québec.  Suite à un projet d’enquête, dix personnes sont arrêtées sous la foi, entre autres, d’informations révélées par l’appelante, B.  Dans le cadre des procès, le ministère public dépose une requête préliminaire visant à déterminer si B bénéficie du statut d’indicateur de police.  Le juge Gagnon de la Cour supérieure accueille la requête en partie.</w:t>
      </w:r>
    </w:p>
    <w:p w:rsidR="00166210" w:rsidRPr="005B3592" w:rsidRDefault="00166210" w:rsidP="00166210">
      <w:pPr>
        <w:widowControl w:val="0"/>
        <w:jc w:val="both"/>
        <w:rPr>
          <w:sz w:val="20"/>
          <w:szCs w:val="20"/>
          <w:lang w:val="fr-CA"/>
        </w:rPr>
      </w:pPr>
    </w:p>
    <w:p w:rsidR="00166210" w:rsidRPr="005B3592" w:rsidRDefault="00166210" w:rsidP="00166210">
      <w:pPr>
        <w:widowControl w:val="0"/>
        <w:jc w:val="both"/>
        <w:rPr>
          <w:sz w:val="20"/>
          <w:szCs w:val="20"/>
          <w:lang w:val="fr-CA"/>
        </w:rPr>
      </w:pPr>
    </w:p>
    <w:p w:rsidR="00166210" w:rsidRPr="005B3592" w:rsidRDefault="00166210" w:rsidP="00166210">
      <w:pPr>
        <w:widowControl w:val="0"/>
        <w:ind w:left="3600" w:hanging="3600"/>
        <w:jc w:val="both"/>
        <w:rPr>
          <w:sz w:val="20"/>
          <w:szCs w:val="20"/>
          <w:lang w:val="fr-CA"/>
        </w:rPr>
      </w:pPr>
      <w:r w:rsidRPr="005B3592">
        <w:rPr>
          <w:sz w:val="20"/>
          <w:szCs w:val="20"/>
          <w:lang w:val="fr-CA"/>
        </w:rPr>
        <w:t>Origine:</w:t>
      </w:r>
      <w:r w:rsidRPr="005B3592">
        <w:rPr>
          <w:sz w:val="20"/>
          <w:szCs w:val="20"/>
          <w:lang w:val="fr-CA"/>
        </w:rPr>
        <w:tab/>
      </w:r>
      <w:bookmarkStart w:id="5" w:name="4"/>
      <w:bookmarkEnd w:id="5"/>
      <w:r w:rsidRPr="005B3592">
        <w:rPr>
          <w:sz w:val="20"/>
          <w:szCs w:val="20"/>
          <w:lang w:val="fr-CA"/>
        </w:rPr>
        <w:t>Québec</w:t>
      </w:r>
    </w:p>
    <w:p w:rsidR="00166210" w:rsidRPr="005B3592" w:rsidRDefault="00166210" w:rsidP="00166210">
      <w:pPr>
        <w:widowControl w:val="0"/>
        <w:ind w:left="3600" w:hanging="3600"/>
        <w:jc w:val="both"/>
        <w:rPr>
          <w:sz w:val="20"/>
          <w:szCs w:val="20"/>
          <w:lang w:val="fr-CA"/>
        </w:rPr>
      </w:pPr>
    </w:p>
    <w:p w:rsidR="00166210" w:rsidRPr="005B3592" w:rsidRDefault="00166210" w:rsidP="00166210">
      <w:pPr>
        <w:widowControl w:val="0"/>
        <w:ind w:left="3600" w:hanging="3600"/>
        <w:jc w:val="both"/>
        <w:rPr>
          <w:sz w:val="20"/>
          <w:szCs w:val="20"/>
          <w:lang w:val="fr-CA"/>
        </w:rPr>
      </w:pPr>
      <w:r w:rsidRPr="005B3592">
        <w:rPr>
          <w:sz w:val="20"/>
          <w:szCs w:val="20"/>
          <w:lang w:val="fr-CA"/>
        </w:rPr>
        <w:t>N</w:t>
      </w:r>
      <w:r w:rsidRPr="005B3592">
        <w:rPr>
          <w:sz w:val="20"/>
          <w:szCs w:val="20"/>
          <w:vertAlign w:val="superscript"/>
          <w:lang w:val="fr-CA"/>
        </w:rPr>
        <w:t>o</w:t>
      </w:r>
      <w:r w:rsidRPr="005B3592">
        <w:rPr>
          <w:sz w:val="20"/>
          <w:szCs w:val="20"/>
          <w:lang w:val="fr-CA"/>
        </w:rPr>
        <w:t xml:space="preserve"> du greffe:</w:t>
      </w:r>
      <w:r w:rsidRPr="005B3592">
        <w:rPr>
          <w:sz w:val="20"/>
          <w:szCs w:val="20"/>
          <w:lang w:val="fr-CA"/>
        </w:rPr>
        <w:tab/>
      </w:r>
      <w:bookmarkStart w:id="6" w:name="2"/>
      <w:bookmarkEnd w:id="6"/>
      <w:r w:rsidRPr="005B3592">
        <w:rPr>
          <w:sz w:val="20"/>
          <w:szCs w:val="20"/>
          <w:lang w:val="fr-CA"/>
        </w:rPr>
        <w:t>34053</w:t>
      </w:r>
    </w:p>
    <w:p w:rsidR="00166210" w:rsidRPr="005B3592" w:rsidRDefault="00166210" w:rsidP="00166210">
      <w:pPr>
        <w:widowControl w:val="0"/>
        <w:ind w:left="3600" w:hanging="3600"/>
        <w:jc w:val="both"/>
        <w:rPr>
          <w:sz w:val="20"/>
          <w:szCs w:val="20"/>
          <w:lang w:val="fr-CA"/>
        </w:rPr>
      </w:pPr>
    </w:p>
    <w:p w:rsidR="00166210" w:rsidRPr="005B3592" w:rsidRDefault="00166210" w:rsidP="00166210">
      <w:pPr>
        <w:widowControl w:val="0"/>
        <w:ind w:left="3600" w:hanging="3600"/>
        <w:jc w:val="both"/>
        <w:rPr>
          <w:sz w:val="20"/>
          <w:szCs w:val="20"/>
          <w:lang w:val="fr-CA"/>
        </w:rPr>
      </w:pPr>
      <w:r w:rsidRPr="005B3592">
        <w:rPr>
          <w:sz w:val="20"/>
          <w:szCs w:val="20"/>
          <w:lang w:val="fr-CA"/>
        </w:rPr>
        <w:t>Arrêt de la Cour supérieure:</w:t>
      </w:r>
      <w:r w:rsidRPr="005B3592">
        <w:rPr>
          <w:sz w:val="20"/>
          <w:szCs w:val="20"/>
          <w:lang w:val="fr-CA"/>
        </w:rPr>
        <w:tab/>
        <w:t xml:space="preserve">Le </w:t>
      </w:r>
      <w:bookmarkStart w:id="7" w:name="5"/>
      <w:bookmarkEnd w:id="7"/>
      <w:r w:rsidRPr="005B3592">
        <w:rPr>
          <w:sz w:val="20"/>
          <w:szCs w:val="20"/>
          <w:lang w:val="fr-CA"/>
        </w:rPr>
        <w:t>17 septembre 2010</w:t>
      </w:r>
    </w:p>
    <w:p w:rsidR="00166210" w:rsidRPr="005B3592" w:rsidRDefault="00166210" w:rsidP="00166210">
      <w:pPr>
        <w:widowControl w:val="0"/>
        <w:ind w:left="3600" w:hanging="3600"/>
        <w:jc w:val="both"/>
        <w:rPr>
          <w:sz w:val="20"/>
          <w:szCs w:val="20"/>
          <w:lang w:val="fr-CA"/>
        </w:rPr>
      </w:pPr>
    </w:p>
    <w:p w:rsidR="00166210" w:rsidRPr="005B3592" w:rsidRDefault="00166210" w:rsidP="00166210">
      <w:pPr>
        <w:widowControl w:val="0"/>
        <w:ind w:left="3600" w:hanging="3600"/>
        <w:jc w:val="both"/>
        <w:rPr>
          <w:sz w:val="20"/>
          <w:szCs w:val="20"/>
          <w:lang w:val="fr-CA"/>
        </w:rPr>
      </w:pPr>
      <w:r w:rsidRPr="005B3592">
        <w:rPr>
          <w:sz w:val="20"/>
          <w:szCs w:val="20"/>
          <w:lang w:val="fr-CA"/>
        </w:rPr>
        <w:t>Avocats:</w:t>
      </w:r>
      <w:r w:rsidRPr="005B3592">
        <w:rPr>
          <w:sz w:val="20"/>
          <w:szCs w:val="20"/>
          <w:lang w:val="fr-CA"/>
        </w:rPr>
        <w:tab/>
      </w:r>
      <w:bookmarkStart w:id="8" w:name="6"/>
      <w:bookmarkEnd w:id="8"/>
      <w:r w:rsidRPr="005B3592">
        <w:rPr>
          <w:sz w:val="20"/>
          <w:szCs w:val="20"/>
          <w:lang w:val="fr-CA"/>
        </w:rPr>
        <w:t>Dominique Bertrand pour l’appelante</w:t>
      </w:r>
    </w:p>
    <w:p w:rsidR="00166210" w:rsidRPr="005B3592" w:rsidRDefault="00166210" w:rsidP="00166210">
      <w:pPr>
        <w:widowControl w:val="0"/>
        <w:ind w:left="3600" w:hanging="3600"/>
        <w:jc w:val="both"/>
        <w:rPr>
          <w:sz w:val="20"/>
          <w:szCs w:val="20"/>
          <w:lang w:val="fr-CA"/>
        </w:rPr>
      </w:pPr>
      <w:r w:rsidRPr="005B3592">
        <w:rPr>
          <w:sz w:val="20"/>
          <w:szCs w:val="20"/>
          <w:lang w:val="fr-CA"/>
        </w:rPr>
        <w:tab/>
      </w:r>
      <w:bookmarkStart w:id="9" w:name="7"/>
      <w:bookmarkEnd w:id="9"/>
      <w:r w:rsidRPr="005B3592">
        <w:rPr>
          <w:sz w:val="20"/>
          <w:szCs w:val="20"/>
          <w:lang w:val="fr-CA"/>
        </w:rPr>
        <w:t xml:space="preserve">Mélanie Dufour et Jacques </w:t>
      </w:r>
      <w:proofErr w:type="spellStart"/>
      <w:r w:rsidRPr="005B3592">
        <w:rPr>
          <w:sz w:val="20"/>
          <w:szCs w:val="20"/>
          <w:lang w:val="fr-CA"/>
        </w:rPr>
        <w:t>Casgrain</w:t>
      </w:r>
      <w:proofErr w:type="spellEnd"/>
      <w:r w:rsidRPr="005B3592">
        <w:rPr>
          <w:sz w:val="20"/>
          <w:szCs w:val="20"/>
          <w:lang w:val="fr-CA"/>
        </w:rPr>
        <w:t xml:space="preserve"> pour l’intimée</w:t>
      </w:r>
    </w:p>
    <w:p w:rsidR="00166210" w:rsidRPr="005B3592" w:rsidRDefault="00166210" w:rsidP="00166210">
      <w:pPr>
        <w:widowControl w:val="0"/>
        <w:ind w:left="3600" w:hanging="3600"/>
        <w:jc w:val="both"/>
        <w:rPr>
          <w:sz w:val="20"/>
          <w:szCs w:val="20"/>
          <w:lang w:val="fr-CA"/>
        </w:rPr>
      </w:pPr>
      <w:r w:rsidRPr="005B3592">
        <w:rPr>
          <w:sz w:val="20"/>
          <w:szCs w:val="20"/>
          <w:lang w:val="fr-CA"/>
        </w:rPr>
        <w:tab/>
        <w:t>Louis Belleau pour Frédéric Faucher</w:t>
      </w:r>
    </w:p>
    <w:p w:rsidR="00166210" w:rsidRPr="005B3592" w:rsidRDefault="00166210" w:rsidP="00166210">
      <w:pPr>
        <w:widowControl w:val="0"/>
        <w:ind w:left="3600" w:hanging="3600"/>
        <w:jc w:val="both"/>
        <w:rPr>
          <w:sz w:val="20"/>
          <w:szCs w:val="20"/>
          <w:lang w:val="fr-CA"/>
        </w:rPr>
      </w:pPr>
      <w:r w:rsidRPr="005B3592">
        <w:rPr>
          <w:sz w:val="20"/>
          <w:szCs w:val="20"/>
          <w:lang w:val="fr-CA"/>
        </w:rPr>
        <w:tab/>
        <w:t xml:space="preserve">Patrick </w:t>
      </w:r>
      <w:proofErr w:type="spellStart"/>
      <w:r w:rsidRPr="005B3592">
        <w:rPr>
          <w:sz w:val="20"/>
          <w:szCs w:val="20"/>
          <w:lang w:val="fr-CA"/>
        </w:rPr>
        <w:t>Cozannet</w:t>
      </w:r>
      <w:proofErr w:type="spellEnd"/>
      <w:r w:rsidRPr="005B3592">
        <w:rPr>
          <w:sz w:val="20"/>
          <w:szCs w:val="20"/>
          <w:lang w:val="fr-CA"/>
        </w:rPr>
        <w:t xml:space="preserve"> pour Jean-Claude Gagné</w:t>
      </w:r>
    </w:p>
    <w:p w:rsidR="00166210" w:rsidRPr="005B3592" w:rsidRDefault="00166210" w:rsidP="00166210">
      <w:pPr>
        <w:widowControl w:val="0"/>
        <w:ind w:left="3600" w:hanging="3600"/>
        <w:jc w:val="both"/>
        <w:rPr>
          <w:sz w:val="20"/>
          <w:szCs w:val="20"/>
          <w:lang w:val="fr-CA"/>
        </w:rPr>
      </w:pPr>
      <w:r w:rsidRPr="005B3592">
        <w:rPr>
          <w:sz w:val="20"/>
          <w:szCs w:val="20"/>
          <w:lang w:val="fr-CA"/>
        </w:rPr>
        <w:tab/>
        <w:t xml:space="preserve">Michel </w:t>
      </w:r>
      <w:proofErr w:type="spellStart"/>
      <w:r w:rsidRPr="005B3592">
        <w:rPr>
          <w:sz w:val="20"/>
          <w:szCs w:val="20"/>
          <w:lang w:val="fr-CA"/>
        </w:rPr>
        <w:t>Croteau</w:t>
      </w:r>
      <w:proofErr w:type="spellEnd"/>
      <w:r w:rsidRPr="005B3592">
        <w:rPr>
          <w:sz w:val="20"/>
          <w:szCs w:val="20"/>
          <w:lang w:val="fr-CA"/>
        </w:rPr>
        <w:t xml:space="preserve"> pour Denis </w:t>
      </w:r>
      <w:proofErr w:type="spellStart"/>
      <w:r w:rsidRPr="005B3592">
        <w:rPr>
          <w:sz w:val="20"/>
          <w:szCs w:val="20"/>
          <w:lang w:val="fr-CA"/>
        </w:rPr>
        <w:t>Gaudreault</w:t>
      </w:r>
      <w:proofErr w:type="spellEnd"/>
    </w:p>
    <w:p w:rsidR="00166210" w:rsidRPr="005B3592" w:rsidRDefault="00166210" w:rsidP="00166210">
      <w:pPr>
        <w:widowControl w:val="0"/>
        <w:ind w:left="3600" w:hanging="3600"/>
        <w:jc w:val="both"/>
        <w:rPr>
          <w:sz w:val="20"/>
          <w:szCs w:val="20"/>
          <w:lang w:val="fr-CA"/>
        </w:rPr>
      </w:pPr>
      <w:r w:rsidRPr="005B3592">
        <w:rPr>
          <w:sz w:val="20"/>
          <w:szCs w:val="20"/>
          <w:lang w:val="fr-CA"/>
        </w:rPr>
        <w:tab/>
        <w:t xml:space="preserve">Véronique </w:t>
      </w:r>
      <w:proofErr w:type="spellStart"/>
      <w:r w:rsidRPr="005B3592">
        <w:rPr>
          <w:sz w:val="20"/>
          <w:szCs w:val="20"/>
          <w:lang w:val="fr-CA"/>
        </w:rPr>
        <w:t>Courtecuisse</w:t>
      </w:r>
      <w:proofErr w:type="spellEnd"/>
      <w:r w:rsidRPr="005B3592">
        <w:rPr>
          <w:sz w:val="20"/>
          <w:szCs w:val="20"/>
          <w:lang w:val="fr-CA"/>
        </w:rPr>
        <w:t xml:space="preserve"> pour Raymond Bouchard</w:t>
      </w:r>
    </w:p>
    <w:p w:rsidR="00166210" w:rsidRPr="005B3592" w:rsidRDefault="00166210" w:rsidP="00166210">
      <w:pPr>
        <w:widowControl w:val="0"/>
        <w:ind w:left="3600" w:hanging="3600"/>
        <w:jc w:val="both"/>
        <w:rPr>
          <w:sz w:val="20"/>
          <w:szCs w:val="20"/>
          <w:lang w:val="fr-CA"/>
        </w:rPr>
      </w:pPr>
      <w:r w:rsidRPr="005B3592">
        <w:rPr>
          <w:sz w:val="20"/>
          <w:szCs w:val="20"/>
          <w:lang w:val="fr-CA"/>
        </w:rPr>
        <w:tab/>
        <w:t xml:space="preserve">Christian Gauthier pour Denis </w:t>
      </w:r>
      <w:proofErr w:type="spellStart"/>
      <w:r w:rsidRPr="005B3592">
        <w:rPr>
          <w:sz w:val="20"/>
          <w:szCs w:val="20"/>
          <w:lang w:val="fr-CA"/>
        </w:rPr>
        <w:t>Corriveau</w:t>
      </w:r>
      <w:proofErr w:type="spellEnd"/>
    </w:p>
    <w:p w:rsidR="00166210" w:rsidRPr="005B3592" w:rsidRDefault="00166210" w:rsidP="00166210">
      <w:pPr>
        <w:widowControl w:val="0"/>
        <w:ind w:left="3600" w:hanging="3600"/>
        <w:jc w:val="both"/>
        <w:rPr>
          <w:sz w:val="20"/>
          <w:szCs w:val="20"/>
          <w:lang w:val="fr-CA"/>
        </w:rPr>
      </w:pPr>
      <w:r w:rsidRPr="005B3592">
        <w:rPr>
          <w:sz w:val="20"/>
          <w:szCs w:val="20"/>
          <w:lang w:val="fr-CA"/>
        </w:rPr>
        <w:tab/>
        <w:t xml:space="preserve">Jacques </w:t>
      </w:r>
      <w:proofErr w:type="spellStart"/>
      <w:r w:rsidRPr="005B3592">
        <w:rPr>
          <w:sz w:val="20"/>
          <w:szCs w:val="20"/>
          <w:lang w:val="fr-CA"/>
        </w:rPr>
        <w:t>Larochelle</w:t>
      </w:r>
      <w:proofErr w:type="spellEnd"/>
      <w:r w:rsidRPr="005B3592">
        <w:rPr>
          <w:sz w:val="20"/>
          <w:szCs w:val="20"/>
          <w:lang w:val="fr-CA"/>
        </w:rPr>
        <w:t xml:space="preserve"> pour Marcel Demers</w:t>
      </w:r>
    </w:p>
    <w:p w:rsidR="00166210" w:rsidRPr="005B3592" w:rsidRDefault="00166210" w:rsidP="00166210">
      <w:pPr>
        <w:widowControl w:val="0"/>
        <w:ind w:left="3600" w:hanging="3600"/>
        <w:jc w:val="both"/>
        <w:rPr>
          <w:sz w:val="20"/>
          <w:szCs w:val="20"/>
          <w:lang w:val="fr-CA"/>
        </w:rPr>
      </w:pPr>
      <w:r w:rsidRPr="005B3592">
        <w:rPr>
          <w:sz w:val="20"/>
          <w:szCs w:val="20"/>
          <w:lang w:val="fr-CA"/>
        </w:rPr>
        <w:tab/>
        <w:t xml:space="preserve">Élise </w:t>
      </w:r>
      <w:proofErr w:type="spellStart"/>
      <w:r w:rsidRPr="005B3592">
        <w:rPr>
          <w:sz w:val="20"/>
          <w:szCs w:val="20"/>
          <w:lang w:val="fr-CA"/>
        </w:rPr>
        <w:t>Pinsonnault</w:t>
      </w:r>
      <w:proofErr w:type="spellEnd"/>
      <w:r w:rsidRPr="005B3592">
        <w:rPr>
          <w:sz w:val="20"/>
          <w:szCs w:val="20"/>
          <w:lang w:val="fr-CA"/>
        </w:rPr>
        <w:t xml:space="preserve"> pour Gérard Hubert</w:t>
      </w:r>
    </w:p>
    <w:p w:rsidR="00166210" w:rsidRPr="005B3592" w:rsidRDefault="00166210" w:rsidP="00166210">
      <w:pPr>
        <w:widowControl w:val="0"/>
        <w:ind w:left="3600" w:hanging="3600"/>
        <w:jc w:val="both"/>
        <w:rPr>
          <w:sz w:val="20"/>
          <w:szCs w:val="20"/>
          <w:lang w:val="fr-CA"/>
        </w:rPr>
      </w:pPr>
      <w:r w:rsidRPr="005B3592">
        <w:rPr>
          <w:sz w:val="20"/>
          <w:szCs w:val="20"/>
          <w:lang w:val="fr-CA"/>
        </w:rPr>
        <w:tab/>
        <w:t>Carl Thibault pour Jacqueline Benoît</w:t>
      </w:r>
    </w:p>
    <w:p w:rsidR="00166210" w:rsidRPr="005B3592" w:rsidRDefault="00166210" w:rsidP="00166210">
      <w:pPr>
        <w:widowControl w:val="0"/>
        <w:ind w:left="3600" w:hanging="3600"/>
        <w:jc w:val="both"/>
        <w:rPr>
          <w:sz w:val="20"/>
          <w:szCs w:val="20"/>
          <w:lang w:val="fr-CA"/>
        </w:rPr>
      </w:pPr>
      <w:r w:rsidRPr="005B3592">
        <w:rPr>
          <w:sz w:val="20"/>
          <w:szCs w:val="20"/>
          <w:lang w:val="fr-CA"/>
        </w:rPr>
        <w:tab/>
        <w:t>Thomas Walsh pour Gilles Dubois</w:t>
      </w:r>
    </w:p>
    <w:p w:rsidR="00166210" w:rsidRPr="005B3592" w:rsidRDefault="00166210" w:rsidP="00166210">
      <w:pPr>
        <w:widowControl w:val="0"/>
        <w:ind w:left="3600" w:hanging="3600"/>
        <w:jc w:val="both"/>
        <w:rPr>
          <w:sz w:val="20"/>
          <w:szCs w:val="20"/>
          <w:lang w:val="fr-CA"/>
        </w:rPr>
      </w:pPr>
      <w:r w:rsidRPr="005B3592">
        <w:rPr>
          <w:sz w:val="20"/>
          <w:szCs w:val="20"/>
          <w:lang w:val="fr-CA"/>
        </w:rPr>
        <w:tab/>
        <w:t>Raymond Desfossés pour lui-même</w:t>
      </w:r>
    </w:p>
    <w:p w:rsidR="00223D9F" w:rsidRPr="00166210" w:rsidRDefault="00223D9F" w:rsidP="000B3C9A">
      <w:pPr>
        <w:tabs>
          <w:tab w:val="left" w:pos="-1440"/>
          <w:tab w:val="left" w:pos="-720"/>
        </w:tabs>
        <w:ind w:left="720" w:hanging="720"/>
        <w:jc w:val="both"/>
        <w:rPr>
          <w:sz w:val="20"/>
          <w:szCs w:val="20"/>
          <w:lang w:val="fr-CA"/>
        </w:rPr>
      </w:pPr>
    </w:p>
    <w:p w:rsidR="000B3C9A" w:rsidRPr="00DD0B49" w:rsidRDefault="007505E6" w:rsidP="000B3C9A">
      <w:pPr>
        <w:tabs>
          <w:tab w:val="left" w:pos="-1440"/>
          <w:tab w:val="left" w:pos="-720"/>
        </w:tabs>
        <w:ind w:left="720" w:hanging="720"/>
        <w:jc w:val="both"/>
        <w:rPr>
          <w:sz w:val="20"/>
          <w:szCs w:val="20"/>
        </w:rPr>
      </w:pPr>
      <w:r w:rsidRPr="007505E6">
        <w:rPr>
          <w:sz w:val="20"/>
          <w:szCs w:val="20"/>
          <w:lang w:val="fr-CA"/>
        </w:rPr>
        <w:pict>
          <v:rect id="_x0000_i1098" style="width:2in;height:1pt" o:hrpct="0" o:hralign="center" o:hrstd="t" o:hrnoshade="t" o:hr="t" fillcolor="black [3213]" stroked="f"/>
        </w:pict>
      </w:r>
    </w:p>
    <w:p w:rsidR="000B3C9A" w:rsidRPr="00223D9F" w:rsidRDefault="000B3C9A" w:rsidP="000B3C9A">
      <w:pPr>
        <w:tabs>
          <w:tab w:val="left" w:pos="-1440"/>
          <w:tab w:val="left" w:pos="-720"/>
        </w:tabs>
        <w:ind w:left="720" w:hanging="720"/>
        <w:jc w:val="both"/>
        <w:rPr>
          <w:sz w:val="20"/>
          <w:szCs w:val="20"/>
        </w:rPr>
      </w:pPr>
    </w:p>
    <w:p w:rsidR="000B3C9A" w:rsidRDefault="000B3C9A" w:rsidP="000B3C9A">
      <w:pPr>
        <w:tabs>
          <w:tab w:val="left" w:pos="-1440"/>
          <w:tab w:val="left" w:pos="-720"/>
        </w:tabs>
        <w:ind w:left="720" w:hanging="720"/>
        <w:jc w:val="both"/>
        <w:rPr>
          <w:lang w:val="fr-CA"/>
        </w:rPr>
      </w:pPr>
      <w:r>
        <w:rPr>
          <w:lang w:val="fr-CA"/>
        </w:rPr>
        <w:br w:type="page"/>
      </w:r>
    </w:p>
    <w:p w:rsidR="004A1C7B" w:rsidRPr="0085721F" w:rsidRDefault="007505E6" w:rsidP="004A1C7B">
      <w:pPr>
        <w:widowControl w:val="0"/>
        <w:ind w:left="720" w:hanging="720"/>
        <w:jc w:val="both"/>
        <w:rPr>
          <w:rFonts w:cs="Times New Roman"/>
          <w:sz w:val="20"/>
          <w:szCs w:val="20"/>
        </w:rPr>
      </w:pPr>
      <w:r w:rsidRPr="0085721F">
        <w:rPr>
          <w:rFonts w:cs="Times New Roman"/>
          <w:b/>
          <w:sz w:val="20"/>
          <w:szCs w:val="20"/>
        </w:rPr>
        <w:lastRenderedPageBreak/>
        <w:fldChar w:fldCharType="begin"/>
      </w:r>
      <w:r w:rsidR="004A1C7B" w:rsidRPr="0085721F">
        <w:rPr>
          <w:rFonts w:cs="Times New Roman"/>
          <w:b/>
          <w:sz w:val="20"/>
          <w:szCs w:val="20"/>
        </w:rPr>
        <w:instrText xml:space="preserve"> SEQ CHAPTER \h \r 1</w:instrText>
      </w:r>
      <w:r w:rsidRPr="0085721F">
        <w:rPr>
          <w:rFonts w:cs="Times New Roman"/>
          <w:b/>
          <w:sz w:val="20"/>
          <w:szCs w:val="20"/>
        </w:rPr>
        <w:fldChar w:fldCharType="end"/>
      </w:r>
      <w:proofErr w:type="gramStart"/>
      <w:r w:rsidR="004A1C7B" w:rsidRPr="0085721F">
        <w:rPr>
          <w:rFonts w:cs="Times New Roman"/>
          <w:b/>
          <w:sz w:val="20"/>
          <w:szCs w:val="20"/>
        </w:rPr>
        <w:t>34517</w:t>
      </w:r>
      <w:r w:rsidR="004A1C7B" w:rsidRPr="0085721F">
        <w:rPr>
          <w:rFonts w:cs="Times New Roman"/>
          <w:sz w:val="20"/>
          <w:szCs w:val="20"/>
        </w:rPr>
        <w:tab/>
      </w:r>
      <w:r w:rsidR="004A1C7B" w:rsidRPr="0085721F">
        <w:rPr>
          <w:rFonts w:cs="Times New Roman"/>
          <w:b/>
          <w:i/>
          <w:sz w:val="20"/>
          <w:szCs w:val="20"/>
        </w:rPr>
        <w:t xml:space="preserve">Robert Joseph </w:t>
      </w:r>
      <w:proofErr w:type="spellStart"/>
      <w:r w:rsidR="004A1C7B" w:rsidRPr="0085721F">
        <w:rPr>
          <w:rFonts w:cs="Times New Roman"/>
          <w:b/>
          <w:i/>
          <w:sz w:val="20"/>
          <w:szCs w:val="20"/>
        </w:rPr>
        <w:t>Kociuk</w:t>
      </w:r>
      <w:proofErr w:type="spellEnd"/>
      <w:r w:rsidR="004A1C7B" w:rsidRPr="0085721F">
        <w:rPr>
          <w:rFonts w:cs="Times New Roman"/>
          <w:b/>
          <w:i/>
          <w:sz w:val="20"/>
          <w:szCs w:val="20"/>
        </w:rPr>
        <w:t xml:space="preserve"> v.</w:t>
      </w:r>
      <w:proofErr w:type="gramEnd"/>
      <w:r w:rsidR="004A1C7B" w:rsidRPr="0085721F">
        <w:rPr>
          <w:rFonts w:cs="Times New Roman"/>
          <w:b/>
          <w:i/>
          <w:sz w:val="20"/>
          <w:szCs w:val="20"/>
        </w:rPr>
        <w:t xml:space="preserve"> Her Majesty the Queen</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Criminal law </w:t>
      </w:r>
      <w:r w:rsidRPr="0085721F">
        <w:rPr>
          <w:rFonts w:cs="Times New Roman"/>
          <w:sz w:val="20"/>
          <w:szCs w:val="20"/>
        </w:rPr>
        <w:noBreakHyphen/>
        <w:t xml:space="preserve"> Charge to the jury </w:t>
      </w:r>
      <w:r w:rsidRPr="0085721F">
        <w:rPr>
          <w:rFonts w:cs="Times New Roman"/>
          <w:sz w:val="20"/>
          <w:szCs w:val="20"/>
        </w:rPr>
        <w:noBreakHyphen/>
        <w:t xml:space="preserve"> Murder while committing sexual assault </w:t>
      </w:r>
      <w:r w:rsidRPr="0085721F">
        <w:rPr>
          <w:rFonts w:cs="Times New Roman"/>
          <w:sz w:val="20"/>
          <w:szCs w:val="20"/>
        </w:rPr>
        <w:noBreakHyphen/>
        <w:t xml:space="preserve"> Elements of the offence </w:t>
      </w:r>
      <w:r w:rsidRPr="0085721F">
        <w:rPr>
          <w:rFonts w:cs="Times New Roman"/>
          <w:sz w:val="20"/>
          <w:szCs w:val="20"/>
        </w:rPr>
        <w:noBreakHyphen/>
        <w:t xml:space="preserve"> Evidence </w:t>
      </w:r>
      <w:r w:rsidRPr="0085721F">
        <w:rPr>
          <w:rFonts w:cs="Times New Roman"/>
          <w:sz w:val="20"/>
          <w:szCs w:val="20"/>
        </w:rPr>
        <w:noBreakHyphen/>
        <w:t xml:space="preserve"> Whether the trial judge erred by failing to properly and fairly relate the evidence to the elements of the offence </w:t>
      </w:r>
      <w:r w:rsidRPr="0085721F">
        <w:rPr>
          <w:rFonts w:cs="Times New Roman"/>
          <w:sz w:val="20"/>
          <w:szCs w:val="20"/>
        </w:rPr>
        <w:noBreakHyphen/>
        <w:t xml:space="preserve"> Whether the trial judge must put to the jury all alternative bases of defence even where those alternatives are not stressed by trial counsel.</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The appellant was charged and convicted of first degree murder under s. 231(5) of the </w:t>
      </w:r>
      <w:r w:rsidRPr="0085721F">
        <w:rPr>
          <w:rFonts w:cs="Times New Roman"/>
          <w:i/>
          <w:sz w:val="20"/>
          <w:szCs w:val="20"/>
        </w:rPr>
        <w:t>Criminal Code</w:t>
      </w:r>
      <w:r w:rsidRPr="0085721F">
        <w:rPr>
          <w:rFonts w:cs="Times New Roman"/>
          <w:sz w:val="20"/>
          <w:szCs w:val="20"/>
        </w:rPr>
        <w:t xml:space="preserve">, which deems murder that occurs while committing a sexual assault to be first degree murder irrespective of whether the murder was planned and deliberate.  The victim’s body was discovered in a bush area and the autopsy revealed the cause of death to be multiple stab wounds, with evidence of recent sexual intercourse.  This was a “cold case” murder from 1984 when DNA profiling was only in its experimental stage.  Eventually, with the development of DNA profiling technology, a DNA analysis was conducted.  The DNA matched that of the appellant.  The appellant appealed his conviction.  The majority of the Court of Appeal dismissed the appeal.  Beard J.A., dissenting, would have allowed the appeal and ordered a new trial on the basis that the theory of the defence was not adequately put to the jury. </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Origin of the case:</w:t>
      </w:r>
      <w:r w:rsidRPr="0085721F">
        <w:rPr>
          <w:rFonts w:cs="Times New Roman"/>
          <w:sz w:val="20"/>
          <w:szCs w:val="20"/>
        </w:rPr>
        <w:tab/>
      </w:r>
      <w:r w:rsidRPr="0085721F">
        <w:rPr>
          <w:rFonts w:cs="Times New Roman"/>
          <w:sz w:val="20"/>
          <w:szCs w:val="20"/>
        </w:rPr>
        <w:tab/>
      </w:r>
      <w:r w:rsidRPr="0085721F">
        <w:rPr>
          <w:rFonts w:cs="Times New Roman"/>
          <w:sz w:val="20"/>
          <w:szCs w:val="20"/>
        </w:rPr>
        <w:tab/>
        <w:t>Manitoba</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File No.:</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34517</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Judgment of the Court of Appeal:</w:t>
      </w:r>
      <w:r w:rsidRPr="0085721F">
        <w:rPr>
          <w:rFonts w:cs="Times New Roman"/>
          <w:sz w:val="20"/>
          <w:szCs w:val="20"/>
        </w:rPr>
        <w:tab/>
      </w:r>
      <w:r>
        <w:rPr>
          <w:rFonts w:cs="Times New Roman"/>
          <w:sz w:val="20"/>
          <w:szCs w:val="20"/>
        </w:rPr>
        <w:tab/>
      </w:r>
      <w:r w:rsidRPr="0085721F">
        <w:rPr>
          <w:rFonts w:cs="Times New Roman"/>
          <w:sz w:val="20"/>
          <w:szCs w:val="20"/>
        </w:rPr>
        <w:t>October 21, 2011</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Counsel:</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 xml:space="preserve">Leonard J. W. </w:t>
      </w:r>
      <w:proofErr w:type="spellStart"/>
      <w:r w:rsidRPr="0085721F">
        <w:rPr>
          <w:rFonts w:cs="Times New Roman"/>
          <w:sz w:val="20"/>
          <w:szCs w:val="20"/>
        </w:rPr>
        <w:t>Tailleur</w:t>
      </w:r>
      <w:proofErr w:type="spellEnd"/>
      <w:r w:rsidRPr="0085721F">
        <w:rPr>
          <w:rFonts w:cs="Times New Roman"/>
          <w:sz w:val="20"/>
          <w:szCs w:val="20"/>
        </w:rPr>
        <w:t xml:space="preserve"> for the appellant</w:t>
      </w:r>
    </w:p>
    <w:p w:rsidR="004A1C7B" w:rsidRPr="00F3105F" w:rsidRDefault="004A1C7B" w:rsidP="004A1C7B">
      <w:pPr>
        <w:widowControl w:val="0"/>
        <w:jc w:val="both"/>
        <w:rPr>
          <w:rFonts w:cs="Times New Roman"/>
          <w:sz w:val="20"/>
          <w:szCs w:val="20"/>
          <w:lang w:val="fr-CA"/>
        </w:rPr>
      </w:pP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F3105F">
        <w:rPr>
          <w:rFonts w:cs="Times New Roman"/>
          <w:sz w:val="20"/>
          <w:szCs w:val="20"/>
          <w:lang w:val="fr-CA"/>
        </w:rPr>
        <w:t xml:space="preserve">Elizabeth Thomson for the </w:t>
      </w:r>
      <w:proofErr w:type="spellStart"/>
      <w:r w:rsidRPr="00F3105F">
        <w:rPr>
          <w:rFonts w:cs="Times New Roman"/>
          <w:sz w:val="20"/>
          <w:szCs w:val="20"/>
          <w:lang w:val="fr-CA"/>
        </w:rPr>
        <w:t>respondent</w:t>
      </w:r>
      <w:proofErr w:type="spellEnd"/>
    </w:p>
    <w:p w:rsidR="00223D9F" w:rsidRPr="00DD0B49" w:rsidRDefault="00223D9F" w:rsidP="00223D9F">
      <w:pPr>
        <w:tabs>
          <w:tab w:val="left" w:pos="-1440"/>
          <w:tab w:val="left" w:pos="-720"/>
        </w:tabs>
        <w:ind w:left="720" w:hanging="720"/>
        <w:jc w:val="both"/>
        <w:rPr>
          <w:sz w:val="20"/>
          <w:szCs w:val="20"/>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099"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0B3C9A" w:rsidRDefault="000B3C9A" w:rsidP="000B3C9A">
      <w:pPr>
        <w:tabs>
          <w:tab w:val="left" w:pos="-1440"/>
          <w:tab w:val="left" w:pos="-720"/>
        </w:tabs>
        <w:jc w:val="both"/>
        <w:rPr>
          <w:sz w:val="20"/>
          <w:szCs w:val="20"/>
          <w:lang w:val="fr-CA"/>
        </w:rPr>
      </w:pPr>
    </w:p>
    <w:p w:rsidR="00223D9F" w:rsidRDefault="00223D9F">
      <w:pPr>
        <w:rPr>
          <w:sz w:val="20"/>
          <w:szCs w:val="20"/>
          <w:lang w:val="fr-CA"/>
        </w:rPr>
      </w:pPr>
      <w:r>
        <w:rPr>
          <w:sz w:val="20"/>
          <w:szCs w:val="20"/>
          <w:lang w:val="fr-CA"/>
        </w:rPr>
        <w:br w:type="page"/>
      </w:r>
    </w:p>
    <w:p w:rsidR="004A1C7B" w:rsidRPr="0085721F" w:rsidRDefault="007505E6" w:rsidP="004A1C7B">
      <w:pPr>
        <w:widowControl w:val="0"/>
        <w:ind w:left="720" w:hanging="720"/>
        <w:jc w:val="both"/>
        <w:rPr>
          <w:rFonts w:cs="Times New Roman"/>
          <w:sz w:val="20"/>
          <w:szCs w:val="20"/>
          <w:lang w:val="fr-CA"/>
        </w:rPr>
      </w:pPr>
      <w:r w:rsidRPr="0085721F">
        <w:rPr>
          <w:rFonts w:cs="Times New Roman"/>
          <w:b/>
          <w:sz w:val="20"/>
          <w:szCs w:val="20"/>
          <w:lang w:val="fr-CA"/>
        </w:rPr>
        <w:lastRenderedPageBreak/>
        <w:fldChar w:fldCharType="begin"/>
      </w:r>
      <w:r w:rsidR="004A1C7B" w:rsidRPr="00317C2D">
        <w:rPr>
          <w:rFonts w:cs="Times New Roman"/>
          <w:b/>
          <w:sz w:val="20"/>
          <w:szCs w:val="20"/>
          <w:lang w:val="fr-CA"/>
        </w:rPr>
        <w:instrText xml:space="preserve"> SEQ CHAPTER \h \r 1</w:instrText>
      </w:r>
      <w:r w:rsidRPr="0085721F">
        <w:rPr>
          <w:rFonts w:cs="Times New Roman"/>
          <w:b/>
          <w:sz w:val="20"/>
          <w:szCs w:val="20"/>
          <w:lang w:val="fr-CA"/>
        </w:rPr>
        <w:fldChar w:fldCharType="end"/>
      </w:r>
      <w:r w:rsidR="004A1C7B" w:rsidRPr="00317C2D">
        <w:rPr>
          <w:rFonts w:cs="Times New Roman"/>
          <w:b/>
          <w:sz w:val="20"/>
          <w:szCs w:val="20"/>
          <w:lang w:val="fr-CA"/>
        </w:rPr>
        <w:t>34517</w:t>
      </w:r>
      <w:r w:rsidR="004A1C7B" w:rsidRPr="00317C2D">
        <w:rPr>
          <w:rFonts w:cs="Times New Roman"/>
          <w:sz w:val="20"/>
          <w:szCs w:val="20"/>
          <w:lang w:val="fr-CA"/>
        </w:rPr>
        <w:tab/>
      </w:r>
      <w:r w:rsidR="004A1C7B" w:rsidRPr="00317C2D">
        <w:rPr>
          <w:rFonts w:cs="Times New Roman"/>
          <w:b/>
          <w:i/>
          <w:sz w:val="20"/>
          <w:szCs w:val="20"/>
          <w:lang w:val="fr-CA"/>
        </w:rPr>
        <w:t>R</w:t>
      </w:r>
      <w:r w:rsidR="004A1C7B" w:rsidRPr="0085721F">
        <w:rPr>
          <w:rFonts w:cs="Times New Roman"/>
          <w:b/>
          <w:i/>
          <w:sz w:val="20"/>
          <w:szCs w:val="20"/>
          <w:lang w:val="fr-CA"/>
        </w:rPr>
        <w:t xml:space="preserve">obert Joseph </w:t>
      </w:r>
      <w:proofErr w:type="spellStart"/>
      <w:r w:rsidR="004A1C7B" w:rsidRPr="0085721F">
        <w:rPr>
          <w:rFonts w:cs="Times New Roman"/>
          <w:b/>
          <w:i/>
          <w:sz w:val="20"/>
          <w:szCs w:val="20"/>
          <w:lang w:val="fr-CA"/>
        </w:rPr>
        <w:t>Kociuk</w:t>
      </w:r>
      <w:proofErr w:type="spellEnd"/>
      <w:r w:rsidR="004A1C7B" w:rsidRPr="0085721F">
        <w:rPr>
          <w:rFonts w:cs="Times New Roman"/>
          <w:b/>
          <w:i/>
          <w:sz w:val="20"/>
          <w:szCs w:val="20"/>
          <w:lang w:val="fr-CA"/>
        </w:rPr>
        <w:t xml:space="preserve"> c. Sa Majesté la Reine</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Exposé au jury </w:t>
      </w:r>
      <w:r w:rsidRPr="0085721F">
        <w:rPr>
          <w:rFonts w:cs="Times New Roman"/>
          <w:sz w:val="20"/>
          <w:szCs w:val="20"/>
          <w:lang w:val="fr-CA"/>
        </w:rPr>
        <w:noBreakHyphen/>
        <w:t xml:space="preserve"> Meurtre commis en commettant une agression sexuelle </w:t>
      </w:r>
      <w:r w:rsidRPr="0085721F">
        <w:rPr>
          <w:rFonts w:cs="Times New Roman"/>
          <w:sz w:val="20"/>
          <w:szCs w:val="20"/>
          <w:lang w:val="fr-CA"/>
        </w:rPr>
        <w:noBreakHyphen/>
        <w:t xml:space="preserve"> Éléments de l</w:t>
      </w:r>
      <w:r w:rsidR="008E45A6">
        <w:rPr>
          <w:rFonts w:cs="Times New Roman"/>
          <w:sz w:val="20"/>
          <w:szCs w:val="20"/>
          <w:lang w:val="fr-CA"/>
        </w:rPr>
        <w:t>’</w:t>
      </w:r>
      <w:r w:rsidRPr="0085721F">
        <w:rPr>
          <w:rFonts w:cs="Times New Roman"/>
          <w:sz w:val="20"/>
          <w:szCs w:val="20"/>
          <w:lang w:val="fr-CA"/>
        </w:rPr>
        <w:t xml:space="preserve">infraction </w:t>
      </w:r>
      <w:r w:rsidRPr="0085721F">
        <w:rPr>
          <w:rFonts w:cs="Times New Roman"/>
          <w:sz w:val="20"/>
          <w:szCs w:val="20"/>
          <w:lang w:val="fr-CA"/>
        </w:rPr>
        <w:noBreakHyphen/>
        <w:t xml:space="preserve"> Preuve </w:t>
      </w:r>
      <w:r w:rsidRPr="0085721F">
        <w:rPr>
          <w:rFonts w:cs="Times New Roman"/>
          <w:sz w:val="20"/>
          <w:szCs w:val="20"/>
          <w:lang w:val="fr-CA"/>
        </w:rPr>
        <w:noBreakHyphen/>
        <w:t xml:space="preserve"> Le juge du procès a</w:t>
      </w:r>
      <w:r>
        <w:rPr>
          <w:rFonts w:cs="Times New Roman"/>
          <w:sz w:val="20"/>
          <w:szCs w:val="20"/>
          <w:lang w:val="fr-CA"/>
        </w:rPr>
        <w:t>-</w:t>
      </w:r>
      <w:r w:rsidRPr="0085721F">
        <w:rPr>
          <w:rFonts w:cs="Times New Roman"/>
          <w:sz w:val="20"/>
          <w:szCs w:val="20"/>
          <w:lang w:val="fr-CA"/>
        </w:rPr>
        <w:t>t</w:t>
      </w:r>
      <w:r>
        <w:rPr>
          <w:rFonts w:cs="Times New Roman"/>
          <w:sz w:val="20"/>
          <w:szCs w:val="20"/>
          <w:lang w:val="fr-CA"/>
        </w:rPr>
        <w:t>-</w:t>
      </w:r>
      <w:r w:rsidRPr="0085721F">
        <w:rPr>
          <w:rFonts w:cs="Times New Roman"/>
          <w:sz w:val="20"/>
          <w:szCs w:val="20"/>
          <w:lang w:val="fr-CA"/>
        </w:rPr>
        <w:t>il eu tort de ne pas avoir adéquatement et équitablement lié la preuve aux éléments de l</w:t>
      </w:r>
      <w:r w:rsidR="008E45A6">
        <w:rPr>
          <w:rFonts w:cs="Times New Roman"/>
          <w:sz w:val="20"/>
          <w:szCs w:val="20"/>
          <w:lang w:val="fr-CA"/>
        </w:rPr>
        <w:t>’</w:t>
      </w:r>
      <w:r w:rsidRPr="0085721F">
        <w:rPr>
          <w:rFonts w:cs="Times New Roman"/>
          <w:sz w:val="20"/>
          <w:szCs w:val="20"/>
          <w:lang w:val="fr-CA"/>
        </w:rPr>
        <w:t xml:space="preserve">infraction? </w:t>
      </w:r>
      <w:r w:rsidRPr="0085721F">
        <w:rPr>
          <w:rFonts w:cs="Times New Roman"/>
          <w:sz w:val="20"/>
          <w:szCs w:val="20"/>
          <w:lang w:val="fr-CA"/>
        </w:rPr>
        <w:noBreakHyphen/>
        <w:t xml:space="preserve"> Le juge du procès doit</w:t>
      </w:r>
      <w:r>
        <w:rPr>
          <w:rFonts w:cs="Times New Roman"/>
          <w:sz w:val="20"/>
          <w:szCs w:val="20"/>
          <w:lang w:val="fr-CA"/>
        </w:rPr>
        <w:t>-</w:t>
      </w:r>
      <w:r w:rsidRPr="0085721F">
        <w:rPr>
          <w:rFonts w:cs="Times New Roman"/>
          <w:sz w:val="20"/>
          <w:szCs w:val="20"/>
          <w:lang w:val="fr-CA"/>
        </w:rPr>
        <w:t>il exposer au jury tous les autres moyens de défense, même ceux sur lesquels l</w:t>
      </w:r>
      <w:r w:rsidR="008E45A6">
        <w:rPr>
          <w:rFonts w:cs="Times New Roman"/>
          <w:sz w:val="20"/>
          <w:szCs w:val="20"/>
          <w:lang w:val="fr-CA"/>
        </w:rPr>
        <w:t>’</w:t>
      </w:r>
      <w:r w:rsidRPr="0085721F">
        <w:rPr>
          <w:rFonts w:cs="Times New Roman"/>
          <w:sz w:val="20"/>
          <w:szCs w:val="20"/>
          <w:lang w:val="fr-CA"/>
        </w:rPr>
        <w:t>avocat au procès n’a pas insisté?</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L'appelant a été accusé et déclaré coupable de meurtre au premier degré aux termes du par. 231(5) du</w:t>
      </w:r>
      <w:r w:rsidRPr="0085721F">
        <w:rPr>
          <w:rFonts w:cs="Times New Roman"/>
          <w:i/>
          <w:sz w:val="20"/>
          <w:szCs w:val="20"/>
          <w:lang w:val="fr-CA"/>
        </w:rPr>
        <w:t xml:space="preserve"> Code criminel</w:t>
      </w:r>
      <w:r w:rsidRPr="0085721F">
        <w:rPr>
          <w:rFonts w:cs="Times New Roman"/>
          <w:sz w:val="20"/>
          <w:szCs w:val="20"/>
          <w:lang w:val="fr-CA"/>
        </w:rPr>
        <w:t>, qui assimile à un meurtre au premier degré le meurtre que commet une personne en commettant une agression sexuelle, indépendamment de toute préméditation.  Le corps de la victime a été découvert dans un boisé et l</w:t>
      </w:r>
      <w:r w:rsidR="005E5E7A">
        <w:rPr>
          <w:rFonts w:cs="Times New Roman"/>
          <w:sz w:val="20"/>
          <w:szCs w:val="20"/>
          <w:lang w:val="fr-CA"/>
        </w:rPr>
        <w:t>’</w:t>
      </w:r>
      <w:r w:rsidRPr="0085721F">
        <w:rPr>
          <w:rFonts w:cs="Times New Roman"/>
          <w:sz w:val="20"/>
          <w:szCs w:val="20"/>
          <w:lang w:val="fr-CA"/>
        </w:rPr>
        <w:t>autopsie a révélé que le décès avait été causé par de nombreuses plaies par arme blanche, avec des éléments de preuve de rapports sexuels récents.  Il s’agissait d’un « vieux crime » de meurtre qui remontait à 1984, alors que la technique des empreintes génétiques en était encore au stade expérimental.  Avec le développement de la technologie des empreintes génétiques, une analyse d’empreintes génétiques a fini par être effectuée.  L</w:t>
      </w:r>
      <w:r w:rsidR="008E45A6">
        <w:rPr>
          <w:rFonts w:cs="Times New Roman"/>
          <w:sz w:val="20"/>
          <w:szCs w:val="20"/>
          <w:lang w:val="fr-CA"/>
        </w:rPr>
        <w:t>’</w:t>
      </w:r>
      <w:r w:rsidRPr="0085721F">
        <w:rPr>
          <w:rFonts w:cs="Times New Roman"/>
          <w:sz w:val="20"/>
          <w:szCs w:val="20"/>
          <w:lang w:val="fr-CA"/>
        </w:rPr>
        <w:t>ADN correspondait à celui de l</w:t>
      </w:r>
      <w:r w:rsidR="008E45A6">
        <w:rPr>
          <w:rFonts w:cs="Times New Roman"/>
          <w:sz w:val="20"/>
          <w:szCs w:val="20"/>
          <w:lang w:val="fr-CA"/>
        </w:rPr>
        <w:t>’</w:t>
      </w:r>
      <w:r w:rsidRPr="0085721F">
        <w:rPr>
          <w:rFonts w:cs="Times New Roman"/>
          <w:sz w:val="20"/>
          <w:szCs w:val="20"/>
          <w:lang w:val="fr-CA"/>
        </w:rPr>
        <w:t>appelant.  L</w:t>
      </w:r>
      <w:r w:rsidR="008E45A6">
        <w:rPr>
          <w:rFonts w:cs="Times New Roman"/>
          <w:sz w:val="20"/>
          <w:szCs w:val="20"/>
          <w:lang w:val="fr-CA"/>
        </w:rPr>
        <w:t>’</w:t>
      </w:r>
      <w:r w:rsidRPr="0085721F">
        <w:rPr>
          <w:rFonts w:cs="Times New Roman"/>
          <w:sz w:val="20"/>
          <w:szCs w:val="20"/>
          <w:lang w:val="fr-CA"/>
        </w:rPr>
        <w:t>appelant a interjeté appel de sa condamnation.  Les juges majoritaires de la Cour d'appel ont rejeté l</w:t>
      </w:r>
      <w:r w:rsidR="008E45A6">
        <w:rPr>
          <w:rFonts w:cs="Times New Roman"/>
          <w:sz w:val="20"/>
          <w:szCs w:val="20"/>
          <w:lang w:val="fr-CA"/>
        </w:rPr>
        <w:t>’</w:t>
      </w:r>
      <w:r w:rsidRPr="0085721F">
        <w:rPr>
          <w:rFonts w:cs="Times New Roman"/>
          <w:sz w:val="20"/>
          <w:szCs w:val="20"/>
          <w:lang w:val="fr-CA"/>
        </w:rPr>
        <w:t xml:space="preserve">appel.  La juge </w:t>
      </w:r>
      <w:proofErr w:type="spellStart"/>
      <w:r w:rsidRPr="0085721F">
        <w:rPr>
          <w:rFonts w:cs="Times New Roman"/>
          <w:sz w:val="20"/>
          <w:szCs w:val="20"/>
          <w:lang w:val="fr-CA"/>
        </w:rPr>
        <w:t>Beard</w:t>
      </w:r>
      <w:proofErr w:type="spellEnd"/>
      <w:r w:rsidRPr="0085721F">
        <w:rPr>
          <w:rFonts w:cs="Times New Roman"/>
          <w:sz w:val="20"/>
          <w:szCs w:val="20"/>
          <w:lang w:val="fr-CA"/>
        </w:rPr>
        <w:t>, dissidente, aurait accueilli l</w:t>
      </w:r>
      <w:r w:rsidR="005E5E7A">
        <w:rPr>
          <w:rFonts w:cs="Times New Roman"/>
          <w:sz w:val="20"/>
          <w:szCs w:val="20"/>
          <w:lang w:val="fr-CA"/>
        </w:rPr>
        <w:t>’</w:t>
      </w:r>
      <w:r w:rsidRPr="0085721F">
        <w:rPr>
          <w:rFonts w:cs="Times New Roman"/>
          <w:sz w:val="20"/>
          <w:szCs w:val="20"/>
          <w:lang w:val="fr-CA"/>
        </w:rPr>
        <w:t>appel et ordonné la tenue d</w:t>
      </w:r>
      <w:r w:rsidR="008E45A6">
        <w:rPr>
          <w:rFonts w:cs="Times New Roman"/>
          <w:sz w:val="20"/>
          <w:szCs w:val="20"/>
          <w:lang w:val="fr-CA"/>
        </w:rPr>
        <w:t>’</w:t>
      </w:r>
      <w:r w:rsidRPr="0085721F">
        <w:rPr>
          <w:rFonts w:cs="Times New Roman"/>
          <w:sz w:val="20"/>
          <w:szCs w:val="20"/>
          <w:lang w:val="fr-CA"/>
        </w:rPr>
        <w:t>un nouveau procès au motif que la thèse de la défense n</w:t>
      </w:r>
      <w:r w:rsidR="008E45A6">
        <w:rPr>
          <w:rFonts w:cs="Times New Roman"/>
          <w:sz w:val="20"/>
          <w:szCs w:val="20"/>
          <w:lang w:val="fr-CA"/>
        </w:rPr>
        <w:t>’</w:t>
      </w:r>
      <w:r w:rsidRPr="0085721F">
        <w:rPr>
          <w:rFonts w:cs="Times New Roman"/>
          <w:sz w:val="20"/>
          <w:szCs w:val="20"/>
          <w:lang w:val="fr-CA"/>
        </w:rPr>
        <w:t xml:space="preserve">avait pas été adéquatement présentée au jury. </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Origine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Manitoba</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34517</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le 21 octobre 2011</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Leonard J. W. Tailleur pour l'appelant</w:t>
      </w:r>
    </w:p>
    <w:p w:rsidR="004A1C7B" w:rsidRPr="00F3105F" w:rsidRDefault="004A1C7B" w:rsidP="004A1C7B">
      <w:pPr>
        <w:widowControl w:val="0"/>
        <w:jc w:val="both"/>
        <w:rPr>
          <w:rFonts w:cs="Times New Roman"/>
          <w:sz w:val="20"/>
          <w:szCs w:val="20"/>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F3105F">
        <w:rPr>
          <w:rFonts w:cs="Times New Roman"/>
          <w:sz w:val="20"/>
          <w:szCs w:val="20"/>
        </w:rPr>
        <w:t xml:space="preserve">Elizabeth Thomson pour </w:t>
      </w:r>
      <w:proofErr w:type="spellStart"/>
      <w:r w:rsidRPr="00F3105F">
        <w:rPr>
          <w:rFonts w:cs="Times New Roman"/>
          <w:sz w:val="20"/>
          <w:szCs w:val="20"/>
        </w:rPr>
        <w:t>l'intimée</w:t>
      </w:r>
      <w:proofErr w:type="spellEnd"/>
    </w:p>
    <w:p w:rsidR="00223D9F" w:rsidRPr="00DD0B49" w:rsidRDefault="00223D9F" w:rsidP="00223D9F">
      <w:pPr>
        <w:tabs>
          <w:tab w:val="left" w:pos="-1440"/>
          <w:tab w:val="left" w:pos="-720"/>
        </w:tabs>
        <w:ind w:left="720" w:hanging="720"/>
        <w:jc w:val="both"/>
        <w:rPr>
          <w:sz w:val="20"/>
          <w:szCs w:val="20"/>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0"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rsidP="000B3C9A">
      <w:pPr>
        <w:tabs>
          <w:tab w:val="left" w:pos="-1440"/>
          <w:tab w:val="left" w:pos="-720"/>
        </w:tabs>
        <w:jc w:val="both"/>
        <w:rPr>
          <w:sz w:val="20"/>
          <w:szCs w:val="20"/>
          <w:lang w:val="fr-CA"/>
        </w:rPr>
      </w:pPr>
    </w:p>
    <w:p w:rsidR="00223D9F" w:rsidRDefault="00223D9F">
      <w:pPr>
        <w:rPr>
          <w:sz w:val="20"/>
          <w:szCs w:val="20"/>
          <w:lang w:val="fr-CA"/>
        </w:rPr>
      </w:pPr>
      <w:r>
        <w:rPr>
          <w:sz w:val="20"/>
          <w:szCs w:val="20"/>
          <w:lang w:val="fr-CA"/>
        </w:rPr>
        <w:br w:type="page"/>
      </w:r>
    </w:p>
    <w:p w:rsidR="004A1C7B" w:rsidRPr="0085721F" w:rsidRDefault="007505E6" w:rsidP="004A1C7B">
      <w:pPr>
        <w:widowControl w:val="0"/>
        <w:ind w:left="720" w:hanging="720"/>
        <w:jc w:val="both"/>
        <w:rPr>
          <w:rFonts w:cs="Times New Roman"/>
          <w:sz w:val="20"/>
          <w:szCs w:val="20"/>
        </w:rPr>
      </w:pPr>
      <w:r w:rsidRPr="0085721F">
        <w:rPr>
          <w:rFonts w:cs="Times New Roman"/>
          <w:b/>
          <w:sz w:val="20"/>
          <w:szCs w:val="20"/>
        </w:rPr>
        <w:lastRenderedPageBreak/>
        <w:fldChar w:fldCharType="begin"/>
      </w:r>
      <w:r w:rsidR="004A1C7B" w:rsidRPr="0085721F">
        <w:rPr>
          <w:rFonts w:cs="Times New Roman"/>
          <w:b/>
          <w:sz w:val="20"/>
          <w:szCs w:val="20"/>
        </w:rPr>
        <w:instrText xml:space="preserve"> SEQ CHAPTER \h \r 1</w:instrText>
      </w:r>
      <w:r w:rsidRPr="0085721F">
        <w:rPr>
          <w:rFonts w:cs="Times New Roman"/>
          <w:b/>
          <w:sz w:val="20"/>
          <w:szCs w:val="20"/>
        </w:rPr>
        <w:fldChar w:fldCharType="end"/>
      </w:r>
      <w:proofErr w:type="gramStart"/>
      <w:r w:rsidR="004A1C7B" w:rsidRPr="0085721F">
        <w:rPr>
          <w:rFonts w:cs="Times New Roman"/>
          <w:b/>
          <w:sz w:val="20"/>
          <w:szCs w:val="20"/>
        </w:rPr>
        <w:t>34080</w:t>
      </w:r>
      <w:r w:rsidR="004A1C7B" w:rsidRPr="0085721F">
        <w:rPr>
          <w:rFonts w:cs="Times New Roman"/>
          <w:sz w:val="20"/>
          <w:szCs w:val="20"/>
        </w:rPr>
        <w:tab/>
      </w:r>
      <w:r w:rsidR="004A1C7B" w:rsidRPr="0085721F">
        <w:rPr>
          <w:rFonts w:cs="Times New Roman"/>
          <w:b/>
          <w:i/>
          <w:sz w:val="20"/>
          <w:szCs w:val="20"/>
        </w:rPr>
        <w:t xml:space="preserve">Adrian John </w:t>
      </w:r>
      <w:proofErr w:type="spellStart"/>
      <w:r w:rsidR="004A1C7B" w:rsidRPr="0085721F">
        <w:rPr>
          <w:rFonts w:cs="Times New Roman"/>
          <w:b/>
          <w:i/>
          <w:sz w:val="20"/>
          <w:szCs w:val="20"/>
        </w:rPr>
        <w:t>Walle</w:t>
      </w:r>
      <w:proofErr w:type="spellEnd"/>
      <w:r w:rsidR="004A1C7B" w:rsidRPr="0085721F">
        <w:rPr>
          <w:rFonts w:cs="Times New Roman"/>
          <w:b/>
          <w:i/>
          <w:sz w:val="20"/>
          <w:szCs w:val="20"/>
        </w:rPr>
        <w:t xml:space="preserve"> v.</w:t>
      </w:r>
      <w:proofErr w:type="gramEnd"/>
      <w:r w:rsidR="004A1C7B" w:rsidRPr="0085721F">
        <w:rPr>
          <w:rFonts w:cs="Times New Roman"/>
          <w:b/>
          <w:i/>
          <w:sz w:val="20"/>
          <w:szCs w:val="20"/>
        </w:rPr>
        <w:t xml:space="preserve"> Her Majesty the Queen</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Criminal law </w:t>
      </w:r>
      <w:r w:rsidRPr="0085721F">
        <w:rPr>
          <w:rFonts w:cs="Times New Roman"/>
          <w:sz w:val="20"/>
          <w:szCs w:val="20"/>
        </w:rPr>
        <w:noBreakHyphen/>
        <w:t xml:space="preserve"> Defences </w:t>
      </w:r>
      <w:r w:rsidRPr="0085721F">
        <w:rPr>
          <w:rFonts w:cs="Times New Roman"/>
          <w:sz w:val="20"/>
          <w:szCs w:val="20"/>
        </w:rPr>
        <w:noBreakHyphen/>
        <w:t xml:space="preserve"> Common sense inference </w:t>
      </w:r>
      <w:r w:rsidRPr="0085721F">
        <w:rPr>
          <w:rFonts w:cs="Times New Roman"/>
          <w:sz w:val="20"/>
          <w:szCs w:val="20"/>
        </w:rPr>
        <w:noBreakHyphen/>
        <w:t xml:space="preserve"> Whether the Court of Appeal erred in failing to find that the appellant’s developmental deficits and alcohol consumption must be considered before relying on the common sense inference that a sane and sober person intends the natural and probable consequence of his actions as proof beyond a reasonable doubt of intent for second degree murder. </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proofErr w:type="spellStart"/>
      <w:r w:rsidRPr="0085721F">
        <w:rPr>
          <w:rFonts w:cs="Times New Roman"/>
          <w:sz w:val="20"/>
          <w:szCs w:val="20"/>
        </w:rPr>
        <w:t>Walle</w:t>
      </w:r>
      <w:proofErr w:type="spellEnd"/>
      <w:r w:rsidRPr="0085721F">
        <w:rPr>
          <w:rFonts w:cs="Times New Roman"/>
          <w:sz w:val="20"/>
          <w:szCs w:val="20"/>
        </w:rPr>
        <w:t xml:space="preserve"> was convicted of the second degree murder of Jeffery </w:t>
      </w:r>
      <w:proofErr w:type="spellStart"/>
      <w:r w:rsidRPr="0085721F">
        <w:rPr>
          <w:rFonts w:cs="Times New Roman"/>
          <w:sz w:val="20"/>
          <w:szCs w:val="20"/>
        </w:rPr>
        <w:t>Shuckburgh</w:t>
      </w:r>
      <w:proofErr w:type="spellEnd"/>
      <w:r w:rsidRPr="0085721F">
        <w:rPr>
          <w:rFonts w:cs="Times New Roman"/>
          <w:sz w:val="20"/>
          <w:szCs w:val="20"/>
        </w:rPr>
        <w:t xml:space="preserve">.  He appealed on the basis that he should have instead been convicted of manslaughter.  </w:t>
      </w:r>
      <w:proofErr w:type="spellStart"/>
      <w:r w:rsidRPr="0085721F">
        <w:rPr>
          <w:rFonts w:cs="Times New Roman"/>
          <w:sz w:val="20"/>
          <w:szCs w:val="20"/>
        </w:rPr>
        <w:t>Walle</w:t>
      </w:r>
      <w:proofErr w:type="spellEnd"/>
      <w:r w:rsidRPr="0085721F">
        <w:rPr>
          <w:rFonts w:cs="Times New Roman"/>
          <w:sz w:val="20"/>
          <w:szCs w:val="20"/>
        </w:rPr>
        <w:t xml:space="preserve"> argued that the trial judge erred in inferring intent based on the “common</w:t>
      </w:r>
      <w:r w:rsidRPr="0085721F">
        <w:rPr>
          <w:rFonts w:cs="Times New Roman"/>
          <w:sz w:val="20"/>
          <w:szCs w:val="20"/>
        </w:rPr>
        <w:noBreakHyphen/>
        <w:t xml:space="preserve">sense” inference that a sane and sober person intends the natural and probable consequences of his actions.  The Court of Appeal found that evidence that </w:t>
      </w:r>
      <w:proofErr w:type="spellStart"/>
      <w:r w:rsidRPr="0085721F">
        <w:rPr>
          <w:rFonts w:cs="Times New Roman"/>
          <w:sz w:val="20"/>
          <w:szCs w:val="20"/>
        </w:rPr>
        <w:t>Walle</w:t>
      </w:r>
      <w:proofErr w:type="spellEnd"/>
      <w:r w:rsidRPr="0085721F">
        <w:rPr>
          <w:rFonts w:cs="Times New Roman"/>
          <w:sz w:val="20"/>
          <w:szCs w:val="20"/>
        </w:rPr>
        <w:t xml:space="preserve"> had recently been held in hospital under a mental health warrant, had developmental delays, and had been drinking to a point short of impairment before the killing was insufficient, in and of itself, to lend an air of reality to the argument that he may therefore have lacked the requisite intent to kill.  </w:t>
      </w:r>
      <w:proofErr w:type="spellStart"/>
      <w:r w:rsidRPr="0085721F">
        <w:rPr>
          <w:rFonts w:cs="Times New Roman"/>
          <w:sz w:val="20"/>
          <w:szCs w:val="20"/>
        </w:rPr>
        <w:t>Walle’s</w:t>
      </w:r>
      <w:proofErr w:type="spellEnd"/>
      <w:r w:rsidRPr="0085721F">
        <w:rPr>
          <w:rFonts w:cs="Times New Roman"/>
          <w:sz w:val="20"/>
          <w:szCs w:val="20"/>
        </w:rPr>
        <w:t xml:space="preserve"> appeal was dismissed.</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Origin of the case:</w:t>
      </w:r>
      <w:r w:rsidRPr="0085721F">
        <w:rPr>
          <w:rFonts w:cs="Times New Roman"/>
          <w:sz w:val="20"/>
          <w:szCs w:val="20"/>
        </w:rPr>
        <w:tab/>
      </w:r>
      <w:r w:rsidRPr="0085721F">
        <w:rPr>
          <w:rFonts w:cs="Times New Roman"/>
          <w:sz w:val="20"/>
          <w:szCs w:val="20"/>
        </w:rPr>
        <w:tab/>
      </w:r>
      <w:r w:rsidRPr="0085721F">
        <w:rPr>
          <w:rFonts w:cs="Times New Roman"/>
          <w:sz w:val="20"/>
          <w:szCs w:val="20"/>
        </w:rPr>
        <w:tab/>
        <w:t>Alberta</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File No.:</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34080</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Judgment of the Court of Appeal:</w:t>
      </w:r>
      <w:r w:rsidRPr="0085721F">
        <w:rPr>
          <w:rFonts w:cs="Times New Roman"/>
          <w:sz w:val="20"/>
          <w:szCs w:val="20"/>
        </w:rPr>
        <w:tab/>
      </w:r>
      <w:r>
        <w:rPr>
          <w:rFonts w:cs="Times New Roman"/>
          <w:sz w:val="20"/>
          <w:szCs w:val="20"/>
        </w:rPr>
        <w:tab/>
      </w:r>
      <w:r w:rsidRPr="0085721F">
        <w:rPr>
          <w:rFonts w:cs="Times New Roman"/>
          <w:sz w:val="20"/>
          <w:szCs w:val="20"/>
        </w:rPr>
        <w:t>December 13, 2010</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Counsel:</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 xml:space="preserve">Karen </w:t>
      </w:r>
      <w:proofErr w:type="spellStart"/>
      <w:r w:rsidRPr="0085721F">
        <w:rPr>
          <w:rFonts w:cs="Times New Roman"/>
          <w:sz w:val="20"/>
          <w:szCs w:val="20"/>
        </w:rPr>
        <w:t>Molle</w:t>
      </w:r>
      <w:proofErr w:type="spellEnd"/>
      <w:r w:rsidRPr="0085721F">
        <w:rPr>
          <w:rFonts w:cs="Times New Roman"/>
          <w:sz w:val="20"/>
          <w:szCs w:val="20"/>
        </w:rPr>
        <w:t xml:space="preserve"> and Jennifer </w:t>
      </w:r>
      <w:proofErr w:type="spellStart"/>
      <w:r w:rsidRPr="0085721F">
        <w:rPr>
          <w:rFonts w:cs="Times New Roman"/>
          <w:sz w:val="20"/>
          <w:szCs w:val="20"/>
        </w:rPr>
        <w:t>Ruttan</w:t>
      </w:r>
      <w:proofErr w:type="spellEnd"/>
      <w:r w:rsidRPr="0085721F">
        <w:rPr>
          <w:rFonts w:cs="Times New Roman"/>
          <w:sz w:val="20"/>
          <w:szCs w:val="20"/>
        </w:rPr>
        <w:t xml:space="preserve"> for the appellant</w:t>
      </w:r>
    </w:p>
    <w:p w:rsidR="004A1C7B" w:rsidRPr="00F3105F" w:rsidRDefault="004A1C7B" w:rsidP="004A1C7B">
      <w:pPr>
        <w:widowControl w:val="0"/>
        <w:jc w:val="both"/>
        <w:rPr>
          <w:rFonts w:cs="Times New Roman"/>
          <w:sz w:val="20"/>
          <w:szCs w:val="20"/>
          <w:lang w:val="fr-CA"/>
        </w:rPr>
      </w:pP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proofErr w:type="spellStart"/>
      <w:r w:rsidRPr="00F3105F">
        <w:rPr>
          <w:rFonts w:cs="Times New Roman"/>
          <w:sz w:val="20"/>
          <w:szCs w:val="20"/>
          <w:lang w:val="fr-CA"/>
        </w:rPr>
        <w:t>Jolaine</w:t>
      </w:r>
      <w:proofErr w:type="spellEnd"/>
      <w:r w:rsidRPr="00F3105F">
        <w:rPr>
          <w:rFonts w:cs="Times New Roman"/>
          <w:sz w:val="20"/>
          <w:szCs w:val="20"/>
          <w:lang w:val="fr-CA"/>
        </w:rPr>
        <w:t xml:space="preserve"> Antonio for the </w:t>
      </w:r>
      <w:proofErr w:type="spellStart"/>
      <w:r w:rsidRPr="00F3105F">
        <w:rPr>
          <w:rFonts w:cs="Times New Roman"/>
          <w:sz w:val="20"/>
          <w:szCs w:val="20"/>
          <w:lang w:val="fr-CA"/>
        </w:rPr>
        <w:t>respondent</w:t>
      </w:r>
      <w:proofErr w:type="spellEnd"/>
    </w:p>
    <w:p w:rsidR="00223D9F" w:rsidRPr="00DD0B49" w:rsidRDefault="00223D9F" w:rsidP="00223D9F">
      <w:pPr>
        <w:tabs>
          <w:tab w:val="left" w:pos="-1440"/>
          <w:tab w:val="left" w:pos="-720"/>
        </w:tabs>
        <w:ind w:left="720" w:hanging="720"/>
        <w:jc w:val="both"/>
        <w:rPr>
          <w:sz w:val="20"/>
          <w:szCs w:val="20"/>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1"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rsidP="000B3C9A">
      <w:pPr>
        <w:tabs>
          <w:tab w:val="left" w:pos="-1440"/>
          <w:tab w:val="left" w:pos="-720"/>
        </w:tabs>
        <w:jc w:val="both"/>
        <w:rPr>
          <w:sz w:val="20"/>
          <w:szCs w:val="20"/>
          <w:lang w:val="fr-CA"/>
        </w:rPr>
      </w:pPr>
    </w:p>
    <w:p w:rsidR="00223D9F" w:rsidRDefault="00223D9F">
      <w:pPr>
        <w:rPr>
          <w:sz w:val="20"/>
          <w:szCs w:val="20"/>
          <w:lang w:val="fr-CA"/>
        </w:rPr>
      </w:pPr>
      <w:r>
        <w:rPr>
          <w:sz w:val="20"/>
          <w:szCs w:val="20"/>
          <w:lang w:val="fr-CA"/>
        </w:rPr>
        <w:br w:type="page"/>
      </w:r>
    </w:p>
    <w:p w:rsidR="004A1C7B" w:rsidRPr="0085721F" w:rsidRDefault="004A1C7B" w:rsidP="003C0BFF">
      <w:pPr>
        <w:pStyle w:val="SCCLsocParty"/>
        <w:jc w:val="both"/>
        <w:rPr>
          <w:i/>
          <w:sz w:val="20"/>
          <w:szCs w:val="20"/>
        </w:rPr>
      </w:pPr>
      <w:r w:rsidRPr="004A1C7B">
        <w:rPr>
          <w:rStyle w:val="SCCFileNumberChar"/>
          <w:sz w:val="20"/>
          <w:szCs w:val="20"/>
          <w:lang w:val="fr-CA"/>
        </w:rPr>
        <w:lastRenderedPageBreak/>
        <w:t>34080</w:t>
      </w:r>
      <w:r w:rsidRPr="00317C2D">
        <w:rPr>
          <w:rFonts w:eastAsiaTheme="minorHAnsi"/>
          <w:sz w:val="20"/>
          <w:szCs w:val="20"/>
        </w:rPr>
        <w:tab/>
      </w:r>
      <w:r w:rsidRPr="00A25187">
        <w:rPr>
          <w:b/>
          <w:i/>
          <w:sz w:val="20"/>
          <w:szCs w:val="20"/>
        </w:rPr>
        <w:t xml:space="preserve">Adrian John </w:t>
      </w:r>
      <w:proofErr w:type="spellStart"/>
      <w:r w:rsidRPr="00A25187">
        <w:rPr>
          <w:b/>
          <w:i/>
          <w:sz w:val="20"/>
          <w:szCs w:val="20"/>
        </w:rPr>
        <w:t>Walle</w:t>
      </w:r>
      <w:proofErr w:type="spellEnd"/>
      <w:r w:rsidRPr="00A25187">
        <w:rPr>
          <w:b/>
          <w:i/>
          <w:sz w:val="20"/>
          <w:szCs w:val="20"/>
        </w:rPr>
        <w:t xml:space="preserve"> c. Sa Majesté la Reine</w:t>
      </w:r>
    </w:p>
    <w:p w:rsidR="004A1C7B" w:rsidRPr="0085721F" w:rsidRDefault="004A1C7B" w:rsidP="004A1C7B">
      <w:pPr>
        <w:tabs>
          <w:tab w:val="left" w:pos="1009"/>
        </w:tabs>
        <w:ind w:left="2"/>
        <w:rPr>
          <w:rFonts w:cs="Times New Roman"/>
          <w:sz w:val="20"/>
          <w:szCs w:val="20"/>
          <w:lang w:val="fr-CA"/>
        </w:rPr>
      </w:pPr>
    </w:p>
    <w:p w:rsidR="004A1C7B" w:rsidRPr="0085721F" w:rsidRDefault="004A1C7B" w:rsidP="004A1C7B">
      <w:pPr>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Moyens de défense </w:t>
      </w:r>
      <w:r w:rsidRPr="0085721F">
        <w:rPr>
          <w:rFonts w:cs="Times New Roman"/>
          <w:sz w:val="20"/>
          <w:szCs w:val="20"/>
          <w:lang w:val="fr-CA"/>
        </w:rPr>
        <w:noBreakHyphen/>
        <w:t xml:space="preserve"> Déduction conforme au bon sens </w:t>
      </w:r>
      <w:r w:rsidRPr="0085721F">
        <w:rPr>
          <w:rFonts w:cs="Times New Roman"/>
          <w:sz w:val="20"/>
          <w:szCs w:val="20"/>
          <w:lang w:val="fr-CA"/>
        </w:rPr>
        <w:noBreakHyphen/>
        <w:t xml:space="preserve"> La Cour d’appel </w:t>
      </w:r>
      <w:proofErr w:type="spellStart"/>
      <w:r w:rsidRPr="0085721F">
        <w:rPr>
          <w:rFonts w:cs="Times New Roman"/>
          <w:sz w:val="20"/>
          <w:szCs w:val="20"/>
          <w:lang w:val="fr-CA"/>
        </w:rPr>
        <w:t>a</w:t>
      </w:r>
      <w:r w:rsidRPr="0085721F">
        <w:rPr>
          <w:rFonts w:cs="Times New Roman"/>
          <w:sz w:val="20"/>
          <w:szCs w:val="20"/>
          <w:lang w:val="fr-CA"/>
        </w:rPr>
        <w:noBreakHyphen/>
        <w:t>t</w:t>
      </w:r>
      <w:r w:rsidRPr="0085721F">
        <w:rPr>
          <w:rFonts w:cs="Times New Roman"/>
          <w:sz w:val="20"/>
          <w:szCs w:val="20"/>
          <w:lang w:val="fr-CA"/>
        </w:rPr>
        <w:noBreakHyphen/>
        <w:t>elle</w:t>
      </w:r>
      <w:proofErr w:type="spellEnd"/>
      <w:r w:rsidRPr="0085721F">
        <w:rPr>
          <w:rFonts w:cs="Times New Roman"/>
          <w:sz w:val="20"/>
          <w:szCs w:val="20"/>
          <w:lang w:val="fr-CA"/>
        </w:rPr>
        <w:t xml:space="preserve"> eu tort de conclure que les troubles de développement de l’appelant et sa consommation d’alcool doivent être pris en considération avant de se fonder sur une déduction conforme au bon sens qu’une personne saine et sobre veut les conséquences naturelles et probables de ses actes comme preuve hors de tout doute de l’intention de commettre un meurtre au deuxième degré. </w:t>
      </w:r>
    </w:p>
    <w:p w:rsidR="004A1C7B" w:rsidRPr="0085721F" w:rsidRDefault="004A1C7B" w:rsidP="004A1C7B">
      <w:pPr>
        <w:ind w:left="2"/>
        <w:jc w:val="both"/>
        <w:rPr>
          <w:rFonts w:cs="Times New Roman"/>
          <w:sz w:val="20"/>
          <w:szCs w:val="20"/>
          <w:lang w:val="fr-CA"/>
        </w:rPr>
      </w:pPr>
    </w:p>
    <w:p w:rsidR="004A1C7B" w:rsidRPr="0085721F" w:rsidRDefault="004A1C7B" w:rsidP="004A1C7B">
      <w:pPr>
        <w:jc w:val="both"/>
        <w:rPr>
          <w:rFonts w:cs="Times New Roman"/>
          <w:sz w:val="20"/>
          <w:szCs w:val="20"/>
          <w:lang w:val="fr-CA"/>
        </w:rPr>
      </w:pPr>
      <w:r w:rsidRPr="0085721F">
        <w:rPr>
          <w:rFonts w:cs="Times New Roman"/>
          <w:sz w:val="20"/>
          <w:szCs w:val="20"/>
          <w:lang w:val="fr-CA"/>
        </w:rPr>
        <w:t xml:space="preserve">Monsieur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 été déclaré coupable du meurtre au deuxième degré de </w:t>
      </w:r>
      <w:proofErr w:type="spellStart"/>
      <w:r w:rsidRPr="0085721F">
        <w:rPr>
          <w:rFonts w:cs="Times New Roman"/>
          <w:sz w:val="20"/>
          <w:szCs w:val="20"/>
          <w:lang w:val="fr-CA"/>
        </w:rPr>
        <w:t>Jeffery</w:t>
      </w:r>
      <w:proofErr w:type="spellEnd"/>
      <w:r w:rsidRPr="0085721F">
        <w:rPr>
          <w:rFonts w:cs="Times New Roman"/>
          <w:sz w:val="20"/>
          <w:szCs w:val="20"/>
          <w:lang w:val="fr-CA"/>
        </w:rPr>
        <w:t xml:space="preserve"> </w:t>
      </w:r>
      <w:proofErr w:type="spellStart"/>
      <w:r w:rsidRPr="0085721F">
        <w:rPr>
          <w:rFonts w:cs="Times New Roman"/>
          <w:sz w:val="20"/>
          <w:szCs w:val="20"/>
          <w:lang w:val="fr-CA"/>
        </w:rPr>
        <w:t>Shuckburgh</w:t>
      </w:r>
      <w:proofErr w:type="spellEnd"/>
      <w:r w:rsidRPr="0085721F">
        <w:rPr>
          <w:rFonts w:cs="Times New Roman"/>
          <w:sz w:val="20"/>
          <w:szCs w:val="20"/>
          <w:lang w:val="fr-CA"/>
        </w:rPr>
        <w:t xml:space="preserve">.   Il a interjeté appel, plaidant qu’il aurait plutôt dû être déclaré coupable d’homicide involontaire coupable.  Monsieur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 plaidé que le juge du procès avait eu tort d’inférer une intention en s’appuyant sur la déduction « conforme au bon sens » qu’une personne saine et sobre veut les conséquences naturelles et probables de ses actes.  La Cour d’appel a conclu que la preuve selon laquelle M.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avait été récemment hospitalisé en vertu d’un mandat de santé mentale, qu’il avait des retards de développement et qu’il avait bu presque au point d’être ivre avant l’homicide était insuffisante à elle seule pour conférer vraisemblance à l’argument selon lequel il n’avait </w:t>
      </w:r>
      <w:proofErr w:type="spellStart"/>
      <w:r w:rsidRPr="0085721F">
        <w:rPr>
          <w:rFonts w:cs="Times New Roman"/>
          <w:sz w:val="20"/>
          <w:szCs w:val="20"/>
          <w:lang w:val="fr-CA"/>
        </w:rPr>
        <w:t>peut</w:t>
      </w:r>
      <w:r w:rsidRPr="0085721F">
        <w:rPr>
          <w:rFonts w:cs="Times New Roman"/>
          <w:sz w:val="20"/>
          <w:szCs w:val="20"/>
          <w:lang w:val="fr-CA"/>
        </w:rPr>
        <w:noBreakHyphen/>
        <w:t>être</w:t>
      </w:r>
      <w:proofErr w:type="spellEnd"/>
      <w:r w:rsidRPr="0085721F">
        <w:rPr>
          <w:rFonts w:cs="Times New Roman"/>
          <w:sz w:val="20"/>
          <w:szCs w:val="20"/>
          <w:lang w:val="fr-CA"/>
        </w:rPr>
        <w:t xml:space="preserve"> donc pas eu l’intention requise pour tuer.  L’appel de M.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 été rejeté.</w:t>
      </w:r>
    </w:p>
    <w:p w:rsidR="004A1C7B" w:rsidRPr="0085721F" w:rsidRDefault="004A1C7B" w:rsidP="004A1C7B">
      <w:pPr>
        <w:rPr>
          <w:rFonts w:cs="Times New Roman"/>
          <w:sz w:val="20"/>
          <w:szCs w:val="20"/>
          <w:lang w:val="fr-CA"/>
        </w:rPr>
      </w:pPr>
    </w:p>
    <w:p w:rsidR="004A1C7B" w:rsidRPr="0085721F" w:rsidRDefault="004A1C7B" w:rsidP="004A1C7B">
      <w:pPr>
        <w:ind w:left="2"/>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Origine de la cause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Alberta</w:t>
      </w:r>
    </w:p>
    <w:p w:rsidR="004A1C7B" w:rsidRPr="0085721F"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34080</w:t>
      </w:r>
    </w:p>
    <w:p w:rsidR="004A1C7B" w:rsidRPr="0085721F"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Jugement de la Cour d’appel :</w:t>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13 décembre 2010</w:t>
      </w:r>
    </w:p>
    <w:p w:rsidR="004A1C7B" w:rsidRPr="0085721F"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Avocates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 xml:space="preserve">Karen Molle et Jennifer </w:t>
      </w:r>
      <w:proofErr w:type="spellStart"/>
      <w:r w:rsidRPr="0085721F">
        <w:rPr>
          <w:rFonts w:cs="Times New Roman"/>
          <w:sz w:val="20"/>
          <w:szCs w:val="20"/>
          <w:lang w:val="fr-CA"/>
        </w:rPr>
        <w:t>Ruttan</w:t>
      </w:r>
      <w:proofErr w:type="spellEnd"/>
      <w:r w:rsidRPr="0085721F">
        <w:rPr>
          <w:rFonts w:cs="Times New Roman"/>
          <w:sz w:val="20"/>
          <w:szCs w:val="20"/>
          <w:lang w:val="fr-CA"/>
        </w:rPr>
        <w:t xml:space="preserve"> pour l’appelant</w:t>
      </w:r>
    </w:p>
    <w:p w:rsidR="004A1C7B" w:rsidRPr="0085721F" w:rsidRDefault="004A1C7B" w:rsidP="004A1C7B">
      <w:pPr>
        <w:rPr>
          <w:rFonts w:cs="Times New Roman"/>
          <w:sz w:val="20"/>
          <w:szCs w:val="20"/>
          <w:lang w:val="fr-CA"/>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proofErr w:type="spellStart"/>
      <w:r w:rsidRPr="0085721F">
        <w:rPr>
          <w:rFonts w:cs="Times New Roman"/>
          <w:sz w:val="20"/>
          <w:szCs w:val="20"/>
          <w:lang w:val="fr-CA"/>
        </w:rPr>
        <w:t>Jolaine</w:t>
      </w:r>
      <w:proofErr w:type="spellEnd"/>
      <w:r w:rsidRPr="0085721F">
        <w:rPr>
          <w:rFonts w:cs="Times New Roman"/>
          <w:sz w:val="20"/>
          <w:szCs w:val="20"/>
          <w:lang w:val="fr-CA"/>
        </w:rPr>
        <w:t xml:space="preserve"> Antonio pour l’intimée</w:t>
      </w:r>
    </w:p>
    <w:p w:rsidR="00223D9F" w:rsidRPr="00DD0B49" w:rsidRDefault="00223D9F" w:rsidP="00223D9F">
      <w:pPr>
        <w:tabs>
          <w:tab w:val="left" w:pos="-1440"/>
          <w:tab w:val="left" w:pos="-720"/>
        </w:tabs>
        <w:ind w:left="720" w:hanging="720"/>
        <w:jc w:val="both"/>
        <w:rPr>
          <w:sz w:val="20"/>
          <w:szCs w:val="20"/>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2"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pPr>
        <w:rPr>
          <w:sz w:val="20"/>
          <w:szCs w:val="20"/>
          <w:lang w:val="fr-CA"/>
        </w:rPr>
      </w:pPr>
    </w:p>
    <w:p w:rsidR="00223D9F" w:rsidRDefault="00223D9F">
      <w:pPr>
        <w:rPr>
          <w:sz w:val="20"/>
          <w:szCs w:val="20"/>
          <w:lang w:val="fr-CA"/>
        </w:rPr>
      </w:pPr>
    </w:p>
    <w:p w:rsidR="00223D9F" w:rsidRDefault="00223D9F">
      <w:pPr>
        <w:rPr>
          <w:sz w:val="20"/>
          <w:szCs w:val="20"/>
          <w:lang w:val="fr-CA"/>
        </w:rPr>
      </w:pPr>
      <w:r>
        <w:rPr>
          <w:sz w:val="20"/>
          <w:szCs w:val="20"/>
          <w:lang w:val="fr-CA"/>
        </w:rPr>
        <w:br w:type="page"/>
      </w:r>
    </w:p>
    <w:p w:rsidR="004A1C7B" w:rsidRPr="004A1C7B" w:rsidRDefault="007505E6" w:rsidP="004A1C7B">
      <w:pPr>
        <w:widowControl w:val="0"/>
        <w:ind w:left="720" w:hanging="720"/>
        <w:jc w:val="both"/>
        <w:rPr>
          <w:rFonts w:cs="Times New Roman"/>
          <w:sz w:val="20"/>
          <w:szCs w:val="20"/>
        </w:rPr>
      </w:pPr>
      <w:r w:rsidRPr="0085721F">
        <w:rPr>
          <w:rFonts w:cs="Times New Roman"/>
          <w:b/>
          <w:sz w:val="20"/>
          <w:szCs w:val="20"/>
        </w:rPr>
        <w:lastRenderedPageBreak/>
        <w:fldChar w:fldCharType="begin"/>
      </w:r>
      <w:r w:rsidR="004A1C7B" w:rsidRPr="004A1C7B">
        <w:rPr>
          <w:rFonts w:cs="Times New Roman"/>
          <w:b/>
          <w:sz w:val="20"/>
          <w:szCs w:val="20"/>
        </w:rPr>
        <w:instrText xml:space="preserve"> SEQ CHAPTER \h \r 1</w:instrText>
      </w:r>
      <w:r w:rsidRPr="0085721F">
        <w:rPr>
          <w:rFonts w:cs="Times New Roman"/>
          <w:b/>
          <w:sz w:val="20"/>
          <w:szCs w:val="20"/>
        </w:rPr>
        <w:fldChar w:fldCharType="end"/>
      </w:r>
      <w:r w:rsidR="004A1C7B" w:rsidRPr="004A1C7B">
        <w:rPr>
          <w:rFonts w:cs="Times New Roman"/>
          <w:b/>
          <w:sz w:val="20"/>
          <w:szCs w:val="20"/>
        </w:rPr>
        <w:t>34523</w:t>
      </w:r>
      <w:r w:rsidR="004A1C7B" w:rsidRPr="004A1C7B">
        <w:rPr>
          <w:rFonts w:cs="Times New Roman"/>
          <w:sz w:val="20"/>
          <w:szCs w:val="20"/>
        </w:rPr>
        <w:tab/>
      </w:r>
      <w:r w:rsidR="004A1C7B" w:rsidRPr="004A1C7B">
        <w:rPr>
          <w:rFonts w:cs="Times New Roman"/>
          <w:b/>
          <w:i/>
          <w:sz w:val="20"/>
          <w:szCs w:val="20"/>
        </w:rPr>
        <w:t xml:space="preserve">Her Majesty the Queen v. Carmelo </w:t>
      </w:r>
      <w:proofErr w:type="spellStart"/>
      <w:r w:rsidR="004A1C7B" w:rsidRPr="004A1C7B">
        <w:rPr>
          <w:rFonts w:cs="Times New Roman"/>
          <w:b/>
          <w:i/>
          <w:sz w:val="20"/>
          <w:szCs w:val="20"/>
        </w:rPr>
        <w:t>Venneri</w:t>
      </w:r>
      <w:proofErr w:type="spellEnd"/>
    </w:p>
    <w:p w:rsidR="004A1C7B" w:rsidRPr="004A1C7B"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Criminal law - Reasonable verdict - Offences - Elements of offence - Offence for benefit of criminal organization - Interpretation of expression “criminal organization” used in s. 467.1 of </w:t>
      </w:r>
      <w:r w:rsidRPr="0085721F">
        <w:rPr>
          <w:rFonts w:cs="Times New Roman"/>
          <w:i/>
          <w:sz w:val="20"/>
          <w:szCs w:val="20"/>
        </w:rPr>
        <w:t xml:space="preserve">Criminal Code </w:t>
      </w:r>
      <w:r w:rsidRPr="0085721F">
        <w:rPr>
          <w:rFonts w:cs="Times New Roman"/>
          <w:sz w:val="20"/>
          <w:szCs w:val="20"/>
        </w:rPr>
        <w:t>- Whether verdicts reached by trial judge were unreasonable.</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The respondent and </w:t>
      </w:r>
      <w:proofErr w:type="gramStart"/>
      <w:r w:rsidRPr="0085721F">
        <w:rPr>
          <w:rFonts w:cs="Times New Roman"/>
          <w:sz w:val="20"/>
          <w:szCs w:val="20"/>
        </w:rPr>
        <w:t>two co-accused</w:t>
      </w:r>
      <w:proofErr w:type="gramEnd"/>
      <w:r w:rsidRPr="0085721F">
        <w:rPr>
          <w:rFonts w:cs="Times New Roman"/>
          <w:sz w:val="20"/>
          <w:szCs w:val="20"/>
        </w:rPr>
        <w:t xml:space="preserve"> were convicted of numerous joint and individual charges related to trafficking in narcotics for the benefit of a criminal organization.  The majority of the Court of Appeal allowed the respondent’s appeal against the convictions in part, finding him not guilty of the offences of trafficking in narcotics for the benefit of a criminal organization, possession for the purposes of trafficking, and instructing a person to commit an indictable offence while he himself was one of the persons who constituted a criminal organization.  The Court of Appeal also granted a conditional stay of proceedings with respect to the offence of possession of a restricted firearm without a licence.  Duval </w:t>
      </w:r>
      <w:proofErr w:type="spellStart"/>
      <w:r w:rsidRPr="0085721F">
        <w:rPr>
          <w:rFonts w:cs="Times New Roman"/>
          <w:sz w:val="20"/>
          <w:szCs w:val="20"/>
        </w:rPr>
        <w:t>Hesler</w:t>
      </w:r>
      <w:proofErr w:type="spellEnd"/>
      <w:r w:rsidRPr="0085721F">
        <w:rPr>
          <w:rFonts w:cs="Times New Roman"/>
          <w:sz w:val="20"/>
          <w:szCs w:val="20"/>
        </w:rPr>
        <w:t xml:space="preserve"> J., dissenting, would have dismissed the appeal.</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Origin of the case:</w:t>
      </w:r>
      <w:r w:rsidRPr="0085721F">
        <w:rPr>
          <w:rFonts w:cs="Times New Roman"/>
          <w:sz w:val="20"/>
          <w:szCs w:val="20"/>
        </w:rPr>
        <w:tab/>
      </w:r>
      <w:r w:rsidRPr="0085721F">
        <w:rPr>
          <w:rFonts w:cs="Times New Roman"/>
          <w:sz w:val="20"/>
          <w:szCs w:val="20"/>
        </w:rPr>
        <w:tab/>
      </w:r>
      <w:r w:rsidRPr="0085721F">
        <w:rPr>
          <w:rFonts w:cs="Times New Roman"/>
          <w:sz w:val="20"/>
          <w:szCs w:val="20"/>
        </w:rPr>
        <w:tab/>
        <w:t>Quebec</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File No.:</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34523</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Judgment of the Court of Appeal:</w:t>
      </w:r>
      <w:r w:rsidRPr="0085721F">
        <w:rPr>
          <w:rFonts w:cs="Times New Roman"/>
          <w:sz w:val="20"/>
          <w:szCs w:val="20"/>
        </w:rPr>
        <w:tab/>
      </w:r>
      <w:r>
        <w:rPr>
          <w:rFonts w:cs="Times New Roman"/>
          <w:sz w:val="20"/>
          <w:szCs w:val="20"/>
        </w:rPr>
        <w:tab/>
      </w:r>
      <w:r w:rsidRPr="0085721F">
        <w:rPr>
          <w:rFonts w:cs="Times New Roman"/>
          <w:sz w:val="20"/>
          <w:szCs w:val="20"/>
        </w:rPr>
        <w:t>October 4, 2011</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Counsel:</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Madeleine Giauque for the appellant</w:t>
      </w:r>
    </w:p>
    <w:p w:rsidR="004A1C7B" w:rsidRDefault="004A1C7B" w:rsidP="004A1C7B">
      <w:pPr>
        <w:widowControl w:val="0"/>
        <w:jc w:val="both"/>
        <w:rPr>
          <w:rFonts w:cs="Times New Roman"/>
          <w:sz w:val="20"/>
          <w:szCs w:val="20"/>
          <w:lang w:val="fr-CA"/>
        </w:rPr>
      </w:pP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lang w:val="fr-CA"/>
        </w:rPr>
        <w:t xml:space="preserve">Marie-Hélène Giroux for the </w:t>
      </w:r>
      <w:proofErr w:type="spellStart"/>
      <w:r w:rsidRPr="0085721F">
        <w:rPr>
          <w:rFonts w:cs="Times New Roman"/>
          <w:sz w:val="20"/>
          <w:szCs w:val="20"/>
          <w:lang w:val="fr-CA"/>
        </w:rPr>
        <w:t>respondent</w:t>
      </w:r>
      <w:proofErr w:type="spellEnd"/>
    </w:p>
    <w:p w:rsidR="00223D9F" w:rsidRPr="00DD0B49" w:rsidRDefault="00223D9F" w:rsidP="00223D9F">
      <w:pPr>
        <w:tabs>
          <w:tab w:val="left" w:pos="-1440"/>
          <w:tab w:val="left" w:pos="-720"/>
        </w:tabs>
        <w:ind w:left="720" w:hanging="720"/>
        <w:jc w:val="both"/>
        <w:rPr>
          <w:sz w:val="20"/>
          <w:szCs w:val="20"/>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3"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pPr>
        <w:rPr>
          <w:sz w:val="20"/>
          <w:szCs w:val="20"/>
          <w:lang w:val="fr-CA"/>
        </w:rPr>
      </w:pPr>
    </w:p>
    <w:p w:rsidR="00223D9F" w:rsidRDefault="00223D9F">
      <w:pPr>
        <w:rPr>
          <w:sz w:val="20"/>
          <w:szCs w:val="20"/>
          <w:lang w:val="fr-CA"/>
        </w:rPr>
      </w:pPr>
      <w:r>
        <w:rPr>
          <w:sz w:val="20"/>
          <w:szCs w:val="20"/>
          <w:lang w:val="fr-CA"/>
        </w:rPr>
        <w:br w:type="page"/>
      </w:r>
    </w:p>
    <w:p w:rsidR="004A1C7B" w:rsidRPr="0085721F" w:rsidRDefault="007505E6" w:rsidP="004A1C7B">
      <w:pPr>
        <w:widowControl w:val="0"/>
        <w:ind w:left="720" w:hanging="720"/>
        <w:jc w:val="both"/>
        <w:rPr>
          <w:rFonts w:cs="Times New Roman"/>
          <w:sz w:val="20"/>
          <w:szCs w:val="20"/>
          <w:lang w:val="fr-CA"/>
        </w:rPr>
      </w:pPr>
      <w:r w:rsidRPr="007505E6">
        <w:rPr>
          <w:rFonts w:cs="Times New Roman"/>
          <w:b/>
          <w:sz w:val="20"/>
          <w:szCs w:val="20"/>
          <w:lang w:val="fr-CA"/>
        </w:rPr>
        <w:lastRenderedPageBreak/>
        <w:fldChar w:fldCharType="begin"/>
      </w:r>
      <w:r w:rsidR="004A1C7B" w:rsidRPr="0085721F">
        <w:rPr>
          <w:rFonts w:cs="Times New Roman"/>
          <w:b/>
          <w:sz w:val="20"/>
          <w:szCs w:val="20"/>
          <w:lang w:val="fr-CA"/>
        </w:rPr>
        <w:instrText xml:space="preserve"> SEQ CHAPTER \h \r 1</w:instrText>
      </w:r>
      <w:r w:rsidRPr="0085721F">
        <w:rPr>
          <w:rFonts w:cs="Times New Roman"/>
          <w:b/>
          <w:sz w:val="20"/>
          <w:szCs w:val="20"/>
        </w:rPr>
        <w:fldChar w:fldCharType="end"/>
      </w:r>
      <w:r w:rsidR="004A1C7B" w:rsidRPr="0085721F">
        <w:rPr>
          <w:rFonts w:cs="Times New Roman"/>
          <w:b/>
          <w:sz w:val="20"/>
          <w:szCs w:val="20"/>
          <w:lang w:val="fr-CA"/>
        </w:rPr>
        <w:t>34523</w:t>
      </w:r>
      <w:r w:rsidR="004A1C7B" w:rsidRPr="0085721F">
        <w:rPr>
          <w:rFonts w:cs="Times New Roman"/>
          <w:sz w:val="20"/>
          <w:szCs w:val="20"/>
          <w:lang w:val="fr-CA"/>
        </w:rPr>
        <w:tab/>
      </w:r>
      <w:r w:rsidR="004A1C7B" w:rsidRPr="0085721F">
        <w:rPr>
          <w:rFonts w:cs="Times New Roman"/>
          <w:b/>
          <w:i/>
          <w:sz w:val="20"/>
          <w:szCs w:val="20"/>
          <w:lang w:val="fr-CA"/>
        </w:rPr>
        <w:t xml:space="preserve">Sa Majesté la Reine c. Carmelo </w:t>
      </w:r>
      <w:proofErr w:type="spellStart"/>
      <w:r w:rsidR="004A1C7B" w:rsidRPr="0085721F">
        <w:rPr>
          <w:rFonts w:cs="Times New Roman"/>
          <w:b/>
          <w:i/>
          <w:sz w:val="20"/>
          <w:szCs w:val="20"/>
          <w:lang w:val="fr-CA"/>
        </w:rPr>
        <w:t>Venneri</w:t>
      </w:r>
      <w:proofErr w:type="spellEnd"/>
    </w:p>
    <w:p w:rsidR="004A1C7B"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Verdict raisonnable </w:t>
      </w:r>
      <w:r w:rsidRPr="0085721F">
        <w:rPr>
          <w:rFonts w:cs="Times New Roman"/>
          <w:sz w:val="20"/>
          <w:szCs w:val="20"/>
          <w:lang w:val="fr-CA"/>
        </w:rPr>
        <w:noBreakHyphen/>
        <w:t xml:space="preserve"> Infractions </w:t>
      </w:r>
      <w:r w:rsidRPr="0085721F">
        <w:rPr>
          <w:rFonts w:cs="Times New Roman"/>
          <w:sz w:val="20"/>
          <w:szCs w:val="20"/>
          <w:lang w:val="fr-CA"/>
        </w:rPr>
        <w:noBreakHyphen/>
        <w:t xml:space="preserve"> Éléments de l’infraction </w:t>
      </w:r>
      <w:r w:rsidRPr="0085721F">
        <w:rPr>
          <w:rFonts w:cs="Times New Roman"/>
          <w:sz w:val="20"/>
          <w:szCs w:val="20"/>
          <w:lang w:val="fr-CA"/>
        </w:rPr>
        <w:noBreakHyphen/>
        <w:t xml:space="preserve"> Infraction au profit d’une organisation criminelle </w:t>
      </w:r>
      <w:r w:rsidRPr="0085721F">
        <w:rPr>
          <w:rFonts w:cs="Times New Roman"/>
          <w:sz w:val="20"/>
          <w:szCs w:val="20"/>
          <w:lang w:val="fr-CA"/>
        </w:rPr>
        <w:noBreakHyphen/>
        <w:t xml:space="preserve"> Quelle est l’interprétation à donner à l’expression « organisation criminelle » au sens de l’art. 467.1 </w:t>
      </w:r>
      <w:proofErr w:type="gramStart"/>
      <w:r w:rsidRPr="0085721F">
        <w:rPr>
          <w:rFonts w:cs="Times New Roman"/>
          <w:sz w:val="20"/>
          <w:szCs w:val="20"/>
          <w:lang w:val="fr-CA"/>
        </w:rPr>
        <w:t>du</w:t>
      </w:r>
      <w:proofErr w:type="gramEnd"/>
      <w:r w:rsidRPr="0085721F">
        <w:rPr>
          <w:rFonts w:cs="Times New Roman"/>
          <w:sz w:val="20"/>
          <w:szCs w:val="20"/>
          <w:lang w:val="fr-CA"/>
        </w:rPr>
        <w:t xml:space="preserve"> </w:t>
      </w:r>
      <w:r w:rsidRPr="0085721F">
        <w:rPr>
          <w:rFonts w:cs="Times New Roman"/>
          <w:i/>
          <w:sz w:val="20"/>
          <w:szCs w:val="20"/>
          <w:lang w:val="fr-CA"/>
        </w:rPr>
        <w:t>Code criminel</w:t>
      </w:r>
      <w:r w:rsidRPr="0085721F">
        <w:rPr>
          <w:rFonts w:cs="Times New Roman"/>
          <w:sz w:val="20"/>
          <w:szCs w:val="20"/>
          <w:lang w:val="fr-CA"/>
        </w:rPr>
        <w:t xml:space="preserve">? </w:t>
      </w:r>
      <w:r w:rsidRPr="0085721F">
        <w:rPr>
          <w:rFonts w:cs="Times New Roman"/>
          <w:sz w:val="20"/>
          <w:szCs w:val="20"/>
          <w:lang w:val="fr-CA"/>
        </w:rPr>
        <w:noBreakHyphen/>
        <w:t xml:space="preserve"> Les verdicts rendus par le juge de première instance </w:t>
      </w:r>
      <w:proofErr w:type="spellStart"/>
      <w:r w:rsidRPr="0085721F">
        <w:rPr>
          <w:rFonts w:cs="Times New Roman"/>
          <w:sz w:val="20"/>
          <w:szCs w:val="20"/>
          <w:lang w:val="fr-CA"/>
        </w:rPr>
        <w:t>étaient</w:t>
      </w:r>
      <w:r w:rsidRPr="0085721F">
        <w:rPr>
          <w:rFonts w:cs="Times New Roman"/>
          <w:sz w:val="20"/>
          <w:szCs w:val="20"/>
          <w:lang w:val="fr-CA"/>
        </w:rPr>
        <w:noBreakHyphen/>
        <w:t>ils</w:t>
      </w:r>
      <w:proofErr w:type="spellEnd"/>
      <w:r w:rsidRPr="0085721F">
        <w:rPr>
          <w:rFonts w:cs="Times New Roman"/>
          <w:sz w:val="20"/>
          <w:szCs w:val="20"/>
          <w:lang w:val="fr-CA"/>
        </w:rPr>
        <w:t xml:space="preserve"> déraisonnables?</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 xml:space="preserve">L’intimé et deux coaccusés sont reconnus coupables de nombreux chefs conjoints et individualisés reliés au trafic de stupéfiants au bénéfice d’une organisation criminelle.  La majorité de la Cour d’appel accueille en partie l’appel de l’intimé contre les déclarations de culpabilité.  Elle déclare l’intimé non coupable des infractions de trafic de stupéfiants au profit d’une organisation criminelle, de possession en vue de trafic et de l’infraction d’avoir chargé une personne de commettre un acte criminel, alors qu’il faisait partie d’une organisation criminelle.  La Cour d’appel prononce également un arrêt conditionnel de la procédure concernant l’infraction de possession d’une arme à autorisation restreinte sans permis.  La juge Duval </w:t>
      </w:r>
      <w:proofErr w:type="spellStart"/>
      <w:r w:rsidRPr="0085721F">
        <w:rPr>
          <w:rFonts w:cs="Times New Roman"/>
          <w:sz w:val="20"/>
          <w:szCs w:val="20"/>
          <w:lang w:val="fr-CA"/>
        </w:rPr>
        <w:t>Hesler</w:t>
      </w:r>
      <w:proofErr w:type="spellEnd"/>
      <w:r w:rsidRPr="0085721F">
        <w:rPr>
          <w:rFonts w:cs="Times New Roman"/>
          <w:sz w:val="20"/>
          <w:szCs w:val="20"/>
          <w:lang w:val="fr-CA"/>
        </w:rPr>
        <w:t>, dissidente, aurait rejeté l’appel.</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Origine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Québec</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34523</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Le 4 octobre 2011</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Madeleine Giauque pour l’appelante</w:t>
      </w: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proofErr w:type="spellStart"/>
      <w:r w:rsidRPr="0085721F">
        <w:rPr>
          <w:rFonts w:cs="Times New Roman"/>
          <w:sz w:val="20"/>
          <w:szCs w:val="20"/>
          <w:lang w:val="fr-CA"/>
        </w:rPr>
        <w:t>Marie</w:t>
      </w:r>
      <w:r w:rsidRPr="0085721F">
        <w:rPr>
          <w:rFonts w:cs="Times New Roman"/>
          <w:sz w:val="20"/>
          <w:szCs w:val="20"/>
          <w:lang w:val="fr-CA"/>
        </w:rPr>
        <w:noBreakHyphen/>
        <w:t>Hélène</w:t>
      </w:r>
      <w:proofErr w:type="spellEnd"/>
      <w:r w:rsidRPr="0085721F">
        <w:rPr>
          <w:rFonts w:cs="Times New Roman"/>
          <w:sz w:val="20"/>
          <w:szCs w:val="20"/>
          <w:lang w:val="fr-CA"/>
        </w:rPr>
        <w:t xml:space="preserve"> Giroux pour l’intimé</w:t>
      </w:r>
    </w:p>
    <w:p w:rsidR="00223D9F" w:rsidRPr="004A1C7B" w:rsidRDefault="00223D9F" w:rsidP="00223D9F">
      <w:pPr>
        <w:tabs>
          <w:tab w:val="left" w:pos="-1440"/>
          <w:tab w:val="left" w:pos="-720"/>
        </w:tabs>
        <w:ind w:left="720" w:hanging="720"/>
        <w:jc w:val="both"/>
        <w:rPr>
          <w:sz w:val="20"/>
          <w:szCs w:val="20"/>
          <w:lang w:val="fr-CA"/>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4"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pPr>
        <w:rPr>
          <w:sz w:val="20"/>
          <w:szCs w:val="20"/>
          <w:lang w:val="fr-CA"/>
        </w:rPr>
      </w:pPr>
    </w:p>
    <w:p w:rsidR="00223D9F" w:rsidRDefault="00223D9F">
      <w:pPr>
        <w:rPr>
          <w:sz w:val="20"/>
          <w:szCs w:val="20"/>
          <w:lang w:val="fr-CA"/>
        </w:rPr>
      </w:pPr>
      <w:r>
        <w:rPr>
          <w:sz w:val="20"/>
          <w:szCs w:val="20"/>
          <w:lang w:val="fr-CA"/>
        </w:rPr>
        <w:br w:type="page"/>
      </w:r>
    </w:p>
    <w:p w:rsidR="004A1C7B" w:rsidRPr="004A1C7B" w:rsidRDefault="007505E6" w:rsidP="004A1C7B">
      <w:pPr>
        <w:widowControl w:val="0"/>
        <w:ind w:left="720" w:hanging="720"/>
        <w:jc w:val="both"/>
        <w:rPr>
          <w:rFonts w:cs="Times New Roman"/>
          <w:b/>
          <w:sz w:val="18"/>
          <w:szCs w:val="18"/>
        </w:rPr>
      </w:pPr>
      <w:r w:rsidRPr="004A1C7B">
        <w:rPr>
          <w:rFonts w:cs="Times New Roman"/>
          <w:b/>
          <w:sz w:val="18"/>
          <w:szCs w:val="18"/>
        </w:rPr>
        <w:lastRenderedPageBreak/>
        <w:fldChar w:fldCharType="begin"/>
      </w:r>
      <w:r w:rsidR="004A1C7B" w:rsidRPr="004A1C7B">
        <w:rPr>
          <w:rFonts w:cs="Times New Roman"/>
          <w:b/>
          <w:sz w:val="18"/>
          <w:szCs w:val="18"/>
        </w:rPr>
        <w:instrText xml:space="preserve"> SEQ CHAPTER \h \r 1</w:instrText>
      </w:r>
      <w:r w:rsidRPr="004A1C7B">
        <w:rPr>
          <w:rFonts w:cs="Times New Roman"/>
          <w:b/>
          <w:sz w:val="18"/>
          <w:szCs w:val="18"/>
        </w:rPr>
        <w:fldChar w:fldCharType="end"/>
      </w:r>
      <w:r w:rsidR="004A1C7B" w:rsidRPr="004A1C7B">
        <w:rPr>
          <w:rFonts w:cs="Times New Roman"/>
          <w:b/>
          <w:sz w:val="18"/>
          <w:szCs w:val="18"/>
        </w:rPr>
        <w:t>34231</w:t>
      </w:r>
      <w:r w:rsidR="004A1C7B" w:rsidRPr="004A1C7B">
        <w:rPr>
          <w:rFonts w:cs="Times New Roman"/>
          <w:sz w:val="18"/>
          <w:szCs w:val="18"/>
        </w:rPr>
        <w:tab/>
      </w:r>
      <w:proofErr w:type="spellStart"/>
      <w:r w:rsidR="004A1C7B" w:rsidRPr="004A1C7B">
        <w:rPr>
          <w:rFonts w:cs="Times New Roman"/>
          <w:b/>
          <w:i/>
          <w:sz w:val="18"/>
          <w:szCs w:val="18"/>
        </w:rPr>
        <w:t>Cogeco</w:t>
      </w:r>
      <w:proofErr w:type="spellEnd"/>
      <w:r w:rsidR="004A1C7B" w:rsidRPr="004A1C7B">
        <w:rPr>
          <w:rFonts w:cs="Times New Roman"/>
          <w:b/>
          <w:i/>
          <w:sz w:val="18"/>
          <w:szCs w:val="18"/>
        </w:rPr>
        <w:t xml:space="preserve"> Cable Inc. v. Bell Media Inc. et al. </w:t>
      </w:r>
      <w:r w:rsidR="004A1C7B" w:rsidRPr="004A1C7B">
        <w:rPr>
          <w:rFonts w:cs="Times New Roman"/>
          <w:b/>
          <w:i/>
          <w:sz w:val="18"/>
          <w:szCs w:val="18"/>
        </w:rPr>
        <w:noBreakHyphen/>
        <w:t xml:space="preserve"> and </w:t>
      </w:r>
      <w:r w:rsidR="004A1C7B" w:rsidRPr="004A1C7B">
        <w:rPr>
          <w:rFonts w:cs="Times New Roman"/>
          <w:b/>
          <w:i/>
          <w:sz w:val="18"/>
          <w:szCs w:val="18"/>
        </w:rPr>
        <w:noBreakHyphen/>
        <w:t xml:space="preserve"> Canadian </w:t>
      </w:r>
      <w:proofErr w:type="spellStart"/>
      <w:r w:rsidR="004A1C7B" w:rsidRPr="004A1C7B">
        <w:rPr>
          <w:rFonts w:cs="Times New Roman"/>
          <w:b/>
          <w:i/>
          <w:sz w:val="18"/>
          <w:szCs w:val="18"/>
        </w:rPr>
        <w:t>Radio</w:t>
      </w:r>
      <w:r w:rsidR="004A1C7B" w:rsidRPr="004A1C7B">
        <w:rPr>
          <w:rFonts w:cs="Times New Roman"/>
          <w:b/>
          <w:i/>
          <w:sz w:val="18"/>
          <w:szCs w:val="18"/>
        </w:rPr>
        <w:noBreakHyphen/>
        <w:t>Television</w:t>
      </w:r>
      <w:proofErr w:type="spellEnd"/>
      <w:r w:rsidR="004A1C7B" w:rsidRPr="004A1C7B">
        <w:rPr>
          <w:rFonts w:cs="Times New Roman"/>
          <w:b/>
          <w:i/>
          <w:sz w:val="18"/>
          <w:szCs w:val="18"/>
        </w:rPr>
        <w:t xml:space="preserve"> and Telecommunications Commission (CRTC) </w:t>
      </w:r>
      <w:r w:rsidR="004A1C7B" w:rsidRPr="004A1C7B">
        <w:rPr>
          <w:rFonts w:cs="Times New Roman"/>
          <w:b/>
          <w:i/>
          <w:sz w:val="18"/>
          <w:szCs w:val="18"/>
        </w:rPr>
        <w:noBreakHyphen/>
        <w:t xml:space="preserve"> and between </w:t>
      </w:r>
      <w:r w:rsidR="004A1C7B" w:rsidRPr="004A1C7B">
        <w:rPr>
          <w:rFonts w:cs="Times New Roman"/>
          <w:b/>
          <w:i/>
          <w:sz w:val="18"/>
          <w:szCs w:val="18"/>
        </w:rPr>
        <w:noBreakHyphen/>
        <w:t xml:space="preserve"> Rogers Communications Inc. and </w:t>
      </w:r>
      <w:proofErr w:type="spellStart"/>
      <w:r w:rsidR="004A1C7B" w:rsidRPr="004A1C7B">
        <w:rPr>
          <w:rFonts w:cs="Times New Roman"/>
          <w:b/>
          <w:i/>
          <w:sz w:val="18"/>
          <w:szCs w:val="18"/>
        </w:rPr>
        <w:t>Telus</w:t>
      </w:r>
      <w:proofErr w:type="spellEnd"/>
      <w:r w:rsidR="004A1C7B" w:rsidRPr="004A1C7B">
        <w:rPr>
          <w:rFonts w:cs="Times New Roman"/>
          <w:b/>
          <w:i/>
          <w:sz w:val="18"/>
          <w:szCs w:val="18"/>
        </w:rPr>
        <w:t xml:space="preserve"> Communications Company v. Bell Media Inc. et al. </w:t>
      </w:r>
      <w:r w:rsidR="004A1C7B" w:rsidRPr="004A1C7B">
        <w:rPr>
          <w:rFonts w:cs="Times New Roman"/>
          <w:b/>
          <w:i/>
          <w:sz w:val="18"/>
          <w:szCs w:val="18"/>
        </w:rPr>
        <w:noBreakHyphen/>
        <w:t>and</w:t>
      </w:r>
      <w:r w:rsidR="004A1C7B" w:rsidRPr="004A1C7B">
        <w:rPr>
          <w:rFonts w:cs="Times New Roman"/>
          <w:b/>
          <w:i/>
          <w:sz w:val="18"/>
          <w:szCs w:val="18"/>
        </w:rPr>
        <w:noBreakHyphen/>
        <w:t xml:space="preserve"> Canadian </w:t>
      </w:r>
      <w:proofErr w:type="spellStart"/>
      <w:r w:rsidR="004A1C7B" w:rsidRPr="004A1C7B">
        <w:rPr>
          <w:rFonts w:cs="Times New Roman"/>
          <w:b/>
          <w:i/>
          <w:sz w:val="18"/>
          <w:szCs w:val="18"/>
        </w:rPr>
        <w:t>Radio</w:t>
      </w:r>
      <w:r w:rsidR="004A1C7B" w:rsidRPr="004A1C7B">
        <w:rPr>
          <w:rFonts w:cs="Times New Roman"/>
          <w:b/>
          <w:i/>
          <w:sz w:val="18"/>
          <w:szCs w:val="18"/>
        </w:rPr>
        <w:noBreakHyphen/>
        <w:t>Television</w:t>
      </w:r>
      <w:proofErr w:type="spellEnd"/>
      <w:r w:rsidR="004A1C7B" w:rsidRPr="004A1C7B">
        <w:rPr>
          <w:rFonts w:cs="Times New Roman"/>
          <w:b/>
          <w:i/>
          <w:sz w:val="18"/>
          <w:szCs w:val="18"/>
        </w:rPr>
        <w:t xml:space="preserve"> and Telecommunications Commission (CRTC) </w:t>
      </w:r>
      <w:r w:rsidR="004A1C7B" w:rsidRPr="004A1C7B">
        <w:rPr>
          <w:rFonts w:cs="Times New Roman"/>
          <w:b/>
          <w:i/>
          <w:sz w:val="18"/>
          <w:szCs w:val="18"/>
        </w:rPr>
        <w:noBreakHyphen/>
        <w:t xml:space="preserve"> and between </w:t>
      </w:r>
      <w:r w:rsidR="004A1C7B" w:rsidRPr="004A1C7B">
        <w:rPr>
          <w:rFonts w:cs="Times New Roman"/>
          <w:b/>
          <w:i/>
          <w:sz w:val="18"/>
          <w:szCs w:val="18"/>
        </w:rPr>
        <w:noBreakHyphen/>
        <w:t xml:space="preserve"> Shaw Communications Inc. v. Bell Media Inc. et al. </w:t>
      </w:r>
      <w:r w:rsidR="004A1C7B" w:rsidRPr="004A1C7B">
        <w:rPr>
          <w:rFonts w:cs="Times New Roman"/>
          <w:b/>
          <w:i/>
          <w:sz w:val="18"/>
          <w:szCs w:val="18"/>
        </w:rPr>
        <w:noBreakHyphen/>
        <w:t>and</w:t>
      </w:r>
      <w:r w:rsidR="004A1C7B" w:rsidRPr="004A1C7B">
        <w:rPr>
          <w:rFonts w:cs="Times New Roman"/>
          <w:b/>
          <w:i/>
          <w:sz w:val="18"/>
          <w:szCs w:val="18"/>
        </w:rPr>
        <w:noBreakHyphen/>
        <w:t xml:space="preserve"> Canadian </w:t>
      </w:r>
      <w:proofErr w:type="spellStart"/>
      <w:r w:rsidR="004A1C7B" w:rsidRPr="004A1C7B">
        <w:rPr>
          <w:rFonts w:cs="Times New Roman"/>
          <w:b/>
          <w:i/>
          <w:sz w:val="18"/>
          <w:szCs w:val="18"/>
        </w:rPr>
        <w:t>Radio</w:t>
      </w:r>
      <w:r w:rsidR="004A1C7B" w:rsidRPr="004A1C7B">
        <w:rPr>
          <w:rFonts w:cs="Times New Roman"/>
          <w:b/>
          <w:i/>
          <w:sz w:val="18"/>
          <w:szCs w:val="18"/>
        </w:rPr>
        <w:noBreakHyphen/>
        <w:t>Television</w:t>
      </w:r>
      <w:proofErr w:type="spellEnd"/>
      <w:r w:rsidR="004A1C7B" w:rsidRPr="004A1C7B">
        <w:rPr>
          <w:rFonts w:cs="Times New Roman"/>
          <w:b/>
          <w:i/>
          <w:sz w:val="18"/>
          <w:szCs w:val="18"/>
        </w:rPr>
        <w:t xml:space="preserve"> and Telecommunications Commission (CRTC)</w:t>
      </w:r>
    </w:p>
    <w:p w:rsidR="004A1C7B" w:rsidRPr="004A1C7B" w:rsidRDefault="004A1C7B" w:rsidP="004A1C7B">
      <w:pPr>
        <w:widowControl w:val="0"/>
        <w:jc w:val="both"/>
        <w:rPr>
          <w:rFonts w:cs="Times New Roman"/>
          <w:sz w:val="18"/>
          <w:szCs w:val="18"/>
        </w:rPr>
      </w:pPr>
    </w:p>
    <w:p w:rsidR="004A1C7B" w:rsidRPr="004A1C7B" w:rsidRDefault="004A1C7B" w:rsidP="004A1C7B">
      <w:pPr>
        <w:widowControl w:val="0"/>
        <w:jc w:val="both"/>
        <w:rPr>
          <w:rFonts w:cs="Times New Roman"/>
          <w:sz w:val="18"/>
          <w:szCs w:val="18"/>
        </w:rPr>
      </w:pPr>
      <w:r w:rsidRPr="004A1C7B">
        <w:rPr>
          <w:rFonts w:cs="Times New Roman"/>
          <w:sz w:val="18"/>
          <w:szCs w:val="18"/>
        </w:rPr>
        <w:t xml:space="preserve">Communications law </w:t>
      </w:r>
      <w:r w:rsidRPr="004A1C7B">
        <w:rPr>
          <w:rFonts w:cs="Times New Roman"/>
          <w:sz w:val="18"/>
          <w:szCs w:val="18"/>
        </w:rPr>
        <w:noBreakHyphen/>
        <w:t xml:space="preserve"> Broadcasting </w:t>
      </w:r>
      <w:r w:rsidRPr="004A1C7B">
        <w:rPr>
          <w:rFonts w:cs="Times New Roman"/>
          <w:sz w:val="18"/>
          <w:szCs w:val="18"/>
        </w:rPr>
        <w:noBreakHyphen/>
        <w:t xml:space="preserve"> Broadcasting policy </w:t>
      </w:r>
      <w:r w:rsidRPr="004A1C7B">
        <w:rPr>
          <w:rFonts w:cs="Times New Roman"/>
          <w:sz w:val="18"/>
          <w:szCs w:val="18"/>
        </w:rPr>
        <w:noBreakHyphen/>
        <w:t xml:space="preserve"> Legislation </w:t>
      </w:r>
      <w:r w:rsidRPr="004A1C7B">
        <w:rPr>
          <w:rFonts w:cs="Times New Roman"/>
          <w:sz w:val="18"/>
          <w:szCs w:val="18"/>
        </w:rPr>
        <w:noBreakHyphen/>
        <w:t xml:space="preserve"> Interpretation </w:t>
      </w:r>
      <w:r w:rsidRPr="004A1C7B">
        <w:rPr>
          <w:rFonts w:cs="Times New Roman"/>
          <w:sz w:val="18"/>
          <w:szCs w:val="18"/>
        </w:rPr>
        <w:noBreakHyphen/>
        <w:t xml:space="preserve"> Conflicting legislation </w:t>
      </w:r>
      <w:r w:rsidRPr="004A1C7B">
        <w:rPr>
          <w:rFonts w:cs="Times New Roman"/>
          <w:sz w:val="18"/>
          <w:szCs w:val="18"/>
        </w:rPr>
        <w:noBreakHyphen/>
        <w:t xml:space="preserve"> Jurisdiction of Canadian Radio </w:t>
      </w:r>
      <w:r w:rsidRPr="004A1C7B">
        <w:rPr>
          <w:rFonts w:cs="Times New Roman"/>
          <w:sz w:val="18"/>
          <w:szCs w:val="18"/>
        </w:rPr>
        <w:noBreakHyphen/>
        <w:t xml:space="preserve"> Television and Telecommunications Commission (CRTC) </w:t>
      </w:r>
      <w:r w:rsidRPr="004A1C7B">
        <w:rPr>
          <w:rFonts w:cs="Times New Roman"/>
          <w:sz w:val="18"/>
          <w:szCs w:val="18"/>
        </w:rPr>
        <w:noBreakHyphen/>
        <w:t xml:space="preserve"> Whether CRTC empowered, pursuant to mandate under </w:t>
      </w:r>
      <w:r w:rsidRPr="004A1C7B">
        <w:rPr>
          <w:rFonts w:cs="Times New Roman"/>
          <w:i/>
          <w:sz w:val="18"/>
          <w:szCs w:val="18"/>
        </w:rPr>
        <w:t>Broadcasting Act</w:t>
      </w:r>
      <w:r w:rsidRPr="004A1C7B">
        <w:rPr>
          <w:rFonts w:cs="Times New Roman"/>
          <w:sz w:val="18"/>
          <w:szCs w:val="18"/>
        </w:rPr>
        <w:t xml:space="preserve">, to establish regime enabling private local television stations to negotiate with broadcasting distribution undertakings a fair value in exchange for distribution of programming services broadcast by local television stations </w:t>
      </w:r>
      <w:r w:rsidRPr="004A1C7B">
        <w:rPr>
          <w:rFonts w:cs="Times New Roman"/>
          <w:sz w:val="18"/>
          <w:szCs w:val="18"/>
        </w:rPr>
        <w:noBreakHyphen/>
        <w:t xml:space="preserve"> Whether value for signal regime proposed by CRTC necessarily conflicts with rights of broadcasting distribution undertakings under </w:t>
      </w:r>
      <w:r w:rsidRPr="004A1C7B">
        <w:rPr>
          <w:rFonts w:cs="Times New Roman"/>
          <w:i/>
          <w:sz w:val="18"/>
          <w:szCs w:val="18"/>
        </w:rPr>
        <w:t>Copyright Act</w:t>
      </w:r>
      <w:r w:rsidRPr="004A1C7B">
        <w:rPr>
          <w:rFonts w:cs="Times New Roman"/>
          <w:sz w:val="18"/>
          <w:szCs w:val="18"/>
        </w:rPr>
        <w:t xml:space="preserve"> </w:t>
      </w:r>
      <w:r w:rsidRPr="004A1C7B">
        <w:rPr>
          <w:rFonts w:cs="Times New Roman"/>
          <w:sz w:val="18"/>
          <w:szCs w:val="18"/>
        </w:rPr>
        <w:noBreakHyphen/>
        <w:t xml:space="preserve"> </w:t>
      </w:r>
      <w:r w:rsidRPr="004A1C7B">
        <w:rPr>
          <w:rFonts w:cs="Times New Roman"/>
          <w:i/>
          <w:sz w:val="18"/>
          <w:szCs w:val="18"/>
        </w:rPr>
        <w:t>Broadcasting Act</w:t>
      </w:r>
      <w:r w:rsidRPr="004A1C7B">
        <w:rPr>
          <w:rFonts w:cs="Times New Roman"/>
          <w:sz w:val="18"/>
          <w:szCs w:val="18"/>
        </w:rPr>
        <w:t xml:space="preserve">, S.C. 1991, c. 11, ss. 2(1), 3(1), 3(2), 5 </w:t>
      </w:r>
      <w:r w:rsidRPr="004A1C7B">
        <w:rPr>
          <w:rFonts w:cs="Times New Roman"/>
          <w:sz w:val="18"/>
          <w:szCs w:val="18"/>
        </w:rPr>
        <w:noBreakHyphen/>
        <w:t xml:space="preserve"> </w:t>
      </w:r>
      <w:r w:rsidRPr="004A1C7B">
        <w:rPr>
          <w:rFonts w:cs="Times New Roman"/>
          <w:i/>
          <w:sz w:val="18"/>
          <w:szCs w:val="18"/>
        </w:rPr>
        <w:t>Copyright Act</w:t>
      </w:r>
      <w:r w:rsidRPr="004A1C7B">
        <w:rPr>
          <w:rFonts w:cs="Times New Roman"/>
          <w:sz w:val="18"/>
          <w:szCs w:val="18"/>
        </w:rPr>
        <w:t>, R.S.C. 1985, c. C</w:t>
      </w:r>
      <w:r w:rsidRPr="004A1C7B">
        <w:rPr>
          <w:rFonts w:cs="Times New Roman"/>
          <w:sz w:val="18"/>
          <w:szCs w:val="18"/>
        </w:rPr>
        <w:noBreakHyphen/>
        <w:t>42, ss. 21, 31.</w:t>
      </w:r>
    </w:p>
    <w:p w:rsidR="004A1C7B" w:rsidRPr="004A1C7B" w:rsidRDefault="004A1C7B" w:rsidP="004A1C7B">
      <w:pPr>
        <w:widowControl w:val="0"/>
        <w:jc w:val="both"/>
        <w:rPr>
          <w:rFonts w:cs="Times New Roman"/>
          <w:sz w:val="18"/>
          <w:szCs w:val="18"/>
        </w:rPr>
      </w:pPr>
    </w:p>
    <w:p w:rsidR="004A1C7B" w:rsidRPr="004A1C7B" w:rsidRDefault="004A1C7B" w:rsidP="004A1C7B">
      <w:pPr>
        <w:widowControl w:val="0"/>
        <w:jc w:val="both"/>
        <w:rPr>
          <w:rFonts w:cs="Times New Roman"/>
          <w:sz w:val="18"/>
          <w:szCs w:val="18"/>
        </w:rPr>
      </w:pPr>
      <w:r w:rsidRPr="004A1C7B">
        <w:rPr>
          <w:rFonts w:cs="Times New Roman"/>
          <w:sz w:val="18"/>
          <w:szCs w:val="18"/>
        </w:rPr>
        <w:t xml:space="preserve">The Canadian </w:t>
      </w:r>
      <w:proofErr w:type="spellStart"/>
      <w:r w:rsidRPr="004A1C7B">
        <w:rPr>
          <w:rFonts w:cs="Times New Roman"/>
          <w:sz w:val="18"/>
          <w:szCs w:val="18"/>
        </w:rPr>
        <w:t>Radio</w:t>
      </w:r>
      <w:r w:rsidRPr="004A1C7B">
        <w:rPr>
          <w:rFonts w:cs="Times New Roman"/>
          <w:sz w:val="18"/>
          <w:szCs w:val="18"/>
        </w:rPr>
        <w:noBreakHyphen/>
        <w:t>Television</w:t>
      </w:r>
      <w:proofErr w:type="spellEnd"/>
      <w:r w:rsidRPr="004A1C7B">
        <w:rPr>
          <w:rFonts w:cs="Times New Roman"/>
          <w:sz w:val="18"/>
          <w:szCs w:val="18"/>
        </w:rPr>
        <w:t xml:space="preserve"> and Telecommunications Commission (CRTC) referred the following question to the Federal Court of Appeal:</w:t>
      </w:r>
    </w:p>
    <w:p w:rsidR="004A1C7B" w:rsidRPr="004A1C7B" w:rsidRDefault="004A1C7B" w:rsidP="004A1C7B">
      <w:pPr>
        <w:widowControl w:val="0"/>
        <w:jc w:val="both"/>
        <w:rPr>
          <w:rFonts w:cs="Times New Roman"/>
          <w:sz w:val="18"/>
          <w:szCs w:val="18"/>
        </w:rPr>
      </w:pPr>
    </w:p>
    <w:p w:rsidR="004A1C7B" w:rsidRPr="004A1C7B" w:rsidRDefault="004A1C7B" w:rsidP="004A1C7B">
      <w:pPr>
        <w:widowControl w:val="0"/>
        <w:ind w:left="720" w:right="720"/>
        <w:jc w:val="both"/>
        <w:rPr>
          <w:rFonts w:cs="Times New Roman"/>
          <w:sz w:val="18"/>
          <w:szCs w:val="18"/>
        </w:rPr>
      </w:pPr>
      <w:r w:rsidRPr="004A1C7B">
        <w:rPr>
          <w:rFonts w:cs="Times New Roman"/>
          <w:sz w:val="18"/>
          <w:szCs w:val="18"/>
        </w:rPr>
        <w:t xml:space="preserve">Is the Commission empowered, pursuant to its mandate under the </w:t>
      </w:r>
      <w:r w:rsidRPr="004A1C7B">
        <w:rPr>
          <w:rFonts w:cs="Times New Roman"/>
          <w:i/>
          <w:sz w:val="18"/>
          <w:szCs w:val="18"/>
        </w:rPr>
        <w:t>Broadcasting Act</w:t>
      </w:r>
      <w:r w:rsidRPr="004A1C7B">
        <w:rPr>
          <w:rFonts w:cs="Times New Roman"/>
          <w:sz w:val="18"/>
          <w:szCs w:val="18"/>
        </w:rPr>
        <w:t>, to establish a regime to enable private local television stations to choose to negotiate with broadcasting distribution undertakings a fair value in exchange for the distribution of the programming services broadcast by those local television stations?</w:t>
      </w:r>
    </w:p>
    <w:p w:rsidR="004A1C7B" w:rsidRPr="004A1C7B" w:rsidRDefault="004A1C7B" w:rsidP="004A1C7B">
      <w:pPr>
        <w:widowControl w:val="0"/>
        <w:jc w:val="both"/>
        <w:rPr>
          <w:rFonts w:cs="Times New Roman"/>
          <w:sz w:val="18"/>
          <w:szCs w:val="18"/>
        </w:rPr>
      </w:pPr>
    </w:p>
    <w:p w:rsidR="004A1C7B" w:rsidRPr="004A1C7B" w:rsidRDefault="004A1C7B" w:rsidP="004A1C7B">
      <w:pPr>
        <w:widowControl w:val="0"/>
        <w:jc w:val="both"/>
        <w:rPr>
          <w:rFonts w:cs="Times New Roman"/>
          <w:sz w:val="18"/>
          <w:szCs w:val="18"/>
        </w:rPr>
      </w:pPr>
      <w:r w:rsidRPr="004A1C7B">
        <w:rPr>
          <w:rFonts w:cs="Times New Roman"/>
          <w:sz w:val="18"/>
          <w:szCs w:val="18"/>
        </w:rPr>
        <w:t xml:space="preserve">The regime to which this question refers is sometimes called the “value for signal” regime, which would permit a private local television station to negotiate with cable television service providers (“broadcast distribution undertakings” or “BDUs”) for an arrangement under which the BDUs provide consideration to the television station for the right to retransmit its signals.  The CRTC has determined that such a value for signal regime is necessary to ensure the fulfilment of the broadcasting policy objectives set out in s. 3(1) of the </w:t>
      </w:r>
      <w:r w:rsidRPr="004A1C7B">
        <w:rPr>
          <w:rFonts w:cs="Times New Roman"/>
          <w:i/>
          <w:sz w:val="18"/>
          <w:szCs w:val="18"/>
        </w:rPr>
        <w:t>Broadcasting Act</w:t>
      </w:r>
      <w:r w:rsidRPr="004A1C7B">
        <w:rPr>
          <w:rFonts w:cs="Times New Roman"/>
          <w:sz w:val="18"/>
          <w:szCs w:val="18"/>
        </w:rPr>
        <w:t>.  The operators of private local television stations generally favour the proposed value for signal regime while BDUs generally do not.  Under the current regulatory model, BDUs pick up the over</w:t>
      </w:r>
      <w:r w:rsidR="00C95C82">
        <w:rPr>
          <w:rFonts w:cs="Times New Roman"/>
          <w:sz w:val="18"/>
          <w:szCs w:val="18"/>
        </w:rPr>
        <w:t>-</w:t>
      </w:r>
      <w:r w:rsidRPr="004A1C7B">
        <w:rPr>
          <w:rFonts w:cs="Times New Roman"/>
          <w:sz w:val="18"/>
          <w:szCs w:val="18"/>
        </w:rPr>
        <w:t>the</w:t>
      </w:r>
      <w:r w:rsidR="00C95C82">
        <w:rPr>
          <w:rFonts w:cs="Times New Roman"/>
          <w:sz w:val="18"/>
          <w:szCs w:val="18"/>
        </w:rPr>
        <w:t>-</w:t>
      </w:r>
      <w:r w:rsidRPr="004A1C7B">
        <w:rPr>
          <w:rFonts w:cs="Times New Roman"/>
          <w:sz w:val="18"/>
          <w:szCs w:val="18"/>
        </w:rPr>
        <w:t>air signals of private local television stations and retransmit them to their subscribers for a fee.  The CRTC requires BDUs to provide certain benefits to private local television stations for those signals.  The CRTC has concluded that the existing model does not adequately deal with recent changes to the broadcasting business environment.  Among the changes noted by the CRTC are the development of direct</w:t>
      </w:r>
      <w:r w:rsidR="00C95C82">
        <w:rPr>
          <w:rFonts w:cs="Times New Roman"/>
          <w:sz w:val="18"/>
          <w:szCs w:val="18"/>
        </w:rPr>
        <w:t>-</w:t>
      </w:r>
      <w:r w:rsidRPr="004A1C7B">
        <w:rPr>
          <w:rFonts w:cs="Times New Roman"/>
          <w:sz w:val="18"/>
          <w:szCs w:val="18"/>
        </w:rPr>
        <w:t>to</w:t>
      </w:r>
      <w:r w:rsidR="00C95C82">
        <w:rPr>
          <w:rFonts w:cs="Times New Roman"/>
          <w:sz w:val="18"/>
          <w:szCs w:val="18"/>
        </w:rPr>
        <w:t>-</w:t>
      </w:r>
      <w:r w:rsidRPr="004A1C7B">
        <w:rPr>
          <w:rFonts w:cs="Times New Roman"/>
          <w:sz w:val="18"/>
          <w:szCs w:val="18"/>
        </w:rPr>
        <w:t>home satellite television services, the development of speciality television channels that are permitted to receive fees directly from BDUs that carry them, and the widespread adoption of alternative media platforms.  These changes have caused advertising revenues for private local television stations to fall while the revenues of BDUs have increased, resulting in a significant shift in their relative market positions and a financial crisis for the private local television stations.  The CRTC concluded that this financial crisis may be averted by adopting a value for signal regime that invokes market forces.  The CRTC therefore brought an application for a reference to the Federal Court of Appeal to determine its jurisdiction to implement the proposed regime.</w:t>
      </w:r>
    </w:p>
    <w:p w:rsidR="004A1C7B" w:rsidRPr="004A1C7B" w:rsidRDefault="004A1C7B" w:rsidP="004A1C7B">
      <w:pPr>
        <w:widowControl w:val="0"/>
        <w:jc w:val="both"/>
        <w:rPr>
          <w:rFonts w:cs="Times New Roman"/>
          <w:sz w:val="18"/>
          <w:szCs w:val="18"/>
        </w:rPr>
      </w:pPr>
    </w:p>
    <w:p w:rsidR="004A1C7B" w:rsidRPr="004A1C7B" w:rsidRDefault="004A1C7B" w:rsidP="004A1C7B">
      <w:pPr>
        <w:widowControl w:val="0"/>
        <w:jc w:val="both"/>
        <w:rPr>
          <w:rFonts w:cs="Times New Roman"/>
          <w:sz w:val="18"/>
          <w:szCs w:val="18"/>
        </w:rPr>
      </w:pPr>
    </w:p>
    <w:p w:rsidR="004A1C7B" w:rsidRPr="004A1C7B" w:rsidRDefault="004A1C7B" w:rsidP="00C95C82">
      <w:pPr>
        <w:widowControl w:val="0"/>
        <w:ind w:left="3600" w:hanging="3600"/>
        <w:jc w:val="both"/>
        <w:rPr>
          <w:rFonts w:cs="Times New Roman"/>
          <w:sz w:val="18"/>
          <w:szCs w:val="18"/>
        </w:rPr>
      </w:pPr>
      <w:r w:rsidRPr="004A1C7B">
        <w:rPr>
          <w:rFonts w:cs="Times New Roman"/>
          <w:sz w:val="18"/>
          <w:szCs w:val="18"/>
        </w:rPr>
        <w:t>Origin of the case:</w:t>
      </w:r>
      <w:r w:rsidRPr="004A1C7B">
        <w:rPr>
          <w:rFonts w:cs="Times New Roman"/>
          <w:sz w:val="18"/>
          <w:szCs w:val="18"/>
        </w:rPr>
        <w:tab/>
        <w:t>Federal Court of Appeal</w:t>
      </w:r>
    </w:p>
    <w:p w:rsidR="004A1C7B" w:rsidRPr="004A1C7B" w:rsidRDefault="004A1C7B" w:rsidP="00C95C82">
      <w:pPr>
        <w:widowControl w:val="0"/>
        <w:ind w:left="3600" w:hanging="3600"/>
        <w:jc w:val="both"/>
        <w:rPr>
          <w:rFonts w:cs="Times New Roman"/>
          <w:sz w:val="18"/>
          <w:szCs w:val="18"/>
        </w:rPr>
      </w:pPr>
    </w:p>
    <w:p w:rsidR="004A1C7B" w:rsidRPr="004A1C7B" w:rsidRDefault="004A1C7B" w:rsidP="00C95C82">
      <w:pPr>
        <w:widowControl w:val="0"/>
        <w:ind w:left="3600" w:hanging="3600"/>
        <w:jc w:val="both"/>
        <w:rPr>
          <w:rFonts w:cs="Times New Roman"/>
          <w:sz w:val="18"/>
          <w:szCs w:val="18"/>
        </w:rPr>
      </w:pPr>
      <w:r w:rsidRPr="004A1C7B">
        <w:rPr>
          <w:rFonts w:cs="Times New Roman"/>
          <w:sz w:val="18"/>
          <w:szCs w:val="18"/>
        </w:rPr>
        <w:t>File No.:</w:t>
      </w:r>
      <w:r w:rsidRPr="004A1C7B">
        <w:rPr>
          <w:rFonts w:cs="Times New Roman"/>
          <w:sz w:val="18"/>
          <w:szCs w:val="18"/>
        </w:rPr>
        <w:tab/>
        <w:t>34231</w:t>
      </w:r>
    </w:p>
    <w:p w:rsidR="004A1C7B" w:rsidRPr="004A1C7B" w:rsidRDefault="004A1C7B" w:rsidP="00C95C82">
      <w:pPr>
        <w:widowControl w:val="0"/>
        <w:ind w:left="3600" w:hanging="3600"/>
        <w:jc w:val="both"/>
        <w:rPr>
          <w:rFonts w:cs="Times New Roman"/>
          <w:sz w:val="18"/>
          <w:szCs w:val="18"/>
        </w:rPr>
      </w:pPr>
    </w:p>
    <w:p w:rsidR="004A1C7B" w:rsidRPr="004A1C7B" w:rsidRDefault="004A1C7B" w:rsidP="00C95C82">
      <w:pPr>
        <w:widowControl w:val="0"/>
        <w:ind w:left="3600" w:hanging="3600"/>
        <w:jc w:val="both"/>
        <w:rPr>
          <w:rFonts w:cs="Times New Roman"/>
          <w:sz w:val="18"/>
          <w:szCs w:val="18"/>
        </w:rPr>
      </w:pPr>
      <w:r w:rsidRPr="004A1C7B">
        <w:rPr>
          <w:rFonts w:cs="Times New Roman"/>
          <w:sz w:val="18"/>
          <w:szCs w:val="18"/>
        </w:rPr>
        <w:t>Judgment of the Court of Appeal:</w:t>
      </w:r>
      <w:r w:rsidRPr="004A1C7B">
        <w:rPr>
          <w:rFonts w:cs="Times New Roman"/>
          <w:sz w:val="18"/>
          <w:szCs w:val="18"/>
        </w:rPr>
        <w:tab/>
        <w:t>February 28, 2011</w:t>
      </w:r>
    </w:p>
    <w:p w:rsidR="004A1C7B" w:rsidRPr="004A1C7B" w:rsidRDefault="004A1C7B" w:rsidP="00C95C82">
      <w:pPr>
        <w:widowControl w:val="0"/>
        <w:ind w:left="3600" w:hanging="3600"/>
        <w:jc w:val="both"/>
        <w:rPr>
          <w:rFonts w:cs="Times New Roman"/>
          <w:sz w:val="18"/>
          <w:szCs w:val="18"/>
        </w:rPr>
      </w:pPr>
    </w:p>
    <w:p w:rsidR="004A1C7B" w:rsidRPr="004A1C7B" w:rsidRDefault="004A1C7B" w:rsidP="00C95C82">
      <w:pPr>
        <w:widowControl w:val="0"/>
        <w:ind w:left="3600" w:hanging="3600"/>
        <w:jc w:val="both"/>
        <w:rPr>
          <w:rFonts w:cs="Times New Roman"/>
          <w:sz w:val="18"/>
          <w:szCs w:val="18"/>
        </w:rPr>
      </w:pPr>
      <w:r w:rsidRPr="004A1C7B">
        <w:rPr>
          <w:rFonts w:cs="Times New Roman"/>
          <w:sz w:val="18"/>
          <w:szCs w:val="18"/>
        </w:rPr>
        <w:t>Counsel:</w:t>
      </w:r>
      <w:r w:rsidRPr="004A1C7B">
        <w:rPr>
          <w:rFonts w:cs="Times New Roman"/>
          <w:sz w:val="18"/>
          <w:szCs w:val="18"/>
        </w:rPr>
        <w:tab/>
        <w:t xml:space="preserve">Gerald </w:t>
      </w:r>
      <w:proofErr w:type="spellStart"/>
      <w:r w:rsidRPr="004A1C7B">
        <w:rPr>
          <w:rFonts w:cs="Times New Roman"/>
          <w:sz w:val="18"/>
          <w:szCs w:val="18"/>
        </w:rPr>
        <w:t>Kerr</w:t>
      </w:r>
      <w:r w:rsidRPr="004A1C7B">
        <w:rPr>
          <w:rFonts w:cs="Times New Roman"/>
          <w:sz w:val="18"/>
          <w:szCs w:val="18"/>
        </w:rPr>
        <w:noBreakHyphen/>
        <w:t>Wilson</w:t>
      </w:r>
      <w:proofErr w:type="spellEnd"/>
      <w:r w:rsidRPr="004A1C7B">
        <w:rPr>
          <w:rFonts w:cs="Times New Roman"/>
          <w:sz w:val="18"/>
          <w:szCs w:val="18"/>
        </w:rPr>
        <w:t xml:space="preserve"> and Ariel Thomas for the appellants Rogers and </w:t>
      </w:r>
      <w:proofErr w:type="spellStart"/>
      <w:r w:rsidRPr="004A1C7B">
        <w:rPr>
          <w:rFonts w:cs="Times New Roman"/>
          <w:sz w:val="18"/>
          <w:szCs w:val="18"/>
        </w:rPr>
        <w:t>Telus</w:t>
      </w:r>
      <w:proofErr w:type="spellEnd"/>
    </w:p>
    <w:p w:rsidR="004A1C7B" w:rsidRPr="004A1C7B" w:rsidRDefault="004A1C7B" w:rsidP="00C95C82">
      <w:pPr>
        <w:widowControl w:val="0"/>
        <w:ind w:left="3600" w:hanging="3600"/>
        <w:jc w:val="both"/>
        <w:rPr>
          <w:rFonts w:cs="Times New Roman"/>
          <w:sz w:val="18"/>
          <w:szCs w:val="18"/>
        </w:rPr>
      </w:pPr>
      <w:r w:rsidRPr="004A1C7B">
        <w:rPr>
          <w:rFonts w:cs="Times New Roman"/>
          <w:sz w:val="18"/>
          <w:szCs w:val="18"/>
        </w:rPr>
        <w:tab/>
        <w:t>Kent E. Thomson, James Doris and Sarah Weingarten for the appellant Shaw Communications</w:t>
      </w:r>
    </w:p>
    <w:p w:rsidR="004A1C7B" w:rsidRPr="004A1C7B" w:rsidRDefault="004A1C7B" w:rsidP="00C95C82">
      <w:pPr>
        <w:widowControl w:val="0"/>
        <w:ind w:left="3600" w:hanging="3600"/>
        <w:jc w:val="both"/>
        <w:rPr>
          <w:rFonts w:cs="Times New Roman"/>
          <w:sz w:val="18"/>
          <w:szCs w:val="18"/>
        </w:rPr>
      </w:pPr>
      <w:r w:rsidRPr="004A1C7B">
        <w:rPr>
          <w:rFonts w:cs="Times New Roman"/>
          <w:sz w:val="18"/>
          <w:szCs w:val="18"/>
        </w:rPr>
        <w:tab/>
        <w:t xml:space="preserve">Neil Finkelstein, Steven G. Mason and Daniel G. C. Glover for the appellant </w:t>
      </w:r>
      <w:proofErr w:type="spellStart"/>
      <w:r w:rsidRPr="004A1C7B">
        <w:rPr>
          <w:rFonts w:cs="Times New Roman"/>
          <w:sz w:val="18"/>
          <w:szCs w:val="18"/>
        </w:rPr>
        <w:t>Cogeco</w:t>
      </w:r>
      <w:proofErr w:type="spellEnd"/>
      <w:r w:rsidRPr="004A1C7B">
        <w:rPr>
          <w:rFonts w:cs="Times New Roman"/>
          <w:sz w:val="18"/>
          <w:szCs w:val="18"/>
        </w:rPr>
        <w:t xml:space="preserve"> Cable</w:t>
      </w:r>
    </w:p>
    <w:p w:rsidR="004A1C7B" w:rsidRPr="004A1C7B" w:rsidRDefault="004A1C7B" w:rsidP="00C95C82">
      <w:pPr>
        <w:widowControl w:val="0"/>
        <w:ind w:left="3600" w:hanging="3600"/>
        <w:jc w:val="both"/>
        <w:rPr>
          <w:rFonts w:cs="Times New Roman"/>
          <w:sz w:val="18"/>
          <w:szCs w:val="18"/>
        </w:rPr>
      </w:pPr>
      <w:r w:rsidRPr="004A1C7B">
        <w:rPr>
          <w:rFonts w:cs="Times New Roman"/>
          <w:sz w:val="18"/>
          <w:szCs w:val="18"/>
        </w:rPr>
        <w:tab/>
        <w:t xml:space="preserve">Benjamin </w:t>
      </w:r>
      <w:proofErr w:type="spellStart"/>
      <w:r w:rsidRPr="004A1C7B">
        <w:rPr>
          <w:rFonts w:cs="Times New Roman"/>
          <w:sz w:val="18"/>
          <w:szCs w:val="18"/>
        </w:rPr>
        <w:t>Zarnett</w:t>
      </w:r>
      <w:proofErr w:type="spellEnd"/>
      <w:r w:rsidRPr="004A1C7B">
        <w:rPr>
          <w:rFonts w:cs="Times New Roman"/>
          <w:sz w:val="18"/>
          <w:szCs w:val="18"/>
        </w:rPr>
        <w:t xml:space="preserve"> and Robert </w:t>
      </w:r>
      <w:proofErr w:type="spellStart"/>
      <w:r w:rsidRPr="004A1C7B">
        <w:rPr>
          <w:rFonts w:cs="Times New Roman"/>
          <w:sz w:val="18"/>
          <w:szCs w:val="18"/>
        </w:rPr>
        <w:t>Malcolmson</w:t>
      </w:r>
      <w:proofErr w:type="spellEnd"/>
      <w:r w:rsidRPr="004A1C7B">
        <w:rPr>
          <w:rFonts w:cs="Times New Roman"/>
          <w:sz w:val="18"/>
          <w:szCs w:val="18"/>
        </w:rPr>
        <w:t xml:space="preserve"> for the respondents Bell Media, Newfoundland Broadcasting and V Interactions</w:t>
      </w:r>
    </w:p>
    <w:p w:rsidR="00223D9F" w:rsidRPr="004A1C7B" w:rsidRDefault="004A1C7B" w:rsidP="00C95C82">
      <w:pPr>
        <w:widowControl w:val="0"/>
        <w:ind w:left="3600" w:hanging="3600"/>
        <w:jc w:val="both"/>
        <w:rPr>
          <w:sz w:val="18"/>
          <w:szCs w:val="18"/>
        </w:rPr>
      </w:pPr>
      <w:r w:rsidRPr="004A1C7B">
        <w:rPr>
          <w:rFonts w:cs="Times New Roman"/>
          <w:sz w:val="18"/>
          <w:szCs w:val="18"/>
        </w:rPr>
        <w:tab/>
        <w:t xml:space="preserve">Chris </w:t>
      </w:r>
      <w:proofErr w:type="spellStart"/>
      <w:r w:rsidRPr="004A1C7B">
        <w:rPr>
          <w:rFonts w:cs="Times New Roman"/>
          <w:sz w:val="18"/>
          <w:szCs w:val="18"/>
        </w:rPr>
        <w:t>Paliare</w:t>
      </w:r>
      <w:proofErr w:type="spellEnd"/>
      <w:r w:rsidRPr="004A1C7B">
        <w:rPr>
          <w:rFonts w:cs="Times New Roman"/>
          <w:sz w:val="18"/>
          <w:szCs w:val="18"/>
        </w:rPr>
        <w:t xml:space="preserve"> for the respondent </w:t>
      </w:r>
      <w:proofErr w:type="spellStart"/>
      <w:r w:rsidRPr="004A1C7B">
        <w:rPr>
          <w:rFonts w:cs="Times New Roman"/>
          <w:sz w:val="18"/>
          <w:szCs w:val="18"/>
        </w:rPr>
        <w:t>Canwest</w:t>
      </w:r>
      <w:proofErr w:type="spellEnd"/>
      <w:r w:rsidRPr="004A1C7B">
        <w:rPr>
          <w:rFonts w:cs="Times New Roman"/>
          <w:sz w:val="18"/>
          <w:szCs w:val="18"/>
        </w:rPr>
        <w:t xml:space="preserve"> Television</w:t>
      </w:r>
    </w:p>
    <w:p w:rsidR="00223D9F" w:rsidRPr="004A1C7B" w:rsidRDefault="00223D9F" w:rsidP="00223D9F">
      <w:pPr>
        <w:tabs>
          <w:tab w:val="left" w:pos="-1440"/>
          <w:tab w:val="left" w:pos="-720"/>
        </w:tabs>
        <w:ind w:left="720" w:hanging="720"/>
        <w:jc w:val="both"/>
        <w:rPr>
          <w:sz w:val="18"/>
          <w:szCs w:val="18"/>
        </w:rPr>
      </w:pPr>
    </w:p>
    <w:p w:rsidR="00223D9F" w:rsidRPr="004A1C7B" w:rsidRDefault="007505E6" w:rsidP="00223D9F">
      <w:pPr>
        <w:tabs>
          <w:tab w:val="left" w:pos="-1440"/>
          <w:tab w:val="left" w:pos="-720"/>
        </w:tabs>
        <w:ind w:left="720" w:hanging="720"/>
        <w:jc w:val="both"/>
        <w:rPr>
          <w:sz w:val="18"/>
          <w:szCs w:val="18"/>
        </w:rPr>
      </w:pPr>
      <w:r w:rsidRPr="007505E6">
        <w:rPr>
          <w:sz w:val="18"/>
          <w:szCs w:val="18"/>
          <w:lang w:val="fr-CA"/>
        </w:rPr>
        <w:pict>
          <v:rect id="_x0000_i1105" style="width:2in;height:1pt" o:hrpct="0" o:hralign="center" o:hrstd="t" o:hrnoshade="t" o:hr="t" fillcolor="black [3213]" stroked="f"/>
        </w:pict>
      </w:r>
    </w:p>
    <w:p w:rsidR="00223D9F" w:rsidRPr="004A1C7B" w:rsidRDefault="00223D9F" w:rsidP="00223D9F">
      <w:pPr>
        <w:tabs>
          <w:tab w:val="left" w:pos="-1440"/>
          <w:tab w:val="left" w:pos="-720"/>
        </w:tabs>
        <w:ind w:left="720" w:hanging="720"/>
        <w:jc w:val="both"/>
        <w:rPr>
          <w:sz w:val="18"/>
          <w:szCs w:val="18"/>
        </w:rPr>
      </w:pPr>
    </w:p>
    <w:p w:rsidR="00223D9F" w:rsidRPr="004A1C7B" w:rsidRDefault="00223D9F">
      <w:pPr>
        <w:rPr>
          <w:sz w:val="18"/>
          <w:szCs w:val="18"/>
        </w:rPr>
      </w:pPr>
    </w:p>
    <w:p w:rsidR="00223D9F" w:rsidRPr="004A1C7B" w:rsidRDefault="00223D9F">
      <w:pPr>
        <w:rPr>
          <w:sz w:val="20"/>
          <w:szCs w:val="20"/>
        </w:rPr>
      </w:pPr>
      <w:r w:rsidRPr="004A1C7B">
        <w:rPr>
          <w:sz w:val="20"/>
          <w:szCs w:val="20"/>
        </w:rPr>
        <w:br w:type="page"/>
      </w:r>
    </w:p>
    <w:p w:rsidR="004A1C7B" w:rsidRPr="00825674" w:rsidRDefault="004A1C7B" w:rsidP="004A1C7B">
      <w:pPr>
        <w:pStyle w:val="SCCLsocParty"/>
        <w:ind w:left="720" w:hanging="720"/>
        <w:jc w:val="both"/>
        <w:rPr>
          <w:b/>
          <w:i/>
          <w:sz w:val="18"/>
          <w:szCs w:val="18"/>
        </w:rPr>
      </w:pPr>
      <w:r w:rsidRPr="00825674">
        <w:rPr>
          <w:rStyle w:val="SCCFileNumberChar"/>
          <w:sz w:val="18"/>
          <w:szCs w:val="18"/>
          <w:lang w:val="en-US"/>
        </w:rPr>
        <w:lastRenderedPageBreak/>
        <w:t>34231</w:t>
      </w:r>
      <w:r w:rsidRPr="00825674">
        <w:rPr>
          <w:rFonts w:eastAsiaTheme="minorHAnsi"/>
          <w:sz w:val="18"/>
          <w:szCs w:val="18"/>
          <w:lang w:val="en-US"/>
        </w:rPr>
        <w:tab/>
      </w:r>
      <w:proofErr w:type="spellStart"/>
      <w:r w:rsidRPr="00825674">
        <w:rPr>
          <w:b/>
          <w:i/>
          <w:sz w:val="18"/>
          <w:szCs w:val="18"/>
          <w:lang w:val="en-US"/>
        </w:rPr>
        <w:t>Cogeco</w:t>
      </w:r>
      <w:proofErr w:type="spellEnd"/>
      <w:r w:rsidRPr="00825674">
        <w:rPr>
          <w:b/>
          <w:i/>
          <w:sz w:val="18"/>
          <w:szCs w:val="18"/>
          <w:lang w:val="en-US"/>
        </w:rPr>
        <w:t xml:space="preserve"> Cable Inc. c. Bell Media Inc. et al. </w:t>
      </w:r>
      <w:r w:rsidRPr="00825674">
        <w:rPr>
          <w:b/>
          <w:i/>
          <w:sz w:val="18"/>
          <w:szCs w:val="18"/>
        </w:rPr>
        <w:noBreakHyphen/>
      </w:r>
      <w:proofErr w:type="spellStart"/>
      <w:r w:rsidRPr="00825674">
        <w:rPr>
          <w:b/>
          <w:i/>
          <w:sz w:val="18"/>
          <w:szCs w:val="18"/>
        </w:rPr>
        <w:t>et</w:t>
      </w:r>
      <w:r w:rsidRPr="00825674">
        <w:rPr>
          <w:b/>
          <w:i/>
          <w:sz w:val="18"/>
          <w:szCs w:val="18"/>
        </w:rPr>
        <w:noBreakHyphen/>
      </w:r>
      <w:proofErr w:type="spellEnd"/>
      <w:r w:rsidRPr="00825674">
        <w:rPr>
          <w:b/>
          <w:i/>
          <w:sz w:val="18"/>
          <w:szCs w:val="18"/>
        </w:rPr>
        <w:t xml:space="preserve"> Conseil de la radiodiffusion et des télécommunications canadiennes (CRTC)</w:t>
      </w:r>
      <w:r w:rsidR="00E90EC7" w:rsidRPr="00825674">
        <w:rPr>
          <w:b/>
          <w:i/>
          <w:sz w:val="18"/>
          <w:szCs w:val="18"/>
        </w:rPr>
        <w:t xml:space="preserve"> </w:t>
      </w:r>
      <w:r w:rsidRPr="00825674">
        <w:rPr>
          <w:b/>
          <w:i/>
          <w:sz w:val="18"/>
          <w:szCs w:val="18"/>
        </w:rPr>
        <w:noBreakHyphen/>
        <w:t xml:space="preserve"> et entre </w:t>
      </w:r>
      <w:r w:rsidRPr="00825674">
        <w:rPr>
          <w:b/>
          <w:i/>
          <w:sz w:val="18"/>
          <w:szCs w:val="18"/>
        </w:rPr>
        <w:noBreakHyphen/>
        <w:t xml:space="preserve"> Rogers Communications Inc. et </w:t>
      </w:r>
      <w:proofErr w:type="spellStart"/>
      <w:r w:rsidRPr="00825674">
        <w:rPr>
          <w:b/>
          <w:i/>
          <w:sz w:val="18"/>
          <w:szCs w:val="18"/>
        </w:rPr>
        <w:t>Telus</w:t>
      </w:r>
      <w:proofErr w:type="spellEnd"/>
      <w:r w:rsidRPr="00825674">
        <w:rPr>
          <w:b/>
          <w:i/>
          <w:sz w:val="18"/>
          <w:szCs w:val="18"/>
        </w:rPr>
        <w:t xml:space="preserve"> Communications </w:t>
      </w:r>
      <w:proofErr w:type="spellStart"/>
      <w:r w:rsidRPr="00825674">
        <w:rPr>
          <w:b/>
          <w:i/>
          <w:sz w:val="18"/>
          <w:szCs w:val="18"/>
        </w:rPr>
        <w:t>Company</w:t>
      </w:r>
      <w:proofErr w:type="spellEnd"/>
      <w:r w:rsidRPr="00825674">
        <w:rPr>
          <w:b/>
          <w:i/>
          <w:sz w:val="18"/>
          <w:szCs w:val="18"/>
        </w:rPr>
        <w:t xml:space="preserve"> c. Bell Media Inc. et al.</w:t>
      </w:r>
      <w:r w:rsidRPr="00825674">
        <w:rPr>
          <w:b/>
          <w:i/>
          <w:sz w:val="18"/>
          <w:szCs w:val="18"/>
        </w:rPr>
        <w:noBreakHyphen/>
      </w:r>
      <w:proofErr w:type="spellStart"/>
      <w:r w:rsidRPr="00825674">
        <w:rPr>
          <w:b/>
          <w:i/>
          <w:sz w:val="18"/>
          <w:szCs w:val="18"/>
        </w:rPr>
        <w:t>et</w:t>
      </w:r>
      <w:r w:rsidRPr="00825674">
        <w:rPr>
          <w:b/>
          <w:i/>
          <w:sz w:val="18"/>
          <w:szCs w:val="18"/>
        </w:rPr>
        <w:noBreakHyphen/>
        <w:t>Conseil</w:t>
      </w:r>
      <w:proofErr w:type="spellEnd"/>
      <w:r w:rsidRPr="00825674">
        <w:rPr>
          <w:b/>
          <w:i/>
          <w:sz w:val="18"/>
          <w:szCs w:val="18"/>
        </w:rPr>
        <w:t xml:space="preserve"> de la radiodiffusion et des télécommunications canadiennes (CRTC) </w:t>
      </w:r>
      <w:r w:rsidRPr="00825674">
        <w:rPr>
          <w:b/>
          <w:i/>
          <w:sz w:val="18"/>
          <w:szCs w:val="18"/>
        </w:rPr>
        <w:noBreakHyphen/>
        <w:t xml:space="preserve"> et entre </w:t>
      </w:r>
      <w:r w:rsidRPr="00825674">
        <w:rPr>
          <w:b/>
          <w:i/>
          <w:sz w:val="18"/>
          <w:szCs w:val="18"/>
        </w:rPr>
        <w:noBreakHyphen/>
        <w:t xml:space="preserve"> Shaw Communications Inc. c. Bell Media Inc. et al. et Conseil de la radiodiffusion et des télécommunications canadiennes (CRTC)</w:t>
      </w:r>
    </w:p>
    <w:p w:rsidR="004A1C7B" w:rsidRPr="00825674" w:rsidRDefault="004A1C7B" w:rsidP="004A1C7B">
      <w:pPr>
        <w:tabs>
          <w:tab w:val="left" w:pos="1007"/>
        </w:tabs>
        <w:rPr>
          <w:rFonts w:cs="Times New Roman"/>
          <w:sz w:val="18"/>
          <w:szCs w:val="18"/>
          <w:lang w:val="fr-CA"/>
        </w:rPr>
      </w:pPr>
    </w:p>
    <w:p w:rsidR="004A1C7B" w:rsidRPr="00825674" w:rsidRDefault="004A1C7B" w:rsidP="004A1C7B">
      <w:pPr>
        <w:jc w:val="both"/>
        <w:rPr>
          <w:rFonts w:cs="Times New Roman"/>
          <w:sz w:val="18"/>
          <w:szCs w:val="18"/>
          <w:lang w:val="fr-CA"/>
        </w:rPr>
      </w:pPr>
      <w:r w:rsidRPr="00825674">
        <w:rPr>
          <w:rFonts w:cs="Times New Roman"/>
          <w:sz w:val="18"/>
          <w:szCs w:val="18"/>
          <w:lang w:val="fr-CA"/>
        </w:rPr>
        <w:t xml:space="preserve">Droit des communications </w:t>
      </w:r>
      <w:r w:rsidRPr="00825674">
        <w:rPr>
          <w:rFonts w:cs="Times New Roman"/>
          <w:sz w:val="18"/>
          <w:szCs w:val="18"/>
          <w:lang w:val="fr-CA"/>
        </w:rPr>
        <w:noBreakHyphen/>
        <w:t xml:space="preserve"> Radiodiffusion </w:t>
      </w:r>
      <w:r w:rsidRPr="00825674">
        <w:rPr>
          <w:rFonts w:cs="Times New Roman"/>
          <w:sz w:val="18"/>
          <w:szCs w:val="18"/>
          <w:lang w:val="fr-CA"/>
        </w:rPr>
        <w:noBreakHyphen/>
        <w:t xml:space="preserve"> Politique de radiodiffusion </w:t>
      </w:r>
      <w:r w:rsidRPr="00825674">
        <w:rPr>
          <w:rFonts w:cs="Times New Roman"/>
          <w:sz w:val="18"/>
          <w:szCs w:val="18"/>
          <w:lang w:val="fr-CA"/>
        </w:rPr>
        <w:noBreakHyphen/>
        <w:t xml:space="preserve"> Législation </w:t>
      </w:r>
      <w:r w:rsidRPr="00825674">
        <w:rPr>
          <w:rFonts w:cs="Times New Roman"/>
          <w:sz w:val="18"/>
          <w:szCs w:val="18"/>
          <w:lang w:val="fr-CA"/>
        </w:rPr>
        <w:noBreakHyphen/>
        <w:t xml:space="preserve"> Interprétation </w:t>
      </w:r>
      <w:r w:rsidRPr="00825674">
        <w:rPr>
          <w:rFonts w:cs="Times New Roman"/>
          <w:sz w:val="18"/>
          <w:szCs w:val="18"/>
          <w:lang w:val="fr-CA"/>
        </w:rPr>
        <w:noBreakHyphen/>
        <w:t xml:space="preserve"> Loi incompatible </w:t>
      </w:r>
      <w:r w:rsidRPr="00825674">
        <w:rPr>
          <w:rFonts w:cs="Times New Roman"/>
          <w:sz w:val="18"/>
          <w:szCs w:val="18"/>
          <w:lang w:val="fr-CA"/>
        </w:rPr>
        <w:noBreakHyphen/>
        <w:t xml:space="preserve"> Compétence du Conseil de la radiodiffusion et des télécommunications canadiennes (CRTC) </w:t>
      </w:r>
      <w:r w:rsidRPr="00825674">
        <w:rPr>
          <w:rFonts w:cs="Times New Roman"/>
          <w:sz w:val="18"/>
          <w:szCs w:val="18"/>
          <w:lang w:val="fr-CA"/>
        </w:rPr>
        <w:noBreakHyphen/>
        <w:t xml:space="preserve"> Le CRTC a</w:t>
      </w:r>
      <w:r w:rsidR="00856FBA" w:rsidRPr="00825674">
        <w:rPr>
          <w:rFonts w:cs="Times New Roman"/>
          <w:sz w:val="18"/>
          <w:szCs w:val="18"/>
          <w:lang w:val="fr-CA"/>
        </w:rPr>
        <w:t>-</w:t>
      </w:r>
      <w:r w:rsidRPr="00825674">
        <w:rPr>
          <w:rFonts w:cs="Times New Roman"/>
          <w:sz w:val="18"/>
          <w:szCs w:val="18"/>
          <w:lang w:val="fr-CA"/>
        </w:rPr>
        <w:t>t</w:t>
      </w:r>
      <w:r w:rsidR="00856FBA" w:rsidRPr="00825674">
        <w:rPr>
          <w:rFonts w:cs="Times New Roman"/>
          <w:sz w:val="18"/>
          <w:szCs w:val="18"/>
          <w:lang w:val="fr-CA"/>
        </w:rPr>
        <w:t>-</w:t>
      </w:r>
      <w:r w:rsidRPr="00825674">
        <w:rPr>
          <w:rFonts w:cs="Times New Roman"/>
          <w:sz w:val="18"/>
          <w:szCs w:val="18"/>
          <w:lang w:val="fr-CA"/>
        </w:rPr>
        <w:t>il la compétence, en vertu du mandat que lui confère la </w:t>
      </w:r>
      <w:r w:rsidRPr="00825674">
        <w:rPr>
          <w:rFonts w:cs="Times New Roman"/>
          <w:i/>
          <w:iCs/>
          <w:sz w:val="18"/>
          <w:szCs w:val="18"/>
          <w:lang w:val="fr-CA"/>
        </w:rPr>
        <w:t>Loi sur la radiodiffusion</w:t>
      </w:r>
      <w:r w:rsidRPr="00825674">
        <w:rPr>
          <w:rFonts w:cs="Times New Roman"/>
          <w:sz w:val="18"/>
          <w:szCs w:val="18"/>
          <w:lang w:val="fr-CA"/>
        </w:rPr>
        <w:t xml:space="preserve">, pour établir un régime permettant aux stations privées de télévision locale de négocier avec les entreprises de distribution de radiodiffusion une juste valeur en échange de la distribution des services de programmation diffusée par ces stations de télévision locales? </w:t>
      </w:r>
      <w:r w:rsidRPr="00825674">
        <w:rPr>
          <w:rFonts w:cs="Times New Roman"/>
          <w:sz w:val="18"/>
          <w:szCs w:val="18"/>
          <w:lang w:val="fr-CA"/>
        </w:rPr>
        <w:noBreakHyphen/>
        <w:t xml:space="preserve"> Le régime de compensation pour la valeur des signaux proposé par le CRTC entrerait</w:t>
      </w:r>
      <w:r w:rsidR="00856FBA" w:rsidRPr="00825674">
        <w:rPr>
          <w:rFonts w:cs="Times New Roman"/>
          <w:sz w:val="18"/>
          <w:szCs w:val="18"/>
          <w:lang w:val="fr-CA"/>
        </w:rPr>
        <w:t>-</w:t>
      </w:r>
      <w:r w:rsidRPr="00825674">
        <w:rPr>
          <w:rFonts w:cs="Times New Roman"/>
          <w:sz w:val="18"/>
          <w:szCs w:val="18"/>
          <w:lang w:val="fr-CA"/>
        </w:rPr>
        <w:t>il nécessairement en conflit avec les droits conférés aux entreprises de distribution de radiodiffusion en vertu de la</w:t>
      </w:r>
      <w:r w:rsidRPr="00825674">
        <w:rPr>
          <w:rFonts w:cs="Times New Roman"/>
          <w:i/>
          <w:sz w:val="18"/>
          <w:szCs w:val="18"/>
          <w:lang w:val="fr-CA"/>
        </w:rPr>
        <w:t xml:space="preserve"> Loi sur le droit d’auteur</w:t>
      </w:r>
      <w:r w:rsidRPr="00825674">
        <w:rPr>
          <w:rFonts w:cs="Times New Roman"/>
          <w:sz w:val="18"/>
          <w:szCs w:val="18"/>
          <w:lang w:val="fr-CA"/>
        </w:rPr>
        <w:t>?</w:t>
      </w:r>
      <w:r w:rsidRPr="00825674">
        <w:rPr>
          <w:rFonts w:cs="Times New Roman"/>
          <w:i/>
          <w:sz w:val="18"/>
          <w:szCs w:val="18"/>
          <w:lang w:val="fr-CA"/>
        </w:rPr>
        <w:t xml:space="preserve"> </w:t>
      </w:r>
      <w:r w:rsidRPr="00825674">
        <w:rPr>
          <w:rFonts w:cs="Times New Roman"/>
          <w:sz w:val="18"/>
          <w:szCs w:val="18"/>
          <w:lang w:val="fr-CA"/>
        </w:rPr>
        <w:noBreakHyphen/>
      </w:r>
      <w:r w:rsidRPr="00825674">
        <w:rPr>
          <w:rFonts w:cs="Times New Roman"/>
          <w:i/>
          <w:sz w:val="18"/>
          <w:szCs w:val="18"/>
          <w:lang w:val="fr-CA"/>
        </w:rPr>
        <w:t xml:space="preserve"> Loi sur la radiodiffusion</w:t>
      </w:r>
      <w:r w:rsidRPr="00825674">
        <w:rPr>
          <w:rFonts w:cs="Times New Roman"/>
          <w:sz w:val="18"/>
          <w:szCs w:val="18"/>
          <w:lang w:val="fr-CA"/>
        </w:rPr>
        <w:t xml:space="preserve">, L.C. 1991, ch. 11, art. 2(1), 3(1), 3(2), 5 </w:t>
      </w:r>
      <w:r w:rsidRPr="00825674">
        <w:rPr>
          <w:rFonts w:cs="Times New Roman"/>
          <w:sz w:val="18"/>
          <w:szCs w:val="18"/>
          <w:lang w:val="fr-CA"/>
        </w:rPr>
        <w:noBreakHyphen/>
      </w:r>
      <w:r w:rsidRPr="00825674">
        <w:rPr>
          <w:rFonts w:cs="Times New Roman"/>
          <w:i/>
          <w:sz w:val="18"/>
          <w:szCs w:val="18"/>
          <w:lang w:val="fr-CA"/>
        </w:rPr>
        <w:t xml:space="preserve"> Loi sur le droit d’auteur</w:t>
      </w:r>
      <w:r w:rsidRPr="00825674">
        <w:rPr>
          <w:rFonts w:cs="Times New Roman"/>
          <w:sz w:val="18"/>
          <w:szCs w:val="18"/>
          <w:lang w:val="fr-CA"/>
        </w:rPr>
        <w:t>, L.R.C. 1985, ch. C</w:t>
      </w:r>
      <w:r w:rsidRPr="00825674">
        <w:rPr>
          <w:rFonts w:cs="Times New Roman"/>
          <w:sz w:val="18"/>
          <w:szCs w:val="18"/>
          <w:lang w:val="fr-CA"/>
        </w:rPr>
        <w:noBreakHyphen/>
        <w:t>42, art. 21, 31.</w:t>
      </w:r>
    </w:p>
    <w:p w:rsidR="004A1C7B" w:rsidRPr="00825674" w:rsidRDefault="004A1C7B" w:rsidP="004A1C7B">
      <w:pPr>
        <w:pStyle w:val="SCCBanSummary"/>
        <w:rPr>
          <w:sz w:val="18"/>
          <w:szCs w:val="18"/>
          <w:lang w:val="fr-CA"/>
        </w:rPr>
      </w:pPr>
    </w:p>
    <w:p w:rsidR="004A1C7B" w:rsidRPr="00825674" w:rsidRDefault="004A1C7B" w:rsidP="004A1C7B">
      <w:pPr>
        <w:jc w:val="both"/>
        <w:rPr>
          <w:rFonts w:cs="Times New Roman"/>
          <w:sz w:val="18"/>
          <w:szCs w:val="18"/>
          <w:lang w:val="fr-CA"/>
        </w:rPr>
      </w:pPr>
      <w:r w:rsidRPr="00825674">
        <w:rPr>
          <w:rFonts w:cs="Times New Roman"/>
          <w:sz w:val="18"/>
          <w:szCs w:val="18"/>
          <w:lang w:val="fr-CA"/>
        </w:rPr>
        <w:t>Le Conseil de la radiodiffusion et des télécommunications canadiennes (CRTC) renvoie la question suivante à la Cour d’appel fédérale:</w:t>
      </w:r>
    </w:p>
    <w:p w:rsidR="004A1C7B" w:rsidRPr="00825674" w:rsidRDefault="004A1C7B" w:rsidP="004A1C7B">
      <w:pPr>
        <w:jc w:val="both"/>
        <w:rPr>
          <w:rFonts w:cs="Times New Roman"/>
          <w:sz w:val="18"/>
          <w:szCs w:val="18"/>
          <w:lang w:val="fr-CA"/>
        </w:rPr>
      </w:pPr>
    </w:p>
    <w:p w:rsidR="004A1C7B" w:rsidRPr="00825674" w:rsidRDefault="004A1C7B" w:rsidP="008B7B0F">
      <w:pPr>
        <w:ind w:left="720" w:right="720"/>
        <w:jc w:val="both"/>
        <w:rPr>
          <w:rFonts w:cs="Times New Roman"/>
          <w:sz w:val="18"/>
          <w:szCs w:val="18"/>
          <w:lang w:val="fr-CA"/>
        </w:rPr>
      </w:pPr>
      <w:r w:rsidRPr="00825674">
        <w:rPr>
          <w:rFonts w:cs="Times New Roman"/>
          <w:sz w:val="18"/>
          <w:szCs w:val="18"/>
          <w:lang w:val="fr-CA"/>
        </w:rPr>
        <w:t>Le Conseil a</w:t>
      </w:r>
      <w:r w:rsidR="00856FBA" w:rsidRPr="00825674">
        <w:rPr>
          <w:rFonts w:cs="Times New Roman"/>
          <w:sz w:val="18"/>
          <w:szCs w:val="18"/>
          <w:lang w:val="fr-CA"/>
        </w:rPr>
        <w:t>-</w:t>
      </w:r>
      <w:r w:rsidRPr="00825674">
        <w:rPr>
          <w:rFonts w:cs="Times New Roman"/>
          <w:sz w:val="18"/>
          <w:szCs w:val="18"/>
          <w:lang w:val="fr-CA"/>
        </w:rPr>
        <w:t>t</w:t>
      </w:r>
      <w:r w:rsidR="00856FBA" w:rsidRPr="00825674">
        <w:rPr>
          <w:rFonts w:cs="Times New Roman"/>
          <w:sz w:val="18"/>
          <w:szCs w:val="18"/>
          <w:lang w:val="fr-CA"/>
        </w:rPr>
        <w:t>-</w:t>
      </w:r>
      <w:r w:rsidRPr="00825674">
        <w:rPr>
          <w:rFonts w:cs="Times New Roman"/>
          <w:sz w:val="18"/>
          <w:szCs w:val="18"/>
          <w:lang w:val="fr-CA"/>
        </w:rPr>
        <w:t>il la compétence, en vertu du mandat que lui confère la </w:t>
      </w:r>
      <w:r w:rsidRPr="00825674">
        <w:rPr>
          <w:rFonts w:cs="Times New Roman"/>
          <w:i/>
          <w:iCs/>
          <w:sz w:val="18"/>
          <w:szCs w:val="18"/>
          <w:lang w:val="fr-CA"/>
        </w:rPr>
        <w:t>Loi sur la radiodiffusion</w:t>
      </w:r>
      <w:r w:rsidRPr="00825674">
        <w:rPr>
          <w:rFonts w:cs="Times New Roman"/>
          <w:sz w:val="18"/>
          <w:szCs w:val="18"/>
          <w:lang w:val="fr-CA"/>
        </w:rPr>
        <w:t>, pour établir un régime permettant aux stations privées de télévision locale de choisir de négocier avec les entreprises de distribution de radiodiffusion une juste valeur en échange de la distribution des services de programmation diffusée par ces stations de télévision locales?</w:t>
      </w:r>
    </w:p>
    <w:p w:rsidR="004A1C7B" w:rsidRPr="00825674" w:rsidRDefault="004A1C7B" w:rsidP="004A1C7B">
      <w:pPr>
        <w:ind w:left="720"/>
        <w:jc w:val="both"/>
        <w:rPr>
          <w:rFonts w:cs="Times New Roman"/>
          <w:sz w:val="18"/>
          <w:szCs w:val="18"/>
          <w:lang w:val="fr-CA"/>
        </w:rPr>
      </w:pPr>
    </w:p>
    <w:p w:rsidR="004A1C7B" w:rsidRPr="00825674" w:rsidRDefault="004A1C7B" w:rsidP="004A1C7B">
      <w:pPr>
        <w:jc w:val="both"/>
        <w:rPr>
          <w:rFonts w:cs="Times New Roman"/>
          <w:sz w:val="18"/>
          <w:szCs w:val="18"/>
          <w:lang w:val="fr-CA"/>
        </w:rPr>
      </w:pPr>
      <w:r w:rsidRPr="00825674">
        <w:rPr>
          <w:rFonts w:cs="Times New Roman"/>
          <w:sz w:val="18"/>
          <w:szCs w:val="18"/>
          <w:lang w:val="fr-CA"/>
        </w:rPr>
        <w:t>Le régime auquel la question fait référence est parfois désigné sous le nom de régime « de compensation pour la valeur des signaux », qui permettrait à une station privée de télévision locale de négocier avec des fournisseurs de service de télévision par câble (appelés « entreprises de distribution de radiodiffusion » ou « EDR ») une entente selon laquelle ces derniers lui verseraient une contrepartie en échange du droit de retransmettre ses signaux.  Le CRTC a déterminé qu’un tel régime de compensation pour la valeur des signaux était nécessaire à la réalisation des objectifs stratégiques de radiodiffusion énoncés au paragraphe 3(1) de la </w:t>
      </w:r>
      <w:r w:rsidRPr="00825674">
        <w:rPr>
          <w:rFonts w:cs="Times New Roman"/>
          <w:i/>
          <w:iCs/>
          <w:sz w:val="18"/>
          <w:szCs w:val="18"/>
          <w:lang w:val="fr-CA"/>
        </w:rPr>
        <w:t>Loi sur la radiodiffusion</w:t>
      </w:r>
      <w:r w:rsidRPr="00825674">
        <w:rPr>
          <w:rFonts w:cs="Times New Roman"/>
          <w:sz w:val="18"/>
          <w:szCs w:val="18"/>
          <w:lang w:val="fr-CA"/>
        </w:rPr>
        <w:t>.  Les exploitants de stations privées de télévision locale sont généralement favorables au régime proposé alors que, de façon générale, les EDR sont contre.  Selon le régime actuel, les EDR captent les signaux diffusés en direct par des stations privées de télévision locale et les retransmettent à leurs abonnés moyennant le paiement de certains frais.   Le CRTC exige des EDR qu’elles accordent certains avantages aux stations privées de télévision locale pour ces signaux.  Le CRTC a conclu que le modèle réglementaire existant ne répondait pas adéquatement aux changements récents survenus dans l’industrie de la radiodiffusion.  Parmi les changements constatés par le CRTC, il y a le développement de services de radiodiffusion directe à domicile par satellite, le développement de canaux de télévision spécialisés qui sont autorisés à percevoir des frais directement des EDR qui les distribuent et l’adoption à grande échelle de nouvelles plateformes médiatiques.  Par suite de ces changements, les stations de télévision locale ont subi une baisse de revenus de publicité alors que les EDR ont vu leurs revenus augmenter, ce qui s’est traduit par un changement important de leur position respective sur le marché et par une crise financière pour les stations privées de télévision locale.  Le CRTC a conclu qu’il était possible d’éviter cette crise financière en adoptant un régime de compensation pour la valeur des signaux qui ferait intervenir les forces du marché.  Le CRTC a donc présenté une demande de renvoi à la Cour d’appel fédérale pour déterminer sa compétence à instaurer le régime proposé.</w:t>
      </w:r>
    </w:p>
    <w:p w:rsidR="004A1C7B" w:rsidRPr="00825674" w:rsidRDefault="004A1C7B" w:rsidP="004A1C7B">
      <w:pPr>
        <w:jc w:val="both"/>
        <w:rPr>
          <w:rFonts w:cs="Times New Roman"/>
          <w:sz w:val="18"/>
          <w:szCs w:val="18"/>
          <w:lang w:val="fr-CA"/>
        </w:rPr>
      </w:pPr>
    </w:p>
    <w:p w:rsidR="004A1C7B" w:rsidRPr="00825674" w:rsidRDefault="004A1C7B" w:rsidP="004A1C7B">
      <w:pPr>
        <w:rPr>
          <w:rFonts w:cs="Times New Roman"/>
          <w:sz w:val="18"/>
          <w:szCs w:val="18"/>
          <w:lang w:val="fr-CA"/>
        </w:rPr>
      </w:pPr>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 xml:space="preserve">Origine de la cause : </w:t>
      </w:r>
      <w:r w:rsidRPr="00825674">
        <w:rPr>
          <w:rFonts w:cs="Times New Roman"/>
          <w:sz w:val="18"/>
          <w:szCs w:val="18"/>
          <w:lang w:val="fr-CA"/>
        </w:rPr>
        <w:tab/>
        <w:t>Cour d’appel fédérale</w:t>
      </w:r>
    </w:p>
    <w:p w:rsidR="004A1C7B" w:rsidRPr="00825674" w:rsidRDefault="004A1C7B" w:rsidP="00772D98">
      <w:pPr>
        <w:ind w:left="3600" w:hanging="3600"/>
        <w:rPr>
          <w:rFonts w:cs="Times New Roman"/>
          <w:sz w:val="18"/>
          <w:szCs w:val="18"/>
          <w:lang w:val="fr-CA"/>
        </w:rPr>
      </w:pPr>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N</w:t>
      </w:r>
      <w:r w:rsidRPr="00825674">
        <w:rPr>
          <w:rFonts w:cs="Times New Roman"/>
          <w:sz w:val="18"/>
          <w:szCs w:val="18"/>
          <w:vertAlign w:val="superscript"/>
          <w:lang w:val="fr-CA"/>
        </w:rPr>
        <w:t>o</w:t>
      </w:r>
      <w:r w:rsidRPr="00825674">
        <w:rPr>
          <w:rFonts w:cs="Times New Roman"/>
          <w:sz w:val="18"/>
          <w:szCs w:val="18"/>
          <w:lang w:val="fr-CA"/>
        </w:rPr>
        <w:t xml:space="preserve"> du greffe :</w:t>
      </w:r>
      <w:r w:rsidRPr="00825674">
        <w:rPr>
          <w:rFonts w:cs="Times New Roman"/>
          <w:sz w:val="18"/>
          <w:szCs w:val="18"/>
          <w:lang w:val="fr-CA"/>
        </w:rPr>
        <w:tab/>
        <w:t>34231</w:t>
      </w:r>
    </w:p>
    <w:p w:rsidR="004A1C7B" w:rsidRPr="00825674" w:rsidRDefault="004A1C7B" w:rsidP="00772D98">
      <w:pPr>
        <w:ind w:left="3600" w:hanging="3600"/>
        <w:rPr>
          <w:rFonts w:cs="Times New Roman"/>
          <w:sz w:val="18"/>
          <w:szCs w:val="18"/>
          <w:lang w:val="fr-CA"/>
        </w:rPr>
      </w:pPr>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 xml:space="preserve">Arrêt de la Cour d’appel : </w:t>
      </w:r>
      <w:r w:rsidRPr="00825674">
        <w:rPr>
          <w:rFonts w:cs="Times New Roman"/>
          <w:sz w:val="18"/>
          <w:szCs w:val="18"/>
          <w:lang w:val="fr-CA"/>
        </w:rPr>
        <w:tab/>
        <w:t>28 février 2011</w:t>
      </w:r>
    </w:p>
    <w:p w:rsidR="004A1C7B" w:rsidRPr="00825674" w:rsidRDefault="004A1C7B" w:rsidP="00772D98">
      <w:pPr>
        <w:ind w:left="3600" w:hanging="3600"/>
        <w:rPr>
          <w:rFonts w:cs="Times New Roman"/>
          <w:sz w:val="18"/>
          <w:szCs w:val="18"/>
          <w:lang w:val="fr-CA"/>
        </w:rPr>
      </w:pPr>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Avocats :</w:t>
      </w:r>
      <w:r w:rsidRPr="00825674">
        <w:rPr>
          <w:rFonts w:cs="Times New Roman"/>
          <w:sz w:val="18"/>
          <w:szCs w:val="18"/>
          <w:lang w:val="fr-CA"/>
        </w:rPr>
        <w:tab/>
        <w:t xml:space="preserve">Gerald </w:t>
      </w:r>
      <w:proofErr w:type="spellStart"/>
      <w:r w:rsidRPr="00825674">
        <w:rPr>
          <w:rFonts w:cs="Times New Roman"/>
          <w:sz w:val="18"/>
          <w:szCs w:val="18"/>
          <w:lang w:val="fr-CA"/>
        </w:rPr>
        <w:t>Kerr</w:t>
      </w:r>
      <w:r w:rsidRPr="00825674">
        <w:rPr>
          <w:rFonts w:cs="Times New Roman"/>
          <w:sz w:val="18"/>
          <w:szCs w:val="18"/>
          <w:lang w:val="fr-CA"/>
        </w:rPr>
        <w:noBreakHyphen/>
        <w:t>Wilson</w:t>
      </w:r>
      <w:proofErr w:type="spellEnd"/>
      <w:r w:rsidRPr="00825674">
        <w:rPr>
          <w:rFonts w:cs="Times New Roman"/>
          <w:sz w:val="18"/>
          <w:szCs w:val="18"/>
          <w:lang w:val="fr-CA"/>
        </w:rPr>
        <w:t xml:space="preserve"> et Ariel Thomas pour les appelantes Rogers et </w:t>
      </w:r>
      <w:proofErr w:type="spellStart"/>
      <w:r w:rsidRPr="00825674">
        <w:rPr>
          <w:rFonts w:cs="Times New Roman"/>
          <w:sz w:val="18"/>
          <w:szCs w:val="18"/>
          <w:lang w:val="fr-CA"/>
        </w:rPr>
        <w:t>Telus</w:t>
      </w:r>
      <w:proofErr w:type="spellEnd"/>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ab/>
        <w:t>Kent E. Thomson, James Doris et Sarah Weingarten pour l’appelante Shaw Communications</w:t>
      </w:r>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ab/>
        <w:t xml:space="preserve">Neil </w:t>
      </w:r>
      <w:proofErr w:type="spellStart"/>
      <w:r w:rsidRPr="00825674">
        <w:rPr>
          <w:rFonts w:cs="Times New Roman"/>
          <w:sz w:val="18"/>
          <w:szCs w:val="18"/>
          <w:lang w:val="fr-CA"/>
        </w:rPr>
        <w:t>Finkelstein</w:t>
      </w:r>
      <w:proofErr w:type="spellEnd"/>
      <w:r w:rsidRPr="00825674">
        <w:rPr>
          <w:rFonts w:cs="Times New Roman"/>
          <w:sz w:val="18"/>
          <w:szCs w:val="18"/>
          <w:lang w:val="fr-CA"/>
        </w:rPr>
        <w:t xml:space="preserve">, Steven G. Mason et Daniel G. C. Glover pour l’appelante </w:t>
      </w:r>
      <w:proofErr w:type="spellStart"/>
      <w:r w:rsidRPr="00825674">
        <w:rPr>
          <w:rFonts w:cs="Times New Roman"/>
          <w:sz w:val="18"/>
          <w:szCs w:val="18"/>
          <w:lang w:val="fr-CA"/>
        </w:rPr>
        <w:t>Cogeco</w:t>
      </w:r>
      <w:proofErr w:type="spellEnd"/>
      <w:r w:rsidRPr="00825674">
        <w:rPr>
          <w:rFonts w:cs="Times New Roman"/>
          <w:sz w:val="18"/>
          <w:szCs w:val="18"/>
          <w:lang w:val="fr-CA"/>
        </w:rPr>
        <w:t xml:space="preserve"> </w:t>
      </w:r>
      <w:proofErr w:type="spellStart"/>
      <w:r w:rsidRPr="00825674">
        <w:rPr>
          <w:rFonts w:cs="Times New Roman"/>
          <w:sz w:val="18"/>
          <w:szCs w:val="18"/>
          <w:lang w:val="fr-CA"/>
        </w:rPr>
        <w:t>Cable</w:t>
      </w:r>
      <w:proofErr w:type="spellEnd"/>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ab/>
        <w:t xml:space="preserve">Benjamin </w:t>
      </w:r>
      <w:proofErr w:type="spellStart"/>
      <w:r w:rsidRPr="00825674">
        <w:rPr>
          <w:rFonts w:cs="Times New Roman"/>
          <w:sz w:val="18"/>
          <w:szCs w:val="18"/>
          <w:lang w:val="fr-CA"/>
        </w:rPr>
        <w:t>Zarnett</w:t>
      </w:r>
      <w:proofErr w:type="spellEnd"/>
      <w:r w:rsidRPr="00825674">
        <w:rPr>
          <w:rFonts w:cs="Times New Roman"/>
          <w:sz w:val="18"/>
          <w:szCs w:val="18"/>
          <w:lang w:val="fr-CA"/>
        </w:rPr>
        <w:t xml:space="preserve"> et Robert </w:t>
      </w:r>
      <w:proofErr w:type="spellStart"/>
      <w:r w:rsidRPr="00825674">
        <w:rPr>
          <w:rFonts w:cs="Times New Roman"/>
          <w:sz w:val="18"/>
          <w:szCs w:val="18"/>
          <w:lang w:val="fr-CA"/>
        </w:rPr>
        <w:t>Malcolmson</w:t>
      </w:r>
      <w:proofErr w:type="spellEnd"/>
      <w:r w:rsidRPr="00825674">
        <w:rPr>
          <w:rFonts w:cs="Times New Roman"/>
          <w:sz w:val="18"/>
          <w:szCs w:val="18"/>
          <w:lang w:val="fr-CA"/>
        </w:rPr>
        <w:t xml:space="preserve"> pour les intimées Bell Media, Newfoundland </w:t>
      </w:r>
      <w:proofErr w:type="spellStart"/>
      <w:r w:rsidRPr="00825674">
        <w:rPr>
          <w:rFonts w:cs="Times New Roman"/>
          <w:sz w:val="18"/>
          <w:szCs w:val="18"/>
          <w:lang w:val="fr-CA"/>
        </w:rPr>
        <w:t>Broadcasting</w:t>
      </w:r>
      <w:proofErr w:type="spellEnd"/>
      <w:r w:rsidRPr="00825674">
        <w:rPr>
          <w:rFonts w:cs="Times New Roman"/>
          <w:sz w:val="18"/>
          <w:szCs w:val="18"/>
          <w:lang w:val="fr-CA"/>
        </w:rPr>
        <w:t xml:space="preserve"> et V Interactions</w:t>
      </w:r>
    </w:p>
    <w:p w:rsidR="004A1C7B" w:rsidRPr="00825674" w:rsidRDefault="004A1C7B" w:rsidP="00772D98">
      <w:pPr>
        <w:ind w:left="3600" w:hanging="3600"/>
        <w:rPr>
          <w:rFonts w:cs="Times New Roman"/>
          <w:sz w:val="18"/>
          <w:szCs w:val="18"/>
          <w:lang w:val="fr-CA"/>
        </w:rPr>
      </w:pPr>
      <w:r w:rsidRPr="00825674">
        <w:rPr>
          <w:rFonts w:cs="Times New Roman"/>
          <w:sz w:val="18"/>
          <w:szCs w:val="18"/>
          <w:lang w:val="fr-CA"/>
        </w:rPr>
        <w:tab/>
        <w:t xml:space="preserve">Chris </w:t>
      </w:r>
      <w:proofErr w:type="spellStart"/>
      <w:r w:rsidRPr="00825674">
        <w:rPr>
          <w:rFonts w:cs="Times New Roman"/>
          <w:sz w:val="18"/>
          <w:szCs w:val="18"/>
          <w:lang w:val="fr-CA"/>
        </w:rPr>
        <w:t>Paliare</w:t>
      </w:r>
      <w:proofErr w:type="spellEnd"/>
      <w:r w:rsidRPr="00825674">
        <w:rPr>
          <w:rFonts w:cs="Times New Roman"/>
          <w:sz w:val="18"/>
          <w:szCs w:val="18"/>
          <w:lang w:val="fr-CA"/>
        </w:rPr>
        <w:t xml:space="preserve"> pour l’intimée </w:t>
      </w:r>
      <w:proofErr w:type="spellStart"/>
      <w:r w:rsidRPr="00825674">
        <w:rPr>
          <w:rFonts w:cs="Times New Roman"/>
          <w:sz w:val="18"/>
          <w:szCs w:val="18"/>
          <w:lang w:val="fr-CA"/>
        </w:rPr>
        <w:t>Canwest</w:t>
      </w:r>
      <w:proofErr w:type="spellEnd"/>
      <w:r w:rsidRPr="00825674">
        <w:rPr>
          <w:rFonts w:cs="Times New Roman"/>
          <w:sz w:val="18"/>
          <w:szCs w:val="18"/>
          <w:lang w:val="fr-CA"/>
        </w:rPr>
        <w:t xml:space="preserve"> </w:t>
      </w:r>
      <w:proofErr w:type="spellStart"/>
      <w:r w:rsidRPr="00825674">
        <w:rPr>
          <w:rFonts w:cs="Times New Roman"/>
          <w:sz w:val="18"/>
          <w:szCs w:val="18"/>
          <w:lang w:val="fr-CA"/>
        </w:rPr>
        <w:t>Television</w:t>
      </w:r>
      <w:proofErr w:type="spellEnd"/>
    </w:p>
    <w:p w:rsidR="00223D9F" w:rsidRPr="006F74B4" w:rsidRDefault="00223D9F" w:rsidP="00223D9F">
      <w:pPr>
        <w:tabs>
          <w:tab w:val="left" w:pos="-1440"/>
          <w:tab w:val="left" w:pos="-720"/>
        </w:tabs>
        <w:ind w:left="720" w:hanging="720"/>
        <w:jc w:val="both"/>
        <w:rPr>
          <w:sz w:val="18"/>
          <w:szCs w:val="18"/>
          <w:lang w:val="fr-CA"/>
        </w:rPr>
      </w:pPr>
    </w:p>
    <w:p w:rsidR="00223D9F" w:rsidRPr="006F74B4" w:rsidRDefault="007505E6" w:rsidP="00223D9F">
      <w:pPr>
        <w:tabs>
          <w:tab w:val="left" w:pos="-1440"/>
          <w:tab w:val="left" w:pos="-720"/>
        </w:tabs>
        <w:ind w:left="720" w:hanging="720"/>
        <w:jc w:val="both"/>
        <w:rPr>
          <w:sz w:val="18"/>
          <w:szCs w:val="18"/>
        </w:rPr>
      </w:pPr>
      <w:r w:rsidRPr="007505E6">
        <w:rPr>
          <w:sz w:val="18"/>
          <w:szCs w:val="18"/>
          <w:lang w:val="fr-CA"/>
        </w:rPr>
        <w:pict>
          <v:rect id="_x0000_i1106" style="width:2in;height:1pt" o:hrpct="0" o:hralign="center" o:hrstd="t" o:hrnoshade="t" o:hr="t" fillcolor="black [3213]" stroked="f"/>
        </w:pict>
      </w:r>
    </w:p>
    <w:p w:rsidR="00223D9F" w:rsidRPr="006F74B4" w:rsidRDefault="00223D9F" w:rsidP="00223D9F">
      <w:pPr>
        <w:tabs>
          <w:tab w:val="left" w:pos="-1440"/>
          <w:tab w:val="left" w:pos="-720"/>
        </w:tabs>
        <w:ind w:left="720" w:hanging="720"/>
        <w:jc w:val="both"/>
        <w:rPr>
          <w:sz w:val="18"/>
          <w:szCs w:val="18"/>
        </w:rPr>
      </w:pPr>
    </w:p>
    <w:p w:rsidR="00223D9F" w:rsidRDefault="00223D9F">
      <w:pPr>
        <w:rPr>
          <w:sz w:val="20"/>
          <w:szCs w:val="20"/>
          <w:lang w:val="fr-CA"/>
        </w:rPr>
      </w:pPr>
    </w:p>
    <w:p w:rsidR="00223D9F" w:rsidRDefault="00223D9F">
      <w:pPr>
        <w:rPr>
          <w:sz w:val="20"/>
          <w:szCs w:val="20"/>
          <w:lang w:val="fr-CA"/>
        </w:rPr>
      </w:pPr>
      <w:r>
        <w:rPr>
          <w:sz w:val="20"/>
          <w:szCs w:val="20"/>
          <w:lang w:val="fr-CA"/>
        </w:rPr>
        <w:br w:type="page"/>
      </w:r>
    </w:p>
    <w:p w:rsidR="004A1C7B" w:rsidRPr="0085721F" w:rsidRDefault="007505E6" w:rsidP="004A1C7B">
      <w:pPr>
        <w:widowControl w:val="0"/>
        <w:ind w:left="720" w:hanging="720"/>
        <w:jc w:val="both"/>
        <w:rPr>
          <w:rFonts w:cs="Times New Roman"/>
          <w:sz w:val="20"/>
          <w:szCs w:val="20"/>
        </w:rPr>
      </w:pPr>
      <w:r w:rsidRPr="0085721F">
        <w:rPr>
          <w:rFonts w:cs="Times New Roman"/>
          <w:b/>
          <w:sz w:val="20"/>
          <w:szCs w:val="20"/>
        </w:rPr>
        <w:lastRenderedPageBreak/>
        <w:fldChar w:fldCharType="begin"/>
      </w:r>
      <w:r w:rsidR="004A1C7B" w:rsidRPr="0085721F">
        <w:rPr>
          <w:rFonts w:cs="Times New Roman"/>
          <w:b/>
          <w:sz w:val="20"/>
          <w:szCs w:val="20"/>
        </w:rPr>
        <w:instrText xml:space="preserve"> SEQ CHAPTER \h \r 1</w:instrText>
      </w:r>
      <w:r w:rsidRPr="0085721F">
        <w:rPr>
          <w:rFonts w:cs="Times New Roman"/>
          <w:b/>
          <w:sz w:val="20"/>
          <w:szCs w:val="20"/>
        </w:rPr>
        <w:fldChar w:fldCharType="end"/>
      </w:r>
      <w:r w:rsidR="004A1C7B" w:rsidRPr="0085721F">
        <w:rPr>
          <w:rFonts w:cs="Times New Roman"/>
          <w:b/>
          <w:sz w:val="20"/>
          <w:szCs w:val="20"/>
        </w:rPr>
        <w:t>33951</w:t>
      </w:r>
      <w:r w:rsidR="004A1C7B" w:rsidRPr="0085721F">
        <w:rPr>
          <w:rFonts w:cs="Times New Roman"/>
          <w:sz w:val="20"/>
          <w:szCs w:val="20"/>
        </w:rPr>
        <w:tab/>
      </w:r>
      <w:proofErr w:type="spellStart"/>
      <w:r w:rsidR="004A1C7B" w:rsidRPr="0085721F">
        <w:rPr>
          <w:rFonts w:cs="Times New Roman"/>
          <w:b/>
          <w:i/>
          <w:sz w:val="20"/>
          <w:szCs w:val="20"/>
        </w:rPr>
        <w:t>Teva</w:t>
      </w:r>
      <w:proofErr w:type="spellEnd"/>
      <w:r w:rsidR="004A1C7B" w:rsidRPr="0085721F">
        <w:rPr>
          <w:rFonts w:cs="Times New Roman"/>
          <w:b/>
          <w:i/>
          <w:sz w:val="20"/>
          <w:szCs w:val="20"/>
        </w:rPr>
        <w:t xml:space="preserve"> Canada Limited v. Pfizer Canada Inc., Pfizer Inc., Pfizer Ireland Pharmaceuticals, Pfizer Research and Development Company N.V./S.A. and the Minister of Health</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b/>
          <w:bCs/>
          <w:sz w:val="20"/>
          <w:szCs w:val="20"/>
        </w:rPr>
      </w:pPr>
      <w:r w:rsidRPr="0085721F">
        <w:rPr>
          <w:rFonts w:cs="Times New Roman"/>
          <w:sz w:val="20"/>
          <w:szCs w:val="20"/>
        </w:rPr>
        <w:t xml:space="preserve">Patents </w:t>
      </w:r>
      <w:r w:rsidRPr="0085721F">
        <w:rPr>
          <w:rFonts w:cs="Times New Roman"/>
          <w:sz w:val="20"/>
          <w:szCs w:val="20"/>
        </w:rPr>
        <w:noBreakHyphen/>
        <w:t xml:space="preserve"> Medicines </w:t>
      </w:r>
      <w:r w:rsidRPr="0085721F">
        <w:rPr>
          <w:rFonts w:cs="Times New Roman"/>
          <w:sz w:val="20"/>
          <w:szCs w:val="20"/>
        </w:rPr>
        <w:noBreakHyphen/>
        <w:t xml:space="preserve"> Construction of patents </w:t>
      </w:r>
      <w:r w:rsidRPr="0085721F">
        <w:rPr>
          <w:rFonts w:cs="Times New Roman"/>
          <w:sz w:val="20"/>
          <w:szCs w:val="20"/>
        </w:rPr>
        <w:noBreakHyphen/>
        <w:t xml:space="preserve"> Disclosure </w:t>
      </w:r>
      <w:r w:rsidRPr="0085721F">
        <w:rPr>
          <w:rFonts w:cs="Times New Roman"/>
          <w:sz w:val="20"/>
          <w:szCs w:val="20"/>
        </w:rPr>
        <w:noBreakHyphen/>
        <w:t xml:space="preserve"> Sufficiency of disclosure </w:t>
      </w:r>
      <w:r w:rsidRPr="0085721F">
        <w:rPr>
          <w:rFonts w:cs="Times New Roman"/>
          <w:sz w:val="20"/>
          <w:szCs w:val="20"/>
        </w:rPr>
        <w:noBreakHyphen/>
        <w:t xml:space="preserve"> Whether the courts below erred by failing to hold the patent invalid for concealment and avoidable obscurity </w:t>
      </w:r>
      <w:r w:rsidRPr="0085721F">
        <w:rPr>
          <w:rFonts w:cs="Times New Roman"/>
          <w:sz w:val="20"/>
          <w:szCs w:val="20"/>
        </w:rPr>
        <w:noBreakHyphen/>
        <w:t xml:space="preserve"> Whether the courts below erred by failing to hold claim 7 invalid for insufficient disclosure of sound prediction </w:t>
      </w:r>
      <w:r w:rsidRPr="0085721F">
        <w:rPr>
          <w:rFonts w:cs="Times New Roman"/>
          <w:sz w:val="20"/>
          <w:szCs w:val="20"/>
        </w:rPr>
        <w:noBreakHyphen/>
        <w:t xml:space="preserve"> Whether the courts below erred by failing to hold claim 7 invalid for insufficient disclosure of demonstrated utility </w:t>
      </w:r>
      <w:r w:rsidRPr="0085721F">
        <w:rPr>
          <w:rFonts w:cs="Times New Roman"/>
          <w:sz w:val="20"/>
          <w:szCs w:val="20"/>
        </w:rPr>
        <w:noBreakHyphen/>
        <w:t xml:space="preserve"> Whether the courts below erred by holding that </w:t>
      </w:r>
      <w:proofErr w:type="spellStart"/>
      <w:r w:rsidRPr="0085721F">
        <w:rPr>
          <w:rFonts w:cs="Times New Roman"/>
          <w:bCs/>
          <w:i/>
          <w:sz w:val="20"/>
          <w:szCs w:val="20"/>
        </w:rPr>
        <w:t>Consolboard</w:t>
      </w:r>
      <w:proofErr w:type="spellEnd"/>
      <w:r w:rsidRPr="0085721F">
        <w:rPr>
          <w:rFonts w:cs="Times New Roman"/>
          <w:bCs/>
          <w:i/>
          <w:sz w:val="20"/>
          <w:szCs w:val="20"/>
        </w:rPr>
        <w:t xml:space="preserve"> Inc. v. MacMillan </w:t>
      </w:r>
      <w:proofErr w:type="spellStart"/>
      <w:r w:rsidRPr="0085721F">
        <w:rPr>
          <w:rFonts w:cs="Times New Roman"/>
          <w:bCs/>
          <w:i/>
          <w:sz w:val="20"/>
          <w:szCs w:val="20"/>
        </w:rPr>
        <w:t>Bloedel</w:t>
      </w:r>
      <w:proofErr w:type="spellEnd"/>
      <w:r w:rsidRPr="0085721F">
        <w:rPr>
          <w:rFonts w:cs="Times New Roman"/>
          <w:bCs/>
          <w:i/>
          <w:sz w:val="20"/>
          <w:szCs w:val="20"/>
        </w:rPr>
        <w:t xml:space="preserve"> (Sask.) Ltd.</w:t>
      </w:r>
      <w:r w:rsidRPr="0085721F">
        <w:rPr>
          <w:rFonts w:cs="Times New Roman"/>
          <w:bCs/>
          <w:sz w:val="20"/>
          <w:szCs w:val="20"/>
        </w:rPr>
        <w:t>, [1981] 1 S.C.R. 504</w:t>
      </w:r>
      <w:r w:rsidRPr="0085721F">
        <w:rPr>
          <w:rFonts w:cs="Times New Roman"/>
          <w:sz w:val="20"/>
          <w:szCs w:val="20"/>
        </w:rPr>
        <w:t xml:space="preserve">, limits the sufficiency inquiry </w:t>
      </w:r>
      <w:r w:rsidRPr="0085721F">
        <w:rPr>
          <w:rFonts w:cs="Times New Roman"/>
          <w:sz w:val="20"/>
          <w:szCs w:val="20"/>
        </w:rPr>
        <w:noBreakHyphen/>
        <w:t xml:space="preserve"> Whether the courts below erred by confining the sufficiency of disclosure analysis to claim 7.</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In 1994, Pfizer applied for a patent for a range of compounds, of which it claimed that one compound was effective for the oral treatment of erectile dysfunction.  It received Patent 2,163,446 on July 7, 1998.  Patent 446 expires in 2014.</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The disclosure explains that the invention concerns the use of a compound of formula (I) or a salt thereof as a medicament for the treatment of erectile dysfunction.  Claim 1 </w:t>
      </w:r>
      <w:proofErr w:type="gramStart"/>
      <w:r w:rsidRPr="0085721F">
        <w:rPr>
          <w:rFonts w:cs="Times New Roman"/>
          <w:sz w:val="20"/>
          <w:szCs w:val="20"/>
        </w:rPr>
        <w:t>sets</w:t>
      </w:r>
      <w:proofErr w:type="gramEnd"/>
      <w:r w:rsidRPr="0085721F">
        <w:rPr>
          <w:rFonts w:cs="Times New Roman"/>
          <w:sz w:val="20"/>
          <w:szCs w:val="20"/>
        </w:rPr>
        <w:t xml:space="preserve"> out formula (I), which produces 260 quintillion possible compounds.  Claims 2</w:t>
      </w:r>
      <w:r w:rsidRPr="0085721F">
        <w:rPr>
          <w:rFonts w:cs="Times New Roman"/>
          <w:sz w:val="20"/>
          <w:szCs w:val="20"/>
        </w:rPr>
        <w:noBreakHyphen/>
        <w:t xml:space="preserve">5 are for successively smaller ranges of compounds of formula (I), with Claim 5 being narrowed to a range of nine compounds.  Claims 6 and 7 refer to one compound each.  Neither the disclosure nor the claims disclose that Claim 7 contains the effective </w:t>
      </w:r>
      <w:proofErr w:type="gramStart"/>
      <w:r w:rsidRPr="0085721F">
        <w:rPr>
          <w:rFonts w:cs="Times New Roman"/>
          <w:sz w:val="20"/>
          <w:szCs w:val="20"/>
        </w:rPr>
        <w:t>compound, that</w:t>
      </w:r>
      <w:proofErr w:type="gramEnd"/>
      <w:r w:rsidRPr="0085721F">
        <w:rPr>
          <w:rFonts w:cs="Times New Roman"/>
          <w:sz w:val="20"/>
          <w:szCs w:val="20"/>
        </w:rPr>
        <w:t xml:space="preserve"> </w:t>
      </w:r>
      <w:proofErr w:type="spellStart"/>
      <w:r w:rsidRPr="0085721F">
        <w:rPr>
          <w:rFonts w:cs="Times New Roman"/>
          <w:sz w:val="20"/>
          <w:szCs w:val="20"/>
        </w:rPr>
        <w:t>sildenafil</w:t>
      </w:r>
      <w:proofErr w:type="spellEnd"/>
      <w:r w:rsidRPr="0085721F">
        <w:rPr>
          <w:rFonts w:cs="Times New Roman"/>
          <w:sz w:val="20"/>
          <w:szCs w:val="20"/>
        </w:rPr>
        <w:t xml:space="preserve"> is that compound, or that it is the only active compound sold commercially under the trade name Viagra.  Nor does it disclose that the remaining compounds in the patent had not been found to treat erectile dysfunction.</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proofErr w:type="spellStart"/>
      <w:r w:rsidRPr="0085721F">
        <w:rPr>
          <w:rFonts w:cs="Times New Roman"/>
          <w:sz w:val="20"/>
          <w:szCs w:val="20"/>
        </w:rPr>
        <w:t>Novopharm</w:t>
      </w:r>
      <w:proofErr w:type="spellEnd"/>
      <w:r w:rsidRPr="0085721F">
        <w:rPr>
          <w:rFonts w:cs="Times New Roman"/>
          <w:sz w:val="20"/>
          <w:szCs w:val="20"/>
        </w:rPr>
        <w:t xml:space="preserve">, now </w:t>
      </w:r>
      <w:proofErr w:type="spellStart"/>
      <w:r w:rsidRPr="0085721F">
        <w:rPr>
          <w:rFonts w:cs="Times New Roman"/>
          <w:sz w:val="20"/>
          <w:szCs w:val="20"/>
        </w:rPr>
        <w:t>Teva</w:t>
      </w:r>
      <w:proofErr w:type="spellEnd"/>
      <w:r w:rsidRPr="0085721F">
        <w:rPr>
          <w:rFonts w:cs="Times New Roman"/>
          <w:sz w:val="20"/>
          <w:szCs w:val="20"/>
        </w:rPr>
        <w:t xml:space="preserve">, applied for a Notice of Compliance to produce a generic version of Viagra, alleging that the patent was invalid for obviousness, lack of </w:t>
      </w:r>
      <w:proofErr w:type="gramStart"/>
      <w:r w:rsidRPr="0085721F">
        <w:rPr>
          <w:rFonts w:cs="Times New Roman"/>
          <w:sz w:val="20"/>
          <w:szCs w:val="20"/>
        </w:rPr>
        <w:t>utility,</w:t>
      </w:r>
      <w:proofErr w:type="gramEnd"/>
      <w:r w:rsidRPr="0085721F">
        <w:rPr>
          <w:rFonts w:cs="Times New Roman"/>
          <w:sz w:val="20"/>
          <w:szCs w:val="20"/>
        </w:rPr>
        <w:t xml:space="preserve"> and insufficient disclosure.  The Federal Court judge found that the patent was not obvious, had utility, and did not fail to adequately disclose the invention.  He prohibited the Minister from issuing the requested Notice of Compliance.  The Federal Court of Appeal dismissed an appeal.</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Origin of the case:</w:t>
      </w:r>
      <w:r w:rsidRPr="0085721F">
        <w:rPr>
          <w:rFonts w:cs="Times New Roman"/>
          <w:sz w:val="20"/>
          <w:szCs w:val="20"/>
        </w:rPr>
        <w:tab/>
      </w:r>
      <w:r w:rsidRPr="0085721F">
        <w:rPr>
          <w:rFonts w:cs="Times New Roman"/>
          <w:sz w:val="20"/>
          <w:szCs w:val="20"/>
        </w:rPr>
        <w:tab/>
      </w:r>
      <w:r w:rsidRPr="0085721F">
        <w:rPr>
          <w:rFonts w:cs="Times New Roman"/>
          <w:sz w:val="20"/>
          <w:szCs w:val="20"/>
        </w:rPr>
        <w:tab/>
        <w:t>Federal Court of Appeal</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File No.:</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33951</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Judgment of the Court of Appeal:</w:t>
      </w:r>
      <w:r w:rsidRPr="0085721F">
        <w:rPr>
          <w:rFonts w:cs="Times New Roman"/>
          <w:sz w:val="20"/>
          <w:szCs w:val="20"/>
        </w:rPr>
        <w:tab/>
      </w:r>
      <w:r>
        <w:rPr>
          <w:rFonts w:cs="Times New Roman"/>
          <w:sz w:val="20"/>
          <w:szCs w:val="20"/>
        </w:rPr>
        <w:tab/>
      </w:r>
      <w:r w:rsidRPr="0085721F">
        <w:rPr>
          <w:rFonts w:cs="Times New Roman"/>
          <w:sz w:val="20"/>
          <w:szCs w:val="20"/>
        </w:rPr>
        <w:t>September 24, 2010</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ind w:left="3600" w:hanging="3600"/>
        <w:jc w:val="both"/>
        <w:rPr>
          <w:rFonts w:cs="Times New Roman"/>
          <w:sz w:val="20"/>
          <w:szCs w:val="20"/>
        </w:rPr>
      </w:pPr>
      <w:r>
        <w:rPr>
          <w:rFonts w:cs="Times New Roman"/>
          <w:sz w:val="20"/>
          <w:szCs w:val="20"/>
        </w:rPr>
        <w:t>Counsel:</w:t>
      </w:r>
      <w:r>
        <w:rPr>
          <w:rFonts w:cs="Times New Roman"/>
          <w:sz w:val="20"/>
          <w:szCs w:val="20"/>
        </w:rPr>
        <w:tab/>
      </w:r>
      <w:r w:rsidRPr="0085721F">
        <w:rPr>
          <w:rFonts w:cs="Times New Roman"/>
          <w:sz w:val="20"/>
          <w:szCs w:val="20"/>
        </w:rPr>
        <w:t xml:space="preserve">David W. </w:t>
      </w:r>
      <w:proofErr w:type="spellStart"/>
      <w:r w:rsidRPr="0085721F">
        <w:rPr>
          <w:rFonts w:cs="Times New Roman"/>
          <w:sz w:val="20"/>
          <w:szCs w:val="20"/>
        </w:rPr>
        <w:t>Aitken</w:t>
      </w:r>
      <w:proofErr w:type="spellEnd"/>
      <w:r w:rsidRPr="0085721F">
        <w:rPr>
          <w:rFonts w:cs="Times New Roman"/>
          <w:sz w:val="20"/>
          <w:szCs w:val="20"/>
        </w:rPr>
        <w:t xml:space="preserve"> and Marcus Klee for the appellant</w:t>
      </w:r>
    </w:p>
    <w:p w:rsidR="004A1C7B" w:rsidRPr="00E42BDE" w:rsidRDefault="004A1C7B" w:rsidP="004A1C7B">
      <w:pPr>
        <w:widowControl w:val="0"/>
        <w:ind w:left="3600" w:hanging="3600"/>
        <w:jc w:val="both"/>
        <w:rPr>
          <w:rFonts w:cs="Times New Roman"/>
          <w:sz w:val="20"/>
          <w:szCs w:val="20"/>
        </w:rPr>
      </w:pPr>
      <w:r w:rsidRPr="0085721F">
        <w:rPr>
          <w:rFonts w:cs="Times New Roman"/>
          <w:sz w:val="20"/>
          <w:szCs w:val="20"/>
        </w:rPr>
        <w:tab/>
        <w:t xml:space="preserve">Andrew M. </w:t>
      </w:r>
      <w:proofErr w:type="spellStart"/>
      <w:r w:rsidRPr="0085721F">
        <w:rPr>
          <w:rFonts w:cs="Times New Roman"/>
          <w:sz w:val="20"/>
          <w:szCs w:val="20"/>
        </w:rPr>
        <w:t>Shaughnessy</w:t>
      </w:r>
      <w:proofErr w:type="spellEnd"/>
      <w:r w:rsidRPr="0085721F">
        <w:rPr>
          <w:rFonts w:cs="Times New Roman"/>
          <w:sz w:val="20"/>
          <w:szCs w:val="20"/>
        </w:rPr>
        <w:t xml:space="preserve"> and Andrew Bernstein </w:t>
      </w:r>
      <w:r w:rsidRPr="00E42BDE">
        <w:rPr>
          <w:rFonts w:cs="Times New Roman"/>
          <w:sz w:val="20"/>
          <w:szCs w:val="20"/>
        </w:rPr>
        <w:t xml:space="preserve">for the respondents Pfizer </w:t>
      </w:r>
    </w:p>
    <w:p w:rsidR="004A1C7B" w:rsidRPr="0085721F" w:rsidRDefault="004A1C7B" w:rsidP="004A1C7B">
      <w:pPr>
        <w:widowControl w:val="0"/>
        <w:ind w:left="3600" w:hanging="3600"/>
        <w:jc w:val="both"/>
        <w:rPr>
          <w:rFonts w:cs="Times New Roman"/>
          <w:sz w:val="20"/>
          <w:szCs w:val="20"/>
        </w:rPr>
      </w:pPr>
      <w:r w:rsidRPr="0085721F">
        <w:rPr>
          <w:rFonts w:cs="Times New Roman"/>
          <w:sz w:val="20"/>
          <w:szCs w:val="20"/>
        </w:rPr>
        <w:tab/>
        <w:t>Eric Peterson for the respondent Minister of Health</w:t>
      </w:r>
    </w:p>
    <w:p w:rsidR="00223D9F" w:rsidRPr="00DD0B49" w:rsidRDefault="00223D9F" w:rsidP="00223D9F">
      <w:pPr>
        <w:tabs>
          <w:tab w:val="left" w:pos="-1440"/>
          <w:tab w:val="left" w:pos="-720"/>
        </w:tabs>
        <w:ind w:left="720" w:hanging="720"/>
        <w:jc w:val="both"/>
        <w:rPr>
          <w:sz w:val="20"/>
          <w:szCs w:val="20"/>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7"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pPr>
        <w:rPr>
          <w:sz w:val="20"/>
          <w:szCs w:val="20"/>
          <w:lang w:val="fr-CA"/>
        </w:rPr>
      </w:pPr>
    </w:p>
    <w:p w:rsidR="00223D9F" w:rsidRDefault="00223D9F">
      <w:pPr>
        <w:rPr>
          <w:sz w:val="20"/>
          <w:szCs w:val="20"/>
          <w:lang w:val="fr-CA"/>
        </w:rPr>
      </w:pPr>
      <w:r>
        <w:rPr>
          <w:sz w:val="20"/>
          <w:szCs w:val="20"/>
          <w:lang w:val="fr-CA"/>
        </w:rPr>
        <w:br w:type="page"/>
      </w:r>
    </w:p>
    <w:p w:rsidR="004A1C7B" w:rsidRPr="006F74B4" w:rsidRDefault="004A1C7B" w:rsidP="006F74B4">
      <w:pPr>
        <w:pStyle w:val="SCCLsocParty"/>
        <w:ind w:left="720" w:hanging="720"/>
        <w:jc w:val="both"/>
        <w:rPr>
          <w:b/>
          <w:sz w:val="20"/>
          <w:szCs w:val="20"/>
        </w:rPr>
      </w:pPr>
      <w:r w:rsidRPr="006F74B4">
        <w:rPr>
          <w:rStyle w:val="SCCFileNumberChar"/>
          <w:sz w:val="20"/>
          <w:szCs w:val="20"/>
          <w:lang w:val="fr-CA"/>
        </w:rPr>
        <w:lastRenderedPageBreak/>
        <w:t>33951</w:t>
      </w:r>
      <w:r w:rsidRPr="006F74B4">
        <w:rPr>
          <w:rFonts w:eastAsiaTheme="minorHAnsi"/>
          <w:sz w:val="20"/>
          <w:szCs w:val="20"/>
        </w:rPr>
        <w:tab/>
      </w:r>
      <w:proofErr w:type="spellStart"/>
      <w:r w:rsidRPr="006F74B4">
        <w:rPr>
          <w:b/>
          <w:i/>
          <w:sz w:val="20"/>
          <w:szCs w:val="20"/>
        </w:rPr>
        <w:t>Teva</w:t>
      </w:r>
      <w:proofErr w:type="spellEnd"/>
      <w:r w:rsidRPr="006F74B4">
        <w:rPr>
          <w:b/>
          <w:i/>
          <w:sz w:val="20"/>
          <w:szCs w:val="20"/>
        </w:rPr>
        <w:t xml:space="preserve"> Canada Limitée c. Pfizer Canada Inc., Pfizer Inc., Pfizer Ireland Pharmaceuticals, Pfizer </w:t>
      </w:r>
      <w:proofErr w:type="spellStart"/>
      <w:r w:rsidRPr="006F74B4">
        <w:rPr>
          <w:b/>
          <w:i/>
          <w:sz w:val="20"/>
          <w:szCs w:val="20"/>
        </w:rPr>
        <w:t>Research</w:t>
      </w:r>
      <w:proofErr w:type="spellEnd"/>
      <w:r w:rsidRPr="006F74B4">
        <w:rPr>
          <w:b/>
          <w:i/>
          <w:sz w:val="20"/>
          <w:szCs w:val="20"/>
        </w:rPr>
        <w:t xml:space="preserve"> and </w:t>
      </w:r>
      <w:proofErr w:type="spellStart"/>
      <w:r w:rsidRPr="006F74B4">
        <w:rPr>
          <w:b/>
          <w:i/>
          <w:sz w:val="20"/>
          <w:szCs w:val="20"/>
        </w:rPr>
        <w:t>Development</w:t>
      </w:r>
      <w:proofErr w:type="spellEnd"/>
      <w:r w:rsidRPr="006F74B4">
        <w:rPr>
          <w:b/>
          <w:i/>
          <w:sz w:val="20"/>
          <w:szCs w:val="20"/>
        </w:rPr>
        <w:t xml:space="preserve"> </w:t>
      </w:r>
      <w:proofErr w:type="spellStart"/>
      <w:r w:rsidRPr="006F74B4">
        <w:rPr>
          <w:b/>
          <w:i/>
          <w:sz w:val="20"/>
          <w:szCs w:val="20"/>
        </w:rPr>
        <w:t>Company</w:t>
      </w:r>
      <w:proofErr w:type="spellEnd"/>
      <w:r w:rsidRPr="006F74B4">
        <w:rPr>
          <w:b/>
          <w:i/>
          <w:sz w:val="20"/>
          <w:szCs w:val="20"/>
        </w:rPr>
        <w:t xml:space="preserve"> N.V</w:t>
      </w:r>
      <w:proofErr w:type="gramStart"/>
      <w:r w:rsidRPr="006F74B4">
        <w:rPr>
          <w:b/>
          <w:i/>
          <w:sz w:val="20"/>
          <w:szCs w:val="20"/>
        </w:rPr>
        <w:t>./</w:t>
      </w:r>
      <w:proofErr w:type="gramEnd"/>
      <w:r w:rsidRPr="006F74B4">
        <w:rPr>
          <w:b/>
          <w:i/>
          <w:sz w:val="20"/>
          <w:szCs w:val="20"/>
        </w:rPr>
        <w:t>S.A., ministre de la Santé</w:t>
      </w:r>
    </w:p>
    <w:p w:rsidR="004A1C7B" w:rsidRPr="004A1C7B" w:rsidRDefault="004A1C7B" w:rsidP="004A1C7B">
      <w:pPr>
        <w:tabs>
          <w:tab w:val="left" w:pos="1009"/>
        </w:tabs>
        <w:ind w:left="720" w:hanging="720"/>
        <w:rPr>
          <w:rFonts w:cs="Times New Roman"/>
          <w:sz w:val="20"/>
          <w:szCs w:val="20"/>
          <w:lang w:val="fr-CA"/>
        </w:rPr>
      </w:pPr>
    </w:p>
    <w:p w:rsidR="004A1C7B" w:rsidRPr="0085721F" w:rsidRDefault="004A1C7B" w:rsidP="004A1C7B">
      <w:pPr>
        <w:jc w:val="both"/>
        <w:rPr>
          <w:rFonts w:cs="Times New Roman"/>
          <w:sz w:val="20"/>
          <w:szCs w:val="20"/>
          <w:lang w:val="fr-CA"/>
        </w:rPr>
      </w:pPr>
      <w:r w:rsidRPr="0085721F">
        <w:rPr>
          <w:rFonts w:cs="Times New Roman"/>
          <w:sz w:val="20"/>
          <w:szCs w:val="20"/>
          <w:lang w:val="fr-CA"/>
        </w:rPr>
        <w:t xml:space="preserve">Brevets </w:t>
      </w:r>
      <w:r w:rsidRPr="0085721F">
        <w:rPr>
          <w:rFonts w:cs="Times New Roman"/>
          <w:sz w:val="20"/>
          <w:szCs w:val="20"/>
          <w:lang w:val="fr-CA"/>
        </w:rPr>
        <w:noBreakHyphen/>
        <w:t xml:space="preserve"> Médicaments </w:t>
      </w:r>
      <w:r w:rsidRPr="0085721F">
        <w:rPr>
          <w:rFonts w:cs="Times New Roman"/>
          <w:sz w:val="20"/>
          <w:szCs w:val="20"/>
          <w:lang w:val="fr-CA"/>
        </w:rPr>
        <w:noBreakHyphen/>
        <w:t xml:space="preserve"> Interprétation des brevets </w:t>
      </w:r>
      <w:r w:rsidRPr="0085721F">
        <w:rPr>
          <w:rFonts w:cs="Times New Roman"/>
          <w:sz w:val="20"/>
          <w:szCs w:val="20"/>
          <w:lang w:val="fr-CA"/>
        </w:rPr>
        <w:noBreakHyphen/>
        <w:t xml:space="preserve"> Divulgation </w:t>
      </w:r>
      <w:r w:rsidRPr="0085721F">
        <w:rPr>
          <w:rFonts w:cs="Times New Roman"/>
          <w:sz w:val="20"/>
          <w:szCs w:val="20"/>
          <w:lang w:val="fr-CA"/>
        </w:rPr>
        <w:noBreakHyphen/>
        <w:t xml:space="preserve"> Caractère suffisant de la divulgation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eu tort de ne pas invalider le brevet parce qu’il n’aurait pas fait l’objet d’une divulgation suffisante et n’aurait pas été dénué d’obscurité ?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eu tort de ne pas conclure à l’invalidité de la revendication 7 pour divulgation insuffisante de prédiction valable ?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eu tort de ne pas conclure à l’invalidité de la revendication 7 pour divulgation insuffisante d’une utilité démontrée ?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conclu à tort que </w:t>
      </w:r>
      <w:r w:rsidRPr="0085721F">
        <w:rPr>
          <w:rFonts w:cs="Times New Roman"/>
          <w:color w:val="000000"/>
          <w:sz w:val="20"/>
          <w:szCs w:val="20"/>
          <w:lang w:val="fr-FR"/>
        </w:rPr>
        <w:t xml:space="preserve">l’arrêt </w:t>
      </w:r>
      <w:proofErr w:type="spellStart"/>
      <w:r w:rsidRPr="0085721F">
        <w:rPr>
          <w:rFonts w:cs="Times New Roman"/>
          <w:i/>
          <w:iCs/>
          <w:color w:val="000000"/>
          <w:sz w:val="20"/>
          <w:szCs w:val="20"/>
          <w:lang w:val="fr-FR"/>
        </w:rPr>
        <w:t>Consolboard</w:t>
      </w:r>
      <w:proofErr w:type="spellEnd"/>
      <w:r w:rsidRPr="0085721F">
        <w:rPr>
          <w:rFonts w:cs="Times New Roman"/>
          <w:i/>
          <w:iCs/>
          <w:color w:val="000000"/>
          <w:sz w:val="20"/>
          <w:szCs w:val="20"/>
          <w:lang w:val="fr-FR"/>
        </w:rPr>
        <w:t xml:space="preserve"> Inc.</w:t>
      </w:r>
      <w:r w:rsidRPr="0085721F">
        <w:rPr>
          <w:rFonts w:cs="Times New Roman"/>
          <w:color w:val="000000"/>
          <w:sz w:val="20"/>
          <w:szCs w:val="20"/>
          <w:lang w:val="fr-FR"/>
        </w:rPr>
        <w:t> </w:t>
      </w:r>
      <w:r w:rsidRPr="0085721F">
        <w:rPr>
          <w:rFonts w:cs="Times New Roman"/>
          <w:i/>
          <w:iCs/>
          <w:color w:val="000000"/>
          <w:sz w:val="20"/>
          <w:szCs w:val="20"/>
          <w:lang w:val="fr-FR"/>
        </w:rPr>
        <w:t>c.</w:t>
      </w:r>
      <w:r w:rsidRPr="0085721F">
        <w:rPr>
          <w:rFonts w:cs="Times New Roman"/>
          <w:color w:val="000000"/>
          <w:sz w:val="20"/>
          <w:szCs w:val="20"/>
          <w:lang w:val="fr-FR"/>
        </w:rPr>
        <w:t xml:space="preserve"> </w:t>
      </w:r>
      <w:proofErr w:type="spellStart"/>
      <w:r w:rsidRPr="0085721F">
        <w:rPr>
          <w:rFonts w:cs="Times New Roman"/>
          <w:i/>
          <w:iCs/>
          <w:color w:val="000000"/>
          <w:sz w:val="20"/>
          <w:szCs w:val="20"/>
          <w:lang w:val="fr-FR"/>
        </w:rPr>
        <w:t>MacMillan</w:t>
      </w:r>
      <w:proofErr w:type="spellEnd"/>
      <w:r w:rsidRPr="0085721F">
        <w:rPr>
          <w:rFonts w:cs="Times New Roman"/>
          <w:i/>
          <w:iCs/>
          <w:color w:val="000000"/>
          <w:sz w:val="20"/>
          <w:szCs w:val="20"/>
          <w:lang w:val="fr-FR"/>
        </w:rPr>
        <w:t xml:space="preserve"> </w:t>
      </w:r>
      <w:proofErr w:type="spellStart"/>
      <w:r w:rsidRPr="0085721F">
        <w:rPr>
          <w:rFonts w:cs="Times New Roman"/>
          <w:i/>
          <w:iCs/>
          <w:color w:val="000000"/>
          <w:sz w:val="20"/>
          <w:szCs w:val="20"/>
          <w:lang w:val="fr-FR"/>
        </w:rPr>
        <w:t>Bloedel</w:t>
      </w:r>
      <w:proofErr w:type="spellEnd"/>
      <w:r w:rsidRPr="0085721F">
        <w:rPr>
          <w:rFonts w:cs="Times New Roman"/>
          <w:i/>
          <w:iCs/>
          <w:color w:val="000000"/>
          <w:sz w:val="20"/>
          <w:szCs w:val="20"/>
          <w:lang w:val="fr-FR"/>
        </w:rPr>
        <w:t xml:space="preserve"> (Saskatchewan Ltd.)</w:t>
      </w:r>
      <w:r w:rsidRPr="0085721F">
        <w:rPr>
          <w:rFonts w:cs="Times New Roman"/>
          <w:color w:val="000000"/>
          <w:sz w:val="20"/>
          <w:szCs w:val="20"/>
          <w:lang w:val="fr-FR"/>
        </w:rPr>
        <w:t xml:space="preserve">, [1981] 1 R.C.S. 504 limite l’examen du caractère suffisant ? </w:t>
      </w:r>
      <w:r w:rsidRPr="0085721F">
        <w:rPr>
          <w:rFonts w:cs="Times New Roman"/>
          <w:color w:val="000000"/>
          <w:sz w:val="20"/>
          <w:szCs w:val="20"/>
          <w:lang w:val="fr-FR"/>
        </w:rPr>
        <w:noBreakHyphen/>
        <w:t xml:space="preserve"> Les juridictions inférieures </w:t>
      </w:r>
      <w:proofErr w:type="spellStart"/>
      <w:r w:rsidRPr="0085721F">
        <w:rPr>
          <w:rFonts w:cs="Times New Roman"/>
          <w:color w:val="000000"/>
          <w:sz w:val="20"/>
          <w:szCs w:val="20"/>
          <w:lang w:val="fr-FR"/>
        </w:rPr>
        <w:t>ont</w:t>
      </w:r>
      <w:r w:rsidRPr="0085721F">
        <w:rPr>
          <w:rFonts w:cs="Times New Roman"/>
          <w:color w:val="000000"/>
          <w:sz w:val="20"/>
          <w:szCs w:val="20"/>
          <w:lang w:val="fr-FR"/>
        </w:rPr>
        <w:noBreakHyphen/>
        <w:t>elles</w:t>
      </w:r>
      <w:proofErr w:type="spellEnd"/>
      <w:r w:rsidRPr="0085721F">
        <w:rPr>
          <w:rFonts w:cs="Times New Roman"/>
          <w:color w:val="000000"/>
          <w:sz w:val="20"/>
          <w:szCs w:val="20"/>
          <w:lang w:val="fr-FR"/>
        </w:rPr>
        <w:t xml:space="preserve"> commis une erreur en limitant l’analyse de la suffisance de la divulgation à la revendication 7 ?</w:t>
      </w:r>
    </w:p>
    <w:p w:rsidR="004A1C7B" w:rsidRPr="0085721F" w:rsidRDefault="004A1C7B" w:rsidP="004A1C7B">
      <w:pPr>
        <w:jc w:val="both"/>
        <w:rPr>
          <w:rFonts w:cs="Times New Roman"/>
          <w:sz w:val="20"/>
          <w:szCs w:val="20"/>
          <w:lang w:val="fr-CA"/>
        </w:rPr>
      </w:pPr>
    </w:p>
    <w:p w:rsidR="004A1C7B" w:rsidRPr="0085721F" w:rsidRDefault="004A1C7B" w:rsidP="004A1C7B">
      <w:pPr>
        <w:jc w:val="both"/>
        <w:rPr>
          <w:rFonts w:cs="Times New Roman"/>
          <w:sz w:val="20"/>
          <w:szCs w:val="20"/>
          <w:lang w:val="fr-CA"/>
        </w:rPr>
      </w:pPr>
      <w:r w:rsidRPr="0085721F">
        <w:rPr>
          <w:rFonts w:cs="Times New Roman"/>
          <w:sz w:val="20"/>
          <w:szCs w:val="20"/>
          <w:lang w:val="fr-CA"/>
        </w:rPr>
        <w:t>En 1994, Pfizer a demandé un brevet pour un groupe de composés, revendiquant l’efficacité de l</w:t>
      </w:r>
      <w:r w:rsidR="00AC1B40">
        <w:rPr>
          <w:rFonts w:cs="Times New Roman"/>
          <w:sz w:val="20"/>
          <w:szCs w:val="20"/>
          <w:lang w:val="fr-CA"/>
        </w:rPr>
        <w:t>’</w:t>
      </w:r>
      <w:r w:rsidRPr="0085721F">
        <w:rPr>
          <w:rFonts w:cs="Times New Roman"/>
          <w:sz w:val="20"/>
          <w:szCs w:val="20"/>
          <w:lang w:val="fr-CA"/>
        </w:rPr>
        <w:t>un dans le traitement oral de la dysfonction érectile.  Elle a reçu le brevet 2 163 446 le 7 juillet 1998.  Le brevet 446 expire en 2014.</w:t>
      </w:r>
    </w:p>
    <w:p w:rsidR="004A1C7B" w:rsidRPr="0085721F" w:rsidRDefault="004A1C7B" w:rsidP="004A1C7B">
      <w:pPr>
        <w:jc w:val="both"/>
        <w:rPr>
          <w:rFonts w:cs="Times New Roman"/>
          <w:sz w:val="20"/>
          <w:szCs w:val="20"/>
          <w:lang w:val="fr-CA"/>
        </w:rPr>
      </w:pPr>
    </w:p>
    <w:p w:rsidR="004A1C7B" w:rsidRPr="0085721F" w:rsidRDefault="004A1C7B" w:rsidP="004A1C7B">
      <w:pPr>
        <w:jc w:val="both"/>
        <w:rPr>
          <w:rFonts w:cs="Times New Roman"/>
          <w:sz w:val="20"/>
          <w:szCs w:val="20"/>
          <w:lang w:val="fr-CA"/>
        </w:rPr>
      </w:pPr>
      <w:r w:rsidRPr="0085721F">
        <w:rPr>
          <w:rFonts w:cs="Times New Roman"/>
          <w:sz w:val="20"/>
          <w:szCs w:val="20"/>
          <w:lang w:val="fr-CA"/>
        </w:rPr>
        <w:t xml:space="preserve">Dans la revendication, il est dit que l'invention porte sur l'utilisation d'un composé de la formule (I) ou d’un sel de </w:t>
      </w:r>
      <w:proofErr w:type="spellStart"/>
      <w:r w:rsidRPr="0085721F">
        <w:rPr>
          <w:rFonts w:cs="Times New Roman"/>
          <w:sz w:val="20"/>
          <w:szCs w:val="20"/>
          <w:lang w:val="fr-CA"/>
        </w:rPr>
        <w:t>celui</w:t>
      </w:r>
      <w:r w:rsidRPr="0085721F">
        <w:rPr>
          <w:rFonts w:cs="Times New Roman"/>
          <w:sz w:val="20"/>
          <w:szCs w:val="20"/>
          <w:lang w:val="fr-CA"/>
        </w:rPr>
        <w:noBreakHyphen/>
        <w:t>ci</w:t>
      </w:r>
      <w:proofErr w:type="spellEnd"/>
      <w:r w:rsidRPr="0085721F">
        <w:rPr>
          <w:rFonts w:cs="Times New Roman"/>
          <w:sz w:val="20"/>
          <w:szCs w:val="20"/>
          <w:lang w:val="fr-CA"/>
        </w:rPr>
        <w:t xml:space="preserve"> comme médicament pour le traitement de la dysfonction érectile.  La revendication 1 énonce de la formule (I), qui produit 260 quintillions de composés possibles.  Les revendications 2 à 5 portent sur des groupes plus restreints de la formule (I), la revendication 5 étant restreinte à un groupe de neuf composés.  Les revendications 6 et 7 portent sur un composé chacune.  Ni l’exposé de l’invention ni les revendications ne divulgue le fait que la revendication 7 renferme le composé efficace, que le sildénafil est ce composé ou s'il s'agit du seul le composé actif vendu commercialement sous le nom commercial de Viagra.  Ils ne divulguent pas non plus que les autres composés du brevet pouvaient traiter la dysfonction érectile.</w:t>
      </w:r>
    </w:p>
    <w:p w:rsidR="004A1C7B" w:rsidRPr="0085721F" w:rsidRDefault="004A1C7B" w:rsidP="004A1C7B">
      <w:pPr>
        <w:jc w:val="both"/>
        <w:rPr>
          <w:rFonts w:cs="Times New Roman"/>
          <w:sz w:val="20"/>
          <w:szCs w:val="20"/>
          <w:lang w:val="fr-CA"/>
        </w:rPr>
      </w:pPr>
    </w:p>
    <w:p w:rsidR="004A1C7B" w:rsidRPr="0085721F" w:rsidRDefault="004A1C7B" w:rsidP="004A1C7B">
      <w:pPr>
        <w:jc w:val="both"/>
        <w:rPr>
          <w:rFonts w:cs="Times New Roman"/>
          <w:sz w:val="20"/>
          <w:szCs w:val="20"/>
          <w:lang w:val="fr-CA"/>
        </w:rPr>
      </w:pPr>
      <w:proofErr w:type="spellStart"/>
      <w:r w:rsidRPr="0085721F">
        <w:rPr>
          <w:rFonts w:cs="Times New Roman"/>
          <w:sz w:val="20"/>
          <w:szCs w:val="20"/>
          <w:lang w:val="fr-CA"/>
        </w:rPr>
        <w:t>Novopharm</w:t>
      </w:r>
      <w:proofErr w:type="spellEnd"/>
      <w:r w:rsidRPr="0085721F">
        <w:rPr>
          <w:rFonts w:cs="Times New Roman"/>
          <w:sz w:val="20"/>
          <w:szCs w:val="20"/>
          <w:lang w:val="fr-CA"/>
        </w:rPr>
        <w:t xml:space="preserve">, maintenant </w:t>
      </w:r>
      <w:proofErr w:type="spellStart"/>
      <w:r w:rsidRPr="0085721F">
        <w:rPr>
          <w:rFonts w:cs="Times New Roman"/>
          <w:sz w:val="20"/>
          <w:szCs w:val="20"/>
          <w:lang w:val="fr-CA"/>
        </w:rPr>
        <w:t>Teva</w:t>
      </w:r>
      <w:proofErr w:type="spellEnd"/>
      <w:r w:rsidRPr="0085721F">
        <w:rPr>
          <w:rFonts w:cs="Times New Roman"/>
          <w:sz w:val="20"/>
          <w:szCs w:val="20"/>
          <w:lang w:val="fr-CA"/>
        </w:rPr>
        <w:t>, a demandé un avis de conformité pour produire une version générique du Viagra, alléguant que le brevet était invalide pour cause d’évidence, d’absence d’utilité et d’insuffisance de la divulgation.  Le juge de la Cour fédérale a conclu que le brevet n'était pas évident, qu'il était utile et qu</w:t>
      </w:r>
      <w:r w:rsidR="00AC1B40">
        <w:rPr>
          <w:rFonts w:cs="Times New Roman"/>
          <w:sz w:val="20"/>
          <w:szCs w:val="20"/>
          <w:lang w:val="fr-CA"/>
        </w:rPr>
        <w:t>’</w:t>
      </w:r>
      <w:r w:rsidRPr="0085721F">
        <w:rPr>
          <w:rFonts w:cs="Times New Roman"/>
          <w:sz w:val="20"/>
          <w:szCs w:val="20"/>
          <w:lang w:val="fr-CA"/>
        </w:rPr>
        <w:t>il divulguait adéquatement l</w:t>
      </w:r>
      <w:r w:rsidR="00AC1B40">
        <w:rPr>
          <w:rFonts w:cs="Times New Roman"/>
          <w:sz w:val="20"/>
          <w:szCs w:val="20"/>
          <w:lang w:val="fr-CA"/>
        </w:rPr>
        <w:t>’</w:t>
      </w:r>
      <w:r w:rsidRPr="0085721F">
        <w:rPr>
          <w:rFonts w:cs="Times New Roman"/>
          <w:sz w:val="20"/>
          <w:szCs w:val="20"/>
          <w:lang w:val="fr-CA"/>
        </w:rPr>
        <w:t>invention.  Il a interdit au ministre de délivrer l</w:t>
      </w:r>
      <w:r w:rsidR="00AC1B40">
        <w:rPr>
          <w:rFonts w:cs="Times New Roman"/>
          <w:sz w:val="20"/>
          <w:szCs w:val="20"/>
          <w:lang w:val="fr-CA"/>
        </w:rPr>
        <w:t>’</w:t>
      </w:r>
      <w:r w:rsidRPr="0085721F">
        <w:rPr>
          <w:rFonts w:cs="Times New Roman"/>
          <w:sz w:val="20"/>
          <w:szCs w:val="20"/>
          <w:lang w:val="fr-CA"/>
        </w:rPr>
        <w:t>avis de conformité demandé.  La Cour d'appel fédérale a rejeté l</w:t>
      </w:r>
      <w:r w:rsidR="00AC1B40">
        <w:rPr>
          <w:rFonts w:cs="Times New Roman"/>
          <w:sz w:val="20"/>
          <w:szCs w:val="20"/>
          <w:lang w:val="fr-CA"/>
        </w:rPr>
        <w:t>’</w:t>
      </w:r>
      <w:r w:rsidRPr="0085721F">
        <w:rPr>
          <w:rFonts w:cs="Times New Roman"/>
          <w:sz w:val="20"/>
          <w:szCs w:val="20"/>
          <w:lang w:val="fr-CA"/>
        </w:rPr>
        <w:t>appel.</w:t>
      </w:r>
    </w:p>
    <w:p w:rsidR="004A1C7B"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Origine de la cause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Cour d’appel fédérale</w:t>
      </w:r>
    </w:p>
    <w:p w:rsidR="004A1C7B" w:rsidRPr="0085721F"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No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33951</w:t>
      </w:r>
    </w:p>
    <w:p w:rsidR="004A1C7B" w:rsidRPr="0085721F"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24 septembre 2010</w:t>
      </w:r>
    </w:p>
    <w:p w:rsidR="004A1C7B" w:rsidRPr="0085721F" w:rsidRDefault="004A1C7B" w:rsidP="004A1C7B">
      <w:pPr>
        <w:rPr>
          <w:rFonts w:cs="Times New Roman"/>
          <w:sz w:val="20"/>
          <w:szCs w:val="20"/>
          <w:lang w:val="fr-CA"/>
        </w:rPr>
      </w:pPr>
    </w:p>
    <w:p w:rsidR="004A1C7B" w:rsidRPr="0085721F" w:rsidRDefault="004A1C7B" w:rsidP="004A1C7B">
      <w:pPr>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 xml:space="preserve">David W. </w:t>
      </w:r>
      <w:proofErr w:type="spellStart"/>
      <w:r w:rsidRPr="0085721F">
        <w:rPr>
          <w:rFonts w:cs="Times New Roman"/>
          <w:sz w:val="20"/>
          <w:szCs w:val="20"/>
          <w:lang w:val="fr-CA"/>
        </w:rPr>
        <w:t>Aitken</w:t>
      </w:r>
      <w:proofErr w:type="spellEnd"/>
      <w:r w:rsidRPr="0085721F">
        <w:rPr>
          <w:rFonts w:cs="Times New Roman"/>
          <w:sz w:val="20"/>
          <w:szCs w:val="20"/>
          <w:lang w:val="fr-CA"/>
        </w:rPr>
        <w:t xml:space="preserve"> et Marcus Klee pour l’appelante</w:t>
      </w:r>
    </w:p>
    <w:p w:rsidR="004A1C7B" w:rsidRPr="0085721F" w:rsidRDefault="004A1C7B" w:rsidP="004A1C7B">
      <w:pPr>
        <w:ind w:left="3600"/>
        <w:rPr>
          <w:rFonts w:cs="Times New Roman"/>
          <w:sz w:val="20"/>
          <w:szCs w:val="20"/>
          <w:lang w:val="fr-CA"/>
        </w:rPr>
      </w:pPr>
      <w:r w:rsidRPr="0085721F">
        <w:rPr>
          <w:rFonts w:cs="Times New Roman"/>
          <w:sz w:val="20"/>
          <w:szCs w:val="20"/>
          <w:lang w:val="fr-CA"/>
        </w:rPr>
        <w:t xml:space="preserve">Andrew M. </w:t>
      </w:r>
      <w:proofErr w:type="spellStart"/>
      <w:r w:rsidRPr="0085721F">
        <w:rPr>
          <w:rFonts w:cs="Times New Roman"/>
          <w:sz w:val="20"/>
          <w:szCs w:val="20"/>
          <w:lang w:val="fr-CA"/>
        </w:rPr>
        <w:t>Shaughnessy</w:t>
      </w:r>
      <w:proofErr w:type="spellEnd"/>
      <w:r w:rsidRPr="0085721F">
        <w:rPr>
          <w:rFonts w:cs="Times New Roman"/>
          <w:sz w:val="20"/>
          <w:szCs w:val="20"/>
          <w:lang w:val="fr-CA"/>
        </w:rPr>
        <w:t xml:space="preserve"> et Andrew Bernstein pour les intimées Pfizer</w:t>
      </w:r>
    </w:p>
    <w:p w:rsidR="004A1C7B" w:rsidRPr="0085721F" w:rsidRDefault="004A1C7B" w:rsidP="004A1C7B">
      <w:pPr>
        <w:ind w:left="3600"/>
        <w:rPr>
          <w:rFonts w:cs="Times New Roman"/>
          <w:sz w:val="20"/>
          <w:szCs w:val="20"/>
          <w:lang w:val="fr-CA"/>
        </w:rPr>
      </w:pPr>
      <w:proofErr w:type="spellStart"/>
      <w:r w:rsidRPr="0085721F">
        <w:rPr>
          <w:rFonts w:cs="Times New Roman"/>
          <w:sz w:val="20"/>
          <w:szCs w:val="20"/>
          <w:lang w:val="fr-CA"/>
        </w:rPr>
        <w:t>Eric</w:t>
      </w:r>
      <w:proofErr w:type="spellEnd"/>
      <w:r w:rsidRPr="0085721F">
        <w:rPr>
          <w:rFonts w:cs="Times New Roman"/>
          <w:sz w:val="20"/>
          <w:szCs w:val="20"/>
          <w:lang w:val="fr-CA"/>
        </w:rPr>
        <w:t xml:space="preserve"> Peterson pour l’intimé le ministre de la Santé</w:t>
      </w:r>
    </w:p>
    <w:p w:rsidR="00223D9F" w:rsidRPr="004A1C7B" w:rsidRDefault="00223D9F" w:rsidP="00223D9F">
      <w:pPr>
        <w:tabs>
          <w:tab w:val="left" w:pos="-1440"/>
          <w:tab w:val="left" w:pos="-720"/>
        </w:tabs>
        <w:ind w:left="720" w:hanging="720"/>
        <w:jc w:val="both"/>
        <w:rPr>
          <w:sz w:val="20"/>
          <w:szCs w:val="20"/>
          <w:lang w:val="fr-CA"/>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8"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pPr>
        <w:rPr>
          <w:sz w:val="20"/>
          <w:szCs w:val="20"/>
          <w:lang w:val="fr-CA"/>
        </w:rPr>
      </w:pPr>
    </w:p>
    <w:p w:rsidR="00223D9F" w:rsidRDefault="00223D9F">
      <w:pPr>
        <w:rPr>
          <w:sz w:val="20"/>
          <w:szCs w:val="20"/>
          <w:lang w:val="fr-CA"/>
        </w:rPr>
      </w:pPr>
      <w:r>
        <w:rPr>
          <w:sz w:val="20"/>
          <w:szCs w:val="20"/>
          <w:lang w:val="fr-CA"/>
        </w:rPr>
        <w:br w:type="page"/>
      </w:r>
    </w:p>
    <w:p w:rsidR="004A1C7B" w:rsidRPr="0085721F" w:rsidRDefault="007505E6" w:rsidP="004A1C7B">
      <w:pPr>
        <w:widowControl w:val="0"/>
        <w:ind w:left="720" w:hanging="720"/>
        <w:jc w:val="both"/>
        <w:rPr>
          <w:rFonts w:cs="Times New Roman"/>
          <w:sz w:val="20"/>
          <w:szCs w:val="20"/>
        </w:rPr>
      </w:pPr>
      <w:r w:rsidRPr="0085721F">
        <w:rPr>
          <w:rFonts w:cs="Times New Roman"/>
          <w:b/>
          <w:sz w:val="20"/>
          <w:szCs w:val="20"/>
        </w:rPr>
        <w:lastRenderedPageBreak/>
        <w:fldChar w:fldCharType="begin"/>
      </w:r>
      <w:r w:rsidR="004A1C7B" w:rsidRPr="0085721F">
        <w:rPr>
          <w:rFonts w:cs="Times New Roman"/>
          <w:b/>
          <w:sz w:val="20"/>
          <w:szCs w:val="20"/>
        </w:rPr>
        <w:instrText xml:space="preserve"> SEQ CHAPTER \h \r 1</w:instrText>
      </w:r>
      <w:r w:rsidRPr="0085721F">
        <w:rPr>
          <w:rFonts w:cs="Times New Roman"/>
          <w:b/>
          <w:sz w:val="20"/>
          <w:szCs w:val="20"/>
        </w:rPr>
        <w:fldChar w:fldCharType="end"/>
      </w:r>
      <w:r w:rsidR="004A1C7B" w:rsidRPr="0085721F">
        <w:rPr>
          <w:rFonts w:cs="Times New Roman"/>
          <w:b/>
          <w:sz w:val="20"/>
          <w:szCs w:val="20"/>
        </w:rPr>
        <w:t>34526</w:t>
      </w:r>
      <w:r w:rsidR="004A1C7B" w:rsidRPr="0085721F">
        <w:rPr>
          <w:rFonts w:cs="Times New Roman"/>
          <w:sz w:val="20"/>
          <w:szCs w:val="20"/>
        </w:rPr>
        <w:tab/>
      </w:r>
      <w:r w:rsidR="004A1C7B" w:rsidRPr="0085721F">
        <w:rPr>
          <w:rFonts w:cs="Times New Roman"/>
          <w:b/>
          <w:i/>
          <w:sz w:val="20"/>
          <w:szCs w:val="20"/>
        </w:rPr>
        <w:t xml:space="preserve">Her Majesty the Queen v. </w:t>
      </w:r>
      <w:proofErr w:type="spellStart"/>
      <w:r w:rsidR="004A1C7B" w:rsidRPr="0085721F">
        <w:rPr>
          <w:rFonts w:cs="Times New Roman"/>
          <w:b/>
          <w:i/>
          <w:sz w:val="20"/>
          <w:szCs w:val="20"/>
        </w:rPr>
        <w:t>Suganthini</w:t>
      </w:r>
      <w:proofErr w:type="spellEnd"/>
      <w:r w:rsidR="004A1C7B" w:rsidRPr="0085721F">
        <w:rPr>
          <w:rFonts w:cs="Times New Roman"/>
          <w:b/>
          <w:i/>
          <w:sz w:val="20"/>
          <w:szCs w:val="20"/>
        </w:rPr>
        <w:t xml:space="preserve"> </w:t>
      </w:r>
      <w:proofErr w:type="spellStart"/>
      <w:r w:rsidR="004A1C7B" w:rsidRPr="0085721F">
        <w:rPr>
          <w:rFonts w:cs="Times New Roman"/>
          <w:b/>
          <w:i/>
          <w:sz w:val="20"/>
          <w:szCs w:val="20"/>
        </w:rPr>
        <w:t>Mayuran</w:t>
      </w:r>
      <w:proofErr w:type="spellEnd"/>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Criminal law </w:t>
      </w:r>
      <w:r w:rsidRPr="0085721F">
        <w:rPr>
          <w:rFonts w:cs="Times New Roman"/>
          <w:sz w:val="20"/>
          <w:szCs w:val="20"/>
        </w:rPr>
        <w:noBreakHyphen/>
        <w:t xml:space="preserve"> Defences </w:t>
      </w:r>
      <w:r w:rsidRPr="0085721F">
        <w:rPr>
          <w:rFonts w:cs="Times New Roman"/>
          <w:sz w:val="20"/>
          <w:szCs w:val="20"/>
        </w:rPr>
        <w:noBreakHyphen/>
        <w:t xml:space="preserve"> Provocation </w:t>
      </w:r>
      <w:r w:rsidRPr="0085721F">
        <w:rPr>
          <w:rFonts w:cs="Times New Roman"/>
          <w:sz w:val="20"/>
          <w:szCs w:val="20"/>
        </w:rPr>
        <w:noBreakHyphen/>
        <w:t xml:space="preserve"> </w:t>
      </w:r>
      <w:proofErr w:type="gramStart"/>
      <w:r w:rsidRPr="0085721F">
        <w:rPr>
          <w:rFonts w:cs="Times New Roman"/>
          <w:sz w:val="20"/>
          <w:szCs w:val="20"/>
        </w:rPr>
        <w:t>Whether</w:t>
      </w:r>
      <w:proofErr w:type="gramEnd"/>
      <w:r w:rsidRPr="0085721F">
        <w:rPr>
          <w:rFonts w:cs="Times New Roman"/>
          <w:sz w:val="20"/>
          <w:szCs w:val="20"/>
        </w:rPr>
        <w:t xml:space="preserve"> defence of provocation meets air of reality test. </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 xml:space="preserve">The respondent was convicted of second degree murder in respect of the death of her </w:t>
      </w:r>
      <w:proofErr w:type="spellStart"/>
      <w:r w:rsidRPr="0085721F">
        <w:rPr>
          <w:rFonts w:cs="Times New Roman"/>
          <w:sz w:val="20"/>
          <w:szCs w:val="20"/>
        </w:rPr>
        <w:t>sister</w:t>
      </w:r>
      <w:r w:rsidRPr="0085721F">
        <w:rPr>
          <w:rFonts w:cs="Times New Roman"/>
          <w:sz w:val="20"/>
          <w:szCs w:val="20"/>
        </w:rPr>
        <w:noBreakHyphen/>
        <w:t>in</w:t>
      </w:r>
      <w:r w:rsidRPr="0085721F">
        <w:rPr>
          <w:rFonts w:cs="Times New Roman"/>
          <w:sz w:val="20"/>
          <w:szCs w:val="20"/>
        </w:rPr>
        <w:noBreakHyphen/>
        <w:t>law</w:t>
      </w:r>
      <w:proofErr w:type="spellEnd"/>
      <w:r w:rsidRPr="0085721F">
        <w:rPr>
          <w:rFonts w:cs="Times New Roman"/>
          <w:sz w:val="20"/>
          <w:szCs w:val="20"/>
        </w:rPr>
        <w:t xml:space="preserve">.  The majority of the Court of Appeal allowed her appeal and ordered a new trial on the basis that the trial judge had erred in failing to bring s. 232 of the </w:t>
      </w:r>
      <w:r w:rsidRPr="0085721F">
        <w:rPr>
          <w:rFonts w:cs="Times New Roman"/>
          <w:i/>
          <w:sz w:val="20"/>
          <w:szCs w:val="20"/>
        </w:rPr>
        <w:t>Criminal Code</w:t>
      </w:r>
      <w:r w:rsidRPr="0085721F">
        <w:rPr>
          <w:rFonts w:cs="Times New Roman"/>
          <w:sz w:val="20"/>
          <w:szCs w:val="20"/>
        </w:rPr>
        <w:t xml:space="preserve">, which sets out the defence of provocation, to the jury’s attention.  </w:t>
      </w:r>
      <w:proofErr w:type="spellStart"/>
      <w:r w:rsidRPr="0085721F">
        <w:rPr>
          <w:rFonts w:cs="Times New Roman"/>
          <w:sz w:val="20"/>
          <w:szCs w:val="20"/>
        </w:rPr>
        <w:t>Rochon</w:t>
      </w:r>
      <w:proofErr w:type="spellEnd"/>
      <w:r w:rsidRPr="0085721F">
        <w:rPr>
          <w:rFonts w:cs="Times New Roman"/>
          <w:sz w:val="20"/>
          <w:szCs w:val="20"/>
        </w:rPr>
        <w:t xml:space="preserve"> J.A., dissenting, would have dismissed the appeal.  </w:t>
      </w:r>
      <w:proofErr w:type="gramStart"/>
      <w:r w:rsidRPr="0085721F">
        <w:rPr>
          <w:rFonts w:cs="Times New Roman"/>
          <w:sz w:val="20"/>
          <w:szCs w:val="20"/>
        </w:rPr>
        <w:t>In his opinion, that defence did not have to be put to the jury, because the evidence did not lend an air of reality to it.</w:t>
      </w:r>
      <w:proofErr w:type="gramEnd"/>
      <w:r w:rsidRPr="0085721F">
        <w:rPr>
          <w:rFonts w:cs="Times New Roman"/>
          <w:sz w:val="20"/>
          <w:szCs w:val="20"/>
        </w:rPr>
        <w:t xml:space="preserve"> </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Origin of the case:</w:t>
      </w:r>
      <w:r w:rsidRPr="0085721F">
        <w:rPr>
          <w:rFonts w:cs="Times New Roman"/>
          <w:sz w:val="20"/>
          <w:szCs w:val="20"/>
        </w:rPr>
        <w:tab/>
      </w:r>
      <w:r w:rsidRPr="0085721F">
        <w:rPr>
          <w:rFonts w:cs="Times New Roman"/>
          <w:sz w:val="20"/>
          <w:szCs w:val="20"/>
        </w:rPr>
        <w:tab/>
      </w:r>
      <w:r w:rsidRPr="0085721F">
        <w:rPr>
          <w:rFonts w:cs="Times New Roman"/>
          <w:sz w:val="20"/>
          <w:szCs w:val="20"/>
        </w:rPr>
        <w:tab/>
        <w:t>Quebec</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File No.:</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34526</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Judgment of the Court of Appeal:</w:t>
      </w:r>
      <w:r w:rsidRPr="0085721F">
        <w:rPr>
          <w:rFonts w:cs="Times New Roman"/>
          <w:sz w:val="20"/>
          <w:szCs w:val="20"/>
        </w:rPr>
        <w:tab/>
      </w:r>
      <w:r>
        <w:rPr>
          <w:rFonts w:cs="Times New Roman"/>
          <w:sz w:val="20"/>
          <w:szCs w:val="20"/>
        </w:rPr>
        <w:tab/>
      </w:r>
      <w:r w:rsidRPr="0085721F">
        <w:rPr>
          <w:rFonts w:cs="Times New Roman"/>
          <w:sz w:val="20"/>
          <w:szCs w:val="20"/>
        </w:rPr>
        <w:t>October 4, 2011</w:t>
      </w:r>
    </w:p>
    <w:p w:rsidR="004A1C7B" w:rsidRPr="0085721F" w:rsidRDefault="004A1C7B" w:rsidP="004A1C7B">
      <w:pPr>
        <w:widowControl w:val="0"/>
        <w:jc w:val="both"/>
        <w:rPr>
          <w:rFonts w:cs="Times New Roman"/>
          <w:sz w:val="20"/>
          <w:szCs w:val="20"/>
        </w:rPr>
      </w:pPr>
    </w:p>
    <w:p w:rsidR="004A1C7B" w:rsidRPr="0085721F" w:rsidRDefault="004A1C7B" w:rsidP="004A1C7B">
      <w:pPr>
        <w:widowControl w:val="0"/>
        <w:jc w:val="both"/>
        <w:rPr>
          <w:rFonts w:cs="Times New Roman"/>
          <w:sz w:val="20"/>
          <w:szCs w:val="20"/>
        </w:rPr>
      </w:pPr>
      <w:r w:rsidRPr="0085721F">
        <w:rPr>
          <w:rFonts w:cs="Times New Roman"/>
          <w:sz w:val="20"/>
          <w:szCs w:val="20"/>
        </w:rPr>
        <w:t>Counsel:</w:t>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Pr>
          <w:rFonts w:cs="Times New Roman"/>
          <w:sz w:val="20"/>
          <w:szCs w:val="20"/>
        </w:rPr>
        <w:tab/>
      </w:r>
      <w:r w:rsidRPr="0085721F">
        <w:rPr>
          <w:rFonts w:cs="Times New Roman"/>
          <w:sz w:val="20"/>
          <w:szCs w:val="20"/>
        </w:rPr>
        <w:t xml:space="preserve">Louis </w:t>
      </w:r>
      <w:proofErr w:type="spellStart"/>
      <w:r w:rsidRPr="0085721F">
        <w:rPr>
          <w:rFonts w:cs="Times New Roman"/>
          <w:sz w:val="20"/>
          <w:szCs w:val="20"/>
        </w:rPr>
        <w:t>Bouthillier</w:t>
      </w:r>
      <w:proofErr w:type="spellEnd"/>
      <w:r w:rsidRPr="0085721F">
        <w:rPr>
          <w:rFonts w:cs="Times New Roman"/>
          <w:sz w:val="20"/>
          <w:szCs w:val="20"/>
        </w:rPr>
        <w:t xml:space="preserve"> for the appellant</w:t>
      </w:r>
    </w:p>
    <w:p w:rsidR="004A1C7B" w:rsidRPr="00F3105F" w:rsidRDefault="004A1C7B" w:rsidP="004A1C7B">
      <w:pPr>
        <w:widowControl w:val="0"/>
        <w:jc w:val="both"/>
        <w:rPr>
          <w:rFonts w:cs="Times New Roman"/>
          <w:sz w:val="20"/>
          <w:szCs w:val="20"/>
          <w:lang w:val="fr-CA"/>
        </w:rPr>
      </w:pP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85721F">
        <w:rPr>
          <w:rFonts w:cs="Times New Roman"/>
          <w:sz w:val="20"/>
          <w:szCs w:val="20"/>
        </w:rPr>
        <w:tab/>
      </w:r>
      <w:r w:rsidRPr="00F3105F">
        <w:rPr>
          <w:rFonts w:cs="Times New Roman"/>
          <w:sz w:val="20"/>
          <w:szCs w:val="20"/>
          <w:lang w:val="fr-CA"/>
        </w:rPr>
        <w:t xml:space="preserve">Martin </w:t>
      </w:r>
      <w:proofErr w:type="spellStart"/>
      <w:r w:rsidRPr="00F3105F">
        <w:rPr>
          <w:rFonts w:cs="Times New Roman"/>
          <w:sz w:val="20"/>
          <w:szCs w:val="20"/>
          <w:lang w:val="fr-CA"/>
        </w:rPr>
        <w:t>Latour</w:t>
      </w:r>
      <w:proofErr w:type="spellEnd"/>
      <w:r w:rsidRPr="00F3105F">
        <w:rPr>
          <w:rFonts w:cs="Times New Roman"/>
          <w:sz w:val="20"/>
          <w:szCs w:val="20"/>
          <w:lang w:val="fr-CA"/>
        </w:rPr>
        <w:t xml:space="preserve"> for the </w:t>
      </w:r>
      <w:proofErr w:type="spellStart"/>
      <w:r w:rsidRPr="00F3105F">
        <w:rPr>
          <w:rFonts w:cs="Times New Roman"/>
          <w:sz w:val="20"/>
          <w:szCs w:val="20"/>
          <w:lang w:val="fr-CA"/>
        </w:rPr>
        <w:t>respondent</w:t>
      </w:r>
      <w:proofErr w:type="spellEnd"/>
    </w:p>
    <w:p w:rsidR="00223D9F" w:rsidRPr="00DD0B49" w:rsidRDefault="00223D9F" w:rsidP="00223D9F">
      <w:pPr>
        <w:tabs>
          <w:tab w:val="left" w:pos="-1440"/>
          <w:tab w:val="left" w:pos="-720"/>
        </w:tabs>
        <w:ind w:left="720" w:hanging="720"/>
        <w:jc w:val="both"/>
        <w:rPr>
          <w:sz w:val="20"/>
          <w:szCs w:val="20"/>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09"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pPr>
        <w:rPr>
          <w:sz w:val="20"/>
          <w:szCs w:val="20"/>
          <w:lang w:val="fr-CA"/>
        </w:rPr>
      </w:pPr>
    </w:p>
    <w:p w:rsidR="00223D9F" w:rsidRDefault="00223D9F">
      <w:pPr>
        <w:rPr>
          <w:sz w:val="20"/>
          <w:szCs w:val="20"/>
          <w:lang w:val="fr-CA"/>
        </w:rPr>
      </w:pPr>
      <w:r>
        <w:rPr>
          <w:sz w:val="20"/>
          <w:szCs w:val="20"/>
          <w:lang w:val="fr-CA"/>
        </w:rPr>
        <w:br w:type="page"/>
      </w:r>
    </w:p>
    <w:p w:rsidR="004A1C7B" w:rsidRPr="0085721F" w:rsidRDefault="007505E6" w:rsidP="004A1C7B">
      <w:pPr>
        <w:widowControl w:val="0"/>
        <w:ind w:left="720" w:hanging="720"/>
        <w:jc w:val="both"/>
        <w:rPr>
          <w:rFonts w:cs="Times New Roman"/>
          <w:sz w:val="20"/>
          <w:szCs w:val="20"/>
          <w:lang w:val="fr-CA"/>
        </w:rPr>
      </w:pPr>
      <w:r w:rsidRPr="007505E6">
        <w:rPr>
          <w:rFonts w:cs="Times New Roman"/>
          <w:b/>
          <w:sz w:val="20"/>
          <w:szCs w:val="20"/>
          <w:lang w:val="fr-CA"/>
        </w:rPr>
        <w:lastRenderedPageBreak/>
        <w:fldChar w:fldCharType="begin"/>
      </w:r>
      <w:r w:rsidR="004A1C7B" w:rsidRPr="00077A57">
        <w:rPr>
          <w:rFonts w:cs="Times New Roman"/>
          <w:b/>
          <w:sz w:val="20"/>
          <w:szCs w:val="20"/>
          <w:lang w:val="fr-CA"/>
        </w:rPr>
        <w:instrText xml:space="preserve"> SEQ CHAPTER \h \r 1</w:instrText>
      </w:r>
      <w:r w:rsidRPr="0085721F">
        <w:rPr>
          <w:rFonts w:cs="Times New Roman"/>
          <w:b/>
          <w:sz w:val="20"/>
          <w:szCs w:val="20"/>
        </w:rPr>
        <w:fldChar w:fldCharType="end"/>
      </w:r>
      <w:r w:rsidR="004A1C7B" w:rsidRPr="00077A57">
        <w:rPr>
          <w:rFonts w:cs="Times New Roman"/>
          <w:b/>
          <w:sz w:val="20"/>
          <w:szCs w:val="20"/>
          <w:lang w:val="fr-CA"/>
        </w:rPr>
        <w:t>34526</w:t>
      </w:r>
      <w:r w:rsidR="004A1C7B" w:rsidRPr="00077A57">
        <w:rPr>
          <w:rFonts w:cs="Times New Roman"/>
          <w:sz w:val="20"/>
          <w:szCs w:val="20"/>
          <w:lang w:val="fr-CA"/>
        </w:rPr>
        <w:tab/>
      </w:r>
      <w:r w:rsidR="004A1C7B" w:rsidRPr="00077A57">
        <w:rPr>
          <w:rFonts w:cs="Times New Roman"/>
          <w:b/>
          <w:i/>
          <w:sz w:val="20"/>
          <w:szCs w:val="20"/>
          <w:lang w:val="fr-CA"/>
        </w:rPr>
        <w:t>Sa Majest</w:t>
      </w:r>
      <w:r w:rsidR="004A1C7B" w:rsidRPr="0085721F">
        <w:rPr>
          <w:rFonts w:cs="Times New Roman"/>
          <w:b/>
          <w:i/>
          <w:sz w:val="20"/>
          <w:szCs w:val="20"/>
          <w:lang w:val="fr-CA"/>
        </w:rPr>
        <w:t xml:space="preserve">é la Reine c. </w:t>
      </w:r>
      <w:proofErr w:type="spellStart"/>
      <w:r w:rsidR="004A1C7B" w:rsidRPr="0085721F">
        <w:rPr>
          <w:rFonts w:cs="Times New Roman"/>
          <w:b/>
          <w:i/>
          <w:sz w:val="20"/>
          <w:szCs w:val="20"/>
          <w:lang w:val="fr-CA"/>
        </w:rPr>
        <w:t>Suganthini</w:t>
      </w:r>
      <w:proofErr w:type="spellEnd"/>
      <w:r w:rsidR="004A1C7B" w:rsidRPr="0085721F">
        <w:rPr>
          <w:rFonts w:cs="Times New Roman"/>
          <w:b/>
          <w:i/>
          <w:sz w:val="20"/>
          <w:szCs w:val="20"/>
          <w:lang w:val="fr-CA"/>
        </w:rPr>
        <w:t xml:space="preserve"> </w:t>
      </w:r>
      <w:proofErr w:type="spellStart"/>
      <w:r w:rsidR="004A1C7B" w:rsidRPr="0085721F">
        <w:rPr>
          <w:rFonts w:cs="Times New Roman"/>
          <w:b/>
          <w:i/>
          <w:sz w:val="20"/>
          <w:szCs w:val="20"/>
          <w:lang w:val="fr-CA"/>
        </w:rPr>
        <w:t>Mayuran</w:t>
      </w:r>
      <w:proofErr w:type="spellEnd"/>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Moyens de défense </w:t>
      </w:r>
      <w:r w:rsidRPr="0085721F">
        <w:rPr>
          <w:rFonts w:cs="Times New Roman"/>
          <w:sz w:val="20"/>
          <w:szCs w:val="20"/>
          <w:lang w:val="fr-CA"/>
        </w:rPr>
        <w:noBreakHyphen/>
        <w:t xml:space="preserve"> Provocation </w:t>
      </w:r>
      <w:r w:rsidRPr="0085721F">
        <w:rPr>
          <w:rFonts w:cs="Times New Roman"/>
          <w:sz w:val="20"/>
          <w:szCs w:val="20"/>
          <w:lang w:val="fr-CA"/>
        </w:rPr>
        <w:noBreakHyphen/>
        <w:t xml:space="preserve"> Le moyen de défense fondé sur la provocation </w:t>
      </w:r>
      <w:proofErr w:type="spellStart"/>
      <w:r w:rsidRPr="0085721F">
        <w:rPr>
          <w:rFonts w:cs="Times New Roman"/>
          <w:sz w:val="20"/>
          <w:szCs w:val="20"/>
          <w:lang w:val="fr-CA"/>
        </w:rPr>
        <w:t>rencontre</w:t>
      </w:r>
      <w:r w:rsidRPr="0085721F">
        <w:rPr>
          <w:rFonts w:cs="Times New Roman"/>
          <w:sz w:val="20"/>
          <w:szCs w:val="20"/>
          <w:lang w:val="fr-CA"/>
        </w:rPr>
        <w:noBreakHyphen/>
        <w:t>t</w:t>
      </w:r>
      <w:r w:rsidRPr="0085721F">
        <w:rPr>
          <w:rFonts w:cs="Times New Roman"/>
          <w:sz w:val="20"/>
          <w:szCs w:val="20"/>
          <w:lang w:val="fr-CA"/>
        </w:rPr>
        <w:noBreakHyphen/>
        <w:t>il</w:t>
      </w:r>
      <w:proofErr w:type="spellEnd"/>
      <w:r w:rsidRPr="0085721F">
        <w:rPr>
          <w:rFonts w:cs="Times New Roman"/>
          <w:sz w:val="20"/>
          <w:szCs w:val="20"/>
          <w:lang w:val="fr-CA"/>
        </w:rPr>
        <w:t xml:space="preserve"> le critère de la vraisemblance? </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 xml:space="preserve">L’intimée est déclarée coupable du meurtre au deuxième degré de sa </w:t>
      </w:r>
      <w:proofErr w:type="spellStart"/>
      <w:r w:rsidRPr="0085721F">
        <w:rPr>
          <w:rFonts w:cs="Times New Roman"/>
          <w:sz w:val="20"/>
          <w:szCs w:val="20"/>
          <w:lang w:val="fr-CA"/>
        </w:rPr>
        <w:t>belle</w:t>
      </w:r>
      <w:r w:rsidRPr="0085721F">
        <w:rPr>
          <w:rFonts w:cs="Times New Roman"/>
          <w:sz w:val="20"/>
          <w:szCs w:val="20"/>
          <w:lang w:val="fr-CA"/>
        </w:rPr>
        <w:noBreakHyphen/>
        <w:t>sœur</w:t>
      </w:r>
      <w:proofErr w:type="spellEnd"/>
      <w:r w:rsidRPr="0085721F">
        <w:rPr>
          <w:rFonts w:cs="Times New Roman"/>
          <w:sz w:val="20"/>
          <w:szCs w:val="20"/>
          <w:lang w:val="fr-CA"/>
        </w:rPr>
        <w:t xml:space="preserve">.  En appel, la majorité de la Cour d’appel accueille l’appel et ordonne la tenue d’un nouveau procès au motif que le premier juge a fait erreur en omettant de porter à l’attention du jury l’art. 232 du </w:t>
      </w:r>
      <w:r w:rsidRPr="0085721F">
        <w:rPr>
          <w:rFonts w:cs="Times New Roman"/>
          <w:i/>
          <w:sz w:val="20"/>
          <w:szCs w:val="20"/>
          <w:lang w:val="fr-CA"/>
        </w:rPr>
        <w:t>Code criminel</w:t>
      </w:r>
      <w:r w:rsidRPr="0085721F">
        <w:rPr>
          <w:rFonts w:cs="Times New Roman"/>
          <w:sz w:val="20"/>
          <w:szCs w:val="20"/>
          <w:lang w:val="fr-CA"/>
        </w:rPr>
        <w:t xml:space="preserve">, soit la défense de provocation.  Le juge </w:t>
      </w:r>
      <w:proofErr w:type="spellStart"/>
      <w:r w:rsidRPr="0085721F">
        <w:rPr>
          <w:rFonts w:cs="Times New Roman"/>
          <w:sz w:val="20"/>
          <w:szCs w:val="20"/>
          <w:lang w:val="fr-CA"/>
        </w:rPr>
        <w:t>Rochon</w:t>
      </w:r>
      <w:proofErr w:type="spellEnd"/>
      <w:r w:rsidRPr="0085721F">
        <w:rPr>
          <w:rFonts w:cs="Times New Roman"/>
          <w:sz w:val="20"/>
          <w:szCs w:val="20"/>
          <w:lang w:val="fr-CA"/>
        </w:rPr>
        <w:t xml:space="preserve">, dissident, aurait rejeté l’appel.  À son avis, cette défense n’avait pas à être soumise au jury puisque la preuve ne la rendait pas vraisemblable. </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Origine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Québec</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34526</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Pr>
          <w:rFonts w:cs="Times New Roman"/>
          <w:sz w:val="20"/>
          <w:szCs w:val="20"/>
          <w:lang w:val="fr-CA"/>
        </w:rPr>
        <w:tab/>
      </w:r>
      <w:r w:rsidRPr="0085721F">
        <w:rPr>
          <w:rFonts w:cs="Times New Roman"/>
          <w:sz w:val="20"/>
          <w:szCs w:val="20"/>
          <w:lang w:val="fr-CA"/>
        </w:rPr>
        <w:t>Le 4 octobre 2011</w:t>
      </w:r>
    </w:p>
    <w:p w:rsidR="004A1C7B" w:rsidRPr="0085721F" w:rsidRDefault="004A1C7B" w:rsidP="004A1C7B">
      <w:pPr>
        <w:widowControl w:val="0"/>
        <w:jc w:val="both"/>
        <w:rPr>
          <w:rFonts w:cs="Times New Roman"/>
          <w:sz w:val="20"/>
          <w:szCs w:val="20"/>
          <w:lang w:val="fr-CA"/>
        </w:rPr>
      </w:pP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Louis Bouthillier pour l’appelante</w:t>
      </w:r>
    </w:p>
    <w:p w:rsidR="004A1C7B" w:rsidRPr="0085721F" w:rsidRDefault="004A1C7B" w:rsidP="004A1C7B">
      <w:pPr>
        <w:widowControl w:val="0"/>
        <w:jc w:val="both"/>
        <w:rPr>
          <w:rFonts w:cs="Times New Roman"/>
          <w:sz w:val="20"/>
          <w:szCs w:val="20"/>
          <w:lang w:val="fr-CA"/>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 xml:space="preserve">Martin </w:t>
      </w:r>
      <w:proofErr w:type="spellStart"/>
      <w:r w:rsidRPr="0085721F">
        <w:rPr>
          <w:rFonts w:cs="Times New Roman"/>
          <w:sz w:val="20"/>
          <w:szCs w:val="20"/>
          <w:lang w:val="fr-CA"/>
        </w:rPr>
        <w:t>Latour</w:t>
      </w:r>
      <w:proofErr w:type="spellEnd"/>
      <w:r w:rsidRPr="0085721F">
        <w:rPr>
          <w:rFonts w:cs="Times New Roman"/>
          <w:sz w:val="20"/>
          <w:szCs w:val="20"/>
          <w:lang w:val="fr-CA"/>
        </w:rPr>
        <w:t xml:space="preserve"> pour l’intimée</w:t>
      </w:r>
    </w:p>
    <w:p w:rsidR="00223D9F" w:rsidRPr="004A1C7B" w:rsidRDefault="00223D9F" w:rsidP="00223D9F">
      <w:pPr>
        <w:tabs>
          <w:tab w:val="left" w:pos="-1440"/>
          <w:tab w:val="left" w:pos="-720"/>
        </w:tabs>
        <w:ind w:left="720" w:hanging="720"/>
        <w:jc w:val="both"/>
        <w:rPr>
          <w:sz w:val="20"/>
          <w:szCs w:val="20"/>
          <w:lang w:val="fr-CA"/>
        </w:rPr>
      </w:pPr>
    </w:p>
    <w:p w:rsidR="00223D9F" w:rsidRPr="00DD0B49" w:rsidRDefault="007505E6" w:rsidP="00223D9F">
      <w:pPr>
        <w:tabs>
          <w:tab w:val="left" w:pos="-1440"/>
          <w:tab w:val="left" w:pos="-720"/>
        </w:tabs>
        <w:ind w:left="720" w:hanging="720"/>
        <w:jc w:val="both"/>
        <w:rPr>
          <w:sz w:val="20"/>
          <w:szCs w:val="20"/>
        </w:rPr>
      </w:pPr>
      <w:r w:rsidRPr="007505E6">
        <w:rPr>
          <w:sz w:val="20"/>
          <w:szCs w:val="20"/>
          <w:lang w:val="fr-CA"/>
        </w:rPr>
        <w:pict>
          <v:rect id="_x0000_i1110" style="width:2in;height:1pt" o:hrpct="0" o:hralign="center" o:hrstd="t" o:hrnoshade="t" o:hr="t" fillcolor="black [3213]" stroked="f"/>
        </w:pict>
      </w:r>
    </w:p>
    <w:p w:rsidR="00223D9F" w:rsidRPr="00223D9F" w:rsidRDefault="00223D9F" w:rsidP="00223D9F">
      <w:pPr>
        <w:tabs>
          <w:tab w:val="left" w:pos="-1440"/>
          <w:tab w:val="left" w:pos="-720"/>
        </w:tabs>
        <w:ind w:left="720" w:hanging="720"/>
        <w:jc w:val="both"/>
        <w:rPr>
          <w:sz w:val="20"/>
          <w:szCs w:val="20"/>
        </w:rPr>
      </w:pPr>
    </w:p>
    <w:p w:rsidR="00223D9F" w:rsidRDefault="00223D9F" w:rsidP="000B3C9A">
      <w:pPr>
        <w:tabs>
          <w:tab w:val="left" w:pos="-1440"/>
          <w:tab w:val="left" w:pos="-720"/>
        </w:tabs>
        <w:jc w:val="both"/>
        <w:rPr>
          <w:sz w:val="20"/>
          <w:szCs w:val="20"/>
          <w:lang w:val="fr-CA"/>
        </w:rPr>
      </w:pPr>
    </w:p>
    <w:p w:rsidR="00223D9F" w:rsidRPr="00DD0B49" w:rsidRDefault="00223D9F"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E903A1" w:rsidRPr="002E0C7E" w:rsidRDefault="007505E6"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7"/>
      <w:footerReference w:type="default" r:id="rId5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D5" w:rsidRDefault="005637D5" w:rsidP="00A87207">
      <w:r>
        <w:separator/>
      </w:r>
    </w:p>
  </w:endnote>
  <w:endnote w:type="continuationSeparator" w:id="0">
    <w:p w:rsidR="005637D5" w:rsidRDefault="005637D5"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7D5" w:rsidRDefault="005637D5">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505E6">
      <w:rPr>
        <w:lang w:val="fr-CA"/>
      </w:rPr>
      <w:pict>
        <v:rect id="_x0000_i1083" style="width:480.95pt;height:1pt" o:hralign="center" o:hrstd="t" o:hrnoshade="t" o:hr="t" fillcolor="black [3213]" stroked="f"/>
      </w:pict>
    </w:r>
  </w:p>
  <w:p w:rsidR="005637D5" w:rsidRPr="0009648D" w:rsidRDefault="005637D5" w:rsidP="00ED7E83">
    <w:pPr>
      <w:tabs>
        <w:tab w:val="center" w:pos="4680"/>
      </w:tabs>
    </w:pPr>
    <w:r>
      <w:tab/>
    </w:r>
    <w:r w:rsidRPr="0009648D">
      <w:t xml:space="preserve">- </w:t>
    </w:r>
    <w:fldSimple w:instr=" PAGE   \* MERGEFORMAT ">
      <w:r w:rsidR="006112F1">
        <w:rPr>
          <w:noProof/>
        </w:rPr>
        <w:t>459</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pPr>
      <w:pStyle w:val="Footer"/>
      <w:rPr>
        <w:lang w:val="fr-CA"/>
      </w:rPr>
    </w:pPr>
    <w:r w:rsidRPr="007505E6">
      <w:rPr>
        <w:lang w:val="fr-CA"/>
      </w:rPr>
      <w:pict>
        <v:rect id="_x0000_i1084" style="width:480.95pt;height:1pt" o:hralign="center" o:hrstd="t" o:hrnoshade="t" o:hr="t" fillcolor="black [3213]" stroked="f"/>
      </w:pict>
    </w:r>
  </w:p>
  <w:p w:rsidR="005637D5" w:rsidRDefault="005637D5" w:rsidP="00245129">
    <w:pPr>
      <w:tabs>
        <w:tab w:val="center" w:pos="4680"/>
      </w:tabs>
    </w:pPr>
    <w:r>
      <w:tab/>
    </w:r>
    <w:r w:rsidRPr="0009648D">
      <w:t xml:space="preserve">- </w:t>
    </w:r>
    <w:fldSimple w:instr=" PAGE   \* MERGEFORMAT ">
      <w:r w:rsidR="006112F1">
        <w:rPr>
          <w:noProof/>
        </w:rPr>
        <w:t>432</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7D5" w:rsidRDefault="005637D5">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755F22">
    <w:pPr>
      <w:tabs>
        <w:tab w:val="left" w:pos="-1440"/>
        <w:tab w:val="left" w:pos="-720"/>
      </w:tabs>
    </w:pPr>
    <w:r>
      <w:pict>
        <v:rect id="_x0000_i1088" style="width:480.95pt;height:1pt" o:hralign="center" o:hrstd="t" o:hrnoshade="t" o:hr="t" fillcolor="black [3213]" stroked="f"/>
      </w:pict>
    </w:r>
  </w:p>
  <w:p w:rsidR="005637D5" w:rsidRDefault="005637D5" w:rsidP="00EB2B90">
    <w:pPr>
      <w:tabs>
        <w:tab w:val="center" w:pos="4680"/>
      </w:tabs>
    </w:pPr>
    <w:r>
      <w:tab/>
      <w:t xml:space="preserve">- </w:t>
    </w:r>
    <w:fldSimple w:instr=" PAGE   \* MERGEFORMAT ">
      <w:r w:rsidR="006112F1">
        <w:rPr>
          <w:noProof/>
        </w:rPr>
        <w:t>471</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EB2B90">
    <w:pPr>
      <w:tabs>
        <w:tab w:val="center" w:pos="4680"/>
      </w:tabs>
    </w:pPr>
    <w:r>
      <w:pict>
        <v:rect id="_x0000_i1089" style="width:480.95pt;height:1pt" o:hralign="center" o:hrstd="t" o:hrnoshade="t" o:hr="t" fillcolor="black [3213]" stroked="f"/>
      </w:pict>
    </w:r>
  </w:p>
  <w:p w:rsidR="005637D5" w:rsidRPr="0031432F" w:rsidRDefault="005637D5" w:rsidP="00EB2B90">
    <w:pPr>
      <w:tabs>
        <w:tab w:val="center" w:pos="4680"/>
      </w:tabs>
    </w:pPr>
    <w:r>
      <w:tab/>
      <w:t xml:space="preserve">- </w:t>
    </w:r>
    <w:fldSimple w:instr=" PAGE   \* MERGEFORMAT ">
      <w:r w:rsidR="006112F1">
        <w:rPr>
          <w:noProof/>
        </w:rPr>
        <w:t>470</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7D5" w:rsidRDefault="005637D5">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732DB7">
    <w:r>
      <w:pict>
        <v:rect id="_x0000_i1091" style="width:480.95pt;height:1pt" o:hralign="center" o:hrstd="t" o:hrnoshade="t" o:hr="t" fillcolor="black" stroked="f"/>
      </w:pict>
    </w:r>
  </w:p>
  <w:p w:rsidR="005637D5" w:rsidRDefault="005637D5">
    <w:pPr>
      <w:tabs>
        <w:tab w:val="center" w:pos="4740"/>
      </w:tabs>
      <w:spacing w:line="0" w:lineRule="atLeast"/>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pPr>
      <w:pStyle w:val="Footer"/>
    </w:pPr>
    <w:r>
      <w:pict>
        <v:rect id="_x0000_i1092" style="width:480.95pt;height:1pt" o:hralign="center" o:hrstd="t" o:hrnoshade="t" o:hr="t" fillcolor="black" stroked="f"/>
      </w:pict>
    </w:r>
  </w:p>
  <w:p w:rsidR="005637D5" w:rsidRPr="00283C52" w:rsidRDefault="005637D5">
    <w:pPr>
      <w:pStyle w:val="Footer"/>
    </w:pPr>
    <w:r>
      <w:tab/>
    </w:r>
    <w:r w:rsidRPr="00283C52">
      <w:t xml:space="preserve">- </w:t>
    </w:r>
    <w:r w:rsidRPr="00283C52">
      <w:pgNum/>
    </w:r>
    <w:r w:rsidRPr="00283C52">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637D5" w:rsidRDefault="005637D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637D5" w:rsidRDefault="005637D5">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22323B">
    <w:r>
      <w:pict>
        <v:rect id="_x0000_i1095" style="width:480.95pt;height:1pt" o:hralign="center" o:hrstd="t" o:hrnoshade="t" o:hr="t" fillcolor="black [3213]" stroked="f"/>
      </w:pict>
    </w:r>
  </w:p>
  <w:p w:rsidR="005637D5" w:rsidRDefault="005637D5">
    <w:pPr>
      <w:tabs>
        <w:tab w:val="center" w:pos="4740"/>
      </w:tabs>
      <w:spacing w:line="0" w:lineRule="atLeast"/>
    </w:pPr>
    <w:r>
      <w:tab/>
      <w:t xml:space="preserve">- </w:t>
    </w:r>
    <w:fldSimple w:instr=" PAGE   \* MERGEFORMAT ">
      <w:r>
        <w:rPr>
          <w:noProof/>
        </w:rPr>
        <w:t>473</w:t>
      </w:r>
    </w:fldSimple>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22323B">
    <w:r>
      <w:pict>
        <v:rect id="_x0000_i1096" style="width:480.95pt;height:1pt" o:hralign="center" o:hrstd="t" o:hrnoshade="t" o:hr="t" fillcolor="black [3213]" stroked="f"/>
      </w:pict>
    </w:r>
  </w:p>
  <w:p w:rsidR="005637D5" w:rsidRDefault="005637D5" w:rsidP="0022323B">
    <w:pPr>
      <w:tabs>
        <w:tab w:val="center" w:pos="4740"/>
      </w:tabs>
      <w:spacing w:line="0" w:lineRule="atLeast"/>
    </w:pPr>
    <w:r>
      <w:tab/>
      <w:t xml:space="preserve">- </w:t>
    </w:r>
    <w:fldSimple w:instr=" PAGE   \* MERGEFORMAT ">
      <w:r w:rsidR="006112F1">
        <w:rPr>
          <w:noProof/>
        </w:rPr>
        <w:t>473</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22323B">
    <w:r>
      <w:pict>
        <v:rect id="_x0000_i1111" style="width:480.95pt;height:1pt" o:hralign="center" o:hrstd="t" o:hrnoshade="t" o:hr="t" fillcolor="black [3213]" stroked="f"/>
      </w:pict>
    </w:r>
  </w:p>
  <w:p w:rsidR="005637D5" w:rsidRDefault="005637D5">
    <w:pPr>
      <w:tabs>
        <w:tab w:val="center" w:pos="4740"/>
      </w:tabs>
      <w:spacing w:line="0" w:lineRule="atLeast"/>
    </w:pPr>
    <w:r>
      <w:tab/>
      <w:t xml:space="preserve">- </w:t>
    </w:r>
    <w:fldSimple w:instr=" PAGE   \* MERGEFORMAT ">
      <w:r w:rsidR="006112F1">
        <w:rPr>
          <w:noProof/>
        </w:rPr>
        <w:t>487</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22323B">
    <w:r>
      <w:pict>
        <v:rect id="_x0000_i1112" style="width:480.95pt;height:1pt" o:hralign="center" o:hrstd="t" o:hrnoshade="t" o:hr="t" fillcolor="black [3213]" stroked="f"/>
      </w:pict>
    </w:r>
  </w:p>
  <w:p w:rsidR="005637D5" w:rsidRDefault="005637D5" w:rsidP="0022323B">
    <w:pPr>
      <w:tabs>
        <w:tab w:val="center" w:pos="4740"/>
      </w:tabs>
      <w:spacing w:line="0" w:lineRule="atLeast"/>
    </w:pPr>
    <w:r>
      <w:tab/>
      <w:t xml:space="preserve">- </w:t>
    </w:r>
    <w:fldSimple w:instr=" PAGE   \* MERGEFORMAT ">
      <w:r w:rsidR="006112F1">
        <w:rPr>
          <w:noProof/>
        </w:rPr>
        <w:t>474</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Pr="00924065" w:rsidRDefault="005637D5"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A87207">
    <w:pPr>
      <w:pStyle w:val="Footer"/>
    </w:pPr>
    <w:r>
      <w:pict>
        <v:rect id="_x0000_i1032" style="width:480.95pt;height:1pt" o:hralign="center" o:hrstd="t" o:hrnoshade="t" o:hr="t" fillcolor="black [3213]" stroked="f"/>
      </w:pict>
    </w:r>
  </w:p>
  <w:p w:rsidR="005637D5" w:rsidRPr="00B7374B" w:rsidRDefault="005637D5" w:rsidP="00B7374B">
    <w:pPr>
      <w:tabs>
        <w:tab w:val="center" w:pos="4680"/>
      </w:tabs>
      <w:rPr>
        <w:szCs w:val="24"/>
      </w:rPr>
    </w:pPr>
    <w:r w:rsidRPr="00954D22">
      <w:rPr>
        <w:szCs w:val="24"/>
      </w:rPr>
      <w:tab/>
      <w:t xml:space="preserve">- </w:t>
    </w:r>
    <w:r w:rsidR="007505E6" w:rsidRPr="00954D22">
      <w:rPr>
        <w:szCs w:val="24"/>
      </w:rPr>
      <w:fldChar w:fldCharType="begin"/>
    </w:r>
    <w:r w:rsidRPr="00954D22">
      <w:rPr>
        <w:szCs w:val="24"/>
      </w:rPr>
      <w:instrText xml:space="preserve"> PAGE   \* MERGEFORMAT </w:instrText>
    </w:r>
    <w:r w:rsidR="007505E6" w:rsidRPr="00954D22">
      <w:rPr>
        <w:szCs w:val="24"/>
      </w:rPr>
      <w:fldChar w:fldCharType="separate"/>
    </w:r>
    <w:r w:rsidR="006112F1">
      <w:rPr>
        <w:noProof/>
        <w:szCs w:val="24"/>
      </w:rPr>
      <w:t>427</w:t>
    </w:r>
    <w:r w:rsidR="007505E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755F22">
    <w:pPr>
      <w:tabs>
        <w:tab w:val="left" w:pos="-1440"/>
        <w:tab w:val="left" w:pos="-720"/>
      </w:tabs>
    </w:pPr>
    <w:r>
      <w:pict>
        <v:rect id="_x0000_i1033" style="width:480.95pt;height:1pt" o:hralign="center" o:hrstd="t" o:hrnoshade="t" o:hr="t" fillcolor="black [3213]" stroked="f"/>
      </w:pict>
    </w:r>
  </w:p>
  <w:p w:rsidR="005637D5" w:rsidRPr="00954D22" w:rsidRDefault="005637D5" w:rsidP="00B7374B">
    <w:pPr>
      <w:tabs>
        <w:tab w:val="center" w:pos="4680"/>
      </w:tabs>
      <w:rPr>
        <w:szCs w:val="24"/>
      </w:rPr>
    </w:pPr>
    <w:r w:rsidRPr="00954D22">
      <w:rPr>
        <w:szCs w:val="24"/>
      </w:rPr>
      <w:tab/>
      <w:t xml:space="preserve">- </w:t>
    </w:r>
    <w:r w:rsidR="007505E6">
      <w:rPr>
        <w:szCs w:val="24"/>
      </w:rPr>
      <w:fldChar w:fldCharType="begin"/>
    </w:r>
    <w:r>
      <w:rPr>
        <w:szCs w:val="24"/>
      </w:rPr>
      <w:instrText xml:space="preserve"> PAGE   \* MERGEFORMAT </w:instrText>
    </w:r>
    <w:r w:rsidR="007505E6">
      <w:rPr>
        <w:szCs w:val="24"/>
      </w:rPr>
      <w:fldChar w:fldCharType="separate"/>
    </w:r>
    <w:r w:rsidR="006112F1">
      <w:rPr>
        <w:noProof/>
        <w:szCs w:val="24"/>
      </w:rPr>
      <w:t>426</w:t>
    </w:r>
    <w:r w:rsidR="007505E6">
      <w:rPr>
        <w:szCs w:val="24"/>
      </w:rPr>
      <w:fldChar w:fldCharType="end"/>
    </w:r>
    <w:r w:rsidRPr="00954D22">
      <w:rPr>
        <w:szCs w:val="24"/>
      </w:rPr>
      <w:t xml:space="preserve"> -</w:t>
    </w:r>
  </w:p>
  <w:p w:rsidR="005637D5" w:rsidRDefault="005637D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A87207">
    <w:pPr>
      <w:pStyle w:val="Footer"/>
    </w:pPr>
    <w:r>
      <w:pict>
        <v:rect id="_x0000_i1035" style="width:480.95pt;height:1pt" o:hralign="center" o:hrstd="t" o:hrnoshade="t" o:hr="t" fillcolor="black [3213]" stroked="f"/>
      </w:pict>
    </w:r>
  </w:p>
  <w:p w:rsidR="005637D5" w:rsidRPr="00B7374B" w:rsidRDefault="005637D5" w:rsidP="00B7374B">
    <w:pPr>
      <w:tabs>
        <w:tab w:val="center" w:pos="4680"/>
      </w:tabs>
      <w:rPr>
        <w:szCs w:val="24"/>
      </w:rPr>
    </w:pPr>
    <w:r w:rsidRPr="00954D22">
      <w:rPr>
        <w:szCs w:val="24"/>
      </w:rPr>
      <w:tab/>
      <w:t xml:space="preserve">- </w:t>
    </w:r>
    <w:r w:rsidR="007505E6" w:rsidRPr="00954D22">
      <w:rPr>
        <w:szCs w:val="24"/>
      </w:rPr>
      <w:fldChar w:fldCharType="begin"/>
    </w:r>
    <w:r w:rsidRPr="00954D22">
      <w:rPr>
        <w:szCs w:val="24"/>
      </w:rPr>
      <w:instrText xml:space="preserve"> PAGE   \* MERGEFORMAT </w:instrText>
    </w:r>
    <w:r w:rsidR="007505E6" w:rsidRPr="00954D22">
      <w:rPr>
        <w:szCs w:val="24"/>
      </w:rPr>
      <w:fldChar w:fldCharType="separate"/>
    </w:r>
    <w:r w:rsidR="006112F1">
      <w:rPr>
        <w:noProof/>
        <w:szCs w:val="24"/>
      </w:rPr>
      <w:t>429</w:t>
    </w:r>
    <w:r w:rsidR="007505E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5637D5" w:rsidRPr="00954D22" w:rsidRDefault="005637D5" w:rsidP="00B7374B">
    <w:pPr>
      <w:tabs>
        <w:tab w:val="center" w:pos="4680"/>
      </w:tabs>
      <w:rPr>
        <w:szCs w:val="24"/>
      </w:rPr>
    </w:pPr>
    <w:r w:rsidRPr="00954D22">
      <w:rPr>
        <w:szCs w:val="24"/>
      </w:rPr>
      <w:tab/>
      <w:t xml:space="preserve">- </w:t>
    </w:r>
    <w:r w:rsidR="007505E6" w:rsidRPr="00954D22">
      <w:rPr>
        <w:szCs w:val="24"/>
      </w:rPr>
      <w:fldChar w:fldCharType="begin"/>
    </w:r>
    <w:r w:rsidRPr="00954D22">
      <w:rPr>
        <w:szCs w:val="24"/>
      </w:rPr>
      <w:instrText xml:space="preserve"> PAGE   \* MERGEFORMAT </w:instrText>
    </w:r>
    <w:r w:rsidR="007505E6" w:rsidRPr="00954D22">
      <w:rPr>
        <w:szCs w:val="24"/>
      </w:rPr>
      <w:fldChar w:fldCharType="separate"/>
    </w:r>
    <w:r w:rsidR="006112F1">
      <w:rPr>
        <w:noProof/>
        <w:szCs w:val="24"/>
      </w:rPr>
      <w:t>428</w:t>
    </w:r>
    <w:r w:rsidR="007505E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A87207">
    <w:pPr>
      <w:pStyle w:val="Footer"/>
    </w:pPr>
    <w:r>
      <w:pict>
        <v:rect id="_x0000_i1039" style="width:480.95pt;height:1pt" o:hralign="center" o:hrstd="t" o:hrnoshade="t" o:hr="t" fillcolor="black [3213]" stroked="f"/>
      </w:pict>
    </w:r>
  </w:p>
  <w:p w:rsidR="005637D5" w:rsidRPr="00B7374B" w:rsidRDefault="005637D5" w:rsidP="00B7374B">
    <w:pPr>
      <w:tabs>
        <w:tab w:val="center" w:pos="4680"/>
      </w:tabs>
      <w:rPr>
        <w:szCs w:val="24"/>
      </w:rPr>
    </w:pPr>
    <w:r w:rsidRPr="00954D22">
      <w:rPr>
        <w:szCs w:val="24"/>
      </w:rPr>
      <w:tab/>
      <w:t xml:space="preserve">- </w:t>
    </w:r>
    <w:r w:rsidR="007505E6" w:rsidRPr="00954D22">
      <w:rPr>
        <w:szCs w:val="24"/>
      </w:rPr>
      <w:fldChar w:fldCharType="begin"/>
    </w:r>
    <w:r w:rsidRPr="00954D22">
      <w:rPr>
        <w:szCs w:val="24"/>
      </w:rPr>
      <w:instrText xml:space="preserve"> PAGE   \* MERGEFORMAT </w:instrText>
    </w:r>
    <w:r w:rsidR="007505E6" w:rsidRPr="00954D22">
      <w:rPr>
        <w:szCs w:val="24"/>
      </w:rPr>
      <w:fldChar w:fldCharType="separate"/>
    </w:r>
    <w:r w:rsidR="006112F1">
      <w:rPr>
        <w:noProof/>
        <w:szCs w:val="24"/>
      </w:rPr>
      <w:t>431</w:t>
    </w:r>
    <w:r w:rsidR="007505E6"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7505E6" w:rsidP="0044776A">
    <w:pPr>
      <w:tabs>
        <w:tab w:val="left" w:pos="-1440"/>
        <w:tab w:val="left" w:pos="-720"/>
      </w:tabs>
    </w:pPr>
    <w:r>
      <w:pict>
        <v:rect id="_x0000_i1040" style="width:480.95pt;height:1pt" o:hralign="center" o:hrstd="t" o:hrnoshade="t" o:hr="t" fillcolor="black [3213]" stroked="f"/>
      </w:pict>
    </w:r>
  </w:p>
  <w:p w:rsidR="005637D5" w:rsidRPr="00954D22" w:rsidRDefault="005637D5" w:rsidP="00B7374B">
    <w:pPr>
      <w:tabs>
        <w:tab w:val="center" w:pos="4680"/>
      </w:tabs>
      <w:rPr>
        <w:szCs w:val="24"/>
      </w:rPr>
    </w:pPr>
    <w:r w:rsidRPr="00954D22">
      <w:rPr>
        <w:szCs w:val="24"/>
      </w:rPr>
      <w:tab/>
      <w:t xml:space="preserve">- </w:t>
    </w:r>
    <w:r w:rsidR="007505E6" w:rsidRPr="00954D22">
      <w:rPr>
        <w:szCs w:val="24"/>
      </w:rPr>
      <w:fldChar w:fldCharType="begin"/>
    </w:r>
    <w:r w:rsidRPr="00954D22">
      <w:rPr>
        <w:szCs w:val="24"/>
      </w:rPr>
      <w:instrText xml:space="preserve"> PAGE   \* MERGEFORMAT </w:instrText>
    </w:r>
    <w:r w:rsidR="007505E6" w:rsidRPr="00954D22">
      <w:rPr>
        <w:szCs w:val="24"/>
      </w:rPr>
      <w:fldChar w:fldCharType="separate"/>
    </w:r>
    <w:r w:rsidR="006112F1">
      <w:rPr>
        <w:noProof/>
        <w:szCs w:val="24"/>
      </w:rPr>
      <w:t>430</w:t>
    </w:r>
    <w:r w:rsidR="007505E6"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D5" w:rsidRDefault="005637D5" w:rsidP="00A87207">
      <w:r>
        <w:separator/>
      </w:r>
    </w:p>
  </w:footnote>
  <w:footnote w:type="continuationSeparator" w:id="0">
    <w:p w:rsidR="005637D5" w:rsidRDefault="005637D5"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637D5" w:rsidRPr="002D3F55">
      <w:tc>
        <w:tcPr>
          <w:tcW w:w="4200" w:type="dxa"/>
          <w:tcMar>
            <w:left w:w="0" w:type="dxa"/>
            <w:right w:w="0" w:type="dxa"/>
          </w:tcMar>
        </w:tcPr>
        <w:p w:rsidR="005637D5" w:rsidRDefault="005637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637D5" w:rsidRDefault="005637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637D5" w:rsidRDefault="005637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7D5" w:rsidRPr="00FF6BA5" w:rsidRDefault="005637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637D5" w:rsidRPr="00FF6BA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637D5" w:rsidRPr="00FF6BA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637D5" w:rsidRPr="00FF6BA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637D5" w:rsidRPr="002D3F55" w:rsidTr="00245129">
      <w:tc>
        <w:tcPr>
          <w:tcW w:w="4200" w:type="dxa"/>
          <w:tcMar>
            <w:left w:w="0" w:type="dxa"/>
            <w:right w:w="0" w:type="dxa"/>
          </w:tcMar>
        </w:tcPr>
        <w:p w:rsidR="005637D5" w:rsidRPr="00755F22" w:rsidRDefault="005637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637D5" w:rsidRPr="00755F22" w:rsidRDefault="005637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637D5" w:rsidRPr="00755F22" w:rsidRDefault="005637D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637D5" w:rsidRPr="00755F22" w:rsidRDefault="005637D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637D5" w:rsidRPr="00755F22" w:rsidRDefault="005637D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637D5" w:rsidRPr="00755F22" w:rsidRDefault="005637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637D5" w:rsidRPr="00FF6BA5" w:rsidRDefault="005637D5"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637D5">
      <w:tc>
        <w:tcPr>
          <w:tcW w:w="4230" w:type="dxa"/>
          <w:tcMar>
            <w:left w:w="0" w:type="dxa"/>
            <w:right w:w="0" w:type="dxa"/>
          </w:tcMar>
        </w:tcPr>
        <w:p w:rsidR="005637D5" w:rsidRDefault="005637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637D5" w:rsidRDefault="005637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7D5" w:rsidRDefault="005637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637D5">
      <w:trPr>
        <w:gridAfter w:val="2"/>
        <w:wAfter w:w="5250" w:type="dxa"/>
      </w:trPr>
      <w:tc>
        <w:tcPr>
          <w:tcW w:w="4230" w:type="dxa"/>
          <w:tcMar>
            <w:left w:w="0" w:type="dxa"/>
            <w:right w:w="0" w:type="dxa"/>
          </w:tcMar>
        </w:tcPr>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637D5"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5637D5" w:rsidRPr="00755F22" w:rsidTr="00245129">
      <w:tc>
        <w:tcPr>
          <w:tcW w:w="4230" w:type="dxa"/>
          <w:tcMar>
            <w:left w:w="0" w:type="dxa"/>
            <w:right w:w="0" w:type="dxa"/>
          </w:tcMar>
        </w:tcPr>
        <w:p w:rsidR="005637D5" w:rsidRPr="00755F22" w:rsidRDefault="005637D5" w:rsidP="00831CA9">
          <w:pPr>
            <w:keepNext/>
            <w:keepLines/>
            <w:rPr>
              <w:sz w:val="20"/>
              <w:szCs w:val="20"/>
            </w:rPr>
          </w:pPr>
          <w:r w:rsidRPr="00755F22">
            <w:rPr>
              <w:sz w:val="20"/>
              <w:szCs w:val="20"/>
            </w:rPr>
            <w:t>MOTIONS</w:t>
          </w:r>
        </w:p>
      </w:tc>
      <w:tc>
        <w:tcPr>
          <w:tcW w:w="1170" w:type="dxa"/>
          <w:tcMar>
            <w:left w:w="0" w:type="dxa"/>
            <w:right w:w="0" w:type="dxa"/>
          </w:tcMar>
        </w:tcPr>
        <w:p w:rsidR="005637D5" w:rsidRPr="00755F22" w:rsidRDefault="005637D5" w:rsidP="00831CA9">
          <w:pPr>
            <w:keepLines/>
            <w:jc w:val="center"/>
            <w:rPr>
              <w:sz w:val="20"/>
              <w:szCs w:val="20"/>
            </w:rPr>
          </w:pPr>
        </w:p>
        <w:p w:rsidR="005637D5" w:rsidRPr="00755F22" w:rsidRDefault="005637D5" w:rsidP="00831CA9">
          <w:pPr>
            <w:keepLines/>
            <w:tabs>
              <w:tab w:val="left" w:pos="-1440"/>
              <w:tab w:val="left" w:pos="-720"/>
            </w:tabs>
            <w:jc w:val="center"/>
            <w:rPr>
              <w:sz w:val="20"/>
              <w:szCs w:val="20"/>
            </w:rPr>
          </w:pPr>
        </w:p>
      </w:tc>
      <w:tc>
        <w:tcPr>
          <w:tcW w:w="4080" w:type="dxa"/>
          <w:tcMar>
            <w:left w:w="0" w:type="dxa"/>
            <w:right w:w="0" w:type="dxa"/>
          </w:tcMar>
        </w:tcPr>
        <w:p w:rsidR="005637D5" w:rsidRPr="00BA6468" w:rsidRDefault="005637D5" w:rsidP="00BA6468">
          <w:pPr>
            <w:keepLines/>
            <w:rPr>
              <w:sz w:val="20"/>
              <w:szCs w:val="20"/>
              <w:lang w:val="fr-CA"/>
            </w:rPr>
          </w:pPr>
          <w:r w:rsidRPr="00BA6468">
            <w:rPr>
              <w:sz w:val="20"/>
              <w:szCs w:val="20"/>
              <w:lang w:val="fr-CA"/>
            </w:rPr>
            <w:t>REQUÊTES</w:t>
          </w:r>
        </w:p>
      </w:tc>
    </w:tr>
  </w:tbl>
  <w:p w:rsidR="005637D5" w:rsidRDefault="005637D5"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637D5" w:rsidRPr="002D3F55">
      <w:tc>
        <w:tcPr>
          <w:tcW w:w="4200" w:type="dxa"/>
          <w:tcMar>
            <w:left w:w="0" w:type="dxa"/>
            <w:right w:w="0" w:type="dxa"/>
          </w:tcMar>
        </w:tcPr>
        <w:p w:rsidR="005637D5" w:rsidRDefault="005637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637D5" w:rsidRDefault="005637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7D5" w:rsidRPr="00283C52" w:rsidRDefault="005637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637D5" w:rsidRPr="00283C52"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637D5" w:rsidRPr="00283C52" w:rsidRDefault="00563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637D5" w:rsidRPr="002D3F55" w:rsidTr="00245129">
      <w:tc>
        <w:tcPr>
          <w:tcW w:w="4200" w:type="dxa"/>
          <w:tcMar>
            <w:left w:w="0" w:type="dxa"/>
            <w:right w:w="0" w:type="dxa"/>
          </w:tcMar>
        </w:tcPr>
        <w:p w:rsidR="005637D5" w:rsidRPr="00732DB7" w:rsidRDefault="005637D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637D5" w:rsidRPr="00732DB7" w:rsidRDefault="005637D5" w:rsidP="00732DB7">
          <w:pPr>
            <w:keepNext/>
            <w:keepLines/>
            <w:tabs>
              <w:tab w:val="left" w:pos="-1440"/>
              <w:tab w:val="left" w:pos="-720"/>
            </w:tabs>
            <w:jc w:val="center"/>
            <w:rPr>
              <w:sz w:val="20"/>
              <w:szCs w:val="20"/>
            </w:rPr>
          </w:pPr>
        </w:p>
        <w:p w:rsidR="005637D5" w:rsidRPr="00732DB7" w:rsidRDefault="005637D5" w:rsidP="00732DB7">
          <w:pPr>
            <w:keepNext/>
            <w:keepLines/>
            <w:tabs>
              <w:tab w:val="left" w:pos="-1440"/>
              <w:tab w:val="left" w:pos="-720"/>
            </w:tabs>
            <w:jc w:val="center"/>
            <w:rPr>
              <w:sz w:val="20"/>
              <w:szCs w:val="20"/>
            </w:rPr>
          </w:pPr>
        </w:p>
        <w:p w:rsidR="005637D5" w:rsidRPr="00732DB7" w:rsidRDefault="005637D5" w:rsidP="00732DB7">
          <w:pPr>
            <w:keepNext/>
            <w:keepLines/>
            <w:tabs>
              <w:tab w:val="left" w:pos="-1440"/>
              <w:tab w:val="left" w:pos="-720"/>
            </w:tabs>
            <w:jc w:val="center"/>
            <w:rPr>
              <w:sz w:val="20"/>
              <w:szCs w:val="20"/>
            </w:rPr>
          </w:pPr>
        </w:p>
      </w:tc>
      <w:tc>
        <w:tcPr>
          <w:tcW w:w="4080" w:type="dxa"/>
          <w:tcMar>
            <w:left w:w="0" w:type="dxa"/>
            <w:right w:w="0" w:type="dxa"/>
          </w:tcMar>
        </w:tcPr>
        <w:p w:rsidR="005637D5" w:rsidRPr="00732DB7" w:rsidRDefault="005637D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637D5" w:rsidRPr="00283C52" w:rsidRDefault="005637D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637D5">
      <w:tc>
        <w:tcPr>
          <w:tcW w:w="4200" w:type="dxa"/>
          <w:tcMar>
            <w:left w:w="0" w:type="dxa"/>
            <w:right w:w="0" w:type="dxa"/>
          </w:tcMar>
        </w:tcPr>
        <w:p w:rsidR="005637D5" w:rsidRDefault="005637D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637D5" w:rsidRDefault="005637D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637D5" w:rsidRDefault="005637D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637D5" w:rsidRDefault="005637D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637D5" w:rsidRDefault="005637D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637D5" w:rsidRDefault="005637D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637D5" w:rsidRPr="00C50A5C" w:rsidTr="00245129">
      <w:tc>
        <w:tcPr>
          <w:tcW w:w="4200" w:type="dxa"/>
          <w:tcMar>
            <w:left w:w="0" w:type="dxa"/>
            <w:right w:w="0" w:type="dxa"/>
          </w:tcMar>
        </w:tcPr>
        <w:p w:rsidR="005637D5" w:rsidRPr="00C50A5C" w:rsidRDefault="005637D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5637D5" w:rsidRPr="00C50A5C" w:rsidRDefault="005637D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637D5" w:rsidRPr="00C50A5C" w:rsidRDefault="005637D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637D5" w:rsidRPr="00C50A5C" w:rsidRDefault="005637D5"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5637D5" w:rsidRDefault="005637D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637D5" w:rsidRPr="005F263E" w:rsidTr="00245129">
      <w:tc>
        <w:tcPr>
          <w:tcW w:w="4200" w:type="dxa"/>
          <w:tcMar>
            <w:left w:w="0" w:type="dxa"/>
            <w:right w:w="0" w:type="dxa"/>
          </w:tcMar>
        </w:tcPr>
        <w:p w:rsidR="005637D5" w:rsidRPr="005F263E" w:rsidRDefault="005637D5"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5637D5" w:rsidRPr="005F263E" w:rsidRDefault="005637D5" w:rsidP="00245129">
          <w:pPr>
            <w:keepNext/>
            <w:keepLines/>
            <w:tabs>
              <w:tab w:val="left" w:pos="-1440"/>
              <w:tab w:val="left" w:pos="-720"/>
            </w:tabs>
            <w:jc w:val="center"/>
            <w:rPr>
              <w:sz w:val="20"/>
              <w:szCs w:val="20"/>
            </w:rPr>
          </w:pPr>
        </w:p>
        <w:p w:rsidR="005637D5" w:rsidRPr="005F263E" w:rsidRDefault="005637D5" w:rsidP="00245129">
          <w:pPr>
            <w:keepNext/>
            <w:keepLines/>
            <w:tabs>
              <w:tab w:val="left" w:pos="-1440"/>
              <w:tab w:val="left" w:pos="-720"/>
            </w:tabs>
            <w:jc w:val="center"/>
            <w:rPr>
              <w:sz w:val="20"/>
              <w:szCs w:val="20"/>
            </w:rPr>
          </w:pPr>
        </w:p>
      </w:tc>
      <w:tc>
        <w:tcPr>
          <w:tcW w:w="4080" w:type="dxa"/>
          <w:tcMar>
            <w:left w:w="0" w:type="dxa"/>
            <w:right w:w="0" w:type="dxa"/>
          </w:tcMar>
        </w:tcPr>
        <w:p w:rsidR="005637D5" w:rsidRPr="005F263E" w:rsidRDefault="005637D5" w:rsidP="00245129">
          <w:pPr>
            <w:keepLines/>
            <w:tabs>
              <w:tab w:val="left" w:pos="-1440"/>
              <w:tab w:val="left" w:pos="-720"/>
            </w:tabs>
            <w:rPr>
              <w:sz w:val="20"/>
              <w:szCs w:val="20"/>
            </w:rPr>
          </w:pPr>
          <w:r w:rsidRPr="005F263E">
            <w:rPr>
              <w:sz w:val="20"/>
              <w:szCs w:val="20"/>
            </w:rPr>
            <w:t>RÉSUMÉS DES AFFAIRES</w:t>
          </w:r>
        </w:p>
      </w:tc>
    </w:tr>
  </w:tbl>
  <w:p w:rsidR="005637D5" w:rsidRDefault="005637D5" w:rsidP="005F263E"/>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5637D5" w:rsidRPr="0044776A" w:rsidTr="00245129">
      <w:tc>
        <w:tcPr>
          <w:tcW w:w="4290" w:type="dxa"/>
          <w:tcMar>
            <w:left w:w="0" w:type="dxa"/>
            <w:right w:w="0" w:type="dxa"/>
          </w:tcMar>
        </w:tcPr>
        <w:p w:rsidR="005637D5" w:rsidRPr="0044776A" w:rsidRDefault="005637D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637D5" w:rsidRPr="0044776A" w:rsidRDefault="005637D5" w:rsidP="002E2327">
          <w:pPr>
            <w:keepNext/>
            <w:keepLines/>
            <w:tabs>
              <w:tab w:val="left" w:pos="-1440"/>
              <w:tab w:val="left" w:pos="-720"/>
            </w:tabs>
            <w:jc w:val="center"/>
            <w:rPr>
              <w:sz w:val="20"/>
              <w:szCs w:val="20"/>
            </w:rPr>
          </w:pPr>
        </w:p>
        <w:p w:rsidR="005637D5" w:rsidRPr="0044776A" w:rsidRDefault="005637D5" w:rsidP="002E2327">
          <w:pPr>
            <w:keepNext/>
            <w:keepLines/>
            <w:tabs>
              <w:tab w:val="left" w:pos="-1440"/>
              <w:tab w:val="left" w:pos="-720"/>
            </w:tabs>
            <w:jc w:val="center"/>
            <w:rPr>
              <w:sz w:val="20"/>
              <w:szCs w:val="20"/>
            </w:rPr>
          </w:pPr>
        </w:p>
        <w:p w:rsidR="005637D5" w:rsidRPr="0044776A" w:rsidRDefault="005637D5" w:rsidP="002E2327">
          <w:pPr>
            <w:keepNext/>
            <w:keepLines/>
            <w:tabs>
              <w:tab w:val="left" w:pos="-1440"/>
              <w:tab w:val="left" w:pos="-720"/>
            </w:tabs>
            <w:jc w:val="center"/>
            <w:rPr>
              <w:sz w:val="20"/>
              <w:szCs w:val="20"/>
            </w:rPr>
          </w:pPr>
        </w:p>
      </w:tc>
      <w:tc>
        <w:tcPr>
          <w:tcW w:w="4320" w:type="dxa"/>
          <w:tcMar>
            <w:left w:w="0" w:type="dxa"/>
            <w:right w:w="0" w:type="dxa"/>
          </w:tcMar>
        </w:tcPr>
        <w:p w:rsidR="005637D5" w:rsidRPr="0044776A" w:rsidRDefault="005637D5" w:rsidP="002E2327">
          <w:pPr>
            <w:keepLines/>
            <w:rPr>
              <w:sz w:val="20"/>
              <w:szCs w:val="20"/>
              <w:lang w:val="fr-CA"/>
            </w:rPr>
          </w:pPr>
          <w:r w:rsidRPr="0044776A">
            <w:rPr>
              <w:sz w:val="20"/>
              <w:szCs w:val="20"/>
              <w:lang w:val="fr-CA"/>
            </w:rPr>
            <w:t>DEMANDES D'AUTORISATION D'APPEL DÉPOSÉES</w:t>
          </w:r>
        </w:p>
      </w:tc>
    </w:tr>
  </w:tbl>
  <w:p w:rsidR="005637D5" w:rsidRDefault="005637D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637D5" w:rsidRPr="002D3F55" w:rsidTr="00245129">
      <w:tc>
        <w:tcPr>
          <w:tcW w:w="4200" w:type="dxa"/>
          <w:tcMar>
            <w:left w:w="0" w:type="dxa"/>
            <w:right w:w="0" w:type="dxa"/>
          </w:tcMar>
        </w:tcPr>
        <w:p w:rsidR="005637D5" w:rsidRPr="0044776A" w:rsidRDefault="005637D5" w:rsidP="0044776A">
          <w:pPr>
            <w:keepNext/>
            <w:keepLines/>
            <w:widowControl w:val="0"/>
            <w:rPr>
              <w:sz w:val="20"/>
              <w:szCs w:val="20"/>
            </w:rPr>
          </w:pPr>
          <w:r>
            <w:rPr>
              <w:sz w:val="20"/>
              <w:szCs w:val="20"/>
            </w:rPr>
            <w:t>APPLICATIONS FOR LEAVE</w:t>
          </w:r>
        </w:p>
        <w:p w:rsidR="005637D5" w:rsidRPr="0044776A" w:rsidRDefault="005637D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637D5" w:rsidRPr="0044776A" w:rsidRDefault="005637D5" w:rsidP="0044776A">
          <w:pPr>
            <w:keepNext/>
            <w:keepLines/>
            <w:widowControl w:val="0"/>
            <w:jc w:val="center"/>
            <w:rPr>
              <w:sz w:val="20"/>
              <w:szCs w:val="20"/>
            </w:rPr>
          </w:pPr>
        </w:p>
        <w:p w:rsidR="005637D5" w:rsidRPr="0044776A" w:rsidRDefault="005637D5" w:rsidP="0044776A">
          <w:pPr>
            <w:keepNext/>
            <w:keepLines/>
            <w:widowControl w:val="0"/>
            <w:jc w:val="center"/>
            <w:rPr>
              <w:sz w:val="20"/>
              <w:szCs w:val="20"/>
            </w:rPr>
          </w:pPr>
        </w:p>
        <w:p w:rsidR="005637D5" w:rsidRPr="0044776A" w:rsidRDefault="005637D5" w:rsidP="0044776A">
          <w:pPr>
            <w:keepNext/>
            <w:keepLines/>
            <w:widowControl w:val="0"/>
            <w:jc w:val="center"/>
            <w:rPr>
              <w:sz w:val="20"/>
              <w:szCs w:val="20"/>
            </w:rPr>
          </w:pPr>
        </w:p>
      </w:tc>
      <w:tc>
        <w:tcPr>
          <w:tcW w:w="4080" w:type="dxa"/>
          <w:tcMar>
            <w:left w:w="0" w:type="dxa"/>
            <w:right w:w="0" w:type="dxa"/>
          </w:tcMar>
        </w:tcPr>
        <w:p w:rsidR="005637D5" w:rsidRPr="0044776A" w:rsidRDefault="005637D5" w:rsidP="0044776A">
          <w:pPr>
            <w:keepLines/>
            <w:widowControl w:val="0"/>
            <w:rPr>
              <w:sz w:val="20"/>
              <w:szCs w:val="20"/>
              <w:lang w:val="fr-CA"/>
            </w:rPr>
          </w:pPr>
          <w:r w:rsidRPr="0044776A">
            <w:rPr>
              <w:sz w:val="20"/>
              <w:szCs w:val="20"/>
              <w:lang w:val="fr-CA"/>
            </w:rPr>
            <w:t>DEMANDES SOUMISES À LA COUR DEPUIS LA DERNIÈRE PARUTION</w:t>
          </w:r>
        </w:p>
        <w:p w:rsidR="005637D5" w:rsidRPr="0044776A" w:rsidRDefault="005637D5" w:rsidP="0044776A">
          <w:pPr>
            <w:widowControl w:val="0"/>
            <w:rPr>
              <w:sz w:val="20"/>
              <w:szCs w:val="20"/>
              <w:lang w:val="fr-CA"/>
            </w:rPr>
          </w:pPr>
        </w:p>
      </w:tc>
    </w:tr>
  </w:tbl>
  <w:p w:rsidR="005637D5" w:rsidRPr="002E2327" w:rsidRDefault="005637D5">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5637D5" w:rsidRPr="0044776A" w:rsidTr="00245129">
      <w:tc>
        <w:tcPr>
          <w:tcW w:w="4200" w:type="dxa"/>
          <w:tcMar>
            <w:left w:w="0" w:type="dxa"/>
            <w:right w:w="0" w:type="dxa"/>
          </w:tcMar>
        </w:tcPr>
        <w:p w:rsidR="005637D5" w:rsidRPr="0044776A" w:rsidRDefault="005637D5" w:rsidP="0044776A">
          <w:pPr>
            <w:rPr>
              <w:sz w:val="20"/>
              <w:szCs w:val="20"/>
            </w:rPr>
          </w:pPr>
          <w:r w:rsidRPr="0044776A">
            <w:rPr>
              <w:sz w:val="20"/>
              <w:szCs w:val="20"/>
            </w:rPr>
            <w:t>ORAL HEARING ORDERED</w:t>
          </w:r>
        </w:p>
      </w:tc>
      <w:tc>
        <w:tcPr>
          <w:tcW w:w="1200" w:type="dxa"/>
          <w:tcMar>
            <w:left w:w="0" w:type="dxa"/>
            <w:right w:w="0" w:type="dxa"/>
          </w:tcMar>
        </w:tcPr>
        <w:p w:rsidR="005637D5" w:rsidRPr="0044776A" w:rsidRDefault="005637D5" w:rsidP="0044776A">
          <w:pPr>
            <w:keepLines/>
            <w:jc w:val="center"/>
            <w:rPr>
              <w:rFonts w:ascii="Times New" w:hAnsi="Times New"/>
              <w:sz w:val="20"/>
              <w:szCs w:val="20"/>
            </w:rPr>
          </w:pPr>
        </w:p>
        <w:p w:rsidR="005637D5" w:rsidRPr="0044776A" w:rsidRDefault="005637D5" w:rsidP="0044776A">
          <w:pPr>
            <w:keepLines/>
            <w:jc w:val="center"/>
            <w:rPr>
              <w:rFonts w:ascii="Times New" w:hAnsi="Times New"/>
              <w:sz w:val="20"/>
              <w:szCs w:val="20"/>
            </w:rPr>
          </w:pPr>
        </w:p>
      </w:tc>
      <w:tc>
        <w:tcPr>
          <w:tcW w:w="4230" w:type="dxa"/>
          <w:tcMar>
            <w:left w:w="0" w:type="dxa"/>
            <w:right w:w="0" w:type="dxa"/>
          </w:tcMar>
        </w:tcPr>
        <w:p w:rsidR="005637D5" w:rsidRPr="0044776A" w:rsidRDefault="005637D5" w:rsidP="0044776A">
          <w:pPr>
            <w:rPr>
              <w:sz w:val="20"/>
              <w:szCs w:val="20"/>
              <w:lang w:val="fr-CA"/>
            </w:rPr>
          </w:pPr>
          <w:r w:rsidRPr="0044776A">
            <w:rPr>
              <w:sz w:val="20"/>
              <w:szCs w:val="20"/>
              <w:lang w:val="fr-CA"/>
            </w:rPr>
            <w:t>AUDIENCE ORDONNÉE</w:t>
          </w:r>
        </w:p>
      </w:tc>
    </w:tr>
  </w:tbl>
  <w:p w:rsidR="005637D5" w:rsidRPr="002E2327" w:rsidRDefault="005637D5">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7"/>
  </w:hdrShapeDefaults>
  <w:footnotePr>
    <w:footnote w:id="-1"/>
    <w:footnote w:id="0"/>
  </w:footnotePr>
  <w:endnotePr>
    <w:endnote w:id="-1"/>
    <w:endnote w:id="0"/>
  </w:endnotePr>
  <w:compat/>
  <w:rsids>
    <w:rsidRoot w:val="00B50CF2"/>
    <w:rsid w:val="00000C9B"/>
    <w:rsid w:val="00001176"/>
    <w:rsid w:val="00004EE8"/>
    <w:rsid w:val="00025187"/>
    <w:rsid w:val="000310F3"/>
    <w:rsid w:val="0003223B"/>
    <w:rsid w:val="000327B2"/>
    <w:rsid w:val="00064913"/>
    <w:rsid w:val="00096BD9"/>
    <w:rsid w:val="000A4857"/>
    <w:rsid w:val="000A4A2B"/>
    <w:rsid w:val="000B1D69"/>
    <w:rsid w:val="000B3C9A"/>
    <w:rsid w:val="000B40A2"/>
    <w:rsid w:val="000B4624"/>
    <w:rsid w:val="000C0ACD"/>
    <w:rsid w:val="000D5E51"/>
    <w:rsid w:val="00102926"/>
    <w:rsid w:val="0010587F"/>
    <w:rsid w:val="00111C6B"/>
    <w:rsid w:val="0012102B"/>
    <w:rsid w:val="001301A4"/>
    <w:rsid w:val="00132A6E"/>
    <w:rsid w:val="0013369E"/>
    <w:rsid w:val="00164E6D"/>
    <w:rsid w:val="00166210"/>
    <w:rsid w:val="00176529"/>
    <w:rsid w:val="001A1643"/>
    <w:rsid w:val="001B157C"/>
    <w:rsid w:val="001B5C23"/>
    <w:rsid w:val="001B70CE"/>
    <w:rsid w:val="001C1F9C"/>
    <w:rsid w:val="001D0D5F"/>
    <w:rsid w:val="001D6B8C"/>
    <w:rsid w:val="001F1F83"/>
    <w:rsid w:val="001F7CEE"/>
    <w:rsid w:val="002021A9"/>
    <w:rsid w:val="0020432B"/>
    <w:rsid w:val="00212B9F"/>
    <w:rsid w:val="002139A7"/>
    <w:rsid w:val="00215ACD"/>
    <w:rsid w:val="00215F7C"/>
    <w:rsid w:val="0022323B"/>
    <w:rsid w:val="00223D9F"/>
    <w:rsid w:val="002364CF"/>
    <w:rsid w:val="002410B8"/>
    <w:rsid w:val="00241997"/>
    <w:rsid w:val="00242AEE"/>
    <w:rsid w:val="00245129"/>
    <w:rsid w:val="00245879"/>
    <w:rsid w:val="00246A81"/>
    <w:rsid w:val="00260352"/>
    <w:rsid w:val="00267FD5"/>
    <w:rsid w:val="002813EF"/>
    <w:rsid w:val="002868D0"/>
    <w:rsid w:val="002A27D1"/>
    <w:rsid w:val="002A4AFA"/>
    <w:rsid w:val="002B516C"/>
    <w:rsid w:val="002D3F55"/>
    <w:rsid w:val="002D5F5F"/>
    <w:rsid w:val="002D72EB"/>
    <w:rsid w:val="002E2327"/>
    <w:rsid w:val="002E3583"/>
    <w:rsid w:val="002E5576"/>
    <w:rsid w:val="002F35A9"/>
    <w:rsid w:val="002F3930"/>
    <w:rsid w:val="002F48F3"/>
    <w:rsid w:val="0032190E"/>
    <w:rsid w:val="00327627"/>
    <w:rsid w:val="00331B52"/>
    <w:rsid w:val="003359D3"/>
    <w:rsid w:val="00344ED3"/>
    <w:rsid w:val="00350EED"/>
    <w:rsid w:val="00352439"/>
    <w:rsid w:val="00355967"/>
    <w:rsid w:val="00382C47"/>
    <w:rsid w:val="00384384"/>
    <w:rsid w:val="003866AE"/>
    <w:rsid w:val="00393274"/>
    <w:rsid w:val="003957B5"/>
    <w:rsid w:val="003B3977"/>
    <w:rsid w:val="003C0BFF"/>
    <w:rsid w:val="00432989"/>
    <w:rsid w:val="0043465F"/>
    <w:rsid w:val="00440E24"/>
    <w:rsid w:val="0044776A"/>
    <w:rsid w:val="00460AFC"/>
    <w:rsid w:val="0047471F"/>
    <w:rsid w:val="00480EB7"/>
    <w:rsid w:val="00487EC4"/>
    <w:rsid w:val="004A1C7B"/>
    <w:rsid w:val="004A7D0B"/>
    <w:rsid w:val="004B195E"/>
    <w:rsid w:val="004B66B4"/>
    <w:rsid w:val="004B7F60"/>
    <w:rsid w:val="004C114E"/>
    <w:rsid w:val="004C1AAC"/>
    <w:rsid w:val="004D02E8"/>
    <w:rsid w:val="004E01F6"/>
    <w:rsid w:val="004F00B8"/>
    <w:rsid w:val="004F090E"/>
    <w:rsid w:val="005006AB"/>
    <w:rsid w:val="00527CC7"/>
    <w:rsid w:val="00543C18"/>
    <w:rsid w:val="005478AF"/>
    <w:rsid w:val="00557249"/>
    <w:rsid w:val="005637D5"/>
    <w:rsid w:val="0057194A"/>
    <w:rsid w:val="00571CA4"/>
    <w:rsid w:val="00582136"/>
    <w:rsid w:val="00586F1C"/>
    <w:rsid w:val="00587A89"/>
    <w:rsid w:val="005C6840"/>
    <w:rsid w:val="005E5E7A"/>
    <w:rsid w:val="005F263E"/>
    <w:rsid w:val="00600252"/>
    <w:rsid w:val="006112F1"/>
    <w:rsid w:val="00612A40"/>
    <w:rsid w:val="00644850"/>
    <w:rsid w:val="0067234E"/>
    <w:rsid w:val="00675479"/>
    <w:rsid w:val="00675AF9"/>
    <w:rsid w:val="00677410"/>
    <w:rsid w:val="00696BF9"/>
    <w:rsid w:val="00697C62"/>
    <w:rsid w:val="006A329B"/>
    <w:rsid w:val="006A7EB8"/>
    <w:rsid w:val="006B649F"/>
    <w:rsid w:val="006B6926"/>
    <w:rsid w:val="006C3F47"/>
    <w:rsid w:val="006C5925"/>
    <w:rsid w:val="006C5F7A"/>
    <w:rsid w:val="006E06AF"/>
    <w:rsid w:val="006F350F"/>
    <w:rsid w:val="006F74B4"/>
    <w:rsid w:val="00732DB7"/>
    <w:rsid w:val="00737D5F"/>
    <w:rsid w:val="0074234C"/>
    <w:rsid w:val="0074238B"/>
    <w:rsid w:val="007454BB"/>
    <w:rsid w:val="00745EF7"/>
    <w:rsid w:val="00746359"/>
    <w:rsid w:val="007505E6"/>
    <w:rsid w:val="00755F22"/>
    <w:rsid w:val="00761AB5"/>
    <w:rsid w:val="00766E4A"/>
    <w:rsid w:val="00772D98"/>
    <w:rsid w:val="007820CE"/>
    <w:rsid w:val="00782AE4"/>
    <w:rsid w:val="0079054E"/>
    <w:rsid w:val="0079724F"/>
    <w:rsid w:val="007A36D8"/>
    <w:rsid w:val="007A3EAE"/>
    <w:rsid w:val="007C04FC"/>
    <w:rsid w:val="007D3E0F"/>
    <w:rsid w:val="007F387B"/>
    <w:rsid w:val="00802863"/>
    <w:rsid w:val="0080389C"/>
    <w:rsid w:val="00815B3C"/>
    <w:rsid w:val="00825674"/>
    <w:rsid w:val="0082783A"/>
    <w:rsid w:val="00831CA9"/>
    <w:rsid w:val="00833C09"/>
    <w:rsid w:val="00844298"/>
    <w:rsid w:val="00850E1F"/>
    <w:rsid w:val="0085476B"/>
    <w:rsid w:val="00856FBA"/>
    <w:rsid w:val="00890FEB"/>
    <w:rsid w:val="00896597"/>
    <w:rsid w:val="008966E1"/>
    <w:rsid w:val="008B7B0F"/>
    <w:rsid w:val="008C01CE"/>
    <w:rsid w:val="008C5750"/>
    <w:rsid w:val="008D292F"/>
    <w:rsid w:val="008E03DC"/>
    <w:rsid w:val="008E45A6"/>
    <w:rsid w:val="00924065"/>
    <w:rsid w:val="00930D68"/>
    <w:rsid w:val="00932DB4"/>
    <w:rsid w:val="009363DA"/>
    <w:rsid w:val="00941A4B"/>
    <w:rsid w:val="00946242"/>
    <w:rsid w:val="0095096B"/>
    <w:rsid w:val="00970CD3"/>
    <w:rsid w:val="009723FA"/>
    <w:rsid w:val="009829BE"/>
    <w:rsid w:val="00984546"/>
    <w:rsid w:val="00996510"/>
    <w:rsid w:val="009D1F15"/>
    <w:rsid w:val="009D555E"/>
    <w:rsid w:val="009F3024"/>
    <w:rsid w:val="00A0355E"/>
    <w:rsid w:val="00A14137"/>
    <w:rsid w:val="00A25187"/>
    <w:rsid w:val="00A375D1"/>
    <w:rsid w:val="00A51D10"/>
    <w:rsid w:val="00A52A83"/>
    <w:rsid w:val="00A6552C"/>
    <w:rsid w:val="00A7096F"/>
    <w:rsid w:val="00A87207"/>
    <w:rsid w:val="00A935AA"/>
    <w:rsid w:val="00AB2201"/>
    <w:rsid w:val="00AC12D0"/>
    <w:rsid w:val="00AC1B40"/>
    <w:rsid w:val="00AD3259"/>
    <w:rsid w:val="00AE5C1C"/>
    <w:rsid w:val="00AF1715"/>
    <w:rsid w:val="00AF26C7"/>
    <w:rsid w:val="00AF3904"/>
    <w:rsid w:val="00B010C0"/>
    <w:rsid w:val="00B0203F"/>
    <w:rsid w:val="00B20BD7"/>
    <w:rsid w:val="00B4740D"/>
    <w:rsid w:val="00B50CF2"/>
    <w:rsid w:val="00B61629"/>
    <w:rsid w:val="00B7374B"/>
    <w:rsid w:val="00B74056"/>
    <w:rsid w:val="00B90DC0"/>
    <w:rsid w:val="00B960A3"/>
    <w:rsid w:val="00BA116A"/>
    <w:rsid w:val="00BA3CFA"/>
    <w:rsid w:val="00BA5582"/>
    <w:rsid w:val="00BA6468"/>
    <w:rsid w:val="00BD06DA"/>
    <w:rsid w:val="00BD4217"/>
    <w:rsid w:val="00BF25F3"/>
    <w:rsid w:val="00C1697B"/>
    <w:rsid w:val="00C21CB5"/>
    <w:rsid w:val="00C50A5C"/>
    <w:rsid w:val="00C50FDF"/>
    <w:rsid w:val="00C54A8E"/>
    <w:rsid w:val="00C63381"/>
    <w:rsid w:val="00C64AFA"/>
    <w:rsid w:val="00C676DD"/>
    <w:rsid w:val="00C73D06"/>
    <w:rsid w:val="00C73E1B"/>
    <w:rsid w:val="00C759B4"/>
    <w:rsid w:val="00C77713"/>
    <w:rsid w:val="00C9422C"/>
    <w:rsid w:val="00C95C82"/>
    <w:rsid w:val="00CA5345"/>
    <w:rsid w:val="00CB2D3D"/>
    <w:rsid w:val="00CB43D5"/>
    <w:rsid w:val="00CB7C33"/>
    <w:rsid w:val="00CC4D84"/>
    <w:rsid w:val="00CD0650"/>
    <w:rsid w:val="00CD0AB3"/>
    <w:rsid w:val="00CE198A"/>
    <w:rsid w:val="00CE71D6"/>
    <w:rsid w:val="00CF32F8"/>
    <w:rsid w:val="00D41B13"/>
    <w:rsid w:val="00D51CC5"/>
    <w:rsid w:val="00D64901"/>
    <w:rsid w:val="00D66D98"/>
    <w:rsid w:val="00D76BDF"/>
    <w:rsid w:val="00D862C1"/>
    <w:rsid w:val="00D93B50"/>
    <w:rsid w:val="00D94670"/>
    <w:rsid w:val="00DA20EC"/>
    <w:rsid w:val="00DA46F6"/>
    <w:rsid w:val="00DB0BF2"/>
    <w:rsid w:val="00DC1946"/>
    <w:rsid w:val="00DC54AA"/>
    <w:rsid w:val="00DD0B49"/>
    <w:rsid w:val="00DF1A81"/>
    <w:rsid w:val="00E062EA"/>
    <w:rsid w:val="00E06B80"/>
    <w:rsid w:val="00E06DFA"/>
    <w:rsid w:val="00E10039"/>
    <w:rsid w:val="00E15EB1"/>
    <w:rsid w:val="00E20A0A"/>
    <w:rsid w:val="00E263B2"/>
    <w:rsid w:val="00E356C7"/>
    <w:rsid w:val="00E45FE4"/>
    <w:rsid w:val="00E64FA7"/>
    <w:rsid w:val="00E770CB"/>
    <w:rsid w:val="00E903A1"/>
    <w:rsid w:val="00E90EC7"/>
    <w:rsid w:val="00E940EB"/>
    <w:rsid w:val="00EA75FE"/>
    <w:rsid w:val="00EB2B90"/>
    <w:rsid w:val="00EB2FCC"/>
    <w:rsid w:val="00EB373F"/>
    <w:rsid w:val="00EC0D48"/>
    <w:rsid w:val="00ED7E83"/>
    <w:rsid w:val="00EF4B63"/>
    <w:rsid w:val="00F0068D"/>
    <w:rsid w:val="00F03B9C"/>
    <w:rsid w:val="00F0576D"/>
    <w:rsid w:val="00F14E6D"/>
    <w:rsid w:val="00F15EA8"/>
    <w:rsid w:val="00F16C8D"/>
    <w:rsid w:val="00F26C61"/>
    <w:rsid w:val="00F33CCE"/>
    <w:rsid w:val="00F40249"/>
    <w:rsid w:val="00F425FE"/>
    <w:rsid w:val="00F526C8"/>
    <w:rsid w:val="00F9272D"/>
    <w:rsid w:val="00F9518C"/>
    <w:rsid w:val="00FA316E"/>
    <w:rsid w:val="00FA59EF"/>
    <w:rsid w:val="00FA6219"/>
    <w:rsid w:val="00FB19A2"/>
    <w:rsid w:val="00FD6958"/>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896597"/>
    <w:rPr>
      <w:rFonts w:eastAsia="Calibri" w:cs="Times New Roman"/>
      <w:i/>
      <w:sz w:val="20"/>
      <w:szCs w:val="20"/>
    </w:rPr>
  </w:style>
  <w:style w:type="character" w:customStyle="1" w:styleId="SCCSsocChar">
    <w:name w:val="SCC.Ssoc Char"/>
    <w:basedOn w:val="DefaultParagraphFont"/>
    <w:link w:val="SCCSsoc"/>
    <w:rsid w:val="00896597"/>
    <w:rPr>
      <w:rFonts w:eastAsia="Calibri" w:cs="Times New Roman"/>
      <w:i/>
      <w:sz w:val="20"/>
      <w:szCs w:val="20"/>
      <w:lang w:val="en-CA"/>
    </w:rPr>
  </w:style>
  <w:style w:type="paragraph" w:customStyle="1" w:styleId="SCCLsocParty">
    <w:name w:val="SCC.Lsoc.Party"/>
    <w:basedOn w:val="Normal"/>
    <w:next w:val="Normal"/>
    <w:link w:val="SCCLsocPartyChar"/>
    <w:uiPriority w:val="99"/>
    <w:rsid w:val="007A36D8"/>
    <w:pPr>
      <w:jc w:val="center"/>
    </w:pPr>
    <w:rPr>
      <w:rFonts w:eastAsia="Calibri" w:cs="Times New Roman"/>
      <w:lang w:val="fr-CA"/>
    </w:rPr>
  </w:style>
  <w:style w:type="character" w:customStyle="1" w:styleId="SCCLsocPartyChar">
    <w:name w:val="SCC.Lsoc.Party Char"/>
    <w:basedOn w:val="DefaultParagraphFont"/>
    <w:link w:val="SCCLsocParty"/>
    <w:uiPriority w:val="99"/>
    <w:rsid w:val="007A36D8"/>
    <w:rPr>
      <w:rFonts w:eastAsia="Calibri" w:cs="Times New Roman"/>
      <w:lang w:val="fr-CA"/>
    </w:rPr>
  </w:style>
  <w:style w:type="paragraph" w:customStyle="1" w:styleId="loose">
    <w:name w:val="loose"/>
    <w:basedOn w:val="Normal"/>
    <w:rsid w:val="007A36D8"/>
    <w:pPr>
      <w:spacing w:before="210"/>
    </w:pPr>
    <w:rPr>
      <w:rFonts w:eastAsia="Times New Roman" w:cs="Times New Roman"/>
      <w:szCs w:val="24"/>
      <w:lang w:val="en-US"/>
    </w:rPr>
  </w:style>
  <w:style w:type="character" w:customStyle="1" w:styleId="italic1">
    <w:name w:val="italic1"/>
    <w:basedOn w:val="DefaultParagraphFont"/>
    <w:rsid w:val="007A36D8"/>
    <w:rPr>
      <w:i/>
      <w:iCs/>
    </w:rPr>
  </w:style>
  <w:style w:type="paragraph" w:customStyle="1" w:styleId="SCCBanSummary">
    <w:name w:val="SCC.BanSummary"/>
    <w:basedOn w:val="Normal"/>
    <w:next w:val="Normal"/>
    <w:link w:val="SCCBanSummaryChar"/>
    <w:uiPriority w:val="99"/>
    <w:rsid w:val="004A1C7B"/>
    <w:pPr>
      <w:jc w:val="both"/>
    </w:pPr>
    <w:rPr>
      <w:rFonts w:eastAsia="Calibri" w:cs="Times New Roman"/>
      <w:smallCaps/>
    </w:rPr>
  </w:style>
  <w:style w:type="character" w:customStyle="1" w:styleId="SCCBanSummaryChar">
    <w:name w:val="SCC.BanSummary Char"/>
    <w:basedOn w:val="DefaultParagraphFont"/>
    <w:link w:val="SCCBanSummary"/>
    <w:uiPriority w:val="99"/>
    <w:locked/>
    <w:rsid w:val="004A1C7B"/>
    <w:rPr>
      <w:rFonts w:eastAsia="Calibri" w:cs="Times New Roman"/>
      <w:smallCaps/>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C621-C02A-43E5-AA48-4010E60A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24326</Words>
  <Characters>138662</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2012-04-12T14:40:00Z</dcterms:created>
  <dcterms:modified xsi:type="dcterms:W3CDTF">2012-04-12T14:40:00Z</dcterms:modified>
</cp:coreProperties>
</file>