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C68F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C68F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C68F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C68F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C68F8" w:rsidTr="002E5576">
        <w:tc>
          <w:tcPr>
            <w:tcW w:w="4518" w:type="dxa"/>
          </w:tcPr>
          <w:p w:rsidR="00BF25F3" w:rsidRPr="002E2327" w:rsidRDefault="009753D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753D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C68F8" w:rsidTr="002E5576">
        <w:tc>
          <w:tcPr>
            <w:tcW w:w="4518" w:type="dxa"/>
          </w:tcPr>
          <w:p w:rsidR="009F3024" w:rsidRPr="00507270" w:rsidRDefault="009F3024" w:rsidP="009F3024">
            <w:pPr>
              <w:tabs>
                <w:tab w:val="left" w:pos="6075"/>
              </w:tabs>
              <w:rPr>
                <w:rFonts w:cs="Times New Roman"/>
                <w:szCs w:val="24"/>
                <w:lang w:val="fr-CA"/>
              </w:rPr>
            </w:pPr>
          </w:p>
          <w:p w:rsidR="009F3024" w:rsidRPr="00507270" w:rsidRDefault="009F3024" w:rsidP="009F3024">
            <w:pPr>
              <w:tabs>
                <w:tab w:val="left" w:pos="6075"/>
              </w:tabs>
              <w:rPr>
                <w:rFonts w:cs="Times New Roman"/>
                <w:szCs w:val="24"/>
                <w:lang w:val="fr-CA"/>
              </w:rPr>
            </w:pPr>
          </w:p>
        </w:tc>
        <w:tc>
          <w:tcPr>
            <w:tcW w:w="630" w:type="dxa"/>
          </w:tcPr>
          <w:p w:rsidR="009F3024" w:rsidRPr="00507270"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C68F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07270"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4</w:t>
      </w:r>
      <w:r w:rsidR="00440E24" w:rsidRPr="00675479">
        <w:rPr>
          <w:lang w:val="fr-CA"/>
        </w:rPr>
        <w:t>, 201</w:t>
      </w:r>
      <w:r w:rsidR="00C73D06">
        <w:rPr>
          <w:lang w:val="fr-CA"/>
        </w:rPr>
        <w:t>2</w:t>
      </w:r>
      <w:r w:rsidR="00F0068D" w:rsidRPr="00675479">
        <w:rPr>
          <w:lang w:val="fr-CA"/>
        </w:rPr>
        <w:tab/>
      </w:r>
      <w:r>
        <w:rPr>
          <w:lang w:val="fr-CA"/>
        </w:rPr>
        <w:t>68</w:t>
      </w:r>
      <w:r w:rsidR="00E33BE6">
        <w:rPr>
          <w:lang w:val="fr-CA"/>
        </w:rPr>
        <w:t>6</w:t>
      </w:r>
      <w:r w:rsidR="00F0068D" w:rsidRPr="00675479">
        <w:rPr>
          <w:lang w:val="fr-CA"/>
        </w:rPr>
        <w:t xml:space="preserve"> - </w:t>
      </w:r>
      <w:r w:rsidR="00DF26BB">
        <w:rPr>
          <w:lang w:val="fr-CA"/>
        </w:rPr>
        <w:t>704</w:t>
      </w:r>
      <w:r w:rsidR="00440E24" w:rsidRPr="00675479">
        <w:rPr>
          <w:lang w:val="fr-CA"/>
        </w:rPr>
        <w:tab/>
      </w:r>
      <w:r w:rsidR="00440E24" w:rsidRPr="002E2327">
        <w:rPr>
          <w:lang w:val="fr-CA"/>
        </w:rPr>
        <w:t>Le</w:t>
      </w:r>
      <w:r w:rsidR="00C73D06">
        <w:rPr>
          <w:lang w:val="fr-CA"/>
        </w:rPr>
        <w:t xml:space="preserve"> </w:t>
      </w:r>
      <w:r>
        <w:rPr>
          <w:lang w:val="fr-CA"/>
        </w:rPr>
        <w:t>4</w:t>
      </w:r>
      <w:r w:rsidR="00C73D06">
        <w:rPr>
          <w:lang w:val="fr-CA"/>
        </w:rPr>
        <w:t xml:space="preserve"> </w:t>
      </w:r>
      <w:r>
        <w:rPr>
          <w:lang w:val="fr-CA"/>
        </w:rPr>
        <w:t>ma</w:t>
      </w:r>
      <w:r w:rsidR="00440E24" w:rsidRPr="002E2327">
        <w:rPr>
          <w:lang w:val="fr-CA"/>
        </w:rPr>
        <w:t>i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F2683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F26838">
            <w:pPr>
              <w:tabs>
                <w:tab w:val="right" w:pos="9360"/>
              </w:tabs>
              <w:rPr>
                <w:rFonts w:cs="Times New Roman"/>
                <w:sz w:val="20"/>
                <w:szCs w:val="20"/>
              </w:rPr>
            </w:pPr>
          </w:p>
        </w:tc>
        <w:tc>
          <w:tcPr>
            <w:tcW w:w="1980" w:type="dxa"/>
          </w:tcPr>
          <w:p w:rsidR="0095096B" w:rsidRPr="002E2327" w:rsidRDefault="00507270" w:rsidP="0095096B">
            <w:pPr>
              <w:jc w:val="center"/>
              <w:rPr>
                <w:rFonts w:cs="Times New Roman"/>
                <w:sz w:val="20"/>
                <w:szCs w:val="20"/>
              </w:rPr>
            </w:pPr>
            <w:r>
              <w:rPr>
                <w:rFonts w:cs="Times New Roman"/>
                <w:sz w:val="20"/>
                <w:szCs w:val="20"/>
              </w:rPr>
              <w:t>68</w:t>
            </w:r>
            <w:r w:rsidR="009F6372">
              <w:rPr>
                <w:rFonts w:cs="Times New Roman"/>
                <w:sz w:val="20"/>
                <w:szCs w:val="20"/>
              </w:rPr>
              <w:t>6</w:t>
            </w:r>
            <w:r>
              <w:rPr>
                <w:rFonts w:cs="Times New Roman"/>
                <w:sz w:val="20"/>
                <w:szCs w:val="20"/>
              </w:rPr>
              <w:t xml:space="preserve"> </w:t>
            </w:r>
            <w:r w:rsidR="009753DF" w:rsidRPr="002E2327">
              <w:rPr>
                <w:rFonts w:cs="Times New Roman"/>
                <w:sz w:val="20"/>
                <w:szCs w:val="20"/>
              </w:rPr>
              <w:fldChar w:fldCharType="begin"/>
            </w:r>
            <w:r w:rsidR="0095096B" w:rsidRPr="002E2327">
              <w:rPr>
                <w:rFonts w:cs="Times New Roman"/>
                <w:sz w:val="20"/>
                <w:szCs w:val="20"/>
              </w:rPr>
              <w:instrText xml:space="preserve"> SEQ CHAPTER \h \r 1</w:instrText>
            </w:r>
            <w:r w:rsidR="009753DF" w:rsidRPr="002E2327">
              <w:rPr>
                <w:rFonts w:cs="Times New Roman"/>
                <w:sz w:val="20"/>
                <w:szCs w:val="20"/>
              </w:rPr>
              <w:fldChar w:fldCharType="end"/>
            </w:r>
            <w:r w:rsidR="0095096B" w:rsidRPr="002E2327">
              <w:rPr>
                <w:rFonts w:cs="Times New Roman"/>
                <w:sz w:val="20"/>
                <w:szCs w:val="20"/>
              </w:rPr>
              <w:t>-</w:t>
            </w:r>
            <w:r w:rsidR="009F6372">
              <w:rPr>
                <w:rFonts w:cs="Times New Roman"/>
                <w:sz w:val="20"/>
                <w:szCs w:val="20"/>
              </w:rPr>
              <w:t xml:space="preserve"> 687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26838" w:rsidP="0095096B">
            <w:pPr>
              <w:jc w:val="center"/>
              <w:rPr>
                <w:rFonts w:cs="Times New Roman"/>
                <w:sz w:val="20"/>
                <w:szCs w:val="20"/>
              </w:rPr>
            </w:pPr>
            <w:r>
              <w:rPr>
                <w:rFonts w:cs="Times New Roman"/>
                <w:sz w:val="20"/>
                <w:szCs w:val="20"/>
              </w:rPr>
              <w:t>688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F26BB" w:rsidP="0095096B">
            <w:pPr>
              <w:jc w:val="center"/>
              <w:rPr>
                <w:rFonts w:cs="Times New Roman"/>
                <w:sz w:val="20"/>
                <w:szCs w:val="20"/>
              </w:rPr>
            </w:pPr>
            <w:r>
              <w:rPr>
                <w:rFonts w:cs="Times New Roman"/>
                <w:sz w:val="20"/>
                <w:szCs w:val="20"/>
              </w:rPr>
              <w:t xml:space="preserve">689 </w:t>
            </w:r>
            <w:r w:rsidR="0095096B" w:rsidRPr="002E2327">
              <w:rPr>
                <w:rFonts w:cs="Times New Roman"/>
                <w:sz w:val="20"/>
                <w:szCs w:val="20"/>
              </w:rPr>
              <w:t>-</w:t>
            </w:r>
            <w:r>
              <w:rPr>
                <w:rFonts w:cs="Times New Roman"/>
                <w:sz w:val="20"/>
                <w:szCs w:val="20"/>
              </w:rPr>
              <w:t xml:space="preserve"> 699</w:t>
            </w:r>
          </w:p>
          <w:p w:rsidR="0095096B" w:rsidRPr="002E2327" w:rsidRDefault="0095096B" w:rsidP="0095096B">
            <w:pPr>
              <w:jc w:val="center"/>
              <w:rPr>
                <w:rFonts w:cs="Times New Roman"/>
                <w:sz w:val="20"/>
                <w:szCs w:val="20"/>
              </w:rPr>
            </w:pPr>
          </w:p>
          <w:p w:rsidR="00DF26BB" w:rsidRDefault="00DF26BB" w:rsidP="0095096B">
            <w:pPr>
              <w:jc w:val="center"/>
              <w:rPr>
                <w:rFonts w:cs="Times New Roman"/>
                <w:sz w:val="20"/>
                <w:szCs w:val="20"/>
              </w:rPr>
            </w:pPr>
          </w:p>
          <w:p w:rsidR="0095096B" w:rsidRPr="002E2327" w:rsidRDefault="00DF26BB" w:rsidP="0095096B">
            <w:pPr>
              <w:jc w:val="center"/>
              <w:rPr>
                <w:rFonts w:cs="Times New Roman"/>
                <w:sz w:val="20"/>
                <w:szCs w:val="20"/>
              </w:rPr>
            </w:pPr>
            <w:r>
              <w:rPr>
                <w:rFonts w:cs="Times New Roman"/>
                <w:sz w:val="20"/>
                <w:szCs w:val="20"/>
              </w:rPr>
              <w:t xml:space="preserve">700 </w:t>
            </w:r>
            <w:r w:rsidR="0095096B" w:rsidRPr="002E2327">
              <w:rPr>
                <w:rFonts w:cs="Times New Roman"/>
                <w:sz w:val="20"/>
                <w:szCs w:val="20"/>
              </w:rPr>
              <w:t>-</w:t>
            </w:r>
            <w:r>
              <w:rPr>
                <w:rFonts w:cs="Times New Roman"/>
                <w:sz w:val="20"/>
                <w:szCs w:val="20"/>
              </w:rPr>
              <w:t xml:space="preserve"> 703</w:t>
            </w:r>
          </w:p>
          <w:p w:rsidR="0095096B" w:rsidRPr="002E2327" w:rsidRDefault="0095096B" w:rsidP="0095096B">
            <w:pPr>
              <w:jc w:val="center"/>
              <w:rPr>
                <w:rFonts w:cs="Times New Roman"/>
                <w:sz w:val="20"/>
                <w:szCs w:val="20"/>
              </w:rPr>
            </w:pPr>
          </w:p>
          <w:p w:rsidR="0095096B" w:rsidRPr="002E2327" w:rsidRDefault="00DF26BB" w:rsidP="0095096B">
            <w:pPr>
              <w:jc w:val="center"/>
              <w:rPr>
                <w:rFonts w:cs="Times New Roman"/>
                <w:sz w:val="20"/>
                <w:szCs w:val="20"/>
              </w:rPr>
            </w:pPr>
            <w:r>
              <w:rPr>
                <w:rFonts w:cs="Times New Roman"/>
                <w:sz w:val="20"/>
                <w:szCs w:val="20"/>
              </w:rPr>
              <w:t>704</w:t>
            </w:r>
          </w:p>
          <w:p w:rsidR="0095096B" w:rsidRPr="002E2327" w:rsidRDefault="0095096B" w:rsidP="0095096B">
            <w:pPr>
              <w:jc w:val="center"/>
              <w:rPr>
                <w:rFonts w:cs="Times New Roman"/>
                <w:sz w:val="20"/>
                <w:szCs w:val="20"/>
              </w:rPr>
            </w:pPr>
          </w:p>
          <w:p w:rsidR="00A87207" w:rsidRPr="002E2327" w:rsidRDefault="00A87207" w:rsidP="00F26838">
            <w:pPr>
              <w:jc w:val="center"/>
              <w:rPr>
                <w:rFonts w:cs="Times New Roman"/>
                <w:sz w:val="20"/>
                <w:szCs w:val="20"/>
              </w:rPr>
            </w:pPr>
          </w:p>
        </w:tc>
        <w:tc>
          <w:tcPr>
            <w:tcW w:w="3888" w:type="dxa"/>
          </w:tcPr>
          <w:p w:rsidR="0095096B" w:rsidRPr="002E2327" w:rsidRDefault="009753D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9F6372">
            <w:pPr>
              <w:tabs>
                <w:tab w:val="right" w:pos="9360"/>
              </w:tabs>
              <w:rPr>
                <w:rFonts w:cs="Times New Roman"/>
                <w:sz w:val="20"/>
                <w:szCs w:val="20"/>
                <w:lang w:val="fr-CA"/>
              </w:rPr>
            </w:pPr>
          </w:p>
        </w:tc>
      </w:tr>
    </w:tbl>
    <w:p w:rsidR="0095096B" w:rsidRPr="009F6372" w:rsidRDefault="0095096B" w:rsidP="0095096B">
      <w:pPr>
        <w:tabs>
          <w:tab w:val="right" w:pos="9360"/>
        </w:tabs>
        <w:rPr>
          <w:lang w:val="fr-CA"/>
        </w:rPr>
      </w:pPr>
    </w:p>
    <w:p w:rsidR="00F6422E" w:rsidRPr="009F6372" w:rsidRDefault="00F6422E" w:rsidP="0095096B">
      <w:pPr>
        <w:tabs>
          <w:tab w:val="right" w:pos="9360"/>
        </w:tabs>
        <w:rPr>
          <w:lang w:val="fr-CA"/>
        </w:rPr>
      </w:pPr>
    </w:p>
    <w:p w:rsidR="00F6422E" w:rsidRPr="009F6372" w:rsidRDefault="00F6422E" w:rsidP="0095096B">
      <w:pPr>
        <w:tabs>
          <w:tab w:val="right" w:pos="9360"/>
        </w:tabs>
        <w:rPr>
          <w:lang w:val="fr-CA"/>
        </w:rPr>
      </w:pPr>
    </w:p>
    <w:p w:rsidR="00F6422E" w:rsidRPr="009F6372" w:rsidRDefault="00F6422E" w:rsidP="0095096B">
      <w:pPr>
        <w:tabs>
          <w:tab w:val="right" w:pos="9360"/>
        </w:tabs>
        <w:rPr>
          <w:lang w:val="fr-CA"/>
        </w:rPr>
      </w:pPr>
    </w:p>
    <w:p w:rsidR="00F6422E" w:rsidRPr="009F6372" w:rsidRDefault="00F6422E" w:rsidP="0095096B">
      <w:pPr>
        <w:tabs>
          <w:tab w:val="right" w:pos="9360"/>
        </w:tabs>
        <w:rPr>
          <w:lang w:val="fr-CA"/>
        </w:rPr>
      </w:pPr>
    </w:p>
    <w:p w:rsidR="00F6422E" w:rsidRPr="009F6372" w:rsidRDefault="00F6422E" w:rsidP="0095096B">
      <w:pPr>
        <w:tabs>
          <w:tab w:val="right" w:pos="9360"/>
        </w:tabs>
        <w:rPr>
          <w:lang w:val="fr-CA"/>
        </w:rPr>
      </w:pPr>
    </w:p>
    <w:tbl>
      <w:tblPr>
        <w:tblStyle w:val="TableGrid"/>
        <w:tblW w:w="0" w:type="auto"/>
        <w:tblLook w:val="04A0"/>
      </w:tblPr>
      <w:tblGrid>
        <w:gridCol w:w="9576"/>
      </w:tblGrid>
      <w:tr w:rsidR="0079724F" w:rsidRPr="008C68F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F26838" w:rsidRDefault="00C868AD" w:rsidP="003B3977">
            <w:pPr>
              <w:rPr>
                <w:b/>
                <w:sz w:val="20"/>
                <w:szCs w:val="20"/>
                <w:lang w:val="fr-CA"/>
              </w:rPr>
            </w:pPr>
            <w:r w:rsidRPr="00F26838">
              <w:rPr>
                <w:b/>
                <w:sz w:val="20"/>
                <w:szCs w:val="20"/>
                <w:lang w:val="fr-CA"/>
              </w:rPr>
              <w:t>Robert Gravel</w:t>
            </w:r>
          </w:p>
          <w:p w:rsidR="00242AEE" w:rsidRPr="00F26838" w:rsidRDefault="00242AEE" w:rsidP="003B3977">
            <w:pPr>
              <w:tabs>
                <w:tab w:val="left" w:pos="-1440"/>
                <w:tab w:val="left" w:pos="-720"/>
              </w:tabs>
              <w:rPr>
                <w:sz w:val="20"/>
                <w:szCs w:val="20"/>
                <w:lang w:val="fr-CA"/>
              </w:rPr>
            </w:pPr>
            <w:r w:rsidRPr="00F26838">
              <w:rPr>
                <w:sz w:val="20"/>
                <w:szCs w:val="20"/>
                <w:lang w:val="fr-CA"/>
              </w:rPr>
              <w:tab/>
            </w:r>
            <w:r w:rsidR="00C868AD" w:rsidRPr="00F26838">
              <w:rPr>
                <w:sz w:val="20"/>
                <w:szCs w:val="20"/>
                <w:lang w:val="fr-CA"/>
              </w:rPr>
              <w:t>Robert Gravel</w:t>
            </w:r>
          </w:p>
          <w:p w:rsidR="00242AEE" w:rsidRPr="00F26838" w:rsidRDefault="00242AEE" w:rsidP="003B3977">
            <w:pPr>
              <w:tabs>
                <w:tab w:val="left" w:pos="-1440"/>
                <w:tab w:val="left" w:pos="-720"/>
              </w:tabs>
              <w:rPr>
                <w:sz w:val="20"/>
                <w:szCs w:val="20"/>
                <w:lang w:val="fr-CA"/>
              </w:rPr>
            </w:pPr>
          </w:p>
          <w:p w:rsidR="00242AEE" w:rsidRPr="00F26838" w:rsidRDefault="00242AEE" w:rsidP="003B3977">
            <w:pPr>
              <w:tabs>
                <w:tab w:val="left" w:pos="-1440"/>
                <w:tab w:val="left" w:pos="-720"/>
              </w:tabs>
              <w:rPr>
                <w:sz w:val="20"/>
                <w:szCs w:val="20"/>
                <w:lang w:val="fr-CA"/>
              </w:rPr>
            </w:pPr>
            <w:r w:rsidRPr="00F26838">
              <w:rPr>
                <w:sz w:val="20"/>
                <w:szCs w:val="20"/>
                <w:lang w:val="fr-CA"/>
              </w:rPr>
              <w:tab/>
            </w:r>
            <w:r w:rsidR="00C868AD" w:rsidRPr="00F26838">
              <w:rPr>
                <w:sz w:val="20"/>
                <w:szCs w:val="20"/>
                <w:lang w:val="fr-CA"/>
              </w:rPr>
              <w:t>c</w:t>
            </w:r>
            <w:r w:rsidRPr="00F26838">
              <w:rPr>
                <w:sz w:val="20"/>
                <w:szCs w:val="20"/>
                <w:lang w:val="fr-CA"/>
              </w:rPr>
              <w:t>. (3</w:t>
            </w:r>
            <w:r w:rsidR="00507270" w:rsidRPr="00F26838">
              <w:rPr>
                <w:sz w:val="20"/>
                <w:szCs w:val="20"/>
                <w:lang w:val="fr-CA"/>
              </w:rPr>
              <w:t>4</w:t>
            </w:r>
            <w:r w:rsidRPr="00F26838">
              <w:rPr>
                <w:sz w:val="20"/>
                <w:szCs w:val="20"/>
                <w:lang w:val="fr-CA"/>
              </w:rPr>
              <w:t>7</w:t>
            </w:r>
            <w:r w:rsidR="00C868AD" w:rsidRPr="00F26838">
              <w:rPr>
                <w:sz w:val="20"/>
                <w:szCs w:val="20"/>
                <w:lang w:val="fr-CA"/>
              </w:rPr>
              <w:t>65</w:t>
            </w:r>
            <w:r w:rsidRPr="00F26838">
              <w:rPr>
                <w:sz w:val="20"/>
                <w:szCs w:val="20"/>
                <w:lang w:val="fr-CA"/>
              </w:rPr>
              <w:t>)</w:t>
            </w:r>
          </w:p>
          <w:p w:rsidR="00242AEE" w:rsidRPr="00F26838" w:rsidRDefault="00242AEE" w:rsidP="003B3977">
            <w:pPr>
              <w:tabs>
                <w:tab w:val="left" w:pos="-1440"/>
                <w:tab w:val="left" w:pos="-720"/>
              </w:tabs>
              <w:rPr>
                <w:sz w:val="20"/>
                <w:szCs w:val="20"/>
                <w:lang w:val="fr-CA"/>
              </w:rPr>
            </w:pPr>
          </w:p>
          <w:p w:rsidR="00242AEE" w:rsidRPr="00C868AD" w:rsidRDefault="00C868AD" w:rsidP="003B3977">
            <w:pPr>
              <w:tabs>
                <w:tab w:val="left" w:pos="-1440"/>
                <w:tab w:val="left" w:pos="-720"/>
              </w:tabs>
              <w:rPr>
                <w:b/>
                <w:sz w:val="20"/>
                <w:szCs w:val="20"/>
                <w:lang w:val="fr-CA"/>
              </w:rPr>
            </w:pPr>
            <w:r w:rsidRPr="00C868AD">
              <w:rPr>
                <w:b/>
                <w:sz w:val="20"/>
                <w:szCs w:val="20"/>
                <w:lang w:val="fr-CA"/>
              </w:rPr>
              <w:t>Telus Communications Inc.</w:t>
            </w:r>
            <w:r>
              <w:rPr>
                <w:b/>
                <w:sz w:val="20"/>
                <w:szCs w:val="20"/>
                <w:lang w:val="fr-CA"/>
              </w:rPr>
              <w:t xml:space="preserve"> </w:t>
            </w:r>
            <w:r w:rsidR="00242AEE" w:rsidRPr="00C868AD">
              <w:rPr>
                <w:b/>
                <w:sz w:val="20"/>
                <w:szCs w:val="20"/>
                <w:lang w:val="fr-CA"/>
              </w:rPr>
              <w:t>(C.</w:t>
            </w:r>
            <w:r>
              <w:rPr>
                <w:b/>
                <w:sz w:val="20"/>
                <w:szCs w:val="20"/>
                <w:lang w:val="fr-CA"/>
              </w:rPr>
              <w:t>F.</w:t>
            </w:r>
            <w:r w:rsidR="00242AEE" w:rsidRPr="00C868AD">
              <w:rPr>
                <w:b/>
                <w:sz w:val="20"/>
                <w:szCs w:val="20"/>
                <w:lang w:val="fr-CA"/>
              </w:rPr>
              <w:t>)</w:t>
            </w:r>
          </w:p>
          <w:p w:rsidR="00242AEE" w:rsidRPr="00C868AD" w:rsidRDefault="00242AEE" w:rsidP="003B3977">
            <w:pPr>
              <w:tabs>
                <w:tab w:val="left" w:pos="-1440"/>
                <w:tab w:val="left" w:pos="-720"/>
              </w:tabs>
              <w:rPr>
                <w:sz w:val="20"/>
                <w:szCs w:val="20"/>
                <w:lang w:val="fr-CA"/>
              </w:rPr>
            </w:pPr>
            <w:r w:rsidRPr="00C868AD">
              <w:rPr>
                <w:sz w:val="20"/>
                <w:szCs w:val="20"/>
                <w:lang w:val="fr-CA"/>
              </w:rPr>
              <w:tab/>
            </w:r>
            <w:r w:rsidR="00C868AD">
              <w:rPr>
                <w:sz w:val="20"/>
                <w:szCs w:val="20"/>
                <w:lang w:val="fr-CA"/>
              </w:rPr>
              <w:t>Jean-François Dolbec</w:t>
            </w:r>
          </w:p>
          <w:p w:rsidR="00242AEE" w:rsidRPr="00C868AD" w:rsidRDefault="00242AEE" w:rsidP="003B3977">
            <w:pPr>
              <w:tabs>
                <w:tab w:val="left" w:pos="-1440"/>
                <w:tab w:val="left" w:pos="-720"/>
              </w:tabs>
              <w:rPr>
                <w:sz w:val="20"/>
                <w:szCs w:val="20"/>
                <w:lang w:val="fr-CA"/>
              </w:rPr>
            </w:pPr>
            <w:r w:rsidRPr="00C868AD">
              <w:rPr>
                <w:sz w:val="20"/>
                <w:szCs w:val="20"/>
                <w:lang w:val="fr-CA"/>
              </w:rPr>
              <w:tab/>
            </w:r>
            <w:r w:rsidR="00C868AD">
              <w:rPr>
                <w:sz w:val="20"/>
                <w:szCs w:val="20"/>
                <w:lang w:val="fr-CA"/>
              </w:rPr>
              <w:t>Heenan Blaikie Aubut</w:t>
            </w:r>
          </w:p>
          <w:p w:rsidR="00242AEE" w:rsidRPr="00C868AD"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DATE</w:t>
            </w:r>
            <w:r w:rsidR="00C868AD">
              <w:rPr>
                <w:sz w:val="20"/>
                <w:szCs w:val="20"/>
              </w:rPr>
              <w:t xml:space="preserve"> DE PRODUCTION </w:t>
            </w:r>
            <w:r w:rsidRPr="00A935AA">
              <w:rPr>
                <w:sz w:val="20"/>
                <w:szCs w:val="20"/>
              </w:rPr>
              <w:t xml:space="preserve">: </w:t>
            </w:r>
            <w:r w:rsidR="00C868AD">
              <w:rPr>
                <w:sz w:val="20"/>
                <w:szCs w:val="20"/>
              </w:rPr>
              <w:t>04</w:t>
            </w:r>
            <w:r w:rsidRPr="00A935AA">
              <w:rPr>
                <w:sz w:val="20"/>
                <w:szCs w:val="20"/>
              </w:rPr>
              <w:t>.0</w:t>
            </w:r>
            <w:r w:rsidR="00507270">
              <w:rPr>
                <w:sz w:val="20"/>
                <w:szCs w:val="20"/>
              </w:rPr>
              <w:t>4</w:t>
            </w:r>
            <w:r w:rsidRPr="00A935AA">
              <w:rPr>
                <w:sz w:val="20"/>
                <w:szCs w:val="20"/>
              </w:rPr>
              <w:t>.201</w:t>
            </w:r>
            <w:r w:rsidR="00507270">
              <w:rPr>
                <w:sz w:val="20"/>
                <w:szCs w:val="20"/>
              </w:rPr>
              <w:t>2</w:t>
            </w:r>
          </w:p>
          <w:p w:rsidR="00242AEE" w:rsidRPr="00A935AA" w:rsidRDefault="009753DF" w:rsidP="003B3977">
            <w:pPr>
              <w:rPr>
                <w:sz w:val="20"/>
                <w:szCs w:val="20"/>
              </w:rPr>
            </w:pPr>
            <w:r w:rsidRPr="009753D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F26838" w:rsidRDefault="006D6276" w:rsidP="003B3977">
            <w:pPr>
              <w:keepNext/>
              <w:keepLines/>
              <w:tabs>
                <w:tab w:val="left" w:pos="-1440"/>
                <w:tab w:val="left" w:pos="-720"/>
              </w:tabs>
              <w:rPr>
                <w:b/>
                <w:sz w:val="20"/>
                <w:szCs w:val="20"/>
                <w:lang w:val="fr-CA"/>
              </w:rPr>
            </w:pPr>
            <w:r w:rsidRPr="00F26838">
              <w:rPr>
                <w:b/>
                <w:sz w:val="20"/>
                <w:szCs w:val="20"/>
                <w:lang w:val="fr-CA"/>
              </w:rPr>
              <w:t>Regis Jogendra</w:t>
            </w:r>
          </w:p>
          <w:p w:rsidR="00242AEE" w:rsidRPr="00F26838" w:rsidRDefault="00242AEE" w:rsidP="003B3977">
            <w:pPr>
              <w:keepNext/>
              <w:keepLines/>
              <w:tabs>
                <w:tab w:val="left" w:pos="-1440"/>
                <w:tab w:val="left" w:pos="-720"/>
              </w:tabs>
              <w:rPr>
                <w:sz w:val="20"/>
                <w:szCs w:val="20"/>
                <w:lang w:val="fr-CA"/>
              </w:rPr>
            </w:pPr>
            <w:r w:rsidRPr="00F26838">
              <w:rPr>
                <w:sz w:val="20"/>
                <w:szCs w:val="20"/>
                <w:lang w:val="fr-CA"/>
              </w:rPr>
              <w:tab/>
            </w:r>
            <w:r w:rsidR="006D6276" w:rsidRPr="00F26838">
              <w:rPr>
                <w:sz w:val="20"/>
                <w:szCs w:val="20"/>
                <w:lang w:val="fr-CA"/>
              </w:rPr>
              <w:t>Regis Jogendra</w:t>
            </w:r>
          </w:p>
          <w:p w:rsidR="00242AEE" w:rsidRPr="00F26838"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F26838">
              <w:rPr>
                <w:sz w:val="20"/>
                <w:szCs w:val="20"/>
                <w:lang w:val="fr-CA"/>
              </w:rPr>
              <w:tab/>
            </w:r>
            <w:r w:rsidRPr="00A935AA">
              <w:rPr>
                <w:sz w:val="20"/>
                <w:szCs w:val="20"/>
                <w:lang w:val="fr-CA"/>
              </w:rPr>
              <w:t>v. (3</w:t>
            </w:r>
            <w:r w:rsidR="00507270">
              <w:rPr>
                <w:sz w:val="20"/>
                <w:szCs w:val="20"/>
                <w:lang w:val="fr-CA"/>
              </w:rPr>
              <w:t>47</w:t>
            </w:r>
            <w:r w:rsidR="006D6276">
              <w:rPr>
                <w:sz w:val="20"/>
                <w:szCs w:val="20"/>
                <w:lang w:val="fr-CA"/>
              </w:rPr>
              <w:t>75</w:t>
            </w:r>
            <w:r w:rsidRPr="00A935AA">
              <w:rPr>
                <w:sz w:val="20"/>
                <w:szCs w:val="20"/>
                <w:lang w:val="fr-CA"/>
              </w:rPr>
              <w:t>)</w:t>
            </w:r>
          </w:p>
          <w:p w:rsidR="006D6276" w:rsidRDefault="006D6276" w:rsidP="003B3977">
            <w:pPr>
              <w:keepNext/>
              <w:keepLines/>
              <w:tabs>
                <w:tab w:val="left" w:pos="-1440"/>
                <w:tab w:val="left" w:pos="-720"/>
              </w:tabs>
              <w:rPr>
                <w:sz w:val="20"/>
                <w:szCs w:val="20"/>
                <w:lang w:val="fr-CA"/>
              </w:rPr>
            </w:pPr>
          </w:p>
          <w:p w:rsidR="00242AEE" w:rsidRPr="00F26838" w:rsidRDefault="006D6276" w:rsidP="003B3977">
            <w:pPr>
              <w:keepNext/>
              <w:keepLines/>
              <w:tabs>
                <w:tab w:val="left" w:pos="-1440"/>
                <w:tab w:val="left" w:pos="-720"/>
              </w:tabs>
              <w:rPr>
                <w:b/>
                <w:sz w:val="20"/>
                <w:szCs w:val="20"/>
                <w:lang w:val="fr-CA"/>
              </w:rPr>
            </w:pPr>
            <w:r w:rsidRPr="006D6276">
              <w:rPr>
                <w:b/>
                <w:sz w:val="20"/>
                <w:szCs w:val="20"/>
              </w:rPr>
              <w:t xml:space="preserve">Human Rights Tribunal of Ontario et al. </w:t>
            </w:r>
            <w:r w:rsidRPr="00F26838">
              <w:rPr>
                <w:b/>
                <w:sz w:val="20"/>
                <w:szCs w:val="20"/>
                <w:lang w:val="fr-CA"/>
              </w:rPr>
              <w:t>(</w:t>
            </w:r>
            <w:r w:rsidR="00242AEE" w:rsidRPr="00F26838">
              <w:rPr>
                <w:b/>
                <w:sz w:val="20"/>
                <w:szCs w:val="20"/>
                <w:lang w:val="fr-CA"/>
              </w:rPr>
              <w:t>Ont.)</w:t>
            </w:r>
          </w:p>
          <w:p w:rsidR="00242AEE" w:rsidRPr="00F26838" w:rsidRDefault="00242AEE" w:rsidP="003B3977">
            <w:pPr>
              <w:keepNext/>
              <w:keepLines/>
              <w:tabs>
                <w:tab w:val="left" w:pos="-1440"/>
                <w:tab w:val="left" w:pos="-720"/>
              </w:tabs>
              <w:rPr>
                <w:sz w:val="20"/>
                <w:szCs w:val="20"/>
                <w:lang w:val="fr-CA"/>
              </w:rPr>
            </w:pPr>
            <w:r w:rsidRPr="00F26838">
              <w:rPr>
                <w:sz w:val="20"/>
                <w:szCs w:val="20"/>
                <w:lang w:val="fr-CA"/>
              </w:rPr>
              <w:tab/>
            </w:r>
            <w:r w:rsidR="006D6276" w:rsidRPr="00F26838">
              <w:rPr>
                <w:sz w:val="20"/>
                <w:szCs w:val="20"/>
                <w:lang w:val="fr-CA"/>
              </w:rPr>
              <w:t>Brian A. Blumenthal</w:t>
            </w:r>
          </w:p>
          <w:p w:rsidR="00242AEE" w:rsidRPr="00F26838" w:rsidRDefault="00242AEE" w:rsidP="003B3977">
            <w:pPr>
              <w:keepNext/>
              <w:keepLines/>
              <w:tabs>
                <w:tab w:val="left" w:pos="-1440"/>
                <w:tab w:val="left" w:pos="-720"/>
              </w:tabs>
              <w:rPr>
                <w:sz w:val="20"/>
                <w:szCs w:val="20"/>
                <w:lang w:val="fr-CA"/>
              </w:rPr>
            </w:pPr>
            <w:r w:rsidRPr="00F26838">
              <w:rPr>
                <w:sz w:val="20"/>
                <w:szCs w:val="20"/>
                <w:lang w:val="fr-CA"/>
              </w:rPr>
              <w:tab/>
            </w:r>
            <w:r w:rsidR="006D6276" w:rsidRPr="00F26838">
              <w:rPr>
                <w:sz w:val="20"/>
                <w:szCs w:val="20"/>
                <w:lang w:val="fr-CA"/>
              </w:rPr>
              <w:t>Social Justice Tribunals Ontario</w:t>
            </w:r>
          </w:p>
          <w:p w:rsidR="00242AEE" w:rsidRPr="00F26838" w:rsidRDefault="00242AEE" w:rsidP="003B3977">
            <w:pPr>
              <w:keepNext/>
              <w:keepLines/>
              <w:tabs>
                <w:tab w:val="left" w:pos="-1440"/>
                <w:tab w:val="left" w:pos="-720"/>
              </w:tabs>
              <w:rPr>
                <w:sz w:val="20"/>
                <w:szCs w:val="20"/>
                <w:lang w:val="fr-CA"/>
              </w:rPr>
            </w:pPr>
          </w:p>
          <w:p w:rsidR="00242AEE" w:rsidRPr="00A935AA" w:rsidRDefault="00242AEE" w:rsidP="006D6276">
            <w:pPr>
              <w:rPr>
                <w:sz w:val="20"/>
                <w:szCs w:val="20"/>
              </w:rPr>
            </w:pPr>
            <w:r w:rsidRPr="00A935AA">
              <w:rPr>
                <w:sz w:val="20"/>
                <w:szCs w:val="20"/>
              </w:rPr>
              <w:t xml:space="preserve">FILING DATE: </w:t>
            </w:r>
            <w:r w:rsidR="006D6276">
              <w:rPr>
                <w:sz w:val="20"/>
                <w:szCs w:val="20"/>
              </w:rPr>
              <w:t>04</w:t>
            </w:r>
            <w:r w:rsidRPr="00A935AA">
              <w:rPr>
                <w:sz w:val="20"/>
                <w:szCs w:val="20"/>
              </w:rPr>
              <w:t>.0</w:t>
            </w:r>
            <w:r w:rsidR="00507270">
              <w:rPr>
                <w:sz w:val="20"/>
                <w:szCs w:val="20"/>
              </w:rPr>
              <w:t>4</w:t>
            </w:r>
            <w:r w:rsidRPr="00A935AA">
              <w:rPr>
                <w:sz w:val="20"/>
                <w:szCs w:val="20"/>
              </w:rPr>
              <w:t>.201</w:t>
            </w:r>
            <w:r w:rsidR="00507270">
              <w:rPr>
                <w:sz w:val="20"/>
                <w:szCs w:val="20"/>
              </w:rPr>
              <w:t>2</w:t>
            </w:r>
            <w:r w:rsidR="009753DF" w:rsidRPr="009753DF">
              <w:rPr>
                <w:sz w:val="20"/>
                <w:szCs w:val="20"/>
                <w:lang w:val="fr-CA"/>
              </w:rPr>
              <w:pict>
                <v:rect id="_x0000_i1026" style="width:108pt;height:1pt" o:hrpct="0" o:hralign="center" o:hrstd="t" o:hrnoshade="t" o:hr="t" fillcolor="black [3213]" stroked="f"/>
              </w:pict>
            </w:r>
          </w:p>
        </w:tc>
      </w:tr>
      <w:tr w:rsidR="00F95E51" w:rsidRPr="00A935AA" w:rsidTr="003B3977">
        <w:tc>
          <w:tcPr>
            <w:tcW w:w="4320" w:type="dxa"/>
            <w:shd w:val="clear" w:color="auto" w:fill="auto"/>
          </w:tcPr>
          <w:p w:rsidR="00F95E51" w:rsidRPr="00A935AA" w:rsidRDefault="006D6276" w:rsidP="006D6276">
            <w:pPr>
              <w:rPr>
                <w:b/>
                <w:sz w:val="20"/>
                <w:szCs w:val="20"/>
              </w:rPr>
            </w:pPr>
            <w:r>
              <w:rPr>
                <w:b/>
                <w:sz w:val="20"/>
                <w:szCs w:val="20"/>
              </w:rPr>
              <w:t>Marcy White et al.</w:t>
            </w:r>
          </w:p>
          <w:p w:rsidR="00F95E51" w:rsidRPr="00A935AA" w:rsidRDefault="00F95E51" w:rsidP="006D6276">
            <w:pPr>
              <w:tabs>
                <w:tab w:val="left" w:pos="-1440"/>
                <w:tab w:val="left" w:pos="-720"/>
              </w:tabs>
              <w:rPr>
                <w:sz w:val="20"/>
                <w:szCs w:val="20"/>
              </w:rPr>
            </w:pPr>
            <w:r w:rsidRPr="00A935AA">
              <w:rPr>
                <w:sz w:val="20"/>
                <w:szCs w:val="20"/>
              </w:rPr>
              <w:tab/>
            </w:r>
            <w:r w:rsidR="006D6276">
              <w:rPr>
                <w:sz w:val="20"/>
                <w:szCs w:val="20"/>
              </w:rPr>
              <w:t>Gordon Kugler</w:t>
            </w:r>
          </w:p>
          <w:p w:rsidR="00F95E51" w:rsidRPr="00A935AA" w:rsidRDefault="00F95E51" w:rsidP="006D6276">
            <w:pPr>
              <w:tabs>
                <w:tab w:val="left" w:pos="-1440"/>
                <w:tab w:val="left" w:pos="-720"/>
              </w:tabs>
              <w:rPr>
                <w:sz w:val="20"/>
                <w:szCs w:val="20"/>
              </w:rPr>
            </w:pPr>
            <w:r w:rsidRPr="00A935AA">
              <w:rPr>
                <w:sz w:val="20"/>
                <w:szCs w:val="20"/>
              </w:rPr>
              <w:tab/>
            </w:r>
            <w:r w:rsidR="006D6276">
              <w:rPr>
                <w:sz w:val="20"/>
                <w:szCs w:val="20"/>
              </w:rPr>
              <w:t>Kugler Kandestin LLP</w:t>
            </w:r>
          </w:p>
          <w:p w:rsidR="00F95E51" w:rsidRPr="00A935AA" w:rsidRDefault="00F95E51" w:rsidP="006D6276">
            <w:pPr>
              <w:tabs>
                <w:tab w:val="left" w:pos="-1440"/>
                <w:tab w:val="left" w:pos="-720"/>
              </w:tabs>
              <w:rPr>
                <w:sz w:val="20"/>
                <w:szCs w:val="20"/>
              </w:rPr>
            </w:pPr>
          </w:p>
          <w:p w:rsidR="00F95E51" w:rsidRPr="00A935AA" w:rsidRDefault="00F95E51" w:rsidP="006D6276">
            <w:pPr>
              <w:tabs>
                <w:tab w:val="left" w:pos="-1440"/>
                <w:tab w:val="left" w:pos="-720"/>
              </w:tabs>
              <w:rPr>
                <w:sz w:val="20"/>
                <w:szCs w:val="20"/>
              </w:rPr>
            </w:pPr>
            <w:r w:rsidRPr="00A935AA">
              <w:rPr>
                <w:sz w:val="20"/>
                <w:szCs w:val="20"/>
              </w:rPr>
              <w:tab/>
              <w:t>v. (3</w:t>
            </w:r>
            <w:r>
              <w:rPr>
                <w:sz w:val="20"/>
                <w:szCs w:val="20"/>
              </w:rPr>
              <w:t>4</w:t>
            </w:r>
            <w:r w:rsidRPr="00A935AA">
              <w:rPr>
                <w:sz w:val="20"/>
                <w:szCs w:val="20"/>
              </w:rPr>
              <w:t>7</w:t>
            </w:r>
            <w:r w:rsidR="006D6276">
              <w:rPr>
                <w:sz w:val="20"/>
                <w:szCs w:val="20"/>
              </w:rPr>
              <w:t>58</w:t>
            </w:r>
            <w:r w:rsidRPr="00A935AA">
              <w:rPr>
                <w:sz w:val="20"/>
                <w:szCs w:val="20"/>
              </w:rPr>
              <w:t>)</w:t>
            </w:r>
          </w:p>
          <w:p w:rsidR="00F95E51" w:rsidRPr="00A935AA" w:rsidRDefault="00F95E51" w:rsidP="006D6276">
            <w:pPr>
              <w:tabs>
                <w:tab w:val="left" w:pos="-1440"/>
                <w:tab w:val="left" w:pos="-720"/>
              </w:tabs>
              <w:rPr>
                <w:sz w:val="20"/>
                <w:szCs w:val="20"/>
              </w:rPr>
            </w:pPr>
          </w:p>
          <w:p w:rsidR="00F95E51" w:rsidRPr="00A935AA" w:rsidRDefault="006D6276" w:rsidP="006D6276">
            <w:pPr>
              <w:tabs>
                <w:tab w:val="left" w:pos="-1440"/>
                <w:tab w:val="left" w:pos="-720"/>
              </w:tabs>
              <w:rPr>
                <w:b/>
                <w:sz w:val="20"/>
                <w:szCs w:val="20"/>
              </w:rPr>
            </w:pPr>
            <w:r>
              <w:rPr>
                <w:b/>
                <w:sz w:val="20"/>
                <w:szCs w:val="20"/>
              </w:rPr>
              <w:t xml:space="preserve">Gordon Watters </w:t>
            </w:r>
            <w:r w:rsidR="00F95E51" w:rsidRPr="00A935AA">
              <w:rPr>
                <w:b/>
                <w:sz w:val="20"/>
                <w:szCs w:val="20"/>
              </w:rPr>
              <w:t>(</w:t>
            </w:r>
            <w:r>
              <w:rPr>
                <w:b/>
                <w:sz w:val="20"/>
                <w:szCs w:val="20"/>
              </w:rPr>
              <w:t>Que</w:t>
            </w:r>
            <w:r w:rsidR="00F95E51" w:rsidRPr="00A935AA">
              <w:rPr>
                <w:b/>
                <w:sz w:val="20"/>
                <w:szCs w:val="20"/>
              </w:rPr>
              <w:t>.)</w:t>
            </w:r>
          </w:p>
          <w:p w:rsidR="00F95E51" w:rsidRPr="00A935AA" w:rsidRDefault="00F95E51" w:rsidP="006D6276">
            <w:pPr>
              <w:tabs>
                <w:tab w:val="left" w:pos="-1440"/>
                <w:tab w:val="left" w:pos="-720"/>
              </w:tabs>
              <w:rPr>
                <w:sz w:val="20"/>
                <w:szCs w:val="20"/>
              </w:rPr>
            </w:pPr>
            <w:r w:rsidRPr="00A935AA">
              <w:rPr>
                <w:sz w:val="20"/>
                <w:szCs w:val="20"/>
              </w:rPr>
              <w:tab/>
            </w:r>
            <w:r w:rsidR="006D6276">
              <w:rPr>
                <w:sz w:val="20"/>
                <w:szCs w:val="20"/>
              </w:rPr>
              <w:t xml:space="preserve">David </w:t>
            </w:r>
            <w:r w:rsidR="00A75998">
              <w:rPr>
                <w:sz w:val="20"/>
                <w:szCs w:val="20"/>
              </w:rPr>
              <w:t xml:space="preserve">E. </w:t>
            </w:r>
            <w:r w:rsidR="006D6276">
              <w:rPr>
                <w:sz w:val="20"/>
                <w:szCs w:val="20"/>
              </w:rPr>
              <w:t>Platts</w:t>
            </w:r>
          </w:p>
          <w:p w:rsidR="00F95E51" w:rsidRPr="00A935AA" w:rsidRDefault="00F95E51" w:rsidP="006D6276">
            <w:pPr>
              <w:tabs>
                <w:tab w:val="left" w:pos="-1440"/>
                <w:tab w:val="left" w:pos="-720"/>
              </w:tabs>
              <w:rPr>
                <w:sz w:val="20"/>
                <w:szCs w:val="20"/>
              </w:rPr>
            </w:pPr>
            <w:r w:rsidRPr="00A935AA">
              <w:rPr>
                <w:sz w:val="20"/>
                <w:szCs w:val="20"/>
              </w:rPr>
              <w:tab/>
            </w:r>
            <w:r w:rsidR="006D6276">
              <w:rPr>
                <w:sz w:val="20"/>
                <w:szCs w:val="20"/>
              </w:rPr>
              <w:t>McCarthy Tétrault LLP</w:t>
            </w:r>
          </w:p>
          <w:p w:rsidR="00F95E51" w:rsidRPr="00A935AA" w:rsidRDefault="00F95E51" w:rsidP="006D6276">
            <w:pPr>
              <w:tabs>
                <w:tab w:val="left" w:pos="-1440"/>
                <w:tab w:val="left" w:pos="-720"/>
              </w:tabs>
              <w:rPr>
                <w:sz w:val="20"/>
                <w:szCs w:val="20"/>
              </w:rPr>
            </w:pPr>
          </w:p>
          <w:p w:rsidR="00F95E51" w:rsidRPr="00A935AA" w:rsidRDefault="00F95E51" w:rsidP="006D6276">
            <w:pPr>
              <w:rPr>
                <w:sz w:val="20"/>
                <w:szCs w:val="20"/>
              </w:rPr>
            </w:pPr>
            <w:r w:rsidRPr="00A935AA">
              <w:rPr>
                <w:sz w:val="20"/>
                <w:szCs w:val="20"/>
              </w:rPr>
              <w:t xml:space="preserve">FILING DATE: </w:t>
            </w:r>
            <w:r w:rsidR="006D6276">
              <w:rPr>
                <w:sz w:val="20"/>
                <w:szCs w:val="20"/>
              </w:rPr>
              <w:t>05</w:t>
            </w:r>
            <w:r w:rsidRPr="00A935AA">
              <w:rPr>
                <w:sz w:val="20"/>
                <w:szCs w:val="20"/>
              </w:rPr>
              <w:t>.0</w:t>
            </w:r>
            <w:r>
              <w:rPr>
                <w:sz w:val="20"/>
                <w:szCs w:val="20"/>
              </w:rPr>
              <w:t>4</w:t>
            </w:r>
            <w:r w:rsidRPr="00A935AA">
              <w:rPr>
                <w:sz w:val="20"/>
                <w:szCs w:val="20"/>
              </w:rPr>
              <w:t>.201</w:t>
            </w:r>
            <w:r>
              <w:rPr>
                <w:sz w:val="20"/>
                <w:szCs w:val="20"/>
              </w:rPr>
              <w:t>2</w:t>
            </w:r>
          </w:p>
          <w:p w:rsidR="00F95E51" w:rsidRPr="00A935AA" w:rsidRDefault="009753DF" w:rsidP="006D6276">
            <w:pPr>
              <w:rPr>
                <w:sz w:val="20"/>
                <w:szCs w:val="20"/>
              </w:rPr>
            </w:pPr>
            <w:r w:rsidRPr="009753DF">
              <w:rPr>
                <w:sz w:val="20"/>
                <w:szCs w:val="20"/>
                <w:lang w:val="fr-CA"/>
              </w:rPr>
              <w:pict>
                <v:rect id="_x0000_i1027" style="width:108pt;height:1pt" o:hrpct="0" o:hralign="center" o:hrstd="t" o:hrnoshade="t" o:hr="t" fillcolor="black [3213]" stroked="f"/>
              </w:pict>
            </w:r>
          </w:p>
        </w:tc>
        <w:tc>
          <w:tcPr>
            <w:tcW w:w="1181" w:type="dxa"/>
            <w:shd w:val="clear" w:color="auto" w:fill="auto"/>
          </w:tcPr>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tc>
        <w:tc>
          <w:tcPr>
            <w:tcW w:w="4320" w:type="dxa"/>
            <w:shd w:val="clear" w:color="auto" w:fill="auto"/>
          </w:tcPr>
          <w:p w:rsidR="00F95E51" w:rsidRPr="00A935AA" w:rsidRDefault="006D6276" w:rsidP="006D6276">
            <w:pPr>
              <w:keepNext/>
              <w:keepLines/>
              <w:tabs>
                <w:tab w:val="left" w:pos="-1440"/>
                <w:tab w:val="left" w:pos="-720"/>
              </w:tabs>
              <w:rPr>
                <w:b/>
                <w:sz w:val="20"/>
                <w:szCs w:val="20"/>
              </w:rPr>
            </w:pPr>
            <w:r>
              <w:rPr>
                <w:b/>
                <w:sz w:val="20"/>
                <w:szCs w:val="20"/>
              </w:rPr>
              <w:t>Lennox Anthony Schloss</w:t>
            </w:r>
          </w:p>
          <w:p w:rsidR="00F95E51" w:rsidRPr="00A935AA" w:rsidRDefault="00F95E51" w:rsidP="006D6276">
            <w:pPr>
              <w:keepNext/>
              <w:keepLines/>
              <w:tabs>
                <w:tab w:val="left" w:pos="-1440"/>
                <w:tab w:val="left" w:pos="-720"/>
              </w:tabs>
              <w:rPr>
                <w:sz w:val="20"/>
                <w:szCs w:val="20"/>
              </w:rPr>
            </w:pPr>
            <w:r w:rsidRPr="00A935AA">
              <w:rPr>
                <w:sz w:val="20"/>
                <w:szCs w:val="20"/>
              </w:rPr>
              <w:tab/>
            </w:r>
            <w:r w:rsidR="006D6276">
              <w:rPr>
                <w:sz w:val="20"/>
                <w:szCs w:val="20"/>
              </w:rPr>
              <w:t>Gregory Lafontaine</w:t>
            </w:r>
          </w:p>
          <w:p w:rsidR="00F95E51" w:rsidRPr="00A935AA" w:rsidRDefault="00F95E51" w:rsidP="006D6276">
            <w:pPr>
              <w:keepNext/>
              <w:keepLines/>
              <w:tabs>
                <w:tab w:val="left" w:pos="-1440"/>
                <w:tab w:val="left" w:pos="-720"/>
              </w:tabs>
              <w:rPr>
                <w:sz w:val="20"/>
                <w:szCs w:val="20"/>
              </w:rPr>
            </w:pPr>
            <w:r w:rsidRPr="00A935AA">
              <w:rPr>
                <w:sz w:val="20"/>
                <w:szCs w:val="20"/>
              </w:rPr>
              <w:tab/>
            </w:r>
            <w:r w:rsidR="006D6276">
              <w:rPr>
                <w:sz w:val="20"/>
                <w:szCs w:val="20"/>
              </w:rPr>
              <w:t>Lafontaine &amp; Associates</w:t>
            </w:r>
          </w:p>
          <w:p w:rsidR="00F95E51" w:rsidRPr="00A935AA" w:rsidRDefault="00F95E51" w:rsidP="006D6276">
            <w:pPr>
              <w:keepNext/>
              <w:keepLines/>
              <w:tabs>
                <w:tab w:val="left" w:pos="-1440"/>
                <w:tab w:val="left" w:pos="-720"/>
              </w:tabs>
              <w:rPr>
                <w:sz w:val="20"/>
                <w:szCs w:val="20"/>
              </w:rPr>
            </w:pPr>
          </w:p>
          <w:p w:rsidR="00F95E51" w:rsidRPr="006D6276" w:rsidRDefault="00F95E51" w:rsidP="006D6276">
            <w:pPr>
              <w:keepNext/>
              <w:keepLines/>
              <w:tabs>
                <w:tab w:val="left" w:pos="-1440"/>
                <w:tab w:val="left" w:pos="-720"/>
              </w:tabs>
              <w:rPr>
                <w:sz w:val="20"/>
                <w:szCs w:val="20"/>
              </w:rPr>
            </w:pPr>
            <w:r w:rsidRPr="00A935AA">
              <w:rPr>
                <w:sz w:val="20"/>
                <w:szCs w:val="20"/>
              </w:rPr>
              <w:tab/>
            </w:r>
            <w:r w:rsidRPr="006D6276">
              <w:rPr>
                <w:sz w:val="20"/>
                <w:szCs w:val="20"/>
              </w:rPr>
              <w:t>v. (347</w:t>
            </w:r>
            <w:r w:rsidR="006D6276">
              <w:rPr>
                <w:sz w:val="20"/>
                <w:szCs w:val="20"/>
              </w:rPr>
              <w:t>59</w:t>
            </w:r>
            <w:r w:rsidRPr="006D6276">
              <w:rPr>
                <w:sz w:val="20"/>
                <w:szCs w:val="20"/>
              </w:rPr>
              <w:t>)</w:t>
            </w:r>
          </w:p>
          <w:p w:rsidR="00F95E51" w:rsidRPr="006D6276" w:rsidRDefault="00F95E51" w:rsidP="006D6276">
            <w:pPr>
              <w:keepNext/>
              <w:keepLines/>
              <w:tabs>
                <w:tab w:val="left" w:pos="-1440"/>
                <w:tab w:val="left" w:pos="-720"/>
              </w:tabs>
              <w:rPr>
                <w:sz w:val="20"/>
                <w:szCs w:val="20"/>
              </w:rPr>
            </w:pPr>
          </w:p>
          <w:p w:rsidR="00F95E51" w:rsidRPr="006D6276" w:rsidRDefault="006D6276" w:rsidP="006D6276">
            <w:pPr>
              <w:keepNext/>
              <w:keepLines/>
              <w:tabs>
                <w:tab w:val="left" w:pos="-1440"/>
                <w:tab w:val="left" w:pos="-720"/>
              </w:tabs>
              <w:rPr>
                <w:b/>
                <w:sz w:val="20"/>
                <w:szCs w:val="20"/>
              </w:rPr>
            </w:pPr>
            <w:r>
              <w:rPr>
                <w:b/>
                <w:sz w:val="20"/>
                <w:szCs w:val="20"/>
              </w:rPr>
              <w:t xml:space="preserve">Her Majesty the Queen </w:t>
            </w:r>
            <w:r w:rsidR="00F95E51" w:rsidRPr="006D6276">
              <w:rPr>
                <w:b/>
                <w:sz w:val="20"/>
                <w:szCs w:val="20"/>
              </w:rPr>
              <w:t>(Ont.)</w:t>
            </w:r>
          </w:p>
          <w:p w:rsidR="00F95E51" w:rsidRPr="006D6276" w:rsidRDefault="00F95E51" w:rsidP="006D6276">
            <w:pPr>
              <w:keepNext/>
              <w:keepLines/>
              <w:tabs>
                <w:tab w:val="left" w:pos="-1440"/>
                <w:tab w:val="left" w:pos="-720"/>
              </w:tabs>
              <w:rPr>
                <w:sz w:val="20"/>
                <w:szCs w:val="20"/>
              </w:rPr>
            </w:pPr>
            <w:r w:rsidRPr="006D6276">
              <w:rPr>
                <w:sz w:val="20"/>
                <w:szCs w:val="20"/>
              </w:rPr>
              <w:tab/>
            </w:r>
            <w:r w:rsidR="006D6276">
              <w:rPr>
                <w:sz w:val="20"/>
                <w:szCs w:val="20"/>
              </w:rPr>
              <w:t>Michal Fairburn</w:t>
            </w:r>
          </w:p>
          <w:p w:rsidR="00F95E51" w:rsidRPr="006D6276" w:rsidRDefault="00F95E51" w:rsidP="006D6276">
            <w:pPr>
              <w:keepNext/>
              <w:keepLines/>
              <w:tabs>
                <w:tab w:val="left" w:pos="-1440"/>
                <w:tab w:val="left" w:pos="-720"/>
              </w:tabs>
              <w:rPr>
                <w:sz w:val="20"/>
                <w:szCs w:val="20"/>
              </w:rPr>
            </w:pPr>
            <w:r w:rsidRPr="006D6276">
              <w:rPr>
                <w:sz w:val="20"/>
                <w:szCs w:val="20"/>
              </w:rPr>
              <w:tab/>
            </w:r>
            <w:r w:rsidR="006D6276">
              <w:rPr>
                <w:sz w:val="20"/>
                <w:szCs w:val="20"/>
              </w:rPr>
              <w:t>A.G. of Ontario</w:t>
            </w:r>
          </w:p>
          <w:p w:rsidR="00F95E51" w:rsidRPr="006D6276" w:rsidRDefault="00F95E51" w:rsidP="006D6276">
            <w:pPr>
              <w:keepNext/>
              <w:keepLines/>
              <w:tabs>
                <w:tab w:val="left" w:pos="-1440"/>
                <w:tab w:val="left" w:pos="-720"/>
              </w:tabs>
              <w:rPr>
                <w:sz w:val="20"/>
                <w:szCs w:val="20"/>
              </w:rPr>
            </w:pPr>
          </w:p>
          <w:p w:rsidR="00F95E51" w:rsidRPr="00A935AA" w:rsidRDefault="00F95E51" w:rsidP="006D6276">
            <w:pPr>
              <w:rPr>
                <w:sz w:val="20"/>
                <w:szCs w:val="20"/>
              </w:rPr>
            </w:pPr>
            <w:r w:rsidRPr="00A935AA">
              <w:rPr>
                <w:sz w:val="20"/>
                <w:szCs w:val="20"/>
              </w:rPr>
              <w:t xml:space="preserve">FILING DATE: </w:t>
            </w:r>
            <w:r w:rsidR="006D6276">
              <w:rPr>
                <w:sz w:val="20"/>
                <w:szCs w:val="20"/>
              </w:rPr>
              <w:t>05</w:t>
            </w:r>
            <w:r w:rsidRPr="00A935AA">
              <w:rPr>
                <w:sz w:val="20"/>
                <w:szCs w:val="20"/>
              </w:rPr>
              <w:t>.0</w:t>
            </w:r>
            <w:r>
              <w:rPr>
                <w:sz w:val="20"/>
                <w:szCs w:val="20"/>
              </w:rPr>
              <w:t>4</w:t>
            </w:r>
            <w:r w:rsidRPr="00A935AA">
              <w:rPr>
                <w:sz w:val="20"/>
                <w:szCs w:val="20"/>
              </w:rPr>
              <w:t>.201</w:t>
            </w:r>
            <w:r>
              <w:rPr>
                <w:sz w:val="20"/>
                <w:szCs w:val="20"/>
              </w:rPr>
              <w:t>2</w:t>
            </w:r>
            <w:r w:rsidR="009753DF" w:rsidRPr="009753DF">
              <w:rPr>
                <w:sz w:val="20"/>
                <w:szCs w:val="20"/>
                <w:lang w:val="fr-CA"/>
              </w:rPr>
              <w:pict>
                <v:rect id="_x0000_i1028" style="width:108pt;height:1pt" o:hrpct="0" o:hralign="center" o:hrstd="t" o:hrnoshade="t" o:hr="t" fillcolor="black [3213]" stroked="f"/>
              </w:pict>
            </w:r>
          </w:p>
        </w:tc>
      </w:tr>
      <w:tr w:rsidR="00F95E51" w:rsidRPr="00A935AA" w:rsidTr="003B3977">
        <w:tc>
          <w:tcPr>
            <w:tcW w:w="4320" w:type="dxa"/>
            <w:shd w:val="clear" w:color="auto" w:fill="auto"/>
          </w:tcPr>
          <w:p w:rsidR="00F95E51" w:rsidRPr="00A935AA" w:rsidRDefault="006D6276" w:rsidP="006D6276">
            <w:pPr>
              <w:rPr>
                <w:b/>
                <w:sz w:val="20"/>
                <w:szCs w:val="20"/>
              </w:rPr>
            </w:pPr>
            <w:r>
              <w:rPr>
                <w:b/>
                <w:sz w:val="20"/>
                <w:szCs w:val="20"/>
              </w:rPr>
              <w:t>Walter Twinn et al.</w:t>
            </w:r>
          </w:p>
          <w:p w:rsidR="00F95E51" w:rsidRPr="00A935AA" w:rsidRDefault="00F95E51" w:rsidP="006D6276">
            <w:pPr>
              <w:tabs>
                <w:tab w:val="left" w:pos="-1440"/>
                <w:tab w:val="left" w:pos="-720"/>
              </w:tabs>
              <w:rPr>
                <w:sz w:val="20"/>
                <w:szCs w:val="20"/>
              </w:rPr>
            </w:pPr>
            <w:r w:rsidRPr="00A935AA">
              <w:rPr>
                <w:sz w:val="20"/>
                <w:szCs w:val="20"/>
              </w:rPr>
              <w:tab/>
            </w:r>
            <w:r w:rsidR="006D6276">
              <w:rPr>
                <w:sz w:val="20"/>
                <w:szCs w:val="20"/>
              </w:rPr>
              <w:t>Philip Healey</w:t>
            </w:r>
          </w:p>
          <w:p w:rsidR="00F95E51" w:rsidRPr="00A935AA" w:rsidRDefault="00F95E51" w:rsidP="006D6276">
            <w:pPr>
              <w:tabs>
                <w:tab w:val="left" w:pos="-1440"/>
                <w:tab w:val="left" w:pos="-720"/>
              </w:tabs>
              <w:rPr>
                <w:sz w:val="20"/>
                <w:szCs w:val="20"/>
              </w:rPr>
            </w:pPr>
            <w:r w:rsidRPr="00A935AA">
              <w:rPr>
                <w:sz w:val="20"/>
                <w:szCs w:val="20"/>
              </w:rPr>
              <w:tab/>
            </w:r>
            <w:r w:rsidR="006D6276">
              <w:rPr>
                <w:sz w:val="20"/>
                <w:szCs w:val="20"/>
              </w:rPr>
              <w:t>Aird &amp; Berlis LLP</w:t>
            </w:r>
          </w:p>
          <w:p w:rsidR="00F95E51" w:rsidRPr="00A935AA" w:rsidRDefault="00F95E51" w:rsidP="006D6276">
            <w:pPr>
              <w:tabs>
                <w:tab w:val="left" w:pos="-1440"/>
                <w:tab w:val="left" w:pos="-720"/>
              </w:tabs>
              <w:rPr>
                <w:sz w:val="20"/>
                <w:szCs w:val="20"/>
              </w:rPr>
            </w:pPr>
          </w:p>
          <w:p w:rsidR="00F95E51" w:rsidRPr="00A935AA" w:rsidRDefault="00F95E51" w:rsidP="006D6276">
            <w:pPr>
              <w:tabs>
                <w:tab w:val="left" w:pos="-1440"/>
                <w:tab w:val="left" w:pos="-720"/>
              </w:tabs>
              <w:rPr>
                <w:sz w:val="20"/>
                <w:szCs w:val="20"/>
              </w:rPr>
            </w:pPr>
            <w:r w:rsidRPr="00A935AA">
              <w:rPr>
                <w:sz w:val="20"/>
                <w:szCs w:val="20"/>
              </w:rPr>
              <w:tab/>
              <w:t>v. (3</w:t>
            </w:r>
            <w:r>
              <w:rPr>
                <w:sz w:val="20"/>
                <w:szCs w:val="20"/>
              </w:rPr>
              <w:t>4</w:t>
            </w:r>
            <w:r w:rsidRPr="00A935AA">
              <w:rPr>
                <w:sz w:val="20"/>
                <w:szCs w:val="20"/>
              </w:rPr>
              <w:t>7</w:t>
            </w:r>
            <w:r w:rsidR="006D6276">
              <w:rPr>
                <w:sz w:val="20"/>
                <w:szCs w:val="20"/>
              </w:rPr>
              <w:t>60</w:t>
            </w:r>
            <w:r w:rsidRPr="00A935AA">
              <w:rPr>
                <w:sz w:val="20"/>
                <w:szCs w:val="20"/>
              </w:rPr>
              <w:t>)</w:t>
            </w:r>
          </w:p>
          <w:p w:rsidR="00F95E51" w:rsidRPr="00A935AA" w:rsidRDefault="00F95E51" w:rsidP="006D6276">
            <w:pPr>
              <w:tabs>
                <w:tab w:val="left" w:pos="-1440"/>
                <w:tab w:val="left" w:pos="-720"/>
              </w:tabs>
              <w:rPr>
                <w:sz w:val="20"/>
                <w:szCs w:val="20"/>
              </w:rPr>
            </w:pPr>
          </w:p>
          <w:p w:rsidR="00F95E51" w:rsidRPr="00A935AA" w:rsidRDefault="006D6276" w:rsidP="006D6276">
            <w:pPr>
              <w:tabs>
                <w:tab w:val="left" w:pos="-1440"/>
                <w:tab w:val="left" w:pos="-720"/>
              </w:tabs>
              <w:rPr>
                <w:b/>
                <w:sz w:val="20"/>
                <w:szCs w:val="20"/>
              </w:rPr>
            </w:pPr>
            <w:r w:rsidRPr="00F26838">
              <w:rPr>
                <w:b/>
                <w:sz w:val="20"/>
                <w:szCs w:val="20"/>
              </w:rPr>
              <w:t xml:space="preserve">Elizabeth Bernadette Poitras et al. </w:t>
            </w:r>
            <w:r w:rsidR="00F95E51" w:rsidRPr="00A935AA">
              <w:rPr>
                <w:b/>
                <w:sz w:val="20"/>
                <w:szCs w:val="20"/>
              </w:rPr>
              <w:t>(</w:t>
            </w:r>
            <w:r>
              <w:rPr>
                <w:b/>
                <w:sz w:val="20"/>
                <w:szCs w:val="20"/>
              </w:rPr>
              <w:t>F</w:t>
            </w:r>
            <w:r w:rsidR="00F95E51" w:rsidRPr="00A935AA">
              <w:rPr>
                <w:b/>
                <w:sz w:val="20"/>
                <w:szCs w:val="20"/>
              </w:rPr>
              <w:t>.C.)</w:t>
            </w:r>
          </w:p>
          <w:p w:rsidR="00F95E51" w:rsidRPr="00A935AA" w:rsidRDefault="00F95E51" w:rsidP="006D6276">
            <w:pPr>
              <w:tabs>
                <w:tab w:val="left" w:pos="-1440"/>
                <w:tab w:val="left" w:pos="-720"/>
              </w:tabs>
              <w:rPr>
                <w:sz w:val="20"/>
                <w:szCs w:val="20"/>
              </w:rPr>
            </w:pPr>
            <w:r w:rsidRPr="00A935AA">
              <w:rPr>
                <w:sz w:val="20"/>
                <w:szCs w:val="20"/>
              </w:rPr>
              <w:tab/>
            </w:r>
            <w:r w:rsidR="006D6276">
              <w:rPr>
                <w:sz w:val="20"/>
                <w:szCs w:val="20"/>
              </w:rPr>
              <w:t>Terence P. Glancy</w:t>
            </w:r>
          </w:p>
          <w:p w:rsidR="00F95E51" w:rsidRPr="00A935AA" w:rsidRDefault="00F95E51" w:rsidP="006D6276">
            <w:pPr>
              <w:tabs>
                <w:tab w:val="left" w:pos="-1440"/>
                <w:tab w:val="left" w:pos="-720"/>
              </w:tabs>
              <w:rPr>
                <w:sz w:val="20"/>
                <w:szCs w:val="20"/>
              </w:rPr>
            </w:pPr>
          </w:p>
          <w:p w:rsidR="00F95E51" w:rsidRPr="00A935AA" w:rsidRDefault="00F95E51" w:rsidP="006D6276">
            <w:pPr>
              <w:rPr>
                <w:sz w:val="20"/>
                <w:szCs w:val="20"/>
              </w:rPr>
            </w:pPr>
            <w:r w:rsidRPr="00A935AA">
              <w:rPr>
                <w:sz w:val="20"/>
                <w:szCs w:val="20"/>
              </w:rPr>
              <w:t xml:space="preserve">FILING DATE: </w:t>
            </w:r>
            <w:r w:rsidR="006D6276">
              <w:rPr>
                <w:sz w:val="20"/>
                <w:szCs w:val="20"/>
              </w:rPr>
              <w:t>10</w:t>
            </w:r>
            <w:r w:rsidRPr="00A935AA">
              <w:rPr>
                <w:sz w:val="20"/>
                <w:szCs w:val="20"/>
              </w:rPr>
              <w:t>.0</w:t>
            </w:r>
            <w:r>
              <w:rPr>
                <w:sz w:val="20"/>
                <w:szCs w:val="20"/>
              </w:rPr>
              <w:t>4</w:t>
            </w:r>
            <w:r w:rsidRPr="00A935AA">
              <w:rPr>
                <w:sz w:val="20"/>
                <w:szCs w:val="20"/>
              </w:rPr>
              <w:t>.201</w:t>
            </w:r>
            <w:r>
              <w:rPr>
                <w:sz w:val="20"/>
                <w:szCs w:val="20"/>
              </w:rPr>
              <w:t>2</w:t>
            </w:r>
          </w:p>
          <w:p w:rsidR="00F95E51" w:rsidRPr="00A935AA" w:rsidRDefault="009753DF" w:rsidP="006D6276">
            <w:pPr>
              <w:rPr>
                <w:sz w:val="20"/>
                <w:szCs w:val="20"/>
              </w:rPr>
            </w:pPr>
            <w:r w:rsidRPr="009753DF">
              <w:rPr>
                <w:sz w:val="20"/>
                <w:szCs w:val="20"/>
                <w:lang w:val="fr-CA"/>
              </w:rPr>
              <w:pict>
                <v:rect id="_x0000_i1029" style="width:108pt;height:1pt" o:hrpct="0" o:hralign="center" o:hrstd="t" o:hrnoshade="t" o:hr="t" fillcolor="black [3213]" stroked="f"/>
              </w:pict>
            </w:r>
          </w:p>
        </w:tc>
        <w:tc>
          <w:tcPr>
            <w:tcW w:w="1181" w:type="dxa"/>
            <w:shd w:val="clear" w:color="auto" w:fill="auto"/>
          </w:tcPr>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Default="00F95E51" w:rsidP="00242AEE">
            <w:pPr>
              <w:jc w:val="center"/>
              <w:rPr>
                <w:sz w:val="20"/>
                <w:szCs w:val="20"/>
              </w:rPr>
            </w:pPr>
          </w:p>
          <w:p w:rsidR="00F95E51" w:rsidRPr="00A935AA" w:rsidRDefault="00F95E51" w:rsidP="00242AEE">
            <w:pPr>
              <w:jc w:val="center"/>
              <w:rPr>
                <w:sz w:val="20"/>
                <w:szCs w:val="20"/>
              </w:rPr>
            </w:pPr>
          </w:p>
        </w:tc>
        <w:tc>
          <w:tcPr>
            <w:tcW w:w="4320" w:type="dxa"/>
            <w:shd w:val="clear" w:color="auto" w:fill="auto"/>
          </w:tcPr>
          <w:p w:rsidR="00F95E51" w:rsidRPr="00A935AA" w:rsidRDefault="006D6276" w:rsidP="006D6276">
            <w:pPr>
              <w:keepNext/>
              <w:keepLines/>
              <w:tabs>
                <w:tab w:val="left" w:pos="-1440"/>
                <w:tab w:val="left" w:pos="-720"/>
              </w:tabs>
              <w:rPr>
                <w:b/>
                <w:sz w:val="20"/>
                <w:szCs w:val="20"/>
              </w:rPr>
            </w:pPr>
            <w:r>
              <w:rPr>
                <w:b/>
                <w:sz w:val="20"/>
                <w:szCs w:val="20"/>
              </w:rPr>
              <w:t>Zabia Chamberlain</w:t>
            </w:r>
          </w:p>
          <w:p w:rsidR="00F95E51" w:rsidRPr="00A935AA" w:rsidRDefault="00F95E51" w:rsidP="006D6276">
            <w:pPr>
              <w:keepNext/>
              <w:keepLines/>
              <w:tabs>
                <w:tab w:val="left" w:pos="-1440"/>
                <w:tab w:val="left" w:pos="-720"/>
              </w:tabs>
              <w:rPr>
                <w:sz w:val="20"/>
                <w:szCs w:val="20"/>
              </w:rPr>
            </w:pPr>
            <w:r w:rsidRPr="00A935AA">
              <w:rPr>
                <w:sz w:val="20"/>
                <w:szCs w:val="20"/>
              </w:rPr>
              <w:tab/>
            </w:r>
            <w:r w:rsidR="006D6276">
              <w:rPr>
                <w:sz w:val="20"/>
                <w:szCs w:val="20"/>
              </w:rPr>
              <w:t>Hind Mali</w:t>
            </w:r>
          </w:p>
          <w:p w:rsidR="00F95E51" w:rsidRPr="00A935AA" w:rsidRDefault="00F95E51" w:rsidP="006D6276">
            <w:pPr>
              <w:keepNext/>
              <w:keepLines/>
              <w:tabs>
                <w:tab w:val="left" w:pos="-1440"/>
                <w:tab w:val="left" w:pos="-720"/>
              </w:tabs>
              <w:rPr>
                <w:sz w:val="20"/>
                <w:szCs w:val="20"/>
              </w:rPr>
            </w:pPr>
          </w:p>
          <w:p w:rsidR="00F95E51" w:rsidRPr="006D6276" w:rsidRDefault="00F95E51" w:rsidP="006D6276">
            <w:pPr>
              <w:keepNext/>
              <w:keepLines/>
              <w:tabs>
                <w:tab w:val="left" w:pos="-1440"/>
                <w:tab w:val="left" w:pos="-720"/>
              </w:tabs>
              <w:rPr>
                <w:sz w:val="20"/>
                <w:szCs w:val="20"/>
              </w:rPr>
            </w:pPr>
            <w:r w:rsidRPr="00A935AA">
              <w:rPr>
                <w:sz w:val="20"/>
                <w:szCs w:val="20"/>
              </w:rPr>
              <w:tab/>
            </w:r>
            <w:r w:rsidRPr="006D6276">
              <w:rPr>
                <w:sz w:val="20"/>
                <w:szCs w:val="20"/>
              </w:rPr>
              <w:t>v. (347</w:t>
            </w:r>
            <w:r w:rsidR="006D6276">
              <w:rPr>
                <w:sz w:val="20"/>
                <w:szCs w:val="20"/>
              </w:rPr>
              <w:t>61</w:t>
            </w:r>
            <w:r w:rsidRPr="006D6276">
              <w:rPr>
                <w:sz w:val="20"/>
                <w:szCs w:val="20"/>
              </w:rPr>
              <w:t>)</w:t>
            </w:r>
          </w:p>
          <w:p w:rsidR="00F95E51" w:rsidRPr="006D6276" w:rsidRDefault="00F95E51" w:rsidP="006D6276">
            <w:pPr>
              <w:keepNext/>
              <w:keepLines/>
              <w:tabs>
                <w:tab w:val="left" w:pos="-1440"/>
                <w:tab w:val="left" w:pos="-720"/>
              </w:tabs>
              <w:rPr>
                <w:sz w:val="20"/>
                <w:szCs w:val="20"/>
              </w:rPr>
            </w:pPr>
          </w:p>
          <w:p w:rsidR="00F95E51" w:rsidRPr="006D6276" w:rsidRDefault="006D6276" w:rsidP="006D6276">
            <w:pPr>
              <w:keepNext/>
              <w:keepLines/>
              <w:tabs>
                <w:tab w:val="left" w:pos="-1440"/>
                <w:tab w:val="left" w:pos="-720"/>
              </w:tabs>
              <w:rPr>
                <w:b/>
                <w:sz w:val="20"/>
                <w:szCs w:val="20"/>
              </w:rPr>
            </w:pPr>
            <w:r>
              <w:rPr>
                <w:b/>
                <w:sz w:val="20"/>
                <w:szCs w:val="20"/>
              </w:rPr>
              <w:t xml:space="preserve">Attorney General of Canada </w:t>
            </w:r>
            <w:r w:rsidR="00F95E51" w:rsidRPr="006D6276">
              <w:rPr>
                <w:b/>
                <w:sz w:val="20"/>
                <w:szCs w:val="20"/>
              </w:rPr>
              <w:t>(</w:t>
            </w:r>
            <w:r>
              <w:rPr>
                <w:b/>
                <w:sz w:val="20"/>
                <w:szCs w:val="20"/>
              </w:rPr>
              <w:t>F.C</w:t>
            </w:r>
            <w:r w:rsidR="00F95E51" w:rsidRPr="006D6276">
              <w:rPr>
                <w:b/>
                <w:sz w:val="20"/>
                <w:szCs w:val="20"/>
              </w:rPr>
              <w:t>.)</w:t>
            </w:r>
          </w:p>
          <w:p w:rsidR="00F95E51" w:rsidRPr="006D6276" w:rsidRDefault="00F95E51" w:rsidP="006D6276">
            <w:pPr>
              <w:keepNext/>
              <w:keepLines/>
              <w:tabs>
                <w:tab w:val="left" w:pos="-1440"/>
                <w:tab w:val="left" w:pos="-720"/>
              </w:tabs>
              <w:rPr>
                <w:sz w:val="20"/>
                <w:szCs w:val="20"/>
              </w:rPr>
            </w:pPr>
            <w:r w:rsidRPr="006D6276">
              <w:rPr>
                <w:sz w:val="20"/>
                <w:szCs w:val="20"/>
              </w:rPr>
              <w:tab/>
            </w:r>
            <w:r w:rsidR="006D6276">
              <w:rPr>
                <w:sz w:val="20"/>
                <w:szCs w:val="20"/>
              </w:rPr>
              <w:t>Caroline Engmann</w:t>
            </w:r>
          </w:p>
          <w:p w:rsidR="00F95E51" w:rsidRPr="006D6276" w:rsidRDefault="00F95E51" w:rsidP="006D6276">
            <w:pPr>
              <w:keepNext/>
              <w:keepLines/>
              <w:tabs>
                <w:tab w:val="left" w:pos="-1440"/>
                <w:tab w:val="left" w:pos="-720"/>
              </w:tabs>
              <w:rPr>
                <w:sz w:val="20"/>
                <w:szCs w:val="20"/>
              </w:rPr>
            </w:pPr>
            <w:r w:rsidRPr="006D6276">
              <w:rPr>
                <w:sz w:val="20"/>
                <w:szCs w:val="20"/>
              </w:rPr>
              <w:tab/>
            </w:r>
            <w:r w:rsidR="006D6276">
              <w:rPr>
                <w:sz w:val="20"/>
                <w:szCs w:val="20"/>
              </w:rPr>
              <w:t>Department of Justice</w:t>
            </w:r>
          </w:p>
          <w:p w:rsidR="00F95E51" w:rsidRPr="006D6276" w:rsidRDefault="00F95E51" w:rsidP="006D6276">
            <w:pPr>
              <w:keepNext/>
              <w:keepLines/>
              <w:tabs>
                <w:tab w:val="left" w:pos="-1440"/>
                <w:tab w:val="left" w:pos="-720"/>
              </w:tabs>
              <w:rPr>
                <w:sz w:val="20"/>
                <w:szCs w:val="20"/>
              </w:rPr>
            </w:pPr>
          </w:p>
          <w:p w:rsidR="00F95E51" w:rsidRPr="00A935AA" w:rsidRDefault="00F95E51" w:rsidP="006D6276">
            <w:pPr>
              <w:rPr>
                <w:sz w:val="20"/>
                <w:szCs w:val="20"/>
              </w:rPr>
            </w:pPr>
            <w:r w:rsidRPr="00A935AA">
              <w:rPr>
                <w:sz w:val="20"/>
                <w:szCs w:val="20"/>
              </w:rPr>
              <w:t xml:space="preserve">FILING DATE: </w:t>
            </w:r>
            <w:r w:rsidR="006D6276">
              <w:rPr>
                <w:sz w:val="20"/>
                <w:szCs w:val="20"/>
              </w:rPr>
              <w:t>10</w:t>
            </w:r>
            <w:r w:rsidRPr="00A935AA">
              <w:rPr>
                <w:sz w:val="20"/>
                <w:szCs w:val="20"/>
              </w:rPr>
              <w:t>.0</w:t>
            </w:r>
            <w:r>
              <w:rPr>
                <w:sz w:val="20"/>
                <w:szCs w:val="20"/>
              </w:rPr>
              <w:t>4</w:t>
            </w:r>
            <w:r w:rsidRPr="00A935AA">
              <w:rPr>
                <w:sz w:val="20"/>
                <w:szCs w:val="20"/>
              </w:rPr>
              <w:t>.201</w:t>
            </w:r>
            <w:r>
              <w:rPr>
                <w:sz w:val="20"/>
                <w:szCs w:val="20"/>
              </w:rPr>
              <w:t>2</w:t>
            </w:r>
            <w:r w:rsidR="009753DF" w:rsidRPr="009753DF">
              <w:rPr>
                <w:sz w:val="20"/>
                <w:szCs w:val="20"/>
                <w:lang w:val="fr-CA"/>
              </w:rPr>
              <w:pict>
                <v:rect id="_x0000_i1030" style="width:108pt;height:1pt" o:hrpct="0" o:hralign="center" o:hrstd="t" o:hrnoshade="t" o:hr="t" fillcolor="black [3213]" stroked="f"/>
              </w:pict>
            </w:r>
          </w:p>
        </w:tc>
      </w:tr>
      <w:tr w:rsidR="00F95E51" w:rsidRPr="00A935AA" w:rsidTr="003B3977">
        <w:trPr>
          <w:cantSplit/>
        </w:trPr>
        <w:tc>
          <w:tcPr>
            <w:tcW w:w="4320" w:type="dxa"/>
            <w:shd w:val="clear" w:color="auto" w:fill="auto"/>
          </w:tcPr>
          <w:p w:rsidR="00F95E51" w:rsidRPr="00A935AA" w:rsidRDefault="006D6276" w:rsidP="006D6276">
            <w:pPr>
              <w:rPr>
                <w:b/>
                <w:sz w:val="20"/>
                <w:szCs w:val="20"/>
              </w:rPr>
            </w:pPr>
            <w:r>
              <w:rPr>
                <w:b/>
                <w:sz w:val="20"/>
                <w:szCs w:val="20"/>
              </w:rPr>
              <w:t>Telecommunication Employees Association of Manitoba Inc. – International Federation of Professional and Technical Engineers Local 161 et al.</w:t>
            </w:r>
          </w:p>
          <w:p w:rsidR="00F95E51" w:rsidRPr="00A935AA" w:rsidRDefault="00F95E51" w:rsidP="006D6276">
            <w:pPr>
              <w:tabs>
                <w:tab w:val="left" w:pos="-1440"/>
                <w:tab w:val="left" w:pos="-720"/>
              </w:tabs>
              <w:rPr>
                <w:sz w:val="20"/>
                <w:szCs w:val="20"/>
              </w:rPr>
            </w:pPr>
            <w:r w:rsidRPr="00A935AA">
              <w:rPr>
                <w:sz w:val="20"/>
                <w:szCs w:val="20"/>
              </w:rPr>
              <w:tab/>
            </w:r>
            <w:r w:rsidR="006D6276">
              <w:rPr>
                <w:sz w:val="20"/>
                <w:szCs w:val="20"/>
              </w:rPr>
              <w:t>Brian J. Meronek, Q.C.</w:t>
            </w:r>
          </w:p>
          <w:p w:rsidR="00F95E51" w:rsidRPr="00A935AA" w:rsidRDefault="00F95E51" w:rsidP="006D6276">
            <w:pPr>
              <w:tabs>
                <w:tab w:val="left" w:pos="-1440"/>
                <w:tab w:val="left" w:pos="-720"/>
              </w:tabs>
              <w:rPr>
                <w:sz w:val="20"/>
                <w:szCs w:val="20"/>
              </w:rPr>
            </w:pPr>
            <w:r w:rsidRPr="00A935AA">
              <w:rPr>
                <w:sz w:val="20"/>
                <w:szCs w:val="20"/>
              </w:rPr>
              <w:tab/>
            </w:r>
            <w:r w:rsidR="006D6276">
              <w:rPr>
                <w:sz w:val="20"/>
                <w:szCs w:val="20"/>
              </w:rPr>
              <w:t>D’Arcy &amp; Deacon</w:t>
            </w:r>
          </w:p>
          <w:p w:rsidR="00F95E51" w:rsidRPr="00A935AA" w:rsidRDefault="00F95E51" w:rsidP="006D6276">
            <w:pPr>
              <w:tabs>
                <w:tab w:val="left" w:pos="-1440"/>
                <w:tab w:val="left" w:pos="-720"/>
              </w:tabs>
              <w:rPr>
                <w:sz w:val="20"/>
                <w:szCs w:val="20"/>
              </w:rPr>
            </w:pPr>
          </w:p>
          <w:p w:rsidR="00F95E51" w:rsidRPr="00A935AA" w:rsidRDefault="00F95E51" w:rsidP="006D6276">
            <w:pPr>
              <w:tabs>
                <w:tab w:val="left" w:pos="-1440"/>
                <w:tab w:val="left" w:pos="-720"/>
              </w:tabs>
              <w:rPr>
                <w:sz w:val="20"/>
                <w:szCs w:val="20"/>
              </w:rPr>
            </w:pPr>
            <w:r w:rsidRPr="00A935AA">
              <w:rPr>
                <w:sz w:val="20"/>
                <w:szCs w:val="20"/>
              </w:rPr>
              <w:tab/>
              <w:t>v. (3</w:t>
            </w:r>
            <w:r>
              <w:rPr>
                <w:sz w:val="20"/>
                <w:szCs w:val="20"/>
              </w:rPr>
              <w:t>4</w:t>
            </w:r>
            <w:r w:rsidRPr="00A935AA">
              <w:rPr>
                <w:sz w:val="20"/>
                <w:szCs w:val="20"/>
              </w:rPr>
              <w:t>7</w:t>
            </w:r>
            <w:r w:rsidR="006D6276">
              <w:rPr>
                <w:sz w:val="20"/>
                <w:szCs w:val="20"/>
              </w:rPr>
              <w:t>63</w:t>
            </w:r>
            <w:r w:rsidRPr="00A935AA">
              <w:rPr>
                <w:sz w:val="20"/>
                <w:szCs w:val="20"/>
              </w:rPr>
              <w:t>)</w:t>
            </w:r>
          </w:p>
          <w:p w:rsidR="00F95E51" w:rsidRPr="00A935AA" w:rsidRDefault="00F95E51" w:rsidP="006D6276">
            <w:pPr>
              <w:tabs>
                <w:tab w:val="left" w:pos="-1440"/>
                <w:tab w:val="left" w:pos="-720"/>
              </w:tabs>
              <w:rPr>
                <w:sz w:val="20"/>
                <w:szCs w:val="20"/>
              </w:rPr>
            </w:pPr>
          </w:p>
          <w:p w:rsidR="00F95E51" w:rsidRPr="00A935AA" w:rsidRDefault="006D6276" w:rsidP="006D6276">
            <w:pPr>
              <w:tabs>
                <w:tab w:val="left" w:pos="-1440"/>
                <w:tab w:val="left" w:pos="-720"/>
              </w:tabs>
              <w:rPr>
                <w:b/>
                <w:sz w:val="20"/>
                <w:szCs w:val="20"/>
              </w:rPr>
            </w:pPr>
            <w:r>
              <w:rPr>
                <w:b/>
                <w:sz w:val="20"/>
                <w:szCs w:val="20"/>
              </w:rPr>
              <w:t xml:space="preserve">Manitoba Telecom Services Inc. et al. </w:t>
            </w:r>
            <w:r w:rsidR="00F95E51" w:rsidRPr="00A935AA">
              <w:rPr>
                <w:b/>
                <w:sz w:val="20"/>
                <w:szCs w:val="20"/>
              </w:rPr>
              <w:t>(</w:t>
            </w:r>
            <w:r>
              <w:rPr>
                <w:b/>
                <w:sz w:val="20"/>
                <w:szCs w:val="20"/>
              </w:rPr>
              <w:t>Man.</w:t>
            </w:r>
            <w:r w:rsidR="00F95E51" w:rsidRPr="00A935AA">
              <w:rPr>
                <w:b/>
                <w:sz w:val="20"/>
                <w:szCs w:val="20"/>
              </w:rPr>
              <w:t>)</w:t>
            </w:r>
          </w:p>
          <w:p w:rsidR="00F95E51" w:rsidRPr="00A935AA" w:rsidRDefault="00F95E51" w:rsidP="006D6276">
            <w:pPr>
              <w:tabs>
                <w:tab w:val="left" w:pos="-1440"/>
                <w:tab w:val="left" w:pos="-720"/>
              </w:tabs>
              <w:rPr>
                <w:sz w:val="20"/>
                <w:szCs w:val="20"/>
              </w:rPr>
            </w:pPr>
            <w:r w:rsidRPr="00A935AA">
              <w:rPr>
                <w:sz w:val="20"/>
                <w:szCs w:val="20"/>
              </w:rPr>
              <w:tab/>
            </w:r>
            <w:r w:rsidR="00A801A1">
              <w:rPr>
                <w:sz w:val="20"/>
                <w:szCs w:val="20"/>
              </w:rPr>
              <w:t>Kevin T. Williams</w:t>
            </w:r>
          </w:p>
          <w:p w:rsidR="00F95E51" w:rsidRPr="00A935AA" w:rsidRDefault="00F95E51" w:rsidP="006D6276">
            <w:pPr>
              <w:tabs>
                <w:tab w:val="left" w:pos="-1440"/>
                <w:tab w:val="left" w:pos="-720"/>
              </w:tabs>
              <w:rPr>
                <w:sz w:val="20"/>
                <w:szCs w:val="20"/>
              </w:rPr>
            </w:pPr>
            <w:r w:rsidRPr="00A935AA">
              <w:rPr>
                <w:sz w:val="20"/>
                <w:szCs w:val="20"/>
              </w:rPr>
              <w:tab/>
            </w:r>
            <w:r w:rsidR="00A801A1">
              <w:rPr>
                <w:sz w:val="20"/>
                <w:szCs w:val="20"/>
              </w:rPr>
              <w:t>Taylor McCaffrey LLP</w:t>
            </w:r>
          </w:p>
          <w:p w:rsidR="00F95E51" w:rsidRPr="00A935AA" w:rsidRDefault="00F95E51" w:rsidP="006D6276">
            <w:pPr>
              <w:tabs>
                <w:tab w:val="left" w:pos="-1440"/>
                <w:tab w:val="left" w:pos="-720"/>
              </w:tabs>
              <w:rPr>
                <w:sz w:val="20"/>
                <w:szCs w:val="20"/>
              </w:rPr>
            </w:pPr>
          </w:p>
          <w:p w:rsidR="00F95E51" w:rsidRPr="00A935AA" w:rsidRDefault="00F95E51" w:rsidP="006D6276">
            <w:pPr>
              <w:rPr>
                <w:sz w:val="20"/>
                <w:szCs w:val="20"/>
              </w:rPr>
            </w:pPr>
            <w:r w:rsidRPr="00A935AA">
              <w:rPr>
                <w:sz w:val="20"/>
                <w:szCs w:val="20"/>
              </w:rPr>
              <w:t xml:space="preserve">FILING DATE: </w:t>
            </w:r>
            <w:r w:rsidR="00A801A1">
              <w:rPr>
                <w:sz w:val="20"/>
                <w:szCs w:val="20"/>
              </w:rPr>
              <w:t>10</w:t>
            </w:r>
            <w:r w:rsidRPr="00A935AA">
              <w:rPr>
                <w:sz w:val="20"/>
                <w:szCs w:val="20"/>
              </w:rPr>
              <w:t>.0</w:t>
            </w:r>
            <w:r>
              <w:rPr>
                <w:sz w:val="20"/>
                <w:szCs w:val="20"/>
              </w:rPr>
              <w:t>4</w:t>
            </w:r>
            <w:r w:rsidRPr="00A935AA">
              <w:rPr>
                <w:sz w:val="20"/>
                <w:szCs w:val="20"/>
              </w:rPr>
              <w:t>.201</w:t>
            </w:r>
            <w:r>
              <w:rPr>
                <w:sz w:val="20"/>
                <w:szCs w:val="20"/>
              </w:rPr>
              <w:t>2</w:t>
            </w:r>
          </w:p>
          <w:p w:rsidR="00F95E51" w:rsidRPr="00A935AA" w:rsidRDefault="009753DF" w:rsidP="006D6276">
            <w:pPr>
              <w:rPr>
                <w:sz w:val="20"/>
                <w:szCs w:val="20"/>
              </w:rPr>
            </w:pPr>
            <w:r w:rsidRPr="009753DF">
              <w:rPr>
                <w:sz w:val="20"/>
                <w:szCs w:val="20"/>
                <w:lang w:val="fr-CA"/>
              </w:rPr>
              <w:pict>
                <v:rect id="_x0000_i1031" style="width:108pt;height:1pt" o:hrpct="0" o:hralign="center" o:hrstd="t" o:hrnoshade="t" o:hr="t" fillcolor="black [3213]" stroked="f"/>
              </w:pict>
            </w:r>
          </w:p>
        </w:tc>
        <w:tc>
          <w:tcPr>
            <w:tcW w:w="1181" w:type="dxa"/>
            <w:shd w:val="clear" w:color="auto" w:fill="auto"/>
          </w:tcPr>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Default="00F95E51" w:rsidP="00242AEE">
            <w:pPr>
              <w:jc w:val="center"/>
              <w:rPr>
                <w:sz w:val="20"/>
                <w:szCs w:val="20"/>
              </w:rPr>
            </w:pPr>
          </w:p>
          <w:p w:rsidR="00A801A1" w:rsidRDefault="00A801A1" w:rsidP="00242AEE">
            <w:pPr>
              <w:jc w:val="center"/>
              <w:rPr>
                <w:sz w:val="20"/>
                <w:szCs w:val="20"/>
              </w:rPr>
            </w:pPr>
          </w:p>
          <w:p w:rsidR="00A801A1" w:rsidRPr="00A935AA" w:rsidRDefault="00A801A1" w:rsidP="00242AEE">
            <w:pPr>
              <w:jc w:val="center"/>
              <w:rPr>
                <w:sz w:val="20"/>
                <w:szCs w:val="20"/>
              </w:rPr>
            </w:pPr>
          </w:p>
          <w:p w:rsidR="00F95E51" w:rsidRPr="00A935AA" w:rsidRDefault="00F95E51" w:rsidP="00242AEE">
            <w:pPr>
              <w:jc w:val="center"/>
              <w:rPr>
                <w:sz w:val="20"/>
                <w:szCs w:val="20"/>
              </w:rPr>
            </w:pPr>
          </w:p>
        </w:tc>
        <w:tc>
          <w:tcPr>
            <w:tcW w:w="4320" w:type="dxa"/>
            <w:shd w:val="clear" w:color="auto" w:fill="auto"/>
          </w:tcPr>
          <w:p w:rsidR="00F95E51" w:rsidRPr="00A801A1" w:rsidRDefault="00A801A1" w:rsidP="006D6276">
            <w:pPr>
              <w:keepNext/>
              <w:keepLines/>
              <w:tabs>
                <w:tab w:val="left" w:pos="-1440"/>
                <w:tab w:val="left" w:pos="-720"/>
              </w:tabs>
              <w:rPr>
                <w:b/>
                <w:sz w:val="20"/>
                <w:szCs w:val="20"/>
                <w:lang w:val="fr-CA"/>
              </w:rPr>
            </w:pPr>
            <w:r w:rsidRPr="00A801A1">
              <w:rPr>
                <w:b/>
                <w:sz w:val="20"/>
                <w:szCs w:val="20"/>
                <w:lang w:val="fr-CA"/>
              </w:rPr>
              <w:t xml:space="preserve">Andrea Carol Marie Anani et al. </w:t>
            </w:r>
          </w:p>
          <w:p w:rsidR="00F95E51" w:rsidRPr="00F26838" w:rsidRDefault="00F95E51" w:rsidP="006D6276">
            <w:pPr>
              <w:keepNext/>
              <w:keepLines/>
              <w:tabs>
                <w:tab w:val="left" w:pos="-1440"/>
                <w:tab w:val="left" w:pos="-720"/>
              </w:tabs>
              <w:rPr>
                <w:sz w:val="20"/>
                <w:szCs w:val="20"/>
              </w:rPr>
            </w:pPr>
            <w:r w:rsidRPr="00A801A1">
              <w:rPr>
                <w:sz w:val="20"/>
                <w:szCs w:val="20"/>
                <w:lang w:val="fr-CA"/>
              </w:rPr>
              <w:tab/>
            </w:r>
            <w:r w:rsidR="00A801A1" w:rsidRPr="00F26838">
              <w:rPr>
                <w:sz w:val="20"/>
                <w:szCs w:val="20"/>
              </w:rPr>
              <w:t>Ziad Anani</w:t>
            </w:r>
          </w:p>
          <w:p w:rsidR="00F95E51" w:rsidRPr="00F26838" w:rsidRDefault="00F95E51" w:rsidP="006D6276">
            <w:pPr>
              <w:keepNext/>
              <w:keepLines/>
              <w:tabs>
                <w:tab w:val="left" w:pos="-1440"/>
                <w:tab w:val="left" w:pos="-720"/>
              </w:tabs>
              <w:rPr>
                <w:sz w:val="20"/>
                <w:szCs w:val="20"/>
              </w:rPr>
            </w:pPr>
          </w:p>
          <w:p w:rsidR="00F95E51" w:rsidRPr="006D6276" w:rsidRDefault="00F95E51" w:rsidP="006D6276">
            <w:pPr>
              <w:keepNext/>
              <w:keepLines/>
              <w:tabs>
                <w:tab w:val="left" w:pos="-1440"/>
                <w:tab w:val="left" w:pos="-720"/>
              </w:tabs>
              <w:rPr>
                <w:sz w:val="20"/>
                <w:szCs w:val="20"/>
              </w:rPr>
            </w:pPr>
            <w:r w:rsidRPr="00F26838">
              <w:rPr>
                <w:sz w:val="20"/>
                <w:szCs w:val="20"/>
              </w:rPr>
              <w:tab/>
            </w:r>
            <w:r w:rsidRPr="006D6276">
              <w:rPr>
                <w:sz w:val="20"/>
                <w:szCs w:val="20"/>
              </w:rPr>
              <w:t>v. (347</w:t>
            </w:r>
            <w:r w:rsidR="00A801A1">
              <w:rPr>
                <w:sz w:val="20"/>
                <w:szCs w:val="20"/>
              </w:rPr>
              <w:t>68</w:t>
            </w:r>
            <w:r w:rsidRPr="006D6276">
              <w:rPr>
                <w:sz w:val="20"/>
                <w:szCs w:val="20"/>
              </w:rPr>
              <w:t>)</w:t>
            </w:r>
          </w:p>
          <w:p w:rsidR="00F95E51" w:rsidRPr="006D6276" w:rsidRDefault="00F95E51" w:rsidP="006D6276">
            <w:pPr>
              <w:keepNext/>
              <w:keepLines/>
              <w:tabs>
                <w:tab w:val="left" w:pos="-1440"/>
                <w:tab w:val="left" w:pos="-720"/>
              </w:tabs>
              <w:rPr>
                <w:sz w:val="20"/>
                <w:szCs w:val="20"/>
              </w:rPr>
            </w:pPr>
          </w:p>
          <w:p w:rsidR="00F95E51" w:rsidRPr="006D6276" w:rsidRDefault="00A801A1" w:rsidP="006D6276">
            <w:pPr>
              <w:keepNext/>
              <w:keepLines/>
              <w:tabs>
                <w:tab w:val="left" w:pos="-1440"/>
                <w:tab w:val="left" w:pos="-720"/>
              </w:tabs>
              <w:rPr>
                <w:b/>
                <w:sz w:val="20"/>
                <w:szCs w:val="20"/>
              </w:rPr>
            </w:pPr>
            <w:r>
              <w:rPr>
                <w:b/>
                <w:sz w:val="20"/>
                <w:szCs w:val="20"/>
              </w:rPr>
              <w:t xml:space="preserve">First National Financial GP Corporation </w:t>
            </w:r>
            <w:r w:rsidR="00F95E51" w:rsidRPr="006D6276">
              <w:rPr>
                <w:b/>
                <w:sz w:val="20"/>
                <w:szCs w:val="20"/>
              </w:rPr>
              <w:t>(Ont.)</w:t>
            </w:r>
          </w:p>
          <w:p w:rsidR="00F95E51" w:rsidRPr="006D6276" w:rsidRDefault="00F95E51" w:rsidP="006D6276">
            <w:pPr>
              <w:keepNext/>
              <w:keepLines/>
              <w:tabs>
                <w:tab w:val="left" w:pos="-1440"/>
                <w:tab w:val="left" w:pos="-720"/>
              </w:tabs>
              <w:rPr>
                <w:sz w:val="20"/>
                <w:szCs w:val="20"/>
              </w:rPr>
            </w:pPr>
            <w:r w:rsidRPr="006D6276">
              <w:rPr>
                <w:sz w:val="20"/>
                <w:szCs w:val="20"/>
              </w:rPr>
              <w:tab/>
            </w:r>
            <w:r w:rsidR="00A801A1">
              <w:rPr>
                <w:sz w:val="20"/>
                <w:szCs w:val="20"/>
              </w:rPr>
              <w:t>Derek Collins</w:t>
            </w:r>
          </w:p>
          <w:p w:rsidR="00F95E51" w:rsidRPr="006D6276" w:rsidRDefault="00F95E51" w:rsidP="006D6276">
            <w:pPr>
              <w:keepNext/>
              <w:keepLines/>
              <w:tabs>
                <w:tab w:val="left" w:pos="-1440"/>
                <w:tab w:val="left" w:pos="-720"/>
              </w:tabs>
              <w:rPr>
                <w:sz w:val="20"/>
                <w:szCs w:val="20"/>
              </w:rPr>
            </w:pPr>
            <w:r w:rsidRPr="006D6276">
              <w:rPr>
                <w:sz w:val="20"/>
                <w:szCs w:val="20"/>
              </w:rPr>
              <w:tab/>
            </w:r>
            <w:r w:rsidR="00A801A1">
              <w:rPr>
                <w:sz w:val="20"/>
                <w:szCs w:val="20"/>
              </w:rPr>
              <w:t>Turkstra Mazza Associates</w:t>
            </w:r>
          </w:p>
          <w:p w:rsidR="00F95E51" w:rsidRPr="006D6276" w:rsidRDefault="00F95E51" w:rsidP="006D6276">
            <w:pPr>
              <w:keepNext/>
              <w:keepLines/>
              <w:tabs>
                <w:tab w:val="left" w:pos="-1440"/>
                <w:tab w:val="left" w:pos="-720"/>
              </w:tabs>
              <w:rPr>
                <w:sz w:val="20"/>
                <w:szCs w:val="20"/>
              </w:rPr>
            </w:pPr>
          </w:p>
          <w:p w:rsidR="00F95E51" w:rsidRPr="00A935AA" w:rsidRDefault="00F95E51" w:rsidP="00A801A1">
            <w:pPr>
              <w:rPr>
                <w:sz w:val="20"/>
                <w:szCs w:val="20"/>
              </w:rPr>
            </w:pPr>
            <w:r w:rsidRPr="00A935AA">
              <w:rPr>
                <w:sz w:val="20"/>
                <w:szCs w:val="20"/>
              </w:rPr>
              <w:t xml:space="preserve">FILING DATE: </w:t>
            </w:r>
            <w:r w:rsidR="00A801A1">
              <w:rPr>
                <w:sz w:val="20"/>
                <w:szCs w:val="20"/>
              </w:rPr>
              <w:t>10</w:t>
            </w:r>
            <w:r w:rsidRPr="00A935AA">
              <w:rPr>
                <w:sz w:val="20"/>
                <w:szCs w:val="20"/>
              </w:rPr>
              <w:t>.0</w:t>
            </w:r>
            <w:r>
              <w:rPr>
                <w:sz w:val="20"/>
                <w:szCs w:val="20"/>
              </w:rPr>
              <w:t>4</w:t>
            </w:r>
            <w:r w:rsidRPr="00A935AA">
              <w:rPr>
                <w:sz w:val="20"/>
                <w:szCs w:val="20"/>
              </w:rPr>
              <w:t>.201</w:t>
            </w:r>
            <w:r>
              <w:rPr>
                <w:sz w:val="20"/>
                <w:szCs w:val="20"/>
              </w:rPr>
              <w:t>2</w:t>
            </w:r>
            <w:r w:rsidR="009753DF" w:rsidRPr="009753DF">
              <w:rPr>
                <w:sz w:val="20"/>
                <w:szCs w:val="20"/>
                <w:lang w:val="fr-CA"/>
              </w:rPr>
              <w:pict>
                <v:rect id="_x0000_i1032" style="width:108pt;height:1pt" o:hrpct="0" o:hralign="center" o:hrstd="t" o:hrnoshade="t" o:hr="t" fillcolor="black [3213]" stroked="f"/>
              </w:pict>
            </w:r>
          </w:p>
        </w:tc>
      </w:tr>
      <w:tr w:rsidR="00F95E51" w:rsidRPr="00A935AA" w:rsidTr="003B3977">
        <w:trPr>
          <w:cantSplit/>
        </w:trPr>
        <w:tc>
          <w:tcPr>
            <w:tcW w:w="4320" w:type="dxa"/>
            <w:shd w:val="clear" w:color="auto" w:fill="auto"/>
          </w:tcPr>
          <w:p w:rsidR="00F95E51" w:rsidRPr="00A935AA" w:rsidRDefault="00C65B32" w:rsidP="006D6276">
            <w:pPr>
              <w:rPr>
                <w:b/>
                <w:sz w:val="20"/>
                <w:szCs w:val="20"/>
              </w:rPr>
            </w:pPr>
            <w:r>
              <w:rPr>
                <w:b/>
                <w:sz w:val="20"/>
                <w:szCs w:val="20"/>
              </w:rPr>
              <w:lastRenderedPageBreak/>
              <w:t>Teal Cedar Products Ltd.</w:t>
            </w:r>
          </w:p>
          <w:p w:rsidR="00F95E51" w:rsidRPr="00A935AA" w:rsidRDefault="00F95E51" w:rsidP="006D6276">
            <w:pPr>
              <w:tabs>
                <w:tab w:val="left" w:pos="-1440"/>
                <w:tab w:val="left" w:pos="-720"/>
              </w:tabs>
              <w:rPr>
                <w:sz w:val="20"/>
                <w:szCs w:val="20"/>
              </w:rPr>
            </w:pPr>
            <w:r w:rsidRPr="00A935AA">
              <w:rPr>
                <w:sz w:val="20"/>
                <w:szCs w:val="20"/>
              </w:rPr>
              <w:tab/>
            </w:r>
            <w:r w:rsidR="00C65B32">
              <w:rPr>
                <w:sz w:val="20"/>
                <w:szCs w:val="20"/>
              </w:rPr>
              <w:t>John J.L. Hunter, Q.C.</w:t>
            </w:r>
          </w:p>
          <w:p w:rsidR="00F95E51" w:rsidRPr="00A935AA" w:rsidRDefault="00F95E51" w:rsidP="006D6276">
            <w:pPr>
              <w:tabs>
                <w:tab w:val="left" w:pos="-1440"/>
                <w:tab w:val="left" w:pos="-720"/>
              </w:tabs>
              <w:rPr>
                <w:sz w:val="20"/>
                <w:szCs w:val="20"/>
              </w:rPr>
            </w:pPr>
            <w:r w:rsidRPr="00A935AA">
              <w:rPr>
                <w:sz w:val="20"/>
                <w:szCs w:val="20"/>
              </w:rPr>
              <w:tab/>
            </w:r>
            <w:r w:rsidR="00C65B32">
              <w:rPr>
                <w:sz w:val="20"/>
                <w:szCs w:val="20"/>
              </w:rPr>
              <w:t xml:space="preserve">Hunter Litigation Chambers Law </w:t>
            </w:r>
            <w:r w:rsidR="00C65B32">
              <w:rPr>
                <w:sz w:val="20"/>
                <w:szCs w:val="20"/>
              </w:rPr>
              <w:tab/>
              <w:t>Corporation</w:t>
            </w:r>
          </w:p>
          <w:p w:rsidR="00F95E51" w:rsidRPr="00A935AA" w:rsidRDefault="00F95E51" w:rsidP="006D6276">
            <w:pPr>
              <w:tabs>
                <w:tab w:val="left" w:pos="-1440"/>
                <w:tab w:val="left" w:pos="-720"/>
              </w:tabs>
              <w:rPr>
                <w:sz w:val="20"/>
                <w:szCs w:val="20"/>
              </w:rPr>
            </w:pPr>
          </w:p>
          <w:p w:rsidR="00F95E51" w:rsidRPr="00A935AA" w:rsidRDefault="00F95E51" w:rsidP="006D6276">
            <w:pPr>
              <w:tabs>
                <w:tab w:val="left" w:pos="-1440"/>
                <w:tab w:val="left" w:pos="-720"/>
              </w:tabs>
              <w:rPr>
                <w:sz w:val="20"/>
                <w:szCs w:val="20"/>
              </w:rPr>
            </w:pPr>
            <w:r w:rsidRPr="00A935AA">
              <w:rPr>
                <w:sz w:val="20"/>
                <w:szCs w:val="20"/>
              </w:rPr>
              <w:tab/>
              <w:t>v. (3</w:t>
            </w:r>
            <w:r>
              <w:rPr>
                <w:sz w:val="20"/>
                <w:szCs w:val="20"/>
              </w:rPr>
              <w:t>4</w:t>
            </w:r>
            <w:r w:rsidRPr="00A935AA">
              <w:rPr>
                <w:sz w:val="20"/>
                <w:szCs w:val="20"/>
              </w:rPr>
              <w:t>7</w:t>
            </w:r>
            <w:r w:rsidR="00C65B32">
              <w:rPr>
                <w:sz w:val="20"/>
                <w:szCs w:val="20"/>
              </w:rPr>
              <w:t>73</w:t>
            </w:r>
            <w:r w:rsidRPr="00A935AA">
              <w:rPr>
                <w:sz w:val="20"/>
                <w:szCs w:val="20"/>
              </w:rPr>
              <w:t>)</w:t>
            </w:r>
          </w:p>
          <w:p w:rsidR="00F95E51" w:rsidRPr="00A935AA" w:rsidRDefault="00F95E51" w:rsidP="006D6276">
            <w:pPr>
              <w:tabs>
                <w:tab w:val="left" w:pos="-1440"/>
                <w:tab w:val="left" w:pos="-720"/>
              </w:tabs>
              <w:rPr>
                <w:sz w:val="20"/>
                <w:szCs w:val="20"/>
              </w:rPr>
            </w:pPr>
          </w:p>
          <w:p w:rsidR="00F95E51" w:rsidRPr="00A935AA" w:rsidRDefault="00C65B32" w:rsidP="006D6276">
            <w:pPr>
              <w:tabs>
                <w:tab w:val="left" w:pos="-1440"/>
                <w:tab w:val="left" w:pos="-720"/>
              </w:tabs>
              <w:rPr>
                <w:b/>
                <w:sz w:val="20"/>
                <w:szCs w:val="20"/>
              </w:rPr>
            </w:pPr>
            <w:r>
              <w:rPr>
                <w:b/>
                <w:sz w:val="20"/>
                <w:szCs w:val="20"/>
              </w:rPr>
              <w:t xml:space="preserve">Her Majesty the Queen in Right of the Province of British Columbia as represented by the Ministry of Forests </w:t>
            </w:r>
            <w:r w:rsidR="00F95E51" w:rsidRPr="00A935AA">
              <w:rPr>
                <w:b/>
                <w:sz w:val="20"/>
                <w:szCs w:val="20"/>
              </w:rPr>
              <w:t>(B.C.)</w:t>
            </w:r>
          </w:p>
          <w:p w:rsidR="00F95E51" w:rsidRPr="00A935AA" w:rsidRDefault="00F95E51" w:rsidP="006D6276">
            <w:pPr>
              <w:tabs>
                <w:tab w:val="left" w:pos="-1440"/>
                <w:tab w:val="left" w:pos="-720"/>
              </w:tabs>
              <w:rPr>
                <w:sz w:val="20"/>
                <w:szCs w:val="20"/>
              </w:rPr>
            </w:pPr>
            <w:r w:rsidRPr="00A935AA">
              <w:rPr>
                <w:sz w:val="20"/>
                <w:szCs w:val="20"/>
              </w:rPr>
              <w:tab/>
            </w:r>
            <w:r w:rsidR="00C65B32">
              <w:rPr>
                <w:sz w:val="20"/>
                <w:szCs w:val="20"/>
              </w:rPr>
              <w:t>Karen A. Horsman</w:t>
            </w:r>
          </w:p>
          <w:p w:rsidR="00F95E51" w:rsidRPr="00A935AA" w:rsidRDefault="00F95E51" w:rsidP="006D6276">
            <w:pPr>
              <w:tabs>
                <w:tab w:val="left" w:pos="-1440"/>
                <w:tab w:val="left" w:pos="-720"/>
              </w:tabs>
              <w:rPr>
                <w:sz w:val="20"/>
                <w:szCs w:val="20"/>
              </w:rPr>
            </w:pPr>
            <w:r w:rsidRPr="00A935AA">
              <w:rPr>
                <w:sz w:val="20"/>
                <w:szCs w:val="20"/>
              </w:rPr>
              <w:tab/>
            </w:r>
            <w:r w:rsidR="00C65B32">
              <w:rPr>
                <w:sz w:val="20"/>
                <w:szCs w:val="20"/>
              </w:rPr>
              <w:t>A.G. of British Columbia</w:t>
            </w:r>
          </w:p>
          <w:p w:rsidR="00F95E51" w:rsidRPr="00A935AA" w:rsidRDefault="00F95E51" w:rsidP="00C65B32">
            <w:pPr>
              <w:tabs>
                <w:tab w:val="left" w:pos="-1440"/>
                <w:tab w:val="left" w:pos="-720"/>
              </w:tabs>
              <w:rPr>
                <w:sz w:val="20"/>
                <w:szCs w:val="20"/>
              </w:rPr>
            </w:pPr>
          </w:p>
        </w:tc>
        <w:tc>
          <w:tcPr>
            <w:tcW w:w="1181" w:type="dxa"/>
            <w:shd w:val="clear" w:color="auto" w:fill="auto"/>
          </w:tcPr>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tc>
        <w:tc>
          <w:tcPr>
            <w:tcW w:w="4320" w:type="dxa"/>
            <w:shd w:val="clear" w:color="auto" w:fill="auto"/>
          </w:tcPr>
          <w:p w:rsidR="00F95E51" w:rsidRPr="00A935AA" w:rsidRDefault="00C65B32" w:rsidP="006D6276">
            <w:pPr>
              <w:keepNext/>
              <w:keepLines/>
              <w:tabs>
                <w:tab w:val="left" w:pos="-1440"/>
                <w:tab w:val="left" w:pos="-720"/>
              </w:tabs>
              <w:rPr>
                <w:b/>
                <w:sz w:val="20"/>
                <w:szCs w:val="20"/>
              </w:rPr>
            </w:pPr>
            <w:r>
              <w:rPr>
                <w:b/>
                <w:sz w:val="20"/>
                <w:szCs w:val="20"/>
              </w:rPr>
              <w:t>Ravinder Kumar Sharma</w:t>
            </w:r>
          </w:p>
          <w:p w:rsidR="00F95E51" w:rsidRPr="00A935AA" w:rsidRDefault="00F95E51" w:rsidP="006D6276">
            <w:pPr>
              <w:keepNext/>
              <w:keepLines/>
              <w:tabs>
                <w:tab w:val="left" w:pos="-1440"/>
                <w:tab w:val="left" w:pos="-720"/>
              </w:tabs>
              <w:rPr>
                <w:sz w:val="20"/>
                <w:szCs w:val="20"/>
              </w:rPr>
            </w:pPr>
            <w:r w:rsidRPr="00A935AA">
              <w:rPr>
                <w:sz w:val="20"/>
                <w:szCs w:val="20"/>
              </w:rPr>
              <w:tab/>
            </w:r>
            <w:r w:rsidR="00C65B32">
              <w:rPr>
                <w:sz w:val="20"/>
                <w:szCs w:val="20"/>
              </w:rPr>
              <w:t>Won J. Kim</w:t>
            </w:r>
          </w:p>
          <w:p w:rsidR="00F95E51" w:rsidRPr="00A935AA" w:rsidRDefault="00F95E51" w:rsidP="006D6276">
            <w:pPr>
              <w:keepNext/>
              <w:keepLines/>
              <w:tabs>
                <w:tab w:val="left" w:pos="-1440"/>
                <w:tab w:val="left" w:pos="-720"/>
              </w:tabs>
              <w:rPr>
                <w:sz w:val="20"/>
                <w:szCs w:val="20"/>
              </w:rPr>
            </w:pPr>
            <w:r w:rsidRPr="00A935AA">
              <w:rPr>
                <w:sz w:val="20"/>
                <w:szCs w:val="20"/>
              </w:rPr>
              <w:tab/>
            </w:r>
            <w:r w:rsidR="00C65B32">
              <w:rPr>
                <w:sz w:val="20"/>
                <w:szCs w:val="20"/>
              </w:rPr>
              <w:t>Kim Orr Barristers P.C.</w:t>
            </w:r>
          </w:p>
          <w:p w:rsidR="00F95E51" w:rsidRPr="00A935AA" w:rsidRDefault="00F95E51" w:rsidP="006D6276">
            <w:pPr>
              <w:keepNext/>
              <w:keepLines/>
              <w:tabs>
                <w:tab w:val="left" w:pos="-1440"/>
                <w:tab w:val="left" w:pos="-720"/>
              </w:tabs>
              <w:rPr>
                <w:sz w:val="20"/>
                <w:szCs w:val="20"/>
              </w:rPr>
            </w:pPr>
          </w:p>
          <w:p w:rsidR="00F95E51" w:rsidRPr="00F26838" w:rsidRDefault="00F95E51" w:rsidP="006D6276">
            <w:pPr>
              <w:keepNext/>
              <w:keepLines/>
              <w:tabs>
                <w:tab w:val="left" w:pos="-1440"/>
                <w:tab w:val="left" w:pos="-720"/>
              </w:tabs>
              <w:rPr>
                <w:sz w:val="20"/>
                <w:szCs w:val="20"/>
                <w:lang w:val="fr-CA"/>
              </w:rPr>
            </w:pPr>
            <w:r w:rsidRPr="00A935AA">
              <w:rPr>
                <w:sz w:val="20"/>
                <w:szCs w:val="20"/>
              </w:rPr>
              <w:tab/>
            </w:r>
            <w:r w:rsidRPr="00F26838">
              <w:rPr>
                <w:sz w:val="20"/>
                <w:szCs w:val="20"/>
                <w:lang w:val="fr-CA"/>
              </w:rPr>
              <w:t>v. (347</w:t>
            </w:r>
            <w:r w:rsidR="00C65B32" w:rsidRPr="00F26838">
              <w:rPr>
                <w:sz w:val="20"/>
                <w:szCs w:val="20"/>
                <w:lang w:val="fr-CA"/>
              </w:rPr>
              <w:t>74</w:t>
            </w:r>
            <w:r w:rsidRPr="00F26838">
              <w:rPr>
                <w:sz w:val="20"/>
                <w:szCs w:val="20"/>
                <w:lang w:val="fr-CA"/>
              </w:rPr>
              <w:t>)</w:t>
            </w:r>
          </w:p>
          <w:p w:rsidR="00F95E51" w:rsidRPr="00F26838" w:rsidRDefault="00F95E51" w:rsidP="006D6276">
            <w:pPr>
              <w:keepNext/>
              <w:keepLines/>
              <w:tabs>
                <w:tab w:val="left" w:pos="-1440"/>
                <w:tab w:val="left" w:pos="-720"/>
              </w:tabs>
              <w:rPr>
                <w:sz w:val="20"/>
                <w:szCs w:val="20"/>
                <w:lang w:val="fr-CA"/>
              </w:rPr>
            </w:pPr>
          </w:p>
          <w:p w:rsidR="00F95E51" w:rsidRPr="00C65B32" w:rsidRDefault="00C65B32" w:rsidP="006D6276">
            <w:pPr>
              <w:keepNext/>
              <w:keepLines/>
              <w:tabs>
                <w:tab w:val="left" w:pos="-1440"/>
                <w:tab w:val="left" w:pos="-720"/>
              </w:tabs>
              <w:rPr>
                <w:b/>
                <w:sz w:val="20"/>
                <w:szCs w:val="20"/>
                <w:lang w:val="fr-CA"/>
              </w:rPr>
            </w:pPr>
            <w:r w:rsidRPr="00C65B32">
              <w:rPr>
                <w:b/>
                <w:sz w:val="20"/>
                <w:szCs w:val="20"/>
                <w:lang w:val="fr-CA"/>
              </w:rPr>
              <w:t xml:space="preserve">Timminco Limited et al. </w:t>
            </w:r>
            <w:r w:rsidR="00F95E51" w:rsidRPr="00C65B32">
              <w:rPr>
                <w:b/>
                <w:sz w:val="20"/>
                <w:szCs w:val="20"/>
                <w:lang w:val="fr-CA"/>
              </w:rPr>
              <w:t>(Ont.)</w:t>
            </w:r>
          </w:p>
          <w:p w:rsidR="00F95E51" w:rsidRPr="00C65B32" w:rsidRDefault="00F95E51" w:rsidP="006D6276">
            <w:pPr>
              <w:keepNext/>
              <w:keepLines/>
              <w:tabs>
                <w:tab w:val="left" w:pos="-1440"/>
                <w:tab w:val="left" w:pos="-720"/>
              </w:tabs>
              <w:rPr>
                <w:sz w:val="20"/>
                <w:szCs w:val="20"/>
              </w:rPr>
            </w:pPr>
            <w:r w:rsidRPr="00C65B32">
              <w:rPr>
                <w:sz w:val="20"/>
                <w:szCs w:val="20"/>
                <w:lang w:val="fr-CA"/>
              </w:rPr>
              <w:tab/>
            </w:r>
            <w:r w:rsidR="00C65B32" w:rsidRPr="00C65B32">
              <w:rPr>
                <w:sz w:val="20"/>
                <w:szCs w:val="20"/>
              </w:rPr>
              <w:t>Alan L.W. D’Silva</w:t>
            </w:r>
          </w:p>
          <w:p w:rsidR="00F95E51" w:rsidRPr="00C65B32" w:rsidRDefault="00F95E51" w:rsidP="006D6276">
            <w:pPr>
              <w:keepNext/>
              <w:keepLines/>
              <w:tabs>
                <w:tab w:val="left" w:pos="-1440"/>
                <w:tab w:val="left" w:pos="-720"/>
              </w:tabs>
              <w:rPr>
                <w:sz w:val="20"/>
                <w:szCs w:val="20"/>
              </w:rPr>
            </w:pPr>
            <w:r w:rsidRPr="00C65B32">
              <w:rPr>
                <w:sz w:val="20"/>
                <w:szCs w:val="20"/>
              </w:rPr>
              <w:tab/>
            </w:r>
            <w:r w:rsidR="00C65B32" w:rsidRPr="00C65B32">
              <w:rPr>
                <w:sz w:val="20"/>
                <w:szCs w:val="20"/>
              </w:rPr>
              <w:t>Stikeman Elliott LLP</w:t>
            </w:r>
          </w:p>
          <w:p w:rsidR="00F95E51" w:rsidRPr="00C65B32" w:rsidRDefault="00F95E51" w:rsidP="006D6276">
            <w:pPr>
              <w:keepNext/>
              <w:keepLines/>
              <w:tabs>
                <w:tab w:val="left" w:pos="-1440"/>
                <w:tab w:val="left" w:pos="-720"/>
              </w:tabs>
              <w:rPr>
                <w:sz w:val="20"/>
                <w:szCs w:val="20"/>
              </w:rPr>
            </w:pPr>
          </w:p>
          <w:p w:rsidR="00F95E51" w:rsidRPr="00A935AA" w:rsidRDefault="00F95E51" w:rsidP="00C65B32">
            <w:pPr>
              <w:rPr>
                <w:sz w:val="20"/>
                <w:szCs w:val="20"/>
              </w:rPr>
            </w:pPr>
            <w:r w:rsidRPr="00A935AA">
              <w:rPr>
                <w:sz w:val="20"/>
                <w:szCs w:val="20"/>
              </w:rPr>
              <w:t xml:space="preserve">FILING DATE: </w:t>
            </w:r>
            <w:r w:rsidR="00C65B32">
              <w:rPr>
                <w:sz w:val="20"/>
                <w:szCs w:val="20"/>
              </w:rPr>
              <w:t>16</w:t>
            </w:r>
            <w:r w:rsidRPr="00A935AA">
              <w:rPr>
                <w:sz w:val="20"/>
                <w:szCs w:val="20"/>
              </w:rPr>
              <w:t>.0</w:t>
            </w:r>
            <w:r>
              <w:rPr>
                <w:sz w:val="20"/>
                <w:szCs w:val="20"/>
              </w:rPr>
              <w:t>4</w:t>
            </w:r>
            <w:r w:rsidRPr="00A935AA">
              <w:rPr>
                <w:sz w:val="20"/>
                <w:szCs w:val="20"/>
              </w:rPr>
              <w:t>.201</w:t>
            </w:r>
            <w:r>
              <w:rPr>
                <w:sz w:val="20"/>
                <w:szCs w:val="20"/>
              </w:rPr>
              <w:t>2</w:t>
            </w:r>
            <w:r w:rsidR="009753DF" w:rsidRPr="009753DF">
              <w:rPr>
                <w:sz w:val="20"/>
                <w:szCs w:val="20"/>
                <w:lang w:val="fr-CA"/>
              </w:rPr>
              <w:pict>
                <v:rect id="_x0000_i1033" style="width:108pt;height:1pt" o:hrpct="0" o:hralign="center" o:hrstd="t" o:hrnoshade="t" o:hr="t" fillcolor="black [3213]" stroked="f"/>
              </w:pict>
            </w:r>
          </w:p>
        </w:tc>
      </w:tr>
      <w:tr w:rsidR="00F95E51" w:rsidRPr="00A935AA" w:rsidTr="003B3977">
        <w:trPr>
          <w:cantSplit/>
        </w:trPr>
        <w:tc>
          <w:tcPr>
            <w:tcW w:w="4320" w:type="dxa"/>
            <w:shd w:val="clear" w:color="auto" w:fill="auto"/>
          </w:tcPr>
          <w:p w:rsidR="00C65B32" w:rsidRDefault="00C65B32" w:rsidP="00C65B32">
            <w:pPr>
              <w:tabs>
                <w:tab w:val="left" w:pos="-1440"/>
                <w:tab w:val="left" w:pos="-720"/>
              </w:tabs>
              <w:rPr>
                <w:sz w:val="20"/>
                <w:szCs w:val="20"/>
              </w:rPr>
            </w:pPr>
            <w:r>
              <w:rPr>
                <w:sz w:val="20"/>
                <w:szCs w:val="20"/>
              </w:rPr>
              <w:t>and between</w:t>
            </w:r>
          </w:p>
          <w:p w:rsidR="00C65B32" w:rsidRDefault="00C65B32" w:rsidP="00C65B32">
            <w:pPr>
              <w:tabs>
                <w:tab w:val="left" w:pos="-1440"/>
                <w:tab w:val="left" w:pos="-720"/>
              </w:tabs>
              <w:rPr>
                <w:sz w:val="20"/>
                <w:szCs w:val="20"/>
              </w:rPr>
            </w:pPr>
          </w:p>
          <w:p w:rsidR="00C65B32" w:rsidRPr="00A935AA" w:rsidRDefault="00C65B32" w:rsidP="00C65B32">
            <w:pPr>
              <w:rPr>
                <w:b/>
                <w:sz w:val="20"/>
                <w:szCs w:val="20"/>
              </w:rPr>
            </w:pPr>
            <w:r>
              <w:rPr>
                <w:b/>
                <w:sz w:val="20"/>
                <w:szCs w:val="20"/>
              </w:rPr>
              <w:t>Teal Cedar Products Ltd.</w:t>
            </w:r>
          </w:p>
          <w:p w:rsidR="00C65B32" w:rsidRPr="00A935AA" w:rsidRDefault="00C65B32" w:rsidP="00C65B32">
            <w:pPr>
              <w:tabs>
                <w:tab w:val="left" w:pos="-1440"/>
                <w:tab w:val="left" w:pos="-720"/>
              </w:tabs>
              <w:rPr>
                <w:sz w:val="20"/>
                <w:szCs w:val="20"/>
              </w:rPr>
            </w:pPr>
            <w:r w:rsidRPr="00A935AA">
              <w:rPr>
                <w:sz w:val="20"/>
                <w:szCs w:val="20"/>
              </w:rPr>
              <w:tab/>
            </w:r>
            <w:r>
              <w:rPr>
                <w:sz w:val="20"/>
                <w:szCs w:val="20"/>
              </w:rPr>
              <w:t>John J.L. Hunter, Q.C.</w:t>
            </w:r>
          </w:p>
          <w:p w:rsidR="00C65B32" w:rsidRPr="00A935AA" w:rsidRDefault="00C65B32" w:rsidP="00C65B32">
            <w:pPr>
              <w:tabs>
                <w:tab w:val="left" w:pos="-1440"/>
                <w:tab w:val="left" w:pos="-720"/>
              </w:tabs>
              <w:rPr>
                <w:sz w:val="20"/>
                <w:szCs w:val="20"/>
              </w:rPr>
            </w:pPr>
            <w:r w:rsidRPr="00A935AA">
              <w:rPr>
                <w:sz w:val="20"/>
                <w:szCs w:val="20"/>
              </w:rPr>
              <w:tab/>
            </w:r>
            <w:r>
              <w:rPr>
                <w:sz w:val="20"/>
                <w:szCs w:val="20"/>
              </w:rPr>
              <w:t xml:space="preserve">Hunter Litigation Chambers Law </w:t>
            </w:r>
            <w:r>
              <w:rPr>
                <w:sz w:val="20"/>
                <w:szCs w:val="20"/>
              </w:rPr>
              <w:tab/>
              <w:t>Corporation</w:t>
            </w:r>
          </w:p>
          <w:p w:rsidR="00C65B32" w:rsidRPr="00A935AA" w:rsidRDefault="00C65B32" w:rsidP="00C65B32">
            <w:pPr>
              <w:tabs>
                <w:tab w:val="left" w:pos="-1440"/>
                <w:tab w:val="left" w:pos="-720"/>
              </w:tabs>
              <w:rPr>
                <w:sz w:val="20"/>
                <w:szCs w:val="20"/>
              </w:rPr>
            </w:pPr>
          </w:p>
          <w:p w:rsidR="00C65B32" w:rsidRPr="00A935AA" w:rsidRDefault="00C65B32" w:rsidP="00C65B32">
            <w:pPr>
              <w:tabs>
                <w:tab w:val="left" w:pos="-1440"/>
                <w:tab w:val="left" w:pos="-720"/>
              </w:tabs>
              <w:rPr>
                <w:sz w:val="20"/>
                <w:szCs w:val="20"/>
              </w:rPr>
            </w:pPr>
            <w:r w:rsidRPr="00A935AA">
              <w:rPr>
                <w:sz w:val="20"/>
                <w:szCs w:val="20"/>
              </w:rPr>
              <w:tab/>
              <w:t>v. (3</w:t>
            </w:r>
            <w:r>
              <w:rPr>
                <w:sz w:val="20"/>
                <w:szCs w:val="20"/>
              </w:rPr>
              <w:t>4</w:t>
            </w:r>
            <w:r w:rsidRPr="00A935AA">
              <w:rPr>
                <w:sz w:val="20"/>
                <w:szCs w:val="20"/>
              </w:rPr>
              <w:t>7</w:t>
            </w:r>
            <w:r>
              <w:rPr>
                <w:sz w:val="20"/>
                <w:szCs w:val="20"/>
              </w:rPr>
              <w:t>73</w:t>
            </w:r>
            <w:r w:rsidRPr="00A935AA">
              <w:rPr>
                <w:sz w:val="20"/>
                <w:szCs w:val="20"/>
              </w:rPr>
              <w:t>)</w:t>
            </w:r>
          </w:p>
          <w:p w:rsidR="00C65B32" w:rsidRPr="00A935AA" w:rsidRDefault="00C65B32" w:rsidP="00C65B32">
            <w:pPr>
              <w:tabs>
                <w:tab w:val="left" w:pos="-1440"/>
                <w:tab w:val="left" w:pos="-720"/>
              </w:tabs>
              <w:rPr>
                <w:sz w:val="20"/>
                <w:szCs w:val="20"/>
              </w:rPr>
            </w:pPr>
          </w:p>
          <w:p w:rsidR="00C65B32" w:rsidRPr="00A935AA" w:rsidRDefault="00C65B32" w:rsidP="00C65B32">
            <w:pPr>
              <w:tabs>
                <w:tab w:val="left" w:pos="-1440"/>
                <w:tab w:val="left" w:pos="-720"/>
              </w:tabs>
              <w:rPr>
                <w:b/>
                <w:sz w:val="20"/>
                <w:szCs w:val="20"/>
              </w:rPr>
            </w:pPr>
            <w:r>
              <w:rPr>
                <w:b/>
                <w:sz w:val="20"/>
                <w:szCs w:val="20"/>
              </w:rPr>
              <w:t xml:space="preserve">Her Majesty the Queen in Right of the Province of British Columbia as represented by the Ministry of Forests </w:t>
            </w:r>
            <w:r w:rsidRPr="00A935AA">
              <w:rPr>
                <w:b/>
                <w:sz w:val="20"/>
                <w:szCs w:val="20"/>
              </w:rPr>
              <w:t>(B.C.)</w:t>
            </w:r>
          </w:p>
          <w:p w:rsidR="00C65B32" w:rsidRPr="00A935AA" w:rsidRDefault="00C65B32" w:rsidP="00C65B32">
            <w:pPr>
              <w:tabs>
                <w:tab w:val="left" w:pos="-1440"/>
                <w:tab w:val="left" w:pos="-720"/>
              </w:tabs>
              <w:rPr>
                <w:sz w:val="20"/>
                <w:szCs w:val="20"/>
              </w:rPr>
            </w:pPr>
            <w:r w:rsidRPr="00A935AA">
              <w:rPr>
                <w:sz w:val="20"/>
                <w:szCs w:val="20"/>
              </w:rPr>
              <w:tab/>
            </w:r>
            <w:r>
              <w:rPr>
                <w:sz w:val="20"/>
                <w:szCs w:val="20"/>
              </w:rPr>
              <w:t>Karen A. Horsman</w:t>
            </w:r>
          </w:p>
          <w:p w:rsidR="00C65B32" w:rsidRPr="00A935AA" w:rsidRDefault="00C65B32" w:rsidP="00C65B32">
            <w:pPr>
              <w:tabs>
                <w:tab w:val="left" w:pos="-1440"/>
                <w:tab w:val="left" w:pos="-720"/>
              </w:tabs>
              <w:rPr>
                <w:sz w:val="20"/>
                <w:szCs w:val="20"/>
              </w:rPr>
            </w:pPr>
            <w:r w:rsidRPr="00A935AA">
              <w:rPr>
                <w:sz w:val="20"/>
                <w:szCs w:val="20"/>
              </w:rPr>
              <w:tab/>
            </w:r>
            <w:r>
              <w:rPr>
                <w:sz w:val="20"/>
                <w:szCs w:val="20"/>
              </w:rPr>
              <w:t>A.G. of British Columbia</w:t>
            </w:r>
          </w:p>
          <w:p w:rsidR="00C65B32" w:rsidRPr="00A935AA" w:rsidRDefault="00C65B32" w:rsidP="00C65B32">
            <w:pPr>
              <w:tabs>
                <w:tab w:val="left" w:pos="-1440"/>
                <w:tab w:val="left" w:pos="-720"/>
              </w:tabs>
              <w:rPr>
                <w:sz w:val="20"/>
                <w:szCs w:val="20"/>
              </w:rPr>
            </w:pPr>
          </w:p>
          <w:p w:rsidR="00C65B32" w:rsidRPr="00A935AA" w:rsidRDefault="00C65B32" w:rsidP="00C65B32">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4</w:t>
            </w:r>
            <w:r w:rsidRPr="00A935AA">
              <w:rPr>
                <w:sz w:val="20"/>
                <w:szCs w:val="20"/>
              </w:rPr>
              <w:t>.201</w:t>
            </w:r>
            <w:r>
              <w:rPr>
                <w:sz w:val="20"/>
                <w:szCs w:val="20"/>
              </w:rPr>
              <w:t>2</w:t>
            </w:r>
          </w:p>
          <w:p w:rsidR="00F95E51" w:rsidRPr="00A935AA" w:rsidRDefault="009753DF" w:rsidP="00C65B32">
            <w:pPr>
              <w:rPr>
                <w:sz w:val="20"/>
                <w:szCs w:val="20"/>
              </w:rPr>
            </w:pPr>
            <w:r w:rsidRPr="009753DF">
              <w:rPr>
                <w:sz w:val="20"/>
                <w:szCs w:val="20"/>
                <w:lang w:val="fr-CA"/>
              </w:rPr>
              <w:pict>
                <v:rect id="_x0000_i1034" style="width:108pt;height:1pt" o:hrpct="0" o:hralign="center" o:hrstd="t" o:hrnoshade="t" o:hr="t" fillcolor="black [3213]" stroked="f"/>
              </w:pict>
            </w:r>
          </w:p>
        </w:tc>
        <w:tc>
          <w:tcPr>
            <w:tcW w:w="1181" w:type="dxa"/>
            <w:shd w:val="clear" w:color="auto" w:fill="auto"/>
          </w:tcPr>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Pr="00A935AA" w:rsidRDefault="00F95E51" w:rsidP="00242AEE">
            <w:pPr>
              <w:jc w:val="center"/>
              <w:rPr>
                <w:sz w:val="20"/>
                <w:szCs w:val="20"/>
              </w:rPr>
            </w:pPr>
          </w:p>
          <w:p w:rsidR="00F95E51" w:rsidRDefault="00F95E51" w:rsidP="00242AEE">
            <w:pPr>
              <w:jc w:val="center"/>
              <w:rPr>
                <w:sz w:val="20"/>
                <w:szCs w:val="20"/>
              </w:rPr>
            </w:pPr>
          </w:p>
          <w:p w:rsidR="00C65B32" w:rsidRDefault="00C65B32" w:rsidP="00242AEE">
            <w:pPr>
              <w:jc w:val="center"/>
              <w:rPr>
                <w:sz w:val="20"/>
                <w:szCs w:val="20"/>
              </w:rPr>
            </w:pPr>
          </w:p>
          <w:p w:rsidR="00C65B32" w:rsidRDefault="00C65B32" w:rsidP="00242AEE">
            <w:pPr>
              <w:jc w:val="center"/>
              <w:rPr>
                <w:sz w:val="20"/>
                <w:szCs w:val="20"/>
              </w:rPr>
            </w:pPr>
          </w:p>
          <w:p w:rsidR="00C65B32" w:rsidRDefault="00C65B32" w:rsidP="00242AEE">
            <w:pPr>
              <w:jc w:val="center"/>
              <w:rPr>
                <w:sz w:val="20"/>
                <w:szCs w:val="20"/>
              </w:rPr>
            </w:pPr>
          </w:p>
          <w:p w:rsidR="00C65B32" w:rsidRPr="00A935AA" w:rsidRDefault="00C65B32" w:rsidP="00242AEE">
            <w:pPr>
              <w:jc w:val="center"/>
              <w:rPr>
                <w:sz w:val="20"/>
                <w:szCs w:val="20"/>
              </w:rPr>
            </w:pPr>
          </w:p>
          <w:p w:rsidR="00F95E51" w:rsidRPr="00A935AA" w:rsidRDefault="00F95E51" w:rsidP="00242AEE">
            <w:pPr>
              <w:jc w:val="center"/>
              <w:rPr>
                <w:sz w:val="20"/>
                <w:szCs w:val="20"/>
              </w:rPr>
            </w:pPr>
          </w:p>
        </w:tc>
        <w:tc>
          <w:tcPr>
            <w:tcW w:w="4320" w:type="dxa"/>
            <w:shd w:val="clear" w:color="auto" w:fill="auto"/>
          </w:tcPr>
          <w:p w:rsidR="00F95E51" w:rsidRPr="00A935AA" w:rsidRDefault="00F95E51" w:rsidP="006D6276">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33BE6">
          <w:headerReference w:type="default" r:id="rId17"/>
          <w:footerReference w:type="default" r:id="rId18"/>
          <w:headerReference w:type="first" r:id="rId19"/>
          <w:footerReference w:type="first" r:id="rId20"/>
          <w:pgSz w:w="12240" w:h="15840"/>
          <w:pgMar w:top="720" w:right="965" w:bottom="1080" w:left="1656" w:header="706" w:footer="706" w:gutter="0"/>
          <w:pgNumType w:start="68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8C68F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414C4" w:rsidP="004B7F60">
      <w:pPr>
        <w:widowControl w:val="0"/>
        <w:rPr>
          <w:b/>
          <w:sz w:val="20"/>
          <w:szCs w:val="20"/>
        </w:rPr>
      </w:pPr>
      <w:r>
        <w:rPr>
          <w:b/>
          <w:sz w:val="20"/>
          <w:szCs w:val="20"/>
        </w:rPr>
        <w:t>APRIL 30</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30</w:t>
      </w:r>
      <w:r w:rsidR="004B7F60">
        <w:rPr>
          <w:b/>
          <w:sz w:val="20"/>
          <w:szCs w:val="20"/>
        </w:rPr>
        <w:t xml:space="preserve"> </w:t>
      </w:r>
      <w:r>
        <w:rPr>
          <w:b/>
          <w:sz w:val="20"/>
          <w:szCs w:val="20"/>
        </w:rPr>
        <w:t>A</w:t>
      </w:r>
      <w:r w:rsidR="004B7F60">
        <w:rPr>
          <w:b/>
          <w:sz w:val="20"/>
          <w:szCs w:val="20"/>
        </w:rPr>
        <w:t>VR</w:t>
      </w:r>
      <w:r>
        <w:rPr>
          <w:b/>
          <w:sz w:val="20"/>
          <w:szCs w:val="20"/>
        </w:rPr>
        <w:t>IL</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F47035" w:rsidP="004B7F60">
      <w:pPr>
        <w:pStyle w:val="ListParagraph"/>
        <w:widowControl w:val="0"/>
        <w:numPr>
          <w:ilvl w:val="0"/>
          <w:numId w:val="1"/>
        </w:numPr>
        <w:ind w:hanging="720"/>
        <w:jc w:val="both"/>
        <w:rPr>
          <w:sz w:val="20"/>
          <w:szCs w:val="20"/>
        </w:rPr>
      </w:pPr>
      <w:r w:rsidRPr="00F47035">
        <w:rPr>
          <w:i/>
          <w:sz w:val="20"/>
          <w:szCs w:val="20"/>
        </w:rPr>
        <w:t>Edward Lac v. Her Majesty the Queen</w:t>
      </w:r>
      <w:r w:rsidRPr="00A23882">
        <w:rPr>
          <w:sz w:val="20"/>
          <w:szCs w:val="20"/>
        </w:rPr>
        <w:t xml:space="preserve"> (B.C.) (Crim</w:t>
      </w:r>
      <w:r>
        <w:rPr>
          <w:sz w:val="20"/>
          <w:szCs w:val="20"/>
        </w:rPr>
        <w:t>.</w:t>
      </w:r>
      <w:r w:rsidRPr="00A23882">
        <w:rPr>
          <w:sz w:val="20"/>
          <w:szCs w:val="20"/>
        </w:rPr>
        <w:t>) (By Leave)</w:t>
      </w:r>
      <w:r w:rsidRPr="00C50A5C">
        <w:rPr>
          <w:sz w:val="20"/>
          <w:szCs w:val="20"/>
        </w:rPr>
        <w:t xml:space="preserve"> </w:t>
      </w:r>
      <w:r w:rsidR="004B7F60" w:rsidRPr="00C50A5C">
        <w:rPr>
          <w:sz w:val="20"/>
          <w:szCs w:val="20"/>
        </w:rPr>
        <w:t>(3</w:t>
      </w:r>
      <w:r w:rsidR="004B7F60">
        <w:rPr>
          <w:sz w:val="20"/>
          <w:szCs w:val="20"/>
        </w:rPr>
        <w:t>4</w:t>
      </w:r>
      <w:r>
        <w:rPr>
          <w:sz w:val="20"/>
          <w:szCs w:val="20"/>
        </w:rPr>
        <w:t>685</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F47035" w:rsidP="004B7F60">
      <w:pPr>
        <w:pStyle w:val="ListParagraph"/>
        <w:widowControl w:val="0"/>
        <w:numPr>
          <w:ilvl w:val="0"/>
          <w:numId w:val="1"/>
        </w:numPr>
        <w:ind w:hanging="720"/>
        <w:jc w:val="both"/>
        <w:rPr>
          <w:sz w:val="20"/>
          <w:szCs w:val="20"/>
        </w:rPr>
      </w:pPr>
      <w:r w:rsidRPr="00F47035">
        <w:rPr>
          <w:i/>
          <w:sz w:val="20"/>
          <w:szCs w:val="20"/>
        </w:rPr>
        <w:t>K.S. v. CAS of the Regional Municipality of Waterloo et al.</w:t>
      </w:r>
      <w:r w:rsidRPr="00A23882">
        <w:rPr>
          <w:sz w:val="20"/>
          <w:szCs w:val="20"/>
        </w:rPr>
        <w:t xml:space="preserve"> (Ont.) (Civil) (By Leave)</w:t>
      </w:r>
      <w:r w:rsidRPr="00C612D0">
        <w:rPr>
          <w:sz w:val="20"/>
          <w:szCs w:val="20"/>
        </w:rPr>
        <w:t xml:space="preserve"> </w:t>
      </w:r>
      <w:r w:rsidR="004B7F60" w:rsidRPr="00C612D0">
        <w:rPr>
          <w:sz w:val="20"/>
          <w:szCs w:val="20"/>
        </w:rPr>
        <w:t>(34</w:t>
      </w:r>
      <w:r>
        <w:rPr>
          <w:sz w:val="20"/>
          <w:szCs w:val="20"/>
        </w:rPr>
        <w:t>70</w:t>
      </w:r>
      <w:r w:rsidR="004B7F60" w:rsidRPr="00C612D0">
        <w:rPr>
          <w:sz w:val="20"/>
          <w:szCs w:val="20"/>
        </w:rPr>
        <w:t>3)</w:t>
      </w:r>
    </w:p>
    <w:p w:rsidR="004B7F60" w:rsidRPr="00C612D0" w:rsidRDefault="004B7F60" w:rsidP="004B7F60">
      <w:pPr>
        <w:widowControl w:val="0"/>
        <w:jc w:val="both"/>
        <w:rPr>
          <w:sz w:val="20"/>
          <w:szCs w:val="20"/>
        </w:rPr>
      </w:pPr>
    </w:p>
    <w:p w:rsidR="004B7F60" w:rsidRPr="00C50A5C" w:rsidRDefault="00F47035" w:rsidP="004B7F60">
      <w:pPr>
        <w:pStyle w:val="ListParagraph"/>
        <w:widowControl w:val="0"/>
        <w:numPr>
          <w:ilvl w:val="0"/>
          <w:numId w:val="1"/>
        </w:numPr>
        <w:ind w:hanging="720"/>
        <w:jc w:val="both"/>
        <w:rPr>
          <w:sz w:val="20"/>
          <w:szCs w:val="20"/>
        </w:rPr>
      </w:pPr>
      <w:r w:rsidRPr="00F47035">
        <w:rPr>
          <w:i/>
          <w:sz w:val="20"/>
          <w:szCs w:val="20"/>
        </w:rPr>
        <w:t>Patricia McLean v. Executive Director of the British Columbia Securities Commission</w:t>
      </w:r>
      <w:r w:rsidRPr="00A23882">
        <w:rPr>
          <w:sz w:val="20"/>
          <w:szCs w:val="20"/>
        </w:rPr>
        <w:t xml:space="preserve"> (B.C.) (Civil) (By</w:t>
      </w:r>
      <w:r>
        <w:rPr>
          <w:sz w:val="20"/>
          <w:szCs w:val="20"/>
        </w:rPr>
        <w:t> </w:t>
      </w:r>
      <w:r w:rsidRPr="00A23882">
        <w:rPr>
          <w:sz w:val="20"/>
          <w:szCs w:val="20"/>
        </w:rPr>
        <w:t>Leave)</w:t>
      </w:r>
      <w:r w:rsidRPr="00940CAD">
        <w:rPr>
          <w:sz w:val="20"/>
          <w:szCs w:val="20"/>
        </w:rPr>
        <w:t xml:space="preserve"> </w:t>
      </w:r>
      <w:r w:rsidR="004B7F60" w:rsidRPr="00940CAD">
        <w:rPr>
          <w:sz w:val="20"/>
          <w:szCs w:val="20"/>
        </w:rPr>
        <w:t>(34</w:t>
      </w:r>
      <w:r>
        <w:rPr>
          <w:sz w:val="20"/>
          <w:szCs w:val="20"/>
        </w:rPr>
        <w:t>5</w:t>
      </w:r>
      <w:r w:rsidR="004B7F60" w:rsidRPr="00940CAD">
        <w:rPr>
          <w:sz w:val="20"/>
          <w:szCs w:val="20"/>
        </w:rPr>
        <w:t>9</w:t>
      </w:r>
      <w:r>
        <w:rPr>
          <w:sz w:val="20"/>
          <w:szCs w:val="20"/>
        </w:rPr>
        <w:t>3</w:t>
      </w:r>
      <w:r w:rsidR="004B7F60" w:rsidRPr="00940CAD">
        <w:rPr>
          <w:sz w:val="20"/>
          <w:szCs w:val="20"/>
        </w:rPr>
        <w:t>)</w:t>
      </w:r>
    </w:p>
    <w:p w:rsidR="004B7F60" w:rsidRPr="00C50A5C" w:rsidRDefault="004B7F60" w:rsidP="004B7F60">
      <w:pPr>
        <w:widowControl w:val="0"/>
        <w:rPr>
          <w:sz w:val="20"/>
          <w:szCs w:val="20"/>
        </w:rPr>
      </w:pPr>
    </w:p>
    <w:p w:rsidR="004B7F60" w:rsidRPr="00C50A5C" w:rsidRDefault="00F47035" w:rsidP="004B7F60">
      <w:pPr>
        <w:pStyle w:val="ListParagraph"/>
        <w:widowControl w:val="0"/>
        <w:numPr>
          <w:ilvl w:val="0"/>
          <w:numId w:val="1"/>
        </w:numPr>
        <w:ind w:hanging="720"/>
        <w:jc w:val="both"/>
        <w:rPr>
          <w:sz w:val="20"/>
          <w:szCs w:val="20"/>
        </w:rPr>
      </w:pPr>
      <w:r w:rsidRPr="00F47035">
        <w:rPr>
          <w:i/>
          <w:sz w:val="20"/>
          <w:szCs w:val="20"/>
          <w:lang w:val="fr-CA"/>
        </w:rPr>
        <w:t>Louis Peter Tekavec et al. v. Edward Alexander Jack</w:t>
      </w:r>
      <w:r w:rsidRPr="00F47035">
        <w:rPr>
          <w:sz w:val="20"/>
          <w:szCs w:val="20"/>
          <w:lang w:val="fr-CA"/>
        </w:rPr>
        <w:t xml:space="preserve"> (B.C.) </w:t>
      </w:r>
      <w:r w:rsidRPr="00A23882">
        <w:rPr>
          <w:sz w:val="20"/>
          <w:szCs w:val="20"/>
        </w:rPr>
        <w:t>(Civil) (By Leave)</w:t>
      </w:r>
      <w:r w:rsidRPr="00C50A5C">
        <w:rPr>
          <w:sz w:val="20"/>
          <w:szCs w:val="20"/>
        </w:rPr>
        <w:t xml:space="preserve"> </w:t>
      </w:r>
      <w:r w:rsidR="004B7F60" w:rsidRPr="00C50A5C">
        <w:rPr>
          <w:sz w:val="20"/>
          <w:szCs w:val="20"/>
        </w:rPr>
        <w:t>(3</w:t>
      </w:r>
      <w:r w:rsidR="004B7F60">
        <w:rPr>
          <w:sz w:val="20"/>
          <w:szCs w:val="20"/>
        </w:rPr>
        <w:t>46</w:t>
      </w:r>
      <w:r>
        <w:rPr>
          <w:sz w:val="20"/>
          <w:szCs w:val="20"/>
        </w:rPr>
        <w:t>04</w:t>
      </w:r>
      <w:r w:rsidR="004B7F60" w:rsidRPr="00C50A5C">
        <w:rPr>
          <w:sz w:val="20"/>
          <w:szCs w:val="20"/>
        </w:rPr>
        <w:t>)</w:t>
      </w:r>
    </w:p>
    <w:p w:rsidR="004B7F60" w:rsidRDefault="004B7F60" w:rsidP="004B7F60">
      <w:pPr>
        <w:widowControl w:val="0"/>
        <w:jc w:val="both"/>
        <w:rPr>
          <w:sz w:val="20"/>
          <w:szCs w:val="20"/>
        </w:rPr>
      </w:pPr>
    </w:p>
    <w:p w:rsidR="004B7F60" w:rsidRPr="00C612D0" w:rsidRDefault="00F47035" w:rsidP="004B7F60">
      <w:pPr>
        <w:pStyle w:val="ListParagraph"/>
        <w:widowControl w:val="0"/>
        <w:numPr>
          <w:ilvl w:val="0"/>
          <w:numId w:val="1"/>
        </w:numPr>
        <w:ind w:hanging="720"/>
        <w:jc w:val="both"/>
        <w:rPr>
          <w:sz w:val="20"/>
          <w:szCs w:val="20"/>
          <w:lang w:val="fr-CA"/>
        </w:rPr>
      </w:pPr>
      <w:r w:rsidRPr="00F47035">
        <w:rPr>
          <w:i/>
          <w:sz w:val="20"/>
          <w:szCs w:val="20"/>
        </w:rPr>
        <w:t>Sable Offshore Energy Inc., as agent for and on behalf of the Working Interest Owners of the Sable Offshore Energy Project et al. v. Ameron International Corporation et al.</w:t>
      </w:r>
      <w:r w:rsidRPr="00A23882">
        <w:rPr>
          <w:sz w:val="20"/>
          <w:szCs w:val="20"/>
        </w:rPr>
        <w:t xml:space="preserve"> (N.S.) (Civil) (By Leave)</w:t>
      </w:r>
      <w:r w:rsidRPr="00C612D0">
        <w:rPr>
          <w:sz w:val="20"/>
          <w:szCs w:val="20"/>
          <w:lang w:val="fr-CA"/>
        </w:rPr>
        <w:t xml:space="preserve"> </w:t>
      </w:r>
      <w:r w:rsidR="004B7F60" w:rsidRPr="00C612D0">
        <w:rPr>
          <w:sz w:val="20"/>
          <w:szCs w:val="20"/>
          <w:lang w:val="fr-CA"/>
        </w:rPr>
        <w:t>(346</w:t>
      </w:r>
      <w:r>
        <w:rPr>
          <w:sz w:val="20"/>
          <w:szCs w:val="20"/>
          <w:lang w:val="fr-CA"/>
        </w:rPr>
        <w:t>78</w:t>
      </w:r>
      <w:r w:rsidR="004B7F60" w:rsidRPr="00C612D0">
        <w:rPr>
          <w:sz w:val="20"/>
          <w:szCs w:val="20"/>
          <w:lang w:val="fr-CA"/>
        </w:rPr>
        <w:t>)</w:t>
      </w:r>
    </w:p>
    <w:p w:rsidR="004B7F60" w:rsidRDefault="004B7F60" w:rsidP="004B7F60">
      <w:pPr>
        <w:widowControl w:val="0"/>
        <w:rPr>
          <w:sz w:val="20"/>
          <w:szCs w:val="20"/>
          <w:lang w:val="fr-CA"/>
        </w:rPr>
      </w:pPr>
    </w:p>
    <w:p w:rsidR="00A23882" w:rsidRDefault="00A23882" w:rsidP="004B7F60">
      <w:pPr>
        <w:widowControl w:val="0"/>
        <w:rPr>
          <w:sz w:val="20"/>
          <w:szCs w:val="20"/>
          <w:lang w:val="fr-CA"/>
        </w:rPr>
      </w:pPr>
    </w:p>
    <w:p w:rsidR="00A23882" w:rsidRPr="00C50A5C" w:rsidRDefault="00A23882" w:rsidP="00A23882">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A23882" w:rsidRPr="00C50A5C" w:rsidRDefault="00A23882" w:rsidP="00A23882">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A23882" w:rsidRPr="00C16CB3" w:rsidRDefault="00A23882" w:rsidP="00A23882">
      <w:pPr>
        <w:widowControl w:val="0"/>
        <w:jc w:val="both"/>
        <w:rPr>
          <w:sz w:val="20"/>
          <w:szCs w:val="20"/>
          <w:lang w:val="fr-CA"/>
        </w:rPr>
      </w:pPr>
    </w:p>
    <w:p w:rsidR="004B7F60" w:rsidRPr="00F47035" w:rsidRDefault="00F47035" w:rsidP="004B7F60">
      <w:pPr>
        <w:pStyle w:val="ListParagraph"/>
        <w:widowControl w:val="0"/>
        <w:numPr>
          <w:ilvl w:val="0"/>
          <w:numId w:val="1"/>
        </w:numPr>
        <w:ind w:hanging="720"/>
        <w:jc w:val="both"/>
        <w:rPr>
          <w:sz w:val="20"/>
          <w:szCs w:val="20"/>
        </w:rPr>
      </w:pPr>
      <w:r w:rsidRPr="00F47035">
        <w:rPr>
          <w:i/>
          <w:sz w:val="20"/>
          <w:szCs w:val="20"/>
          <w:lang w:val="fr-CA"/>
        </w:rPr>
        <w:t>Robert Lavigne v. Canada Post Corporation et al.</w:t>
      </w:r>
      <w:r w:rsidRPr="00F47035">
        <w:rPr>
          <w:sz w:val="20"/>
          <w:szCs w:val="20"/>
          <w:lang w:val="fr-CA"/>
        </w:rPr>
        <w:t xml:space="preserve"> </w:t>
      </w:r>
      <w:r w:rsidRPr="00A23882">
        <w:rPr>
          <w:sz w:val="20"/>
          <w:szCs w:val="20"/>
        </w:rPr>
        <w:t>(F</w:t>
      </w:r>
      <w:r>
        <w:rPr>
          <w:sz w:val="20"/>
          <w:szCs w:val="20"/>
        </w:rPr>
        <w:t>.</w:t>
      </w:r>
      <w:r w:rsidRPr="00A23882">
        <w:rPr>
          <w:sz w:val="20"/>
          <w:szCs w:val="20"/>
        </w:rPr>
        <w:t>C</w:t>
      </w:r>
      <w:r>
        <w:rPr>
          <w:sz w:val="20"/>
          <w:szCs w:val="20"/>
        </w:rPr>
        <w:t>.</w:t>
      </w:r>
      <w:r w:rsidRPr="00A23882">
        <w:rPr>
          <w:sz w:val="20"/>
          <w:szCs w:val="20"/>
        </w:rPr>
        <w:t>) (Civil) (By Leave)</w:t>
      </w:r>
      <w:r w:rsidRPr="00F47035">
        <w:rPr>
          <w:sz w:val="20"/>
          <w:szCs w:val="20"/>
        </w:rPr>
        <w:t xml:space="preserve"> </w:t>
      </w:r>
      <w:r w:rsidR="004B7F60" w:rsidRPr="00F47035">
        <w:rPr>
          <w:sz w:val="20"/>
          <w:szCs w:val="20"/>
        </w:rPr>
        <w:t>(34</w:t>
      </w:r>
      <w:r w:rsidRPr="00F47035">
        <w:rPr>
          <w:sz w:val="20"/>
          <w:szCs w:val="20"/>
        </w:rPr>
        <w:t>702</w:t>
      </w:r>
      <w:r w:rsidR="004B7F60" w:rsidRPr="00F47035">
        <w:rPr>
          <w:sz w:val="20"/>
          <w:szCs w:val="20"/>
        </w:rPr>
        <w:t>)</w:t>
      </w:r>
    </w:p>
    <w:p w:rsidR="004B7F60" w:rsidRPr="00F47035" w:rsidRDefault="004B7F60" w:rsidP="004B7F60">
      <w:pPr>
        <w:widowControl w:val="0"/>
        <w:jc w:val="both"/>
        <w:rPr>
          <w:sz w:val="20"/>
          <w:szCs w:val="20"/>
        </w:rPr>
      </w:pPr>
    </w:p>
    <w:p w:rsidR="004B7F60" w:rsidRPr="00DF26BB" w:rsidRDefault="00DF26BB" w:rsidP="004B7F60">
      <w:pPr>
        <w:pStyle w:val="ListParagraph"/>
        <w:widowControl w:val="0"/>
        <w:numPr>
          <w:ilvl w:val="0"/>
          <w:numId w:val="1"/>
        </w:numPr>
        <w:ind w:hanging="720"/>
        <w:jc w:val="both"/>
        <w:rPr>
          <w:sz w:val="20"/>
          <w:szCs w:val="20"/>
        </w:rPr>
      </w:pPr>
      <w:r w:rsidRPr="00DF26BB">
        <w:rPr>
          <w:i/>
          <w:sz w:val="20"/>
          <w:szCs w:val="20"/>
        </w:rPr>
        <w:t>H.H. v. N.H.</w:t>
      </w:r>
      <w:r w:rsidRPr="00DF26BB">
        <w:rPr>
          <w:sz w:val="20"/>
          <w:szCs w:val="20"/>
        </w:rPr>
        <w:t xml:space="preserve"> (Que.) </w:t>
      </w:r>
      <w:r w:rsidRPr="00F47035">
        <w:rPr>
          <w:sz w:val="20"/>
          <w:szCs w:val="20"/>
        </w:rPr>
        <w:t>(Civil) (By Leave)</w:t>
      </w:r>
      <w:r w:rsidRPr="00DF26BB">
        <w:rPr>
          <w:sz w:val="20"/>
          <w:szCs w:val="20"/>
        </w:rPr>
        <w:t xml:space="preserve"> </w:t>
      </w:r>
      <w:r w:rsidR="004B7F60" w:rsidRPr="00DF26BB">
        <w:rPr>
          <w:sz w:val="20"/>
          <w:szCs w:val="20"/>
        </w:rPr>
        <w:t>(34</w:t>
      </w:r>
      <w:r w:rsidR="00F47035" w:rsidRPr="00DF26BB">
        <w:rPr>
          <w:sz w:val="20"/>
          <w:szCs w:val="20"/>
        </w:rPr>
        <w:t>6</w:t>
      </w:r>
      <w:r w:rsidR="004B7F60" w:rsidRPr="00DF26BB">
        <w:rPr>
          <w:sz w:val="20"/>
          <w:szCs w:val="20"/>
        </w:rPr>
        <w:t>35)</w:t>
      </w:r>
    </w:p>
    <w:p w:rsidR="004B7F60" w:rsidRPr="00DF26BB" w:rsidRDefault="004B7F60" w:rsidP="004B7F60">
      <w:pPr>
        <w:widowControl w:val="0"/>
        <w:jc w:val="both"/>
        <w:rPr>
          <w:sz w:val="20"/>
          <w:szCs w:val="20"/>
        </w:rPr>
      </w:pPr>
    </w:p>
    <w:p w:rsidR="004B7F60" w:rsidRPr="00DF26BB" w:rsidRDefault="00DF26BB" w:rsidP="004B7F60">
      <w:pPr>
        <w:pStyle w:val="ListParagraph"/>
        <w:widowControl w:val="0"/>
        <w:numPr>
          <w:ilvl w:val="0"/>
          <w:numId w:val="1"/>
        </w:numPr>
        <w:ind w:hanging="720"/>
        <w:jc w:val="both"/>
        <w:rPr>
          <w:sz w:val="20"/>
          <w:szCs w:val="20"/>
        </w:rPr>
      </w:pPr>
      <w:r w:rsidRPr="00DF26BB">
        <w:rPr>
          <w:i/>
          <w:sz w:val="20"/>
          <w:szCs w:val="20"/>
          <w:lang w:val="fr-CA"/>
        </w:rPr>
        <w:t>Trace Foundation v. Michel Chossudovsky</w:t>
      </w:r>
      <w:r w:rsidRPr="00DF26BB">
        <w:rPr>
          <w:sz w:val="20"/>
          <w:szCs w:val="20"/>
          <w:lang w:val="fr-CA"/>
        </w:rPr>
        <w:t xml:space="preserve"> (Que.) </w:t>
      </w:r>
      <w:r w:rsidRPr="00F47035">
        <w:rPr>
          <w:sz w:val="20"/>
          <w:szCs w:val="20"/>
        </w:rPr>
        <w:t xml:space="preserve">(Civil) (By Leave) </w:t>
      </w:r>
      <w:r w:rsidR="004B7F60" w:rsidRPr="00DF26BB">
        <w:rPr>
          <w:sz w:val="20"/>
          <w:szCs w:val="20"/>
        </w:rPr>
        <w:t>(34</w:t>
      </w:r>
      <w:r w:rsidR="00F47035" w:rsidRPr="00DF26BB">
        <w:rPr>
          <w:sz w:val="20"/>
          <w:szCs w:val="20"/>
        </w:rPr>
        <w:t>656</w:t>
      </w:r>
      <w:r w:rsidR="004B7F60" w:rsidRPr="00DF26BB">
        <w:rPr>
          <w:sz w:val="20"/>
          <w:szCs w:val="20"/>
        </w:rPr>
        <w:t>)</w:t>
      </w:r>
    </w:p>
    <w:p w:rsidR="004B7F60" w:rsidRPr="00DF26BB" w:rsidRDefault="004B7F60" w:rsidP="004B7F60">
      <w:pPr>
        <w:widowControl w:val="0"/>
        <w:rPr>
          <w:sz w:val="20"/>
          <w:szCs w:val="20"/>
        </w:rPr>
      </w:pPr>
    </w:p>
    <w:p w:rsidR="004B7F60" w:rsidRPr="00C50A5C" w:rsidRDefault="00DF26BB" w:rsidP="004B7F60">
      <w:pPr>
        <w:pStyle w:val="ListParagraph"/>
        <w:widowControl w:val="0"/>
        <w:numPr>
          <w:ilvl w:val="0"/>
          <w:numId w:val="1"/>
        </w:numPr>
        <w:ind w:hanging="720"/>
        <w:jc w:val="both"/>
        <w:rPr>
          <w:sz w:val="20"/>
          <w:szCs w:val="20"/>
          <w:lang w:val="fr-CA"/>
        </w:rPr>
      </w:pPr>
      <w:r w:rsidRPr="00DF26BB">
        <w:rPr>
          <w:i/>
          <w:sz w:val="20"/>
          <w:szCs w:val="20"/>
          <w:lang w:val="fr-CA"/>
        </w:rPr>
        <w:t>Dorothée Chabotar c. Ville de Laval</w:t>
      </w:r>
      <w:r w:rsidRPr="00A23882">
        <w:rPr>
          <w:sz w:val="20"/>
          <w:szCs w:val="20"/>
          <w:lang w:val="fr-CA"/>
        </w:rPr>
        <w:t xml:space="preserve"> (Qc) (Civile) (Autorisation)</w:t>
      </w:r>
      <w:r>
        <w:rPr>
          <w:sz w:val="20"/>
          <w:szCs w:val="20"/>
          <w:lang w:val="fr-CA"/>
        </w:rPr>
        <w:t xml:space="preserve"> </w:t>
      </w:r>
      <w:r w:rsidR="004B7F60" w:rsidRPr="00C50A5C">
        <w:rPr>
          <w:sz w:val="20"/>
          <w:szCs w:val="20"/>
          <w:lang w:val="fr-CA"/>
        </w:rPr>
        <w:t>(3</w:t>
      </w:r>
      <w:r w:rsidR="004B7F60">
        <w:rPr>
          <w:sz w:val="20"/>
          <w:szCs w:val="20"/>
          <w:lang w:val="fr-CA"/>
        </w:rPr>
        <w:t>4</w:t>
      </w:r>
      <w:r w:rsidR="00F47035">
        <w:rPr>
          <w:sz w:val="20"/>
          <w:szCs w:val="20"/>
          <w:lang w:val="fr-CA"/>
        </w:rPr>
        <w:t>675</w:t>
      </w:r>
      <w:r w:rsidR="004B7F60" w:rsidRPr="00C50A5C">
        <w:rPr>
          <w:sz w:val="20"/>
          <w:szCs w:val="20"/>
          <w:lang w:val="fr-CA"/>
        </w:rPr>
        <w:t>)</w:t>
      </w:r>
    </w:p>
    <w:p w:rsidR="004B7F60" w:rsidRDefault="004B7F60" w:rsidP="004B7F60">
      <w:pPr>
        <w:widowControl w:val="0"/>
        <w:jc w:val="both"/>
        <w:rPr>
          <w:sz w:val="20"/>
          <w:szCs w:val="20"/>
          <w:lang w:val="fr-CA"/>
        </w:rPr>
      </w:pPr>
    </w:p>
    <w:p w:rsidR="004B7F60" w:rsidRPr="00DF26BB" w:rsidRDefault="00DF26BB" w:rsidP="004B7F60">
      <w:pPr>
        <w:pStyle w:val="ListParagraph"/>
        <w:widowControl w:val="0"/>
        <w:numPr>
          <w:ilvl w:val="0"/>
          <w:numId w:val="1"/>
        </w:numPr>
        <w:ind w:hanging="720"/>
        <w:jc w:val="both"/>
        <w:rPr>
          <w:sz w:val="20"/>
          <w:szCs w:val="20"/>
          <w:lang w:val="fr-CA"/>
        </w:rPr>
      </w:pPr>
      <w:r w:rsidRPr="00DF26BB">
        <w:rPr>
          <w:i/>
          <w:sz w:val="20"/>
          <w:szCs w:val="20"/>
          <w:lang w:val="fr-CA"/>
        </w:rPr>
        <w:t>Claude Auger c. Gérard Lauzon</w:t>
      </w:r>
      <w:r w:rsidRPr="00A23882">
        <w:rPr>
          <w:sz w:val="20"/>
          <w:szCs w:val="20"/>
          <w:lang w:val="fr-CA"/>
        </w:rPr>
        <w:t xml:space="preserve"> (Qc) (Civile) (Autorisation)</w:t>
      </w:r>
      <w:r>
        <w:rPr>
          <w:sz w:val="20"/>
          <w:szCs w:val="20"/>
          <w:lang w:val="fr-CA"/>
        </w:rPr>
        <w:t xml:space="preserve"> </w:t>
      </w:r>
      <w:r w:rsidR="004B7F60" w:rsidRPr="00DF26BB">
        <w:rPr>
          <w:sz w:val="20"/>
          <w:szCs w:val="20"/>
          <w:lang w:val="fr-CA"/>
        </w:rPr>
        <w:t>(34</w:t>
      </w:r>
      <w:r w:rsidR="00F47035" w:rsidRPr="00DF26BB">
        <w:rPr>
          <w:sz w:val="20"/>
          <w:szCs w:val="20"/>
          <w:lang w:val="fr-CA"/>
        </w:rPr>
        <w:t>71</w:t>
      </w:r>
      <w:r w:rsidR="004B7F60" w:rsidRPr="00DF26BB">
        <w:rPr>
          <w:sz w:val="20"/>
          <w:szCs w:val="20"/>
          <w:lang w:val="fr-CA"/>
        </w:rPr>
        <w:t>0)</w:t>
      </w:r>
    </w:p>
    <w:p w:rsidR="004B7F60" w:rsidRPr="00DF26BB" w:rsidRDefault="004B7F60" w:rsidP="004B7F60">
      <w:pPr>
        <w:widowControl w:val="0"/>
        <w:jc w:val="both"/>
        <w:rPr>
          <w:sz w:val="20"/>
          <w:szCs w:val="20"/>
          <w:lang w:val="fr-CA"/>
        </w:rPr>
      </w:pPr>
    </w:p>
    <w:p w:rsidR="004B7F60" w:rsidRPr="00115C9E" w:rsidRDefault="00DF26BB" w:rsidP="004B7F60">
      <w:pPr>
        <w:pStyle w:val="ListParagraph"/>
        <w:widowControl w:val="0"/>
        <w:numPr>
          <w:ilvl w:val="0"/>
          <w:numId w:val="1"/>
        </w:numPr>
        <w:ind w:hanging="720"/>
        <w:jc w:val="both"/>
        <w:rPr>
          <w:sz w:val="20"/>
          <w:szCs w:val="20"/>
        </w:rPr>
      </w:pPr>
      <w:r w:rsidRPr="00DF26BB">
        <w:rPr>
          <w:i/>
          <w:sz w:val="20"/>
          <w:szCs w:val="20"/>
        </w:rPr>
        <w:t>Martin Grove Properties Ltd. v. Her Majesty the Queen Ex. Rel. The Regional Municipality of York</w:t>
      </w:r>
      <w:r w:rsidRPr="00A23882">
        <w:rPr>
          <w:sz w:val="20"/>
          <w:szCs w:val="20"/>
        </w:rPr>
        <w:t xml:space="preserve"> (Ont.) (Civil) (By Leave)</w:t>
      </w:r>
      <w:r w:rsidRPr="00115C9E">
        <w:rPr>
          <w:sz w:val="20"/>
          <w:szCs w:val="20"/>
        </w:rPr>
        <w:t xml:space="preserve"> </w:t>
      </w:r>
      <w:r w:rsidR="004B7F60" w:rsidRPr="00115C9E">
        <w:rPr>
          <w:sz w:val="20"/>
          <w:szCs w:val="20"/>
        </w:rPr>
        <w:t>(34</w:t>
      </w:r>
      <w:r w:rsidR="00F47035">
        <w:rPr>
          <w:sz w:val="20"/>
          <w:szCs w:val="20"/>
        </w:rPr>
        <w:t>616</w:t>
      </w:r>
      <w:r w:rsidR="004B7F60" w:rsidRPr="00115C9E">
        <w:rPr>
          <w:sz w:val="20"/>
          <w:szCs w:val="20"/>
        </w:rPr>
        <w:t>)</w:t>
      </w:r>
    </w:p>
    <w:p w:rsidR="004B7F60" w:rsidRDefault="004B7F60" w:rsidP="004B7F60">
      <w:pPr>
        <w:widowControl w:val="0"/>
        <w:jc w:val="both"/>
        <w:rPr>
          <w:sz w:val="20"/>
          <w:szCs w:val="20"/>
        </w:rPr>
      </w:pPr>
    </w:p>
    <w:p w:rsidR="00A23882" w:rsidRDefault="00A23882" w:rsidP="004B7F60">
      <w:pPr>
        <w:widowControl w:val="0"/>
        <w:jc w:val="both"/>
        <w:rPr>
          <w:sz w:val="20"/>
          <w:szCs w:val="20"/>
        </w:rPr>
      </w:pPr>
    </w:p>
    <w:p w:rsidR="00A23882" w:rsidRPr="00C50A5C" w:rsidRDefault="00A23882" w:rsidP="00A23882">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A23882" w:rsidRPr="00C50A5C" w:rsidRDefault="00A23882" w:rsidP="00A23882">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A23882" w:rsidRPr="00A23882" w:rsidRDefault="00A23882" w:rsidP="004B7F60">
      <w:pPr>
        <w:widowControl w:val="0"/>
        <w:jc w:val="both"/>
        <w:rPr>
          <w:sz w:val="20"/>
          <w:szCs w:val="20"/>
          <w:lang w:val="fr-CA"/>
        </w:rPr>
      </w:pPr>
    </w:p>
    <w:p w:rsidR="004B7F60" w:rsidRDefault="00DF26BB" w:rsidP="004B7F60">
      <w:pPr>
        <w:pStyle w:val="ListParagraph"/>
        <w:widowControl w:val="0"/>
        <w:numPr>
          <w:ilvl w:val="0"/>
          <w:numId w:val="1"/>
        </w:numPr>
        <w:ind w:hanging="720"/>
        <w:jc w:val="both"/>
        <w:rPr>
          <w:sz w:val="20"/>
          <w:szCs w:val="20"/>
        </w:rPr>
      </w:pPr>
      <w:r w:rsidRPr="00DF26BB">
        <w:rPr>
          <w:i/>
          <w:sz w:val="20"/>
          <w:szCs w:val="20"/>
        </w:rPr>
        <w:t>John McGowan et al. v. Bank of Nova Scotia</w:t>
      </w:r>
      <w:r w:rsidRPr="00A23882">
        <w:rPr>
          <w:sz w:val="20"/>
          <w:szCs w:val="20"/>
        </w:rPr>
        <w:t xml:space="preserve"> (P.E.I.) (Civil) (By Leave)</w:t>
      </w:r>
      <w:r w:rsidRPr="00C50A5C">
        <w:rPr>
          <w:sz w:val="20"/>
          <w:szCs w:val="20"/>
        </w:rPr>
        <w:t xml:space="preserve"> </w:t>
      </w:r>
      <w:r w:rsidR="004B7F60" w:rsidRPr="00C50A5C">
        <w:rPr>
          <w:sz w:val="20"/>
          <w:szCs w:val="20"/>
        </w:rPr>
        <w:t>(3</w:t>
      </w:r>
      <w:r w:rsidR="004B7F60">
        <w:rPr>
          <w:sz w:val="20"/>
          <w:szCs w:val="20"/>
        </w:rPr>
        <w:t>4</w:t>
      </w:r>
      <w:r w:rsidR="00F47035">
        <w:rPr>
          <w:sz w:val="20"/>
          <w:szCs w:val="20"/>
        </w:rPr>
        <w:t>664</w:t>
      </w:r>
      <w:r w:rsidR="004B7F60" w:rsidRPr="00C50A5C">
        <w:rPr>
          <w:sz w:val="20"/>
          <w:szCs w:val="20"/>
        </w:rPr>
        <w:t>)</w:t>
      </w:r>
    </w:p>
    <w:p w:rsidR="004B7F60" w:rsidRDefault="004B7F60" w:rsidP="004B7F60">
      <w:pPr>
        <w:widowControl w:val="0"/>
        <w:rPr>
          <w:sz w:val="20"/>
          <w:szCs w:val="20"/>
        </w:rPr>
      </w:pPr>
    </w:p>
    <w:p w:rsidR="002E2327" w:rsidRPr="00DF26BB" w:rsidRDefault="00DF26BB" w:rsidP="00C50A5C">
      <w:pPr>
        <w:pStyle w:val="ListParagraph"/>
        <w:widowControl w:val="0"/>
        <w:numPr>
          <w:ilvl w:val="0"/>
          <w:numId w:val="1"/>
        </w:numPr>
        <w:ind w:hanging="720"/>
        <w:jc w:val="both"/>
        <w:rPr>
          <w:sz w:val="20"/>
          <w:szCs w:val="20"/>
        </w:rPr>
      </w:pPr>
      <w:r w:rsidRPr="00DF26BB">
        <w:rPr>
          <w:i/>
          <w:sz w:val="20"/>
          <w:szCs w:val="20"/>
        </w:rPr>
        <w:t>William Donald Hudgins v. Her Majesty the Queen</w:t>
      </w:r>
      <w:r w:rsidRPr="00A23882">
        <w:rPr>
          <w:sz w:val="20"/>
          <w:szCs w:val="20"/>
        </w:rPr>
        <w:t xml:space="preserve"> (Ont.) (Civil) (By Leave)</w:t>
      </w:r>
      <w:r w:rsidRPr="00DF26BB">
        <w:rPr>
          <w:sz w:val="20"/>
          <w:szCs w:val="20"/>
        </w:rPr>
        <w:t xml:space="preserve"> </w:t>
      </w:r>
      <w:r w:rsidR="002E2327" w:rsidRPr="00DF26BB">
        <w:rPr>
          <w:sz w:val="20"/>
          <w:szCs w:val="20"/>
        </w:rPr>
        <w:t>(3</w:t>
      </w:r>
      <w:r w:rsidR="00F47035" w:rsidRPr="00DF26BB">
        <w:rPr>
          <w:sz w:val="20"/>
          <w:szCs w:val="20"/>
        </w:rPr>
        <w:t>4</w:t>
      </w:r>
      <w:r w:rsidR="002E2327" w:rsidRPr="00DF26BB">
        <w:rPr>
          <w:sz w:val="20"/>
          <w:szCs w:val="20"/>
        </w:rPr>
        <w:t>6</w:t>
      </w:r>
      <w:r w:rsidR="00F47035" w:rsidRPr="00DF26BB">
        <w:rPr>
          <w:sz w:val="20"/>
          <w:szCs w:val="20"/>
        </w:rPr>
        <w:t>89</w:t>
      </w:r>
      <w:r w:rsidR="002E2327" w:rsidRPr="00DF26BB">
        <w:rPr>
          <w:sz w:val="20"/>
          <w:szCs w:val="20"/>
        </w:rPr>
        <w:t>)</w:t>
      </w:r>
    </w:p>
    <w:p w:rsidR="002E2327" w:rsidRPr="00DF26BB" w:rsidRDefault="002E2327" w:rsidP="00C50A5C">
      <w:pPr>
        <w:widowControl w:val="0"/>
        <w:jc w:val="both"/>
        <w:rPr>
          <w:sz w:val="20"/>
          <w:szCs w:val="20"/>
        </w:rPr>
      </w:pPr>
    </w:p>
    <w:p w:rsidR="002E2327" w:rsidRPr="00DF26BB" w:rsidRDefault="00DF26BB" w:rsidP="00C50A5C">
      <w:pPr>
        <w:pStyle w:val="ListParagraph"/>
        <w:widowControl w:val="0"/>
        <w:numPr>
          <w:ilvl w:val="0"/>
          <w:numId w:val="1"/>
        </w:numPr>
        <w:ind w:hanging="720"/>
        <w:jc w:val="both"/>
        <w:rPr>
          <w:sz w:val="20"/>
          <w:szCs w:val="20"/>
        </w:rPr>
      </w:pPr>
      <w:r w:rsidRPr="00DF26BB">
        <w:rPr>
          <w:i/>
          <w:sz w:val="20"/>
          <w:szCs w:val="20"/>
        </w:rPr>
        <w:t>William Donald Hudgins v. Regional Municipality of Peel Police Services Board et al.</w:t>
      </w:r>
      <w:r w:rsidRPr="00A23882">
        <w:rPr>
          <w:sz w:val="20"/>
          <w:szCs w:val="20"/>
        </w:rPr>
        <w:t xml:space="preserve"> (Ont.) (Civil) (By</w:t>
      </w:r>
      <w:r>
        <w:rPr>
          <w:sz w:val="20"/>
          <w:szCs w:val="20"/>
        </w:rPr>
        <w:t> </w:t>
      </w:r>
      <w:r w:rsidRPr="00A23882">
        <w:rPr>
          <w:sz w:val="20"/>
          <w:szCs w:val="20"/>
        </w:rPr>
        <w:t>Leave)</w:t>
      </w:r>
      <w:r w:rsidRPr="00DF26BB">
        <w:rPr>
          <w:sz w:val="20"/>
          <w:szCs w:val="20"/>
        </w:rPr>
        <w:t xml:space="preserve"> </w:t>
      </w:r>
      <w:r w:rsidR="002E2327" w:rsidRPr="00DF26BB">
        <w:rPr>
          <w:sz w:val="20"/>
          <w:szCs w:val="20"/>
        </w:rPr>
        <w:t>(3</w:t>
      </w:r>
      <w:r w:rsidR="00F47035" w:rsidRPr="00DF26BB">
        <w:rPr>
          <w:sz w:val="20"/>
          <w:szCs w:val="20"/>
        </w:rPr>
        <w:t>4</w:t>
      </w:r>
      <w:r w:rsidR="002E2327" w:rsidRPr="00DF26BB">
        <w:rPr>
          <w:sz w:val="20"/>
          <w:szCs w:val="20"/>
        </w:rPr>
        <w:t>64</w:t>
      </w:r>
      <w:r w:rsidR="00F47035" w:rsidRPr="00DF26BB">
        <w:rPr>
          <w:sz w:val="20"/>
          <w:szCs w:val="20"/>
        </w:rPr>
        <w:t>3</w:t>
      </w:r>
      <w:r w:rsidR="002E2327" w:rsidRPr="00DF26BB">
        <w:rPr>
          <w:sz w:val="20"/>
          <w:szCs w:val="20"/>
        </w:rPr>
        <w:t>)</w:t>
      </w:r>
    </w:p>
    <w:p w:rsidR="002E2327" w:rsidRPr="00DF26BB" w:rsidRDefault="002E2327" w:rsidP="00C50A5C">
      <w:pPr>
        <w:widowControl w:val="0"/>
        <w:jc w:val="both"/>
        <w:rPr>
          <w:sz w:val="20"/>
          <w:szCs w:val="20"/>
        </w:rPr>
      </w:pPr>
    </w:p>
    <w:p w:rsidR="00DF26BB" w:rsidRPr="00DF26BB" w:rsidRDefault="00DF26BB" w:rsidP="00C50A5C">
      <w:pPr>
        <w:pStyle w:val="ListParagraph"/>
        <w:widowControl w:val="0"/>
        <w:numPr>
          <w:ilvl w:val="0"/>
          <w:numId w:val="1"/>
        </w:numPr>
        <w:ind w:hanging="720"/>
        <w:jc w:val="both"/>
        <w:rPr>
          <w:sz w:val="20"/>
          <w:szCs w:val="20"/>
        </w:rPr>
      </w:pPr>
      <w:r w:rsidRPr="00DF26BB">
        <w:rPr>
          <w:i/>
          <w:sz w:val="20"/>
          <w:szCs w:val="20"/>
        </w:rPr>
        <w:t>André Murray v. Betty Rose Danielski</w:t>
      </w:r>
      <w:r w:rsidRPr="00A23882">
        <w:rPr>
          <w:sz w:val="20"/>
          <w:szCs w:val="20"/>
        </w:rPr>
        <w:t xml:space="preserve"> (N.B.) (Civil) (By Leave)</w:t>
      </w:r>
      <w:r>
        <w:rPr>
          <w:sz w:val="20"/>
          <w:szCs w:val="20"/>
        </w:rPr>
        <w:t xml:space="preserve"> </w:t>
      </w:r>
      <w:r w:rsidR="002E2327" w:rsidRPr="00DF26BB">
        <w:rPr>
          <w:sz w:val="20"/>
          <w:szCs w:val="20"/>
        </w:rPr>
        <w:t>(3</w:t>
      </w:r>
      <w:r w:rsidR="00F47035" w:rsidRPr="00DF26BB">
        <w:rPr>
          <w:sz w:val="20"/>
          <w:szCs w:val="20"/>
        </w:rPr>
        <w:t>4</w:t>
      </w:r>
      <w:r w:rsidR="002E2327" w:rsidRPr="00DF26BB">
        <w:rPr>
          <w:sz w:val="20"/>
          <w:szCs w:val="20"/>
        </w:rPr>
        <w:t>67</w:t>
      </w:r>
      <w:r w:rsidR="00F47035" w:rsidRPr="00DF26BB">
        <w:rPr>
          <w:sz w:val="20"/>
          <w:szCs w:val="20"/>
        </w:rPr>
        <w:t>9</w:t>
      </w:r>
      <w:r w:rsidR="002E2327" w:rsidRPr="00DF26BB">
        <w:rPr>
          <w:sz w:val="20"/>
          <w:szCs w:val="20"/>
        </w:rPr>
        <w:t>)</w:t>
      </w:r>
    </w:p>
    <w:p w:rsidR="00DF26BB" w:rsidRPr="00DF26BB" w:rsidRDefault="00DF26BB" w:rsidP="00DF26BB">
      <w:pPr>
        <w:pStyle w:val="ListParagraph"/>
        <w:widowControl w:val="0"/>
        <w:ind w:left="0"/>
        <w:jc w:val="both"/>
        <w:rPr>
          <w:sz w:val="20"/>
          <w:szCs w:val="20"/>
        </w:rPr>
      </w:pPr>
    </w:p>
    <w:p w:rsidR="00DF26BB" w:rsidRPr="00DF26BB" w:rsidRDefault="00DF26BB" w:rsidP="00C50A5C">
      <w:pPr>
        <w:pStyle w:val="ListParagraph"/>
        <w:widowControl w:val="0"/>
        <w:numPr>
          <w:ilvl w:val="0"/>
          <w:numId w:val="1"/>
        </w:numPr>
        <w:ind w:hanging="720"/>
        <w:jc w:val="both"/>
        <w:rPr>
          <w:sz w:val="20"/>
          <w:szCs w:val="20"/>
        </w:rPr>
      </w:pPr>
      <w:r w:rsidRPr="00DF26BB">
        <w:rPr>
          <w:i/>
          <w:sz w:val="20"/>
          <w:szCs w:val="20"/>
        </w:rPr>
        <w:t>André Murray v. Royal Bank of Canada et al.</w:t>
      </w:r>
      <w:r w:rsidRPr="00A23882">
        <w:rPr>
          <w:sz w:val="20"/>
          <w:szCs w:val="20"/>
        </w:rPr>
        <w:t xml:space="preserve"> (N.B.) (Civil) (By Leave)</w:t>
      </w:r>
      <w:r w:rsidRPr="00DF26BB">
        <w:rPr>
          <w:sz w:val="20"/>
          <w:szCs w:val="20"/>
        </w:rPr>
        <w:t xml:space="preserve"> (34642)</w:t>
      </w:r>
    </w:p>
    <w:p w:rsidR="00DF26BB" w:rsidRPr="00DF26BB" w:rsidRDefault="00DF26BB" w:rsidP="00DF26BB">
      <w:pPr>
        <w:pStyle w:val="ListParagraph"/>
        <w:widowControl w:val="0"/>
        <w:ind w:left="0"/>
        <w:jc w:val="both"/>
        <w:rPr>
          <w:sz w:val="20"/>
          <w:szCs w:val="20"/>
        </w:rPr>
      </w:pPr>
    </w:p>
    <w:p w:rsidR="00DF26BB" w:rsidRPr="00DF26BB" w:rsidRDefault="00DF26BB" w:rsidP="00C50A5C">
      <w:pPr>
        <w:pStyle w:val="ListParagraph"/>
        <w:widowControl w:val="0"/>
        <w:numPr>
          <w:ilvl w:val="0"/>
          <w:numId w:val="1"/>
        </w:numPr>
        <w:ind w:hanging="720"/>
        <w:jc w:val="both"/>
        <w:rPr>
          <w:sz w:val="20"/>
          <w:szCs w:val="20"/>
        </w:rPr>
      </w:pPr>
      <w:r w:rsidRPr="00DF26BB">
        <w:rPr>
          <w:i/>
          <w:sz w:val="20"/>
          <w:szCs w:val="20"/>
        </w:rPr>
        <w:t>Dwight Gaskin, also known as Dwight W.M. Gaskin v. Royal Bank of Canada</w:t>
      </w:r>
      <w:r w:rsidRPr="00A23882">
        <w:rPr>
          <w:sz w:val="20"/>
          <w:szCs w:val="20"/>
        </w:rPr>
        <w:t xml:space="preserve"> (Man.) (Civil) (By Leave)</w:t>
      </w:r>
      <w:r>
        <w:rPr>
          <w:sz w:val="20"/>
          <w:szCs w:val="20"/>
        </w:rPr>
        <w:t xml:space="preserve"> </w:t>
      </w:r>
      <w:r w:rsidRPr="00DF26BB">
        <w:rPr>
          <w:sz w:val="20"/>
          <w:szCs w:val="20"/>
        </w:rPr>
        <w:t>(34672)</w:t>
      </w:r>
    </w:p>
    <w:p w:rsidR="00A23882" w:rsidRPr="00A23882" w:rsidRDefault="00A23882" w:rsidP="00A23882">
      <w:pPr>
        <w:widowControl w:val="0"/>
        <w:rPr>
          <w:sz w:val="20"/>
          <w:szCs w:val="20"/>
        </w:rPr>
      </w:pPr>
    </w:p>
    <w:p w:rsidR="00DF26BB" w:rsidRPr="00C50A5C" w:rsidRDefault="009753DF" w:rsidP="002E2327">
      <w:pPr>
        <w:widowControl w:val="0"/>
        <w:rPr>
          <w:sz w:val="20"/>
          <w:szCs w:val="20"/>
        </w:rPr>
      </w:pPr>
      <w:r w:rsidRPr="009753DF">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8C68F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37483" w:rsidP="008D292F">
      <w:pPr>
        <w:rPr>
          <w:b/>
          <w:sz w:val="20"/>
          <w:szCs w:val="20"/>
        </w:rPr>
      </w:pPr>
      <w:r>
        <w:rPr>
          <w:b/>
          <w:sz w:val="20"/>
          <w:szCs w:val="20"/>
        </w:rPr>
        <w:t>MAY 3</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3</w:t>
      </w:r>
      <w:r w:rsidR="008D292F" w:rsidRPr="00C50A5C">
        <w:rPr>
          <w:b/>
          <w:sz w:val="20"/>
          <w:szCs w:val="20"/>
        </w:rPr>
        <w:t xml:space="preserve"> </w:t>
      </w:r>
      <w:r>
        <w:rPr>
          <w:b/>
          <w:sz w:val="20"/>
          <w:szCs w:val="20"/>
        </w:rPr>
        <w:t>M</w:t>
      </w:r>
      <w:r w:rsidR="008D292F" w:rsidRPr="00C50A5C">
        <w:rPr>
          <w:b/>
          <w:sz w:val="20"/>
          <w:szCs w:val="20"/>
        </w:rPr>
        <w:t>AI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235D5" w:rsidRPr="00184193" w:rsidTr="00604498">
        <w:trPr>
          <w:cantSplit/>
        </w:trPr>
        <w:tc>
          <w:tcPr>
            <w:tcW w:w="1458" w:type="dxa"/>
          </w:tcPr>
          <w:p w:rsidR="00F235D5" w:rsidRPr="00184193" w:rsidRDefault="00F235D5" w:rsidP="00604498">
            <w:pPr>
              <w:rPr>
                <w:sz w:val="20"/>
                <w:szCs w:val="20"/>
              </w:rPr>
            </w:pPr>
            <w:r w:rsidRPr="00184193">
              <w:rPr>
                <w:rStyle w:val="SCCFileNumberChar"/>
                <w:sz w:val="20"/>
                <w:szCs w:val="20"/>
              </w:rPr>
              <w:t>34506</w:t>
            </w:r>
          </w:p>
          <w:p w:rsidR="00F235D5" w:rsidRPr="00184193" w:rsidRDefault="00F235D5" w:rsidP="00604498">
            <w:pPr>
              <w:rPr>
                <w:b/>
                <w:sz w:val="20"/>
                <w:szCs w:val="20"/>
                <w:lang w:val="fr-CA"/>
              </w:rPr>
            </w:pPr>
          </w:p>
        </w:tc>
        <w:tc>
          <w:tcPr>
            <w:tcW w:w="8118" w:type="dxa"/>
          </w:tcPr>
          <w:p w:rsidR="00F235D5" w:rsidRPr="00184193" w:rsidRDefault="00F235D5" w:rsidP="00604498">
            <w:pPr>
              <w:jc w:val="both"/>
              <w:rPr>
                <w:sz w:val="20"/>
                <w:szCs w:val="20"/>
              </w:rPr>
            </w:pPr>
            <w:r w:rsidRPr="00184193">
              <w:rPr>
                <w:rStyle w:val="SCCLsocChar"/>
                <w:sz w:val="20"/>
                <w:szCs w:val="20"/>
                <w:lang w:val="en-CA"/>
              </w:rPr>
              <w:t>Conrad Black</w:t>
            </w:r>
            <w:r w:rsidR="002B596F">
              <w:rPr>
                <w:rStyle w:val="SCCLsocChar"/>
                <w:sz w:val="20"/>
                <w:szCs w:val="20"/>
                <w:lang w:val="en-CA"/>
              </w:rPr>
              <w:t xml:space="preserve"> </w:t>
            </w:r>
            <w:r>
              <w:rPr>
                <w:rStyle w:val="SCCLsocChar"/>
                <w:sz w:val="20"/>
                <w:szCs w:val="20"/>
                <w:lang w:val="en-CA"/>
              </w:rPr>
              <w:t xml:space="preserve">and </w:t>
            </w:r>
            <w:r w:rsidRPr="00184193">
              <w:rPr>
                <w:rStyle w:val="SCCLsocChar"/>
                <w:sz w:val="20"/>
                <w:szCs w:val="20"/>
                <w:lang w:val="en-CA"/>
              </w:rPr>
              <w:t>Conrad Black Capital Corporation v. Daniel Colson, Hollinger Inc., 4322525 Canada Inc.</w:t>
            </w:r>
            <w:r>
              <w:rPr>
                <w:rStyle w:val="SCCLsocChar"/>
                <w:sz w:val="20"/>
                <w:szCs w:val="20"/>
                <w:lang w:val="en-CA"/>
              </w:rPr>
              <w:t xml:space="preserve">, </w:t>
            </w:r>
            <w:r w:rsidRPr="00184193">
              <w:rPr>
                <w:rStyle w:val="SCCLsocChar"/>
                <w:sz w:val="20"/>
                <w:szCs w:val="20"/>
                <w:lang w:val="en-CA"/>
              </w:rPr>
              <w:t>Sugra Limited, KPMG LLP, Torys LLP, Catalyst Fund General Partner I Inc., Indenture Trustee</w:t>
            </w:r>
            <w:r>
              <w:rPr>
                <w:rStyle w:val="SCCLsocChar"/>
                <w:sz w:val="20"/>
                <w:szCs w:val="20"/>
                <w:lang w:val="en-CA"/>
              </w:rPr>
              <w:t xml:space="preserve"> and</w:t>
            </w:r>
            <w:r w:rsidRPr="00184193">
              <w:rPr>
                <w:rStyle w:val="SCCLsocChar"/>
                <w:sz w:val="20"/>
                <w:szCs w:val="20"/>
                <w:lang w:val="en-CA"/>
              </w:rPr>
              <w:t xml:space="preserve"> Ernst &amp; Young Inc.</w:t>
            </w:r>
            <w:r w:rsidRPr="00184193">
              <w:rPr>
                <w:sz w:val="20"/>
                <w:szCs w:val="20"/>
              </w:rPr>
              <w:t xml:space="preserve"> (Ont.) (Civil) (By Leave)</w:t>
            </w:r>
          </w:p>
          <w:p w:rsidR="00F235D5" w:rsidRPr="00184193" w:rsidRDefault="00F235D5" w:rsidP="00604498">
            <w:pPr>
              <w:rPr>
                <w:sz w:val="20"/>
                <w:szCs w:val="20"/>
              </w:rPr>
            </w:pPr>
          </w:p>
        </w:tc>
      </w:tr>
      <w:tr w:rsidR="00F235D5" w:rsidRPr="00184193" w:rsidTr="00604498">
        <w:trPr>
          <w:cantSplit/>
        </w:trPr>
        <w:tc>
          <w:tcPr>
            <w:tcW w:w="1458" w:type="dxa"/>
          </w:tcPr>
          <w:p w:rsidR="00F235D5" w:rsidRPr="00184193" w:rsidRDefault="00F235D5" w:rsidP="00604498">
            <w:pPr>
              <w:rPr>
                <w:sz w:val="20"/>
                <w:szCs w:val="20"/>
              </w:rPr>
            </w:pPr>
            <w:r w:rsidRPr="00184193">
              <w:rPr>
                <w:sz w:val="20"/>
                <w:szCs w:val="20"/>
              </w:rPr>
              <w:t>Coram :</w:t>
            </w:r>
          </w:p>
        </w:tc>
        <w:tc>
          <w:tcPr>
            <w:tcW w:w="8118" w:type="dxa"/>
          </w:tcPr>
          <w:p w:rsidR="00F235D5" w:rsidRPr="00184193" w:rsidRDefault="00F235D5" w:rsidP="00604498">
            <w:pPr>
              <w:rPr>
                <w:sz w:val="20"/>
                <w:szCs w:val="20"/>
              </w:rPr>
            </w:pPr>
            <w:r w:rsidRPr="00184193">
              <w:rPr>
                <w:rStyle w:val="SCCCoramChar"/>
                <w:sz w:val="20"/>
                <w:szCs w:val="20"/>
                <w:lang w:val="en-CA"/>
              </w:rPr>
              <w:t>LeBel, Abella and Cromwell JJ.</w:t>
            </w:r>
          </w:p>
          <w:p w:rsidR="00F235D5" w:rsidRPr="00184193" w:rsidRDefault="00F235D5" w:rsidP="00604498">
            <w:pPr>
              <w:rPr>
                <w:sz w:val="20"/>
                <w:szCs w:val="20"/>
                <w:u w:val="single"/>
              </w:rPr>
            </w:pPr>
          </w:p>
        </w:tc>
      </w:tr>
      <w:tr w:rsidR="00F235D5" w:rsidRPr="008C68F8" w:rsidTr="00604498">
        <w:trPr>
          <w:cantSplit/>
        </w:trPr>
        <w:tc>
          <w:tcPr>
            <w:tcW w:w="9576" w:type="dxa"/>
            <w:gridSpan w:val="2"/>
          </w:tcPr>
          <w:p w:rsidR="00F235D5" w:rsidRPr="00184193" w:rsidRDefault="00F235D5" w:rsidP="00604498">
            <w:pPr>
              <w:pStyle w:val="SCCShortJudgment"/>
              <w:rPr>
                <w:szCs w:val="20"/>
              </w:rPr>
            </w:pPr>
            <w:r w:rsidRPr="00184193">
              <w:rPr>
                <w:szCs w:val="20"/>
              </w:rPr>
              <w:t>The application for leave to appeal from the judgment of the Court of Appeal for Ontario, Number C53706, 2011 ONCA 579, dated September 8, 2011, is dismissed with costs to the respondents Hollinger Inc., 4322525 Canada Inc., Sugra Limited, Torys LLP and KPMG LLP.</w:t>
            </w:r>
          </w:p>
          <w:p w:rsidR="00F235D5" w:rsidRPr="00184193" w:rsidRDefault="00F235D5" w:rsidP="00604498">
            <w:pPr>
              <w:pStyle w:val="SCCShortJudgment"/>
              <w:ind w:firstLine="0"/>
              <w:rPr>
                <w:szCs w:val="20"/>
              </w:rPr>
            </w:pPr>
          </w:p>
          <w:p w:rsidR="00F235D5" w:rsidRPr="00184193" w:rsidRDefault="00F235D5" w:rsidP="00604498">
            <w:pPr>
              <w:pStyle w:val="SCCShortJudgment"/>
              <w:rPr>
                <w:szCs w:val="20"/>
                <w:lang w:val="fr-CA"/>
              </w:rPr>
            </w:pPr>
            <w:r w:rsidRPr="00184193">
              <w:rPr>
                <w:szCs w:val="20"/>
                <w:lang w:val="fr-CA"/>
              </w:rPr>
              <w:t>La demande d’autorisation d’appel de l’arrêt de la Cour d’appel de l’Ontario, numéro C53706, 2011 ONCA 579, daté du 8 septembre 2011, est rejetée avec dépens en faveur des intimées Hollinger Inc., 4322525 Canada Inc., Sugra Limited, Torys LLP et KPMG LLP.</w:t>
            </w:r>
          </w:p>
        </w:tc>
      </w:tr>
    </w:tbl>
    <w:p w:rsidR="000C6A2A" w:rsidRPr="00F235D5" w:rsidRDefault="000C6A2A" w:rsidP="000C6A2A">
      <w:pPr>
        <w:rPr>
          <w:sz w:val="20"/>
          <w:szCs w:val="20"/>
          <w:lang w:val="fr-CA"/>
        </w:rPr>
      </w:pPr>
    </w:p>
    <w:p w:rsidR="000C6A2A" w:rsidRPr="001B157C" w:rsidRDefault="000C6A2A" w:rsidP="000C6A2A">
      <w:pPr>
        <w:rPr>
          <w:sz w:val="20"/>
          <w:szCs w:val="20"/>
          <w:u w:val="single"/>
        </w:rPr>
      </w:pPr>
      <w:r w:rsidRPr="001B157C">
        <w:rPr>
          <w:sz w:val="20"/>
          <w:szCs w:val="20"/>
          <w:u w:val="single"/>
        </w:rPr>
        <w:t>CASE SUMMARY</w:t>
      </w:r>
    </w:p>
    <w:p w:rsidR="000C6A2A" w:rsidRDefault="000C6A2A" w:rsidP="000C6A2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6A2A" w:rsidRPr="006042C8" w:rsidTr="009F6372">
        <w:tc>
          <w:tcPr>
            <w:tcW w:w="5000" w:type="pct"/>
            <w:gridSpan w:val="3"/>
          </w:tcPr>
          <w:p w:rsidR="000C6A2A" w:rsidRPr="006042C8" w:rsidRDefault="000C6A2A" w:rsidP="009F6372">
            <w:pPr>
              <w:jc w:val="both"/>
              <w:rPr>
                <w:rFonts w:eastAsia="Calibri"/>
                <w:sz w:val="20"/>
              </w:rPr>
            </w:pPr>
            <w:r w:rsidRPr="006042C8">
              <w:rPr>
                <w:rFonts w:eastAsia="Calibri"/>
                <w:sz w:val="20"/>
              </w:rPr>
              <w:t xml:space="preserve">Commercial law – Sealing order – </w:t>
            </w:r>
            <w:r w:rsidRPr="006042C8">
              <w:rPr>
                <w:rFonts w:eastAsia="Calibri"/>
                <w:i/>
                <w:sz w:val="20"/>
              </w:rPr>
              <w:t>Companies’ Creditor Arrangement Act</w:t>
            </w:r>
            <w:r w:rsidRPr="006042C8">
              <w:rPr>
                <w:rFonts w:eastAsia="Calibri"/>
                <w:sz w:val="20"/>
              </w:rPr>
              <w:t xml:space="preserve"> proceedings – Settlement agreements – Whether and when the open court principle should give way to the policy objective of fostering the settlement of litigation – How does the open court principle apply in the context of settlements that require court approval – What importance should the courts give the open court principle in proceedings under the </w:t>
            </w:r>
            <w:r w:rsidRPr="006042C8">
              <w:rPr>
                <w:rFonts w:eastAsia="Calibri"/>
                <w:i/>
                <w:sz w:val="20"/>
              </w:rPr>
              <w:t>Companies’ Creditors Arrangement Act</w:t>
            </w:r>
            <w:r w:rsidRPr="006042C8">
              <w:rPr>
                <w:rFonts w:eastAsia="Calibri"/>
                <w:sz w:val="20"/>
              </w:rPr>
              <w:t>, R.S.C. 1985, c. C</w:t>
            </w:r>
            <w:r w:rsidRPr="006042C8">
              <w:rPr>
                <w:rFonts w:eastAsia="Calibri"/>
                <w:sz w:val="20"/>
              </w:rPr>
              <w:noBreakHyphen/>
              <w:t>36.</w:t>
            </w:r>
          </w:p>
          <w:p w:rsidR="000C6A2A" w:rsidRPr="006042C8" w:rsidRDefault="000C6A2A" w:rsidP="009F6372">
            <w:pPr>
              <w:jc w:val="both"/>
              <w:rPr>
                <w:rFonts w:eastAsia="Calibri"/>
                <w:smallCaps/>
                <w:sz w:val="20"/>
              </w:rPr>
            </w:pPr>
          </w:p>
          <w:p w:rsidR="000C6A2A" w:rsidRPr="006042C8" w:rsidRDefault="000C6A2A" w:rsidP="009F6372">
            <w:pPr>
              <w:jc w:val="both"/>
              <w:rPr>
                <w:rFonts w:eastAsia="Calibri"/>
                <w:sz w:val="20"/>
              </w:rPr>
            </w:pPr>
            <w:r w:rsidRPr="006042C8">
              <w:rPr>
                <w:rFonts w:eastAsia="Calibri"/>
                <w:sz w:val="20"/>
              </w:rPr>
              <w:t xml:space="preserve">Hollinger Inc. and two related corporations were granted </w:t>
            </w:r>
            <w:r w:rsidRPr="006042C8">
              <w:rPr>
                <w:rFonts w:eastAsia="Calibri"/>
                <w:i/>
                <w:sz w:val="20"/>
              </w:rPr>
              <w:t>Companies’ Creditor Arrangement Act</w:t>
            </w:r>
            <w:r w:rsidRPr="006042C8">
              <w:rPr>
                <w:rFonts w:eastAsia="Calibri"/>
                <w:sz w:val="20"/>
              </w:rPr>
              <w:t>, R.S.C. 1985, c. C</w:t>
            </w:r>
            <w:r w:rsidRPr="006042C8">
              <w:rPr>
                <w:rFonts w:eastAsia="Calibri"/>
                <w:sz w:val="20"/>
              </w:rPr>
              <w:noBreakHyphen/>
              <w:t>36 (“CCAA”), protection.  A Litigation Trustee was appointed to deal with the assets available to Hollinger's creditors which consist almost entirely of Hollinger's claims against former officers, directors and advisors, including Conrad Black and Conrad Black Capital Corporation (“Black”), Torys LLP and KPMG LLP.  Black asserted a claim against Hollinger in the CCAA proceedings, as well as claims for contribution and indemnity against Torys and KPMG in relation to several claims asserted against him by Hollinger.  Settlement discussions and mediations between Hollinger, the Litigation Trustee, Torys and KPMG, led to two settlement agreements that require court approval. The draft settlement agreements were circulated to all parties with the amounts to be paid by way of settlement redacted. Hollinger, Torys and KPMG moved before the judge dealing with the CCAA proceedings for a sealing order redacting those amounts.  In its affidavit in support of the motion, Hollinger stated that “disclosure of the commercially sensitive terms contained in the Settlements and the strategy of the Litigation Trustee and other confidential details relating to Litigation Assets set out in the Litigation Trustee's Report would undermine the Litigation Trustee's initiatives with respect to the remaining Litigation Assets including, without limitation, any possible settlements the Litigation Trustee may reach in respect of any of the remaining Litigation Assets and litigation with KPMG or Torys, in the event that the settlements are not approved”.</w:t>
            </w:r>
          </w:p>
          <w:p w:rsidR="000C6A2A" w:rsidRPr="006042C8" w:rsidRDefault="000C6A2A" w:rsidP="009F6372">
            <w:pPr>
              <w:jc w:val="both"/>
              <w:rPr>
                <w:rFonts w:eastAsia="Calibri"/>
                <w:sz w:val="20"/>
              </w:rPr>
            </w:pPr>
          </w:p>
        </w:tc>
      </w:tr>
      <w:tr w:rsidR="000C6A2A" w:rsidRPr="006042C8" w:rsidTr="009F6372">
        <w:tc>
          <w:tcPr>
            <w:tcW w:w="5000" w:type="pct"/>
            <w:gridSpan w:val="3"/>
          </w:tcPr>
          <w:p w:rsidR="000C6A2A" w:rsidRPr="006042C8" w:rsidRDefault="000C6A2A" w:rsidP="009F6372">
            <w:pPr>
              <w:jc w:val="both"/>
              <w:rPr>
                <w:rFonts w:eastAsia="Calibri"/>
                <w:sz w:val="20"/>
              </w:rPr>
            </w:pPr>
            <w:r w:rsidRPr="006042C8">
              <w:rPr>
                <w:rFonts w:eastAsia="Calibri"/>
                <w:sz w:val="20"/>
              </w:rPr>
              <w:t>The Ontario Superior Court of Justice granted the sealing order redacting the amounts to be paid by Torys LLP and KPMG LLP to Hollinger Inc. pursuant to the proposed settlement agreements.  The Ontario Court of Appeal dismissed Conrad Black’s and Black Capital Corporation’s appeal.</w:t>
            </w:r>
          </w:p>
          <w:p w:rsidR="000C6A2A" w:rsidRPr="006042C8" w:rsidRDefault="000C6A2A" w:rsidP="009F6372">
            <w:pPr>
              <w:jc w:val="both"/>
              <w:rPr>
                <w:rFonts w:eastAsia="Calibri"/>
                <w:sz w:val="20"/>
              </w:rPr>
            </w:pPr>
          </w:p>
        </w:tc>
      </w:tr>
      <w:tr w:rsidR="000C6A2A" w:rsidRPr="006042C8" w:rsidTr="009F6372">
        <w:tc>
          <w:tcPr>
            <w:tcW w:w="2427" w:type="pct"/>
          </w:tcPr>
          <w:p w:rsidR="000C6A2A" w:rsidRPr="006042C8" w:rsidRDefault="000C6A2A" w:rsidP="009F6372">
            <w:pPr>
              <w:jc w:val="both"/>
              <w:rPr>
                <w:rFonts w:eastAsia="Calibri"/>
                <w:sz w:val="20"/>
              </w:rPr>
            </w:pPr>
            <w:r w:rsidRPr="006042C8">
              <w:rPr>
                <w:rFonts w:eastAsia="Calibri"/>
                <w:sz w:val="20"/>
              </w:rPr>
              <w:t>February 22, 2011</w:t>
            </w:r>
          </w:p>
          <w:p w:rsidR="000C6A2A" w:rsidRPr="006042C8" w:rsidRDefault="000C6A2A" w:rsidP="009F6372">
            <w:pPr>
              <w:jc w:val="both"/>
              <w:rPr>
                <w:rFonts w:eastAsia="Calibri"/>
                <w:sz w:val="20"/>
              </w:rPr>
            </w:pPr>
            <w:r w:rsidRPr="006042C8">
              <w:rPr>
                <w:rFonts w:eastAsia="Calibri"/>
                <w:sz w:val="20"/>
              </w:rPr>
              <w:t>Ontario Superior Court of Justice</w:t>
            </w:r>
          </w:p>
          <w:p w:rsidR="000C6A2A" w:rsidRPr="006042C8" w:rsidRDefault="000C6A2A" w:rsidP="009F6372">
            <w:pPr>
              <w:jc w:val="both"/>
              <w:rPr>
                <w:rFonts w:eastAsia="Calibri"/>
                <w:sz w:val="20"/>
              </w:rPr>
            </w:pPr>
            <w:r w:rsidRPr="006042C8">
              <w:rPr>
                <w:rFonts w:eastAsia="Calibri"/>
                <w:sz w:val="20"/>
              </w:rPr>
              <w:t>(Campbell J.)</w:t>
            </w:r>
          </w:p>
          <w:p w:rsidR="000C6A2A" w:rsidRPr="006042C8" w:rsidRDefault="000C6A2A" w:rsidP="009F6372">
            <w:pPr>
              <w:jc w:val="both"/>
              <w:rPr>
                <w:rFonts w:eastAsia="Calibri"/>
                <w:sz w:val="20"/>
              </w:rPr>
            </w:pP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Respondents’ motion for sealing order, granted.</w:t>
            </w:r>
          </w:p>
          <w:p w:rsidR="000C6A2A" w:rsidRPr="006042C8" w:rsidRDefault="000C6A2A" w:rsidP="009F6372">
            <w:pPr>
              <w:jc w:val="both"/>
              <w:rPr>
                <w:rFonts w:eastAsia="Calibri"/>
                <w:sz w:val="20"/>
              </w:rPr>
            </w:pPr>
          </w:p>
        </w:tc>
      </w:tr>
      <w:tr w:rsidR="000C6A2A" w:rsidRPr="006042C8" w:rsidTr="00486A5F">
        <w:trPr>
          <w:cantSplit/>
        </w:trPr>
        <w:tc>
          <w:tcPr>
            <w:tcW w:w="2427" w:type="pct"/>
          </w:tcPr>
          <w:p w:rsidR="000C6A2A" w:rsidRPr="006042C8" w:rsidRDefault="000C6A2A" w:rsidP="009F6372">
            <w:pPr>
              <w:jc w:val="both"/>
              <w:rPr>
                <w:rFonts w:eastAsia="Calibri"/>
                <w:sz w:val="20"/>
              </w:rPr>
            </w:pPr>
            <w:r w:rsidRPr="006042C8">
              <w:rPr>
                <w:rFonts w:eastAsia="Calibri"/>
                <w:sz w:val="20"/>
              </w:rPr>
              <w:lastRenderedPageBreak/>
              <w:t>September 8, 2011</w:t>
            </w:r>
          </w:p>
          <w:p w:rsidR="000C6A2A" w:rsidRPr="006042C8" w:rsidRDefault="000C6A2A" w:rsidP="009F6372">
            <w:pPr>
              <w:jc w:val="both"/>
              <w:rPr>
                <w:rFonts w:eastAsia="Calibri"/>
                <w:sz w:val="20"/>
              </w:rPr>
            </w:pPr>
            <w:r w:rsidRPr="006042C8">
              <w:rPr>
                <w:rFonts w:eastAsia="Calibri"/>
                <w:sz w:val="20"/>
              </w:rPr>
              <w:t>Court of Appeal for Ontario</w:t>
            </w:r>
          </w:p>
          <w:p w:rsidR="000C6A2A" w:rsidRPr="006042C8" w:rsidRDefault="000C6A2A" w:rsidP="009F6372">
            <w:pPr>
              <w:jc w:val="both"/>
              <w:rPr>
                <w:rFonts w:eastAsia="Calibri"/>
                <w:sz w:val="20"/>
              </w:rPr>
            </w:pPr>
            <w:r w:rsidRPr="006042C8">
              <w:rPr>
                <w:rFonts w:eastAsia="Calibri"/>
                <w:sz w:val="20"/>
              </w:rPr>
              <w:t>(Goudge, Sharpe and Karakatsanis JJ.A.)</w:t>
            </w:r>
          </w:p>
          <w:p w:rsidR="000C6A2A" w:rsidRPr="006042C8" w:rsidRDefault="000C6A2A" w:rsidP="009F6372">
            <w:pPr>
              <w:jc w:val="both"/>
              <w:rPr>
                <w:rFonts w:eastAsia="Calibri"/>
                <w:sz w:val="20"/>
              </w:rPr>
            </w:pP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Applicants’ appeal, dismissed.</w:t>
            </w:r>
          </w:p>
          <w:p w:rsidR="000C6A2A" w:rsidRPr="006042C8" w:rsidRDefault="000C6A2A" w:rsidP="009F6372">
            <w:pPr>
              <w:jc w:val="both"/>
              <w:rPr>
                <w:rFonts w:eastAsia="Calibri"/>
                <w:sz w:val="20"/>
              </w:rPr>
            </w:pPr>
          </w:p>
        </w:tc>
      </w:tr>
      <w:tr w:rsidR="000C6A2A" w:rsidRPr="006042C8" w:rsidTr="00486A5F">
        <w:trPr>
          <w:cantSplit/>
        </w:trPr>
        <w:tc>
          <w:tcPr>
            <w:tcW w:w="2427" w:type="pct"/>
          </w:tcPr>
          <w:p w:rsidR="000C6A2A" w:rsidRPr="006042C8" w:rsidRDefault="000C6A2A" w:rsidP="009F6372">
            <w:pPr>
              <w:jc w:val="both"/>
              <w:rPr>
                <w:rFonts w:eastAsia="Calibri"/>
                <w:sz w:val="20"/>
              </w:rPr>
            </w:pPr>
            <w:r w:rsidRPr="006042C8">
              <w:rPr>
                <w:rFonts w:eastAsia="Calibri"/>
                <w:sz w:val="20"/>
              </w:rPr>
              <w:t>October 25, 2011</w:t>
            </w:r>
          </w:p>
          <w:p w:rsidR="000C6A2A" w:rsidRPr="006042C8" w:rsidRDefault="000C6A2A" w:rsidP="009F6372">
            <w:pPr>
              <w:jc w:val="both"/>
              <w:rPr>
                <w:rFonts w:eastAsia="Calibri"/>
                <w:sz w:val="20"/>
              </w:rPr>
            </w:pPr>
            <w:r w:rsidRPr="006042C8">
              <w:rPr>
                <w:rFonts w:eastAsia="Calibri"/>
                <w:sz w:val="20"/>
              </w:rPr>
              <w:t>Supreme Court of Canada</w:t>
            </w: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Application for leave to appeal, filed.</w:t>
            </w:r>
          </w:p>
          <w:p w:rsidR="000C6A2A" w:rsidRPr="006042C8" w:rsidRDefault="000C6A2A" w:rsidP="009F6372">
            <w:pPr>
              <w:jc w:val="both"/>
              <w:rPr>
                <w:rFonts w:eastAsia="Calibri"/>
                <w:sz w:val="20"/>
              </w:rPr>
            </w:pPr>
          </w:p>
        </w:tc>
      </w:tr>
    </w:tbl>
    <w:p w:rsidR="000C6A2A" w:rsidRDefault="000C6A2A" w:rsidP="008D292F">
      <w:pPr>
        <w:rPr>
          <w:sz w:val="20"/>
          <w:szCs w:val="20"/>
        </w:rPr>
      </w:pPr>
    </w:p>
    <w:p w:rsidR="000C6A2A" w:rsidRDefault="009753DF" w:rsidP="008D292F">
      <w:pPr>
        <w:rPr>
          <w:sz w:val="20"/>
          <w:szCs w:val="20"/>
          <w:lang w:val="fr-CA"/>
        </w:rPr>
      </w:pPr>
      <w:r w:rsidRPr="009753DF">
        <w:rPr>
          <w:sz w:val="20"/>
          <w:szCs w:val="20"/>
          <w:lang w:val="fr-CA"/>
        </w:rPr>
        <w:pict>
          <v:rect id="_x0000_i1040" style="width:2in;height:1pt" o:hrpct="0" o:hralign="center" o:hrstd="t" o:hrnoshade="t" o:hr="t" fillcolor="black [3213]" stroked="f"/>
        </w:pict>
      </w:r>
    </w:p>
    <w:p w:rsidR="000C6A2A" w:rsidRDefault="000C6A2A" w:rsidP="008D292F">
      <w:pPr>
        <w:rPr>
          <w:sz w:val="20"/>
          <w:szCs w:val="20"/>
          <w:lang w:val="fr-CA"/>
        </w:rPr>
      </w:pPr>
    </w:p>
    <w:p w:rsidR="000C6A2A" w:rsidRPr="001B157C" w:rsidRDefault="000C6A2A" w:rsidP="000C6A2A">
      <w:pPr>
        <w:rPr>
          <w:sz w:val="20"/>
          <w:szCs w:val="20"/>
          <w:u w:val="single"/>
          <w:lang w:val="fr-CA"/>
        </w:rPr>
      </w:pPr>
      <w:r w:rsidRPr="001B157C">
        <w:rPr>
          <w:sz w:val="20"/>
          <w:szCs w:val="20"/>
          <w:u w:val="single"/>
          <w:lang w:val="fr-CA"/>
        </w:rPr>
        <w:t>RÉSUMÉ DE L’AFFAIRE</w:t>
      </w:r>
    </w:p>
    <w:p w:rsidR="000C6A2A" w:rsidRDefault="000C6A2A" w:rsidP="008D292F">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0C6A2A" w:rsidRPr="008C68F8" w:rsidTr="009F6372">
        <w:tc>
          <w:tcPr>
            <w:tcW w:w="5000" w:type="pct"/>
            <w:gridSpan w:val="3"/>
          </w:tcPr>
          <w:p w:rsidR="000C6A2A" w:rsidRPr="006042C8" w:rsidRDefault="000C6A2A" w:rsidP="009F6372">
            <w:pPr>
              <w:jc w:val="both"/>
              <w:rPr>
                <w:rFonts w:eastAsia="Calibri"/>
                <w:sz w:val="20"/>
                <w:lang w:val="fr-CA"/>
              </w:rPr>
            </w:pPr>
            <w:r w:rsidRPr="006042C8">
              <w:rPr>
                <w:rFonts w:eastAsia="Calibri"/>
                <w:sz w:val="20"/>
                <w:lang w:val="fr-CA"/>
              </w:rPr>
              <w:t xml:space="preserve">Droit commercial – Ordonnance de mise sous scellés – Instance sous le régime de la </w:t>
            </w:r>
            <w:r w:rsidRPr="006042C8">
              <w:rPr>
                <w:rFonts w:eastAsia="Calibri"/>
                <w:i/>
                <w:sz w:val="20"/>
                <w:lang w:val="fr-CA"/>
              </w:rPr>
              <w:t>Loi sur les arrangements avec les créanciers</w:t>
            </w:r>
            <w:r w:rsidRPr="006042C8">
              <w:rPr>
                <w:rFonts w:eastAsia="Calibri"/>
                <w:sz w:val="20"/>
                <w:lang w:val="fr-CA"/>
              </w:rPr>
              <w:t xml:space="preserve">  – Règlements amiables – Le principe de la publicité des débats judiciaires doit</w:t>
            </w:r>
            <w:r w:rsidRPr="006042C8">
              <w:rPr>
                <w:rFonts w:eastAsia="Calibri"/>
                <w:sz w:val="20"/>
                <w:lang w:val="fr-CA"/>
              </w:rPr>
              <w:noBreakHyphen/>
              <w:t>il céder le pas à l’objectif de la politique de favoriser le règlement des litiges et dans quelles situations doit</w:t>
            </w:r>
            <w:r w:rsidRPr="006042C8">
              <w:rPr>
                <w:rFonts w:eastAsia="Calibri"/>
                <w:sz w:val="20"/>
                <w:lang w:val="fr-CA"/>
              </w:rPr>
              <w:noBreakHyphen/>
              <w:t>il le faire, le cas échéant? – Comment doit s’appliquer le principe de la publicité des débats judiciaires dans le contexte de règlements qui doivent être homologués par le tribunal? – Quelle importance les tribunaux doivent</w:t>
            </w:r>
            <w:r w:rsidRPr="006042C8">
              <w:rPr>
                <w:rFonts w:eastAsia="Calibri"/>
                <w:sz w:val="20"/>
                <w:lang w:val="fr-CA"/>
              </w:rPr>
              <w:noBreakHyphen/>
              <w:t xml:space="preserve">ils accorder au principe de la publicité des débats judiciaires sous le régime de la </w:t>
            </w:r>
            <w:r w:rsidRPr="006042C8">
              <w:rPr>
                <w:rFonts w:eastAsia="Calibri"/>
                <w:i/>
                <w:sz w:val="20"/>
                <w:lang w:val="fr-CA"/>
              </w:rPr>
              <w:t>Loi sur les arrangements avec les créanciers</w:t>
            </w:r>
            <w:r w:rsidRPr="006042C8">
              <w:rPr>
                <w:rFonts w:eastAsia="Calibri"/>
                <w:sz w:val="20"/>
                <w:lang w:val="fr-CA"/>
              </w:rPr>
              <w:t>, L.R.C. 1985, ch. C</w:t>
            </w:r>
            <w:r w:rsidRPr="006042C8">
              <w:rPr>
                <w:rFonts w:eastAsia="Calibri"/>
                <w:sz w:val="20"/>
                <w:lang w:val="fr-CA"/>
              </w:rPr>
              <w:noBreakHyphen/>
              <w:t>36?</w:t>
            </w:r>
          </w:p>
          <w:p w:rsidR="000C6A2A" w:rsidRPr="006042C8" w:rsidRDefault="000C6A2A" w:rsidP="009F6372">
            <w:pPr>
              <w:jc w:val="both"/>
              <w:rPr>
                <w:rFonts w:eastAsia="Calibri"/>
                <w:smallCaps/>
                <w:sz w:val="20"/>
                <w:lang w:val="fr-CA"/>
              </w:rPr>
            </w:pPr>
          </w:p>
          <w:p w:rsidR="000C6A2A" w:rsidRPr="006042C8" w:rsidRDefault="000C6A2A" w:rsidP="009F6372">
            <w:pPr>
              <w:jc w:val="both"/>
              <w:rPr>
                <w:rFonts w:eastAsia="Calibri"/>
                <w:sz w:val="20"/>
                <w:lang w:val="fr-CA"/>
              </w:rPr>
            </w:pPr>
            <w:r w:rsidRPr="006042C8">
              <w:rPr>
                <w:rFonts w:eastAsia="Calibri"/>
                <w:sz w:val="20"/>
                <w:lang w:val="fr-CA"/>
              </w:rPr>
              <w:t xml:space="preserve">Hollinger Inc. et deux sociétés par action liées se sont vu accorder la protection sous le régime de la  </w:t>
            </w:r>
            <w:r w:rsidRPr="006042C8">
              <w:rPr>
                <w:rFonts w:eastAsia="Calibri"/>
                <w:i/>
                <w:sz w:val="20"/>
                <w:lang w:val="fr-CA"/>
              </w:rPr>
              <w:t>Loi sur les arrangements avec les créanciers</w:t>
            </w:r>
            <w:r w:rsidRPr="006042C8">
              <w:rPr>
                <w:rFonts w:eastAsia="Calibri"/>
                <w:sz w:val="20"/>
                <w:lang w:val="fr-CA"/>
              </w:rPr>
              <w:t>, L.R.C. 1985, ch. C</w:t>
            </w:r>
            <w:r w:rsidRPr="006042C8">
              <w:rPr>
                <w:rFonts w:eastAsia="Calibri"/>
                <w:sz w:val="20"/>
                <w:lang w:val="fr-CA"/>
              </w:rPr>
              <w:noBreakHyphen/>
              <w:t>36 (« la Loi »). Un fiduciaire à l’instance a été nommé pour administrer l’actif mis à la disposition des créanciers de Hollinger, constitué presque entièrement de réclamations de Hollinger contre d’anciens dirigeants, administrateurs et conseillers, y compris Conrad Black et Conrad Black Capital Corporation (« Black »), Torys LLP et KPMG LLP.  Black a fait valoir une réclamation contre Hollinger dans l’instance sous le régime de la Loi, ainsi que des demandes de contribution et d’indemnisation contre Torys et KPMG en lien avec plusieurs réclamations faites contre lui par Hollinger. Des discussions de règlement et des médiations entre Hollinger, le fiduciaire à l’instance, Torys et KPMG, ont donné lieu à deux règlements amiables qui doivent être homologués par le tribunal. Les projets de règlements amiables ont été distribués à toutes les parties et les montants à payer par voie de règlement ont été expurgés. Hollinger, Torys et KPMG ont présenté une motion au juge saisi de l’instance sous le régime de la Loi d’ordonner la mise sous scellés pour l’expurgation de ces montants. Dans son affidavit au soutien de la motion, Hollinger a affirmé que [</w:t>
            </w:r>
            <w:r w:rsidRPr="006042C8">
              <w:rPr>
                <w:rFonts w:eastAsia="Calibri"/>
                <w:smallCaps/>
                <w:sz w:val="20"/>
                <w:lang w:val="fr-CA"/>
              </w:rPr>
              <w:t>traduction</w:t>
            </w:r>
            <w:r w:rsidRPr="006042C8">
              <w:rPr>
                <w:rFonts w:eastAsia="Calibri"/>
                <w:sz w:val="20"/>
                <w:lang w:val="fr-CA"/>
              </w:rPr>
              <w:t>] « la divulgation de conditions commercialement sensibles que renferment les règlements et la stratégie du fiduciaire à l’instance et d’autres détails confidentiels relatifs à l’actif en cause énoncés dans le rapport du fiduciaire à l’instance aurait pour effet de miner les initiatives du fiduciaire à l’instance relativement au reliquat de l’actif en cause, notamment d’éventuels règlements que le fiduciaire à l’instance pourrait conclure à l’égard de toute partie du reliquat de l’actif en cause et au litige avec KPMG or Torys, si les règlements n’étaient pas homologués ».</w:t>
            </w:r>
          </w:p>
          <w:p w:rsidR="000C6A2A" w:rsidRPr="006042C8" w:rsidRDefault="000C6A2A" w:rsidP="009F6372">
            <w:pPr>
              <w:jc w:val="both"/>
              <w:rPr>
                <w:rFonts w:eastAsia="Calibri"/>
                <w:sz w:val="20"/>
                <w:lang w:val="fr-CA"/>
              </w:rPr>
            </w:pPr>
          </w:p>
        </w:tc>
      </w:tr>
      <w:tr w:rsidR="000C6A2A" w:rsidRPr="008C68F8" w:rsidTr="009F6372">
        <w:tc>
          <w:tcPr>
            <w:tcW w:w="5000" w:type="pct"/>
            <w:gridSpan w:val="3"/>
          </w:tcPr>
          <w:p w:rsidR="000C6A2A" w:rsidRPr="006042C8" w:rsidRDefault="000C6A2A" w:rsidP="009F6372">
            <w:pPr>
              <w:jc w:val="both"/>
              <w:rPr>
                <w:rFonts w:eastAsia="Calibri"/>
                <w:sz w:val="20"/>
                <w:lang w:val="fr-CA"/>
              </w:rPr>
            </w:pPr>
            <w:r w:rsidRPr="006042C8">
              <w:rPr>
                <w:rFonts w:eastAsia="Calibri"/>
                <w:sz w:val="20"/>
                <w:lang w:val="fr-CA"/>
              </w:rPr>
              <w:t>La Cour supérieure de justice a accordé l’ordonnance de mise sous scellés, expurgeant les montants que doivent payer Torys LLP et KPMG LLP à Hollinger Inc. conformément aux projets de règlements amiables. La Cour d’appel de l’Ontario a rejeté l’appel de Conrad Black et de Black Capital Corporation.</w:t>
            </w:r>
          </w:p>
          <w:p w:rsidR="000C6A2A" w:rsidRPr="006042C8" w:rsidRDefault="000C6A2A" w:rsidP="009F6372">
            <w:pPr>
              <w:jc w:val="both"/>
              <w:rPr>
                <w:rFonts w:eastAsia="Calibri"/>
                <w:sz w:val="20"/>
                <w:lang w:val="fr-CA"/>
              </w:rPr>
            </w:pPr>
          </w:p>
        </w:tc>
      </w:tr>
      <w:tr w:rsidR="000C6A2A" w:rsidRPr="008C68F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t>22 février 2011</w:t>
            </w:r>
          </w:p>
          <w:p w:rsidR="000C6A2A" w:rsidRPr="006042C8" w:rsidRDefault="000C6A2A" w:rsidP="009F6372">
            <w:pPr>
              <w:jc w:val="both"/>
              <w:rPr>
                <w:rFonts w:eastAsia="Calibri"/>
                <w:sz w:val="20"/>
                <w:lang w:val="fr-CA"/>
              </w:rPr>
            </w:pPr>
            <w:r w:rsidRPr="006042C8">
              <w:rPr>
                <w:rFonts w:eastAsia="Calibri"/>
                <w:sz w:val="20"/>
                <w:lang w:val="fr-CA"/>
              </w:rPr>
              <w:t>Cour supérieure de justice de l’Ontario</w:t>
            </w:r>
          </w:p>
          <w:p w:rsidR="000C6A2A" w:rsidRPr="006042C8" w:rsidRDefault="000C6A2A" w:rsidP="009F6372">
            <w:pPr>
              <w:jc w:val="both"/>
              <w:rPr>
                <w:rFonts w:eastAsia="Calibri"/>
                <w:sz w:val="20"/>
                <w:lang w:val="fr-CA"/>
              </w:rPr>
            </w:pPr>
            <w:r w:rsidRPr="006042C8">
              <w:rPr>
                <w:rFonts w:eastAsia="Calibri"/>
                <w:sz w:val="20"/>
                <w:lang w:val="fr-CA"/>
              </w:rPr>
              <w:t>(Juge Campbell)</w:t>
            </w:r>
          </w:p>
          <w:p w:rsidR="000C6A2A" w:rsidRPr="006042C8" w:rsidRDefault="000C6A2A" w:rsidP="009F6372">
            <w:pPr>
              <w:jc w:val="both"/>
              <w:rPr>
                <w:rFonts w:eastAsia="Calibri"/>
                <w:sz w:val="20"/>
                <w:lang w:val="fr-CA"/>
              </w:rPr>
            </w:pPr>
          </w:p>
        </w:tc>
        <w:tc>
          <w:tcPr>
            <w:tcW w:w="243" w:type="pct"/>
          </w:tcPr>
          <w:p w:rsidR="000C6A2A" w:rsidRPr="006042C8" w:rsidRDefault="000C6A2A" w:rsidP="009F6372">
            <w:pPr>
              <w:jc w:val="both"/>
              <w:rPr>
                <w:rFonts w:eastAsia="Calibri"/>
                <w:sz w:val="20"/>
                <w:lang w:val="fr-CA"/>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Motion des intimées pour obtenir une ordonnance de mise sous scellés, accueillie.</w:t>
            </w:r>
          </w:p>
          <w:p w:rsidR="000C6A2A" w:rsidRPr="006042C8" w:rsidRDefault="000C6A2A" w:rsidP="009F6372">
            <w:pPr>
              <w:jc w:val="both"/>
              <w:rPr>
                <w:rFonts w:eastAsia="Calibri"/>
                <w:sz w:val="20"/>
                <w:lang w:val="fr-CA"/>
              </w:rPr>
            </w:pPr>
          </w:p>
        </w:tc>
      </w:tr>
      <w:tr w:rsidR="000C6A2A" w:rsidRPr="006042C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t>8 septembre 2011</w:t>
            </w:r>
          </w:p>
          <w:p w:rsidR="000C6A2A" w:rsidRPr="006042C8" w:rsidRDefault="000C6A2A" w:rsidP="009F6372">
            <w:pPr>
              <w:jc w:val="both"/>
              <w:rPr>
                <w:rFonts w:eastAsia="Calibri"/>
                <w:sz w:val="20"/>
                <w:lang w:val="fr-CA"/>
              </w:rPr>
            </w:pPr>
            <w:r w:rsidRPr="006042C8">
              <w:rPr>
                <w:rFonts w:eastAsia="Calibri"/>
                <w:sz w:val="20"/>
                <w:lang w:val="fr-CA"/>
              </w:rPr>
              <w:t>Cour d’appel de l’Ontario</w:t>
            </w:r>
          </w:p>
          <w:p w:rsidR="000C6A2A" w:rsidRPr="006042C8" w:rsidRDefault="000C6A2A" w:rsidP="00486A5F">
            <w:pPr>
              <w:jc w:val="both"/>
              <w:rPr>
                <w:rFonts w:eastAsia="Calibri"/>
                <w:sz w:val="20"/>
                <w:lang w:val="fr-CA"/>
              </w:rPr>
            </w:pPr>
            <w:r w:rsidRPr="006042C8">
              <w:rPr>
                <w:rFonts w:eastAsia="Calibri"/>
                <w:sz w:val="20"/>
                <w:lang w:val="fr-CA"/>
              </w:rPr>
              <w:t>(Juges Goudge, Sharpe et Karakatsanis)</w:t>
            </w:r>
          </w:p>
        </w:tc>
        <w:tc>
          <w:tcPr>
            <w:tcW w:w="243" w:type="pct"/>
          </w:tcPr>
          <w:p w:rsidR="000C6A2A" w:rsidRPr="006042C8" w:rsidRDefault="000C6A2A" w:rsidP="009F6372">
            <w:pPr>
              <w:jc w:val="both"/>
              <w:rPr>
                <w:rFonts w:eastAsia="Calibri"/>
                <w:sz w:val="20"/>
                <w:lang w:val="fr-CA"/>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Appel des demandeurs rejeté.</w:t>
            </w:r>
          </w:p>
          <w:p w:rsidR="000C6A2A" w:rsidRPr="006042C8" w:rsidRDefault="000C6A2A" w:rsidP="009F6372">
            <w:pPr>
              <w:jc w:val="both"/>
              <w:rPr>
                <w:rFonts w:eastAsia="Calibri"/>
                <w:sz w:val="20"/>
                <w:lang w:val="fr-CA"/>
              </w:rPr>
            </w:pPr>
          </w:p>
        </w:tc>
      </w:tr>
    </w:tbl>
    <w:p w:rsidR="00486A5F" w:rsidRDefault="00486A5F"/>
    <w:p w:rsidR="00486A5F" w:rsidRDefault="00486A5F">
      <w:r>
        <w:br w:type="page"/>
      </w:r>
    </w:p>
    <w:tbl>
      <w:tblPr>
        <w:tblW w:w="4952" w:type="pct"/>
        <w:tblLayout w:type="fixed"/>
        <w:tblCellMar>
          <w:left w:w="0" w:type="dxa"/>
          <w:bottom w:w="99" w:type="dxa"/>
          <w:right w:w="0" w:type="dxa"/>
        </w:tblCellMar>
        <w:tblLook w:val="00A0"/>
      </w:tblPr>
      <w:tblGrid>
        <w:gridCol w:w="4624"/>
        <w:gridCol w:w="463"/>
        <w:gridCol w:w="4440"/>
      </w:tblGrid>
      <w:tr w:rsidR="000C6A2A" w:rsidRPr="006042C8" w:rsidTr="00486A5F">
        <w:trPr>
          <w:cantSplit/>
        </w:trPr>
        <w:tc>
          <w:tcPr>
            <w:tcW w:w="2427" w:type="pct"/>
          </w:tcPr>
          <w:p w:rsidR="000C6A2A" w:rsidRPr="006042C8" w:rsidRDefault="000C6A2A" w:rsidP="009F6372">
            <w:pPr>
              <w:jc w:val="both"/>
              <w:rPr>
                <w:rFonts w:eastAsia="Calibri"/>
                <w:sz w:val="20"/>
                <w:lang w:val="fr-CA"/>
              </w:rPr>
            </w:pPr>
            <w:r w:rsidRPr="006042C8">
              <w:rPr>
                <w:rFonts w:eastAsia="Calibri"/>
                <w:sz w:val="20"/>
                <w:lang w:val="fr-CA"/>
              </w:rPr>
              <w:lastRenderedPageBreak/>
              <w:t>25 octobre 2011</w:t>
            </w:r>
          </w:p>
          <w:p w:rsidR="000C6A2A" w:rsidRPr="006042C8" w:rsidRDefault="000C6A2A" w:rsidP="009F6372">
            <w:pPr>
              <w:jc w:val="both"/>
              <w:rPr>
                <w:rFonts w:eastAsia="Calibri"/>
                <w:sz w:val="20"/>
                <w:lang w:val="fr-CA"/>
              </w:rPr>
            </w:pPr>
            <w:r w:rsidRPr="006042C8">
              <w:rPr>
                <w:rFonts w:eastAsia="Calibri"/>
                <w:sz w:val="20"/>
                <w:lang w:val="fr-CA"/>
              </w:rPr>
              <w:t>Cour suprême du Canada</w:t>
            </w:r>
          </w:p>
        </w:tc>
        <w:tc>
          <w:tcPr>
            <w:tcW w:w="243" w:type="pct"/>
          </w:tcPr>
          <w:p w:rsidR="000C6A2A" w:rsidRPr="006042C8" w:rsidRDefault="000C6A2A" w:rsidP="009F6372">
            <w:pPr>
              <w:jc w:val="both"/>
              <w:rPr>
                <w:rFonts w:eastAsia="Calibri"/>
                <w:sz w:val="20"/>
                <w:lang w:val="fr-CA"/>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Demande d’autorisation d’appel, déposée.</w:t>
            </w:r>
          </w:p>
          <w:p w:rsidR="000C6A2A" w:rsidRPr="006042C8" w:rsidRDefault="000C6A2A" w:rsidP="009F6372">
            <w:pPr>
              <w:jc w:val="both"/>
              <w:rPr>
                <w:rFonts w:eastAsia="Calibri"/>
                <w:sz w:val="20"/>
                <w:lang w:val="fr-CA"/>
              </w:rPr>
            </w:pPr>
          </w:p>
        </w:tc>
      </w:tr>
    </w:tbl>
    <w:p w:rsidR="000C6A2A" w:rsidRDefault="000C6A2A" w:rsidP="008D292F">
      <w:pPr>
        <w:rPr>
          <w:sz w:val="20"/>
          <w:szCs w:val="20"/>
          <w:lang w:val="fr-CA"/>
        </w:rPr>
      </w:pPr>
    </w:p>
    <w:p w:rsidR="000C6A2A" w:rsidRDefault="009753DF" w:rsidP="008D292F">
      <w:pPr>
        <w:rPr>
          <w:sz w:val="20"/>
          <w:szCs w:val="20"/>
          <w:lang w:val="fr-CA"/>
        </w:rPr>
      </w:pPr>
      <w:r w:rsidRPr="009753DF">
        <w:rPr>
          <w:sz w:val="20"/>
          <w:szCs w:val="20"/>
          <w:lang w:val="fr-CA"/>
        </w:rPr>
        <w:pict>
          <v:rect id="_x0000_i1041" style="width:2in;height:1pt" o:hrpct="0" o:hralign="center" o:hrstd="t" o:hrnoshade="t" o:hr="t" fillcolor="black [3213]" stroked="f"/>
        </w:pict>
      </w:r>
    </w:p>
    <w:p w:rsidR="00486A5F" w:rsidRDefault="00486A5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235D5" w:rsidRPr="00184193" w:rsidTr="00604498">
        <w:trPr>
          <w:cantSplit/>
        </w:trPr>
        <w:tc>
          <w:tcPr>
            <w:tcW w:w="1458" w:type="dxa"/>
          </w:tcPr>
          <w:p w:rsidR="00F235D5" w:rsidRPr="00184193" w:rsidRDefault="00F235D5" w:rsidP="00604498">
            <w:pPr>
              <w:rPr>
                <w:sz w:val="20"/>
                <w:szCs w:val="20"/>
              </w:rPr>
            </w:pPr>
            <w:r w:rsidRPr="00184193">
              <w:rPr>
                <w:rStyle w:val="SCCFileNumberChar"/>
                <w:sz w:val="20"/>
                <w:szCs w:val="20"/>
              </w:rPr>
              <w:t>34515</w:t>
            </w:r>
          </w:p>
          <w:p w:rsidR="00F235D5" w:rsidRPr="00184193" w:rsidRDefault="00F235D5" w:rsidP="00604498">
            <w:pPr>
              <w:rPr>
                <w:b/>
                <w:sz w:val="20"/>
                <w:szCs w:val="20"/>
                <w:lang w:val="fr-CA"/>
              </w:rPr>
            </w:pPr>
          </w:p>
        </w:tc>
        <w:tc>
          <w:tcPr>
            <w:tcW w:w="8118" w:type="dxa"/>
          </w:tcPr>
          <w:p w:rsidR="00F235D5" w:rsidRPr="00184193" w:rsidRDefault="00F235D5" w:rsidP="00604498">
            <w:pPr>
              <w:jc w:val="both"/>
              <w:rPr>
                <w:sz w:val="20"/>
                <w:szCs w:val="20"/>
              </w:rPr>
            </w:pPr>
            <w:r w:rsidRPr="00184193">
              <w:rPr>
                <w:rStyle w:val="SCCLsocChar"/>
                <w:sz w:val="20"/>
                <w:szCs w:val="20"/>
                <w:lang w:val="en-CA"/>
              </w:rPr>
              <w:t>Antonella Morsi, Christina Chiari Morsi and Sophia Marka Morsi, minors by their Litigation Guardian, Antonella Morsi, Carlo Morsi, Stephen Morsi and Maria Liidemann v. Fermar Paving Limited</w:t>
            </w:r>
            <w:r w:rsidR="00486A5F">
              <w:rPr>
                <w:rStyle w:val="SCCLsocChar"/>
                <w:sz w:val="20"/>
                <w:szCs w:val="20"/>
                <w:lang w:val="en-CA"/>
              </w:rPr>
              <w:t xml:space="preserve"> and</w:t>
            </w:r>
            <w:r w:rsidRPr="00184193">
              <w:rPr>
                <w:rStyle w:val="SCCLsocChar"/>
                <w:sz w:val="20"/>
                <w:szCs w:val="20"/>
                <w:lang w:val="en-CA"/>
              </w:rPr>
              <w:t xml:space="preserve"> Regional Municipality of York</w:t>
            </w:r>
            <w:r w:rsidRPr="00184193">
              <w:rPr>
                <w:sz w:val="20"/>
                <w:szCs w:val="20"/>
              </w:rPr>
              <w:t xml:space="preserve"> (Ont.) (Civil) (By Leave)</w:t>
            </w:r>
          </w:p>
          <w:p w:rsidR="00F235D5" w:rsidRPr="00184193" w:rsidRDefault="00F235D5" w:rsidP="00604498">
            <w:pPr>
              <w:rPr>
                <w:sz w:val="20"/>
                <w:szCs w:val="20"/>
              </w:rPr>
            </w:pPr>
          </w:p>
        </w:tc>
      </w:tr>
      <w:tr w:rsidR="00F235D5" w:rsidRPr="00184193" w:rsidTr="00604498">
        <w:trPr>
          <w:cantSplit/>
        </w:trPr>
        <w:tc>
          <w:tcPr>
            <w:tcW w:w="1458" w:type="dxa"/>
          </w:tcPr>
          <w:p w:rsidR="00F235D5" w:rsidRPr="00184193" w:rsidRDefault="00F235D5" w:rsidP="00604498">
            <w:pPr>
              <w:rPr>
                <w:sz w:val="20"/>
                <w:szCs w:val="20"/>
              </w:rPr>
            </w:pPr>
            <w:r w:rsidRPr="00184193">
              <w:rPr>
                <w:sz w:val="20"/>
                <w:szCs w:val="20"/>
              </w:rPr>
              <w:t>Coram :</w:t>
            </w:r>
          </w:p>
        </w:tc>
        <w:tc>
          <w:tcPr>
            <w:tcW w:w="8118" w:type="dxa"/>
          </w:tcPr>
          <w:p w:rsidR="00F235D5" w:rsidRPr="00184193" w:rsidRDefault="00F235D5" w:rsidP="00604498">
            <w:pPr>
              <w:rPr>
                <w:sz w:val="20"/>
                <w:szCs w:val="20"/>
              </w:rPr>
            </w:pPr>
            <w:r w:rsidRPr="00184193">
              <w:rPr>
                <w:rStyle w:val="SCCCoramChar"/>
                <w:sz w:val="20"/>
                <w:szCs w:val="20"/>
                <w:lang w:val="en-CA"/>
              </w:rPr>
              <w:t>LeBel, Abella and Cromwell JJ.</w:t>
            </w:r>
          </w:p>
          <w:p w:rsidR="00F235D5" w:rsidRPr="00184193" w:rsidRDefault="00F235D5" w:rsidP="00604498">
            <w:pPr>
              <w:rPr>
                <w:sz w:val="20"/>
                <w:szCs w:val="20"/>
                <w:u w:val="single"/>
              </w:rPr>
            </w:pPr>
          </w:p>
        </w:tc>
      </w:tr>
      <w:tr w:rsidR="00F235D5" w:rsidRPr="008C68F8" w:rsidTr="00604498">
        <w:trPr>
          <w:cantSplit/>
        </w:trPr>
        <w:tc>
          <w:tcPr>
            <w:tcW w:w="9576" w:type="dxa"/>
            <w:gridSpan w:val="2"/>
          </w:tcPr>
          <w:p w:rsidR="00F235D5" w:rsidRPr="00184193" w:rsidRDefault="00F235D5" w:rsidP="00604498">
            <w:pPr>
              <w:pStyle w:val="SCCShortJudgment"/>
              <w:rPr>
                <w:szCs w:val="20"/>
              </w:rPr>
            </w:pPr>
            <w:r w:rsidRPr="00184193">
              <w:rPr>
                <w:szCs w:val="20"/>
              </w:rPr>
              <w:t>The application for leave to appeal from the judgment of the Court of Appeal for Ontario, Numbers C52495 and C52505, 2011 ONCA 577, dated September 8, 2011, is dismissed with costs.</w:t>
            </w:r>
          </w:p>
          <w:p w:rsidR="00F235D5" w:rsidRPr="00184193" w:rsidRDefault="00F235D5" w:rsidP="00604498">
            <w:pPr>
              <w:pStyle w:val="SCCShortJudgment"/>
              <w:ind w:firstLine="0"/>
              <w:rPr>
                <w:szCs w:val="20"/>
              </w:rPr>
            </w:pPr>
          </w:p>
          <w:p w:rsidR="00F235D5" w:rsidRPr="00184193" w:rsidRDefault="00F235D5" w:rsidP="00604498">
            <w:pPr>
              <w:pStyle w:val="SCCShortJudgment"/>
              <w:rPr>
                <w:szCs w:val="20"/>
                <w:lang w:val="fr-CA"/>
              </w:rPr>
            </w:pPr>
            <w:r w:rsidRPr="00184193">
              <w:rPr>
                <w:szCs w:val="20"/>
                <w:lang w:val="fr-CA"/>
              </w:rPr>
              <w:t>La demande d’autorisation d’appel de l’arrêt de la Cour d’appel de l’Ontario, numéros C52495 et C52505, 2011 ONCA 577, daté du 8 septembre 2011, est rejetée avec dépens.</w:t>
            </w:r>
          </w:p>
        </w:tc>
      </w:tr>
    </w:tbl>
    <w:p w:rsidR="00837483" w:rsidRPr="00F235D5" w:rsidRDefault="00837483" w:rsidP="00837483">
      <w:pPr>
        <w:rPr>
          <w:sz w:val="20"/>
          <w:szCs w:val="20"/>
          <w:lang w:val="fr-CA"/>
        </w:rPr>
      </w:pPr>
    </w:p>
    <w:p w:rsidR="00837483" w:rsidRPr="001B157C" w:rsidRDefault="00837483" w:rsidP="00837483">
      <w:pPr>
        <w:rPr>
          <w:sz w:val="20"/>
          <w:szCs w:val="20"/>
          <w:u w:val="single"/>
        </w:rPr>
      </w:pPr>
      <w:r w:rsidRPr="001B157C">
        <w:rPr>
          <w:sz w:val="20"/>
          <w:szCs w:val="20"/>
          <w:u w:val="single"/>
        </w:rPr>
        <w:t>CASE SUMMARY</w:t>
      </w:r>
    </w:p>
    <w:p w:rsidR="00837483" w:rsidRDefault="00837483" w:rsidP="0083748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6A2A" w:rsidRPr="006042C8" w:rsidTr="009F6372">
        <w:tc>
          <w:tcPr>
            <w:tcW w:w="5000" w:type="pct"/>
            <w:gridSpan w:val="3"/>
          </w:tcPr>
          <w:p w:rsidR="000C6A2A" w:rsidRPr="006042C8" w:rsidRDefault="000C6A2A" w:rsidP="009F6372">
            <w:pPr>
              <w:jc w:val="both"/>
              <w:rPr>
                <w:rFonts w:eastAsia="Calibri"/>
                <w:sz w:val="20"/>
              </w:rPr>
            </w:pPr>
            <w:r w:rsidRPr="006042C8">
              <w:rPr>
                <w:rFonts w:eastAsia="Calibri"/>
                <w:sz w:val="20"/>
              </w:rPr>
              <w:t xml:space="preserve">Municipal law – Torts – Negligence – Duty of Care – Contributory Negligence – Motor Vehicles – Whether the Court of Appeal erred in setting aside the finding of negligence against the respondent Regional Municipality of York on the basis that there was no breach of the statutory duty under s. 44(1) of the </w:t>
            </w:r>
            <w:r w:rsidRPr="006042C8">
              <w:rPr>
                <w:rFonts w:eastAsia="Calibri"/>
                <w:i/>
                <w:sz w:val="20"/>
              </w:rPr>
              <w:t>Municipal Act, 2001</w:t>
            </w:r>
            <w:r w:rsidRPr="006042C8">
              <w:rPr>
                <w:rFonts w:eastAsia="Calibri"/>
                <w:sz w:val="20"/>
              </w:rPr>
              <w:t>, S.O. 2001 – Whether the Court of Appeal erred in setting aside the finding of negligence against the respondent Fermar Paving Limited since the cause of the accident was Mr. Morsi’s reckless driving and not the negligence of the contractor.</w:t>
            </w:r>
          </w:p>
        </w:tc>
      </w:tr>
      <w:tr w:rsidR="000C6A2A" w:rsidRPr="006042C8" w:rsidTr="009F6372">
        <w:tc>
          <w:tcPr>
            <w:tcW w:w="5000" w:type="pct"/>
            <w:gridSpan w:val="3"/>
          </w:tcPr>
          <w:p w:rsidR="000C6A2A" w:rsidRPr="006042C8" w:rsidRDefault="000C6A2A" w:rsidP="009F6372">
            <w:pPr>
              <w:jc w:val="both"/>
              <w:rPr>
                <w:rFonts w:eastAsia="Calibri"/>
                <w:sz w:val="20"/>
              </w:rPr>
            </w:pPr>
          </w:p>
        </w:tc>
      </w:tr>
      <w:tr w:rsidR="000C6A2A" w:rsidRPr="006042C8" w:rsidTr="009F6372">
        <w:tc>
          <w:tcPr>
            <w:tcW w:w="5000" w:type="pct"/>
            <w:gridSpan w:val="3"/>
          </w:tcPr>
          <w:p w:rsidR="000C6A2A" w:rsidRPr="006042C8" w:rsidRDefault="000C6A2A" w:rsidP="009F6372">
            <w:pPr>
              <w:jc w:val="both"/>
              <w:rPr>
                <w:rFonts w:eastAsia="Calibri"/>
                <w:sz w:val="20"/>
              </w:rPr>
            </w:pPr>
            <w:r w:rsidRPr="006042C8">
              <w:rPr>
                <w:rFonts w:eastAsia="Calibri"/>
                <w:sz w:val="20"/>
              </w:rPr>
              <w:t>This case concerns liability for a motor vehicle accident, which took place on June 15, 2005. At about 6:30 pm on that day, Mark Morsi was operating a motor vehicle on Major Mackenzie Drive approximately 400 metres west of the intersection with Highway 27 in the Regional Municipality of York. On a sunny, clear summer afternoon, Mr. Morsi was driving home from work on a freshly</w:t>
            </w:r>
            <w:r w:rsidRPr="006042C8">
              <w:rPr>
                <w:rFonts w:eastAsia="Calibri"/>
                <w:sz w:val="20"/>
              </w:rPr>
              <w:noBreakHyphen/>
              <w:t>paved highway when he was confronted with a number of signs, indicating that a curve lay ahead and that he should reduce his speed to 60 kph. Mr. Morsi was travelling at a speed of 117</w:t>
            </w:r>
            <w:r w:rsidRPr="006042C8">
              <w:rPr>
                <w:rFonts w:eastAsia="Calibri"/>
                <w:sz w:val="20"/>
              </w:rPr>
              <w:noBreakHyphen/>
              <w:t>120 kph well above the posted speed limit. Mr. Morsi lost control of his vehicle which left the highway and collided with a utility pole. He died as a result of the accident. The accident occurred in an area that had just been surface treated by a sub</w:t>
            </w:r>
            <w:r w:rsidRPr="006042C8">
              <w:rPr>
                <w:rFonts w:eastAsia="Calibri"/>
                <w:sz w:val="20"/>
              </w:rPr>
              <w:noBreakHyphen/>
              <w:t>contractor of the respondent Fermar Paving Limited under contract with the respondent Regional Municipality of York (“York”).</w:t>
            </w:r>
          </w:p>
          <w:p w:rsidR="000C6A2A" w:rsidRPr="006042C8" w:rsidRDefault="000C6A2A" w:rsidP="009F6372">
            <w:pPr>
              <w:jc w:val="both"/>
              <w:rPr>
                <w:rFonts w:eastAsia="Calibri"/>
                <w:sz w:val="20"/>
              </w:rPr>
            </w:pPr>
          </w:p>
        </w:tc>
      </w:tr>
      <w:tr w:rsidR="000C6A2A" w:rsidRPr="006042C8" w:rsidTr="009F6372">
        <w:tc>
          <w:tcPr>
            <w:tcW w:w="2427" w:type="pct"/>
          </w:tcPr>
          <w:p w:rsidR="000C6A2A" w:rsidRPr="006042C8" w:rsidRDefault="000C6A2A" w:rsidP="009F6372">
            <w:pPr>
              <w:jc w:val="both"/>
              <w:rPr>
                <w:rFonts w:eastAsia="Calibri"/>
                <w:sz w:val="20"/>
              </w:rPr>
            </w:pPr>
            <w:r w:rsidRPr="006042C8">
              <w:rPr>
                <w:rFonts w:eastAsia="Calibri"/>
                <w:sz w:val="20"/>
              </w:rPr>
              <w:t>July 6, 2010</w:t>
            </w:r>
          </w:p>
          <w:p w:rsidR="000C6A2A" w:rsidRPr="006042C8" w:rsidRDefault="000C6A2A" w:rsidP="009F6372">
            <w:pPr>
              <w:jc w:val="both"/>
              <w:rPr>
                <w:rFonts w:eastAsia="Calibri"/>
                <w:sz w:val="20"/>
              </w:rPr>
            </w:pPr>
            <w:r w:rsidRPr="006042C8">
              <w:rPr>
                <w:rFonts w:eastAsia="Calibri"/>
                <w:sz w:val="20"/>
              </w:rPr>
              <w:t>Ontario Superior Court of Justice</w:t>
            </w:r>
          </w:p>
          <w:p w:rsidR="000C6A2A" w:rsidRPr="006042C8" w:rsidRDefault="000C6A2A" w:rsidP="009F6372">
            <w:pPr>
              <w:jc w:val="both"/>
              <w:rPr>
                <w:rFonts w:eastAsia="Calibri"/>
                <w:sz w:val="20"/>
              </w:rPr>
            </w:pPr>
            <w:r w:rsidRPr="006042C8">
              <w:rPr>
                <w:rFonts w:eastAsia="Calibri"/>
                <w:sz w:val="20"/>
              </w:rPr>
              <w:t>(Shaughnessy J.)</w:t>
            </w:r>
          </w:p>
          <w:p w:rsidR="000C6A2A" w:rsidRPr="006042C8" w:rsidRDefault="000C6A2A" w:rsidP="009F6372">
            <w:pPr>
              <w:jc w:val="both"/>
              <w:rPr>
                <w:rFonts w:eastAsia="Calibri"/>
                <w:sz w:val="20"/>
              </w:rPr>
            </w:pPr>
            <w:r w:rsidRPr="006042C8">
              <w:rPr>
                <w:rFonts w:eastAsia="Calibri"/>
                <w:sz w:val="20"/>
              </w:rPr>
              <w:t>2010 ONSC 3851</w:t>
            </w:r>
          </w:p>
          <w:p w:rsidR="000C6A2A" w:rsidRPr="006042C8" w:rsidRDefault="000C6A2A" w:rsidP="009F6372">
            <w:pPr>
              <w:jc w:val="both"/>
              <w:rPr>
                <w:rFonts w:eastAsia="Calibri"/>
                <w:sz w:val="20"/>
              </w:rPr>
            </w:pP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York and Fermar, respondents, found jointly and severally liable for the damages sustained by the applicants; liability is apportioned as follows: York  25%, Fermar  25%, Contributory Negligence of Mr. Morsi  50%</w:t>
            </w:r>
          </w:p>
          <w:p w:rsidR="000C6A2A" w:rsidRPr="006042C8" w:rsidRDefault="000C6A2A" w:rsidP="009F6372">
            <w:pPr>
              <w:contextualSpacing/>
              <w:rPr>
                <w:sz w:val="20"/>
                <w:lang w:eastAsia="en-CA"/>
              </w:rPr>
            </w:pPr>
          </w:p>
        </w:tc>
      </w:tr>
      <w:tr w:rsidR="000C6A2A" w:rsidRPr="006042C8" w:rsidTr="009F6372">
        <w:tc>
          <w:tcPr>
            <w:tcW w:w="2427" w:type="pct"/>
          </w:tcPr>
          <w:p w:rsidR="000C6A2A" w:rsidRPr="006042C8" w:rsidRDefault="000C6A2A" w:rsidP="009F6372">
            <w:pPr>
              <w:jc w:val="both"/>
              <w:rPr>
                <w:rFonts w:eastAsia="Calibri"/>
                <w:sz w:val="20"/>
              </w:rPr>
            </w:pPr>
            <w:r w:rsidRPr="006042C8">
              <w:rPr>
                <w:rFonts w:eastAsia="Calibri"/>
                <w:sz w:val="20"/>
              </w:rPr>
              <w:t>September 8, 2011</w:t>
            </w:r>
          </w:p>
          <w:p w:rsidR="000C6A2A" w:rsidRPr="006042C8" w:rsidRDefault="000C6A2A" w:rsidP="009F6372">
            <w:pPr>
              <w:jc w:val="both"/>
              <w:rPr>
                <w:rFonts w:eastAsia="Calibri"/>
                <w:sz w:val="20"/>
              </w:rPr>
            </w:pPr>
            <w:r w:rsidRPr="006042C8">
              <w:rPr>
                <w:rFonts w:eastAsia="Calibri"/>
                <w:sz w:val="20"/>
              </w:rPr>
              <w:t>Court of Appeal for Ontario</w:t>
            </w:r>
          </w:p>
          <w:p w:rsidR="000C6A2A" w:rsidRPr="006042C8" w:rsidRDefault="000C6A2A" w:rsidP="009F6372">
            <w:pPr>
              <w:jc w:val="both"/>
              <w:rPr>
                <w:rFonts w:eastAsia="Calibri"/>
                <w:sz w:val="20"/>
              </w:rPr>
            </w:pPr>
            <w:r w:rsidRPr="006042C8">
              <w:rPr>
                <w:rFonts w:eastAsia="Calibri"/>
                <w:sz w:val="20"/>
              </w:rPr>
              <w:t>(MacPherson, Juriansz and Karakatsanis JJ.A.)</w:t>
            </w:r>
          </w:p>
          <w:p w:rsidR="000C6A2A" w:rsidRPr="006042C8" w:rsidRDefault="000C6A2A" w:rsidP="009F6372">
            <w:pPr>
              <w:jc w:val="both"/>
              <w:rPr>
                <w:rFonts w:eastAsia="Calibri"/>
                <w:sz w:val="20"/>
              </w:rPr>
            </w:pPr>
            <w:r w:rsidRPr="006042C8">
              <w:rPr>
                <w:rFonts w:eastAsia="Calibri"/>
                <w:sz w:val="20"/>
              </w:rPr>
              <w:t>2011 ONCA 577</w:t>
            </w:r>
          </w:p>
          <w:p w:rsidR="000C6A2A" w:rsidRPr="006042C8" w:rsidRDefault="000C6A2A" w:rsidP="009F6372">
            <w:pPr>
              <w:jc w:val="both"/>
              <w:rPr>
                <w:rFonts w:eastAsia="Calibri"/>
                <w:sz w:val="20"/>
              </w:rPr>
            </w:pP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Appeal allowed, trial judgment set aside, and action dismissed.</w:t>
            </w:r>
          </w:p>
          <w:p w:rsidR="000C6A2A" w:rsidRPr="006042C8" w:rsidRDefault="000C6A2A" w:rsidP="009F6372">
            <w:pPr>
              <w:jc w:val="both"/>
              <w:rPr>
                <w:rFonts w:eastAsia="Calibri"/>
                <w:sz w:val="20"/>
              </w:rPr>
            </w:pPr>
          </w:p>
        </w:tc>
      </w:tr>
      <w:tr w:rsidR="000C6A2A" w:rsidRPr="006042C8" w:rsidTr="009F6372">
        <w:tc>
          <w:tcPr>
            <w:tcW w:w="2427" w:type="pct"/>
          </w:tcPr>
          <w:p w:rsidR="000C6A2A" w:rsidRPr="006042C8" w:rsidRDefault="000C6A2A" w:rsidP="009F6372">
            <w:pPr>
              <w:jc w:val="both"/>
              <w:rPr>
                <w:rFonts w:eastAsia="Calibri"/>
                <w:sz w:val="20"/>
              </w:rPr>
            </w:pPr>
            <w:r w:rsidRPr="006042C8">
              <w:rPr>
                <w:rFonts w:eastAsia="Calibri"/>
                <w:sz w:val="20"/>
              </w:rPr>
              <w:t>November 4, 2011</w:t>
            </w:r>
          </w:p>
          <w:p w:rsidR="000C6A2A" w:rsidRPr="006042C8" w:rsidRDefault="000C6A2A" w:rsidP="009F6372">
            <w:pPr>
              <w:jc w:val="both"/>
              <w:rPr>
                <w:rFonts w:eastAsia="Calibri"/>
                <w:sz w:val="20"/>
              </w:rPr>
            </w:pPr>
            <w:r w:rsidRPr="006042C8">
              <w:rPr>
                <w:rFonts w:eastAsia="Calibri"/>
                <w:sz w:val="20"/>
              </w:rPr>
              <w:t>Supreme Court of Canada</w:t>
            </w: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Application for leave to appeal filed</w:t>
            </w:r>
          </w:p>
          <w:p w:rsidR="000C6A2A" w:rsidRPr="006042C8" w:rsidRDefault="000C6A2A" w:rsidP="009F6372">
            <w:pPr>
              <w:jc w:val="both"/>
              <w:rPr>
                <w:rFonts w:eastAsia="Calibri"/>
                <w:sz w:val="20"/>
              </w:rPr>
            </w:pPr>
          </w:p>
        </w:tc>
      </w:tr>
    </w:tbl>
    <w:p w:rsidR="00837483" w:rsidRDefault="00837483" w:rsidP="00837483">
      <w:pPr>
        <w:rPr>
          <w:sz w:val="20"/>
          <w:szCs w:val="20"/>
        </w:rPr>
      </w:pPr>
    </w:p>
    <w:p w:rsidR="00837483" w:rsidRPr="00C50A5C" w:rsidRDefault="009753DF" w:rsidP="00837483">
      <w:pPr>
        <w:rPr>
          <w:sz w:val="20"/>
          <w:szCs w:val="20"/>
        </w:rPr>
      </w:pPr>
      <w:r w:rsidRPr="009753DF">
        <w:rPr>
          <w:sz w:val="20"/>
          <w:szCs w:val="20"/>
          <w:lang w:val="fr-CA"/>
        </w:rPr>
        <w:pict>
          <v:rect id="_x0000_i1042" style="width:2in;height:1pt" o:hrpct="0" o:hralign="center" o:hrstd="t" o:hrnoshade="t" o:hr="t" fillcolor="black [3213]" stroked="f"/>
        </w:pict>
      </w:r>
    </w:p>
    <w:p w:rsidR="00837483" w:rsidRDefault="00837483" w:rsidP="00837483">
      <w:pPr>
        <w:rPr>
          <w:sz w:val="20"/>
          <w:szCs w:val="20"/>
        </w:rPr>
      </w:pPr>
    </w:p>
    <w:p w:rsidR="00837483" w:rsidRPr="001B157C" w:rsidRDefault="00837483" w:rsidP="00837483">
      <w:pPr>
        <w:rPr>
          <w:sz w:val="20"/>
          <w:szCs w:val="20"/>
          <w:u w:val="single"/>
          <w:lang w:val="fr-CA"/>
        </w:rPr>
      </w:pPr>
      <w:r w:rsidRPr="001B157C">
        <w:rPr>
          <w:sz w:val="20"/>
          <w:szCs w:val="20"/>
          <w:u w:val="single"/>
          <w:lang w:val="fr-CA"/>
        </w:rPr>
        <w:t>RÉSUMÉ DE L’AFFAIRE</w:t>
      </w:r>
    </w:p>
    <w:p w:rsidR="00837483" w:rsidRDefault="00837483" w:rsidP="00837483">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C6A2A" w:rsidRPr="008C68F8" w:rsidTr="009F6372">
        <w:tc>
          <w:tcPr>
            <w:tcW w:w="5000" w:type="pct"/>
            <w:gridSpan w:val="3"/>
          </w:tcPr>
          <w:p w:rsidR="000C6A2A" w:rsidRPr="006042C8" w:rsidRDefault="000C6A2A" w:rsidP="009F6372">
            <w:pPr>
              <w:jc w:val="both"/>
              <w:rPr>
                <w:rFonts w:eastAsia="Calibri"/>
                <w:sz w:val="20"/>
                <w:lang w:val="fr-CA"/>
              </w:rPr>
            </w:pPr>
            <w:r w:rsidRPr="006042C8">
              <w:rPr>
                <w:rFonts w:eastAsia="Calibri"/>
                <w:sz w:val="20"/>
                <w:lang w:val="fr-CA"/>
              </w:rPr>
              <w:t>Droit municipal – Responsabilité délictuelle – Négligence – Obligation de diligence – Négligence de la victime – Véhicules automobiles – La Cour d'appel a</w:t>
            </w:r>
            <w:r w:rsidRPr="006042C8">
              <w:rPr>
                <w:rFonts w:eastAsia="Calibri"/>
                <w:sz w:val="20"/>
                <w:lang w:val="fr-CA"/>
              </w:rPr>
              <w:noBreakHyphen/>
              <w:t>t</w:t>
            </w:r>
            <w:r w:rsidRPr="006042C8">
              <w:rPr>
                <w:rFonts w:eastAsia="Calibri"/>
                <w:sz w:val="20"/>
                <w:lang w:val="fr-CA"/>
              </w:rPr>
              <w:noBreakHyphen/>
              <w:t>elle eu tort d'annuler le verdict de négligence prononcé contre la municipalité régionale de York intimée au motif qu'il n'y avait eu aucun manquement à l'obligation légale fondée sur le par. 44(1) de la</w:t>
            </w:r>
            <w:r w:rsidRPr="006042C8">
              <w:rPr>
                <w:rFonts w:eastAsia="Calibri"/>
                <w:i/>
                <w:sz w:val="20"/>
                <w:lang w:val="fr-CA"/>
              </w:rPr>
              <w:t xml:space="preserve"> Loi municipale de 2001</w:t>
            </w:r>
            <w:r w:rsidRPr="006042C8">
              <w:rPr>
                <w:rFonts w:eastAsia="Calibri"/>
                <w:sz w:val="20"/>
                <w:lang w:val="fr-CA"/>
              </w:rPr>
              <w:t>, L.O. 2001? – La Cour d'appel a</w:t>
            </w:r>
            <w:r w:rsidRPr="006042C8">
              <w:rPr>
                <w:rFonts w:eastAsia="Calibri"/>
                <w:sz w:val="20"/>
                <w:lang w:val="fr-CA"/>
              </w:rPr>
              <w:noBreakHyphen/>
              <w:t>t</w:t>
            </w:r>
            <w:r w:rsidRPr="006042C8">
              <w:rPr>
                <w:rFonts w:eastAsia="Calibri"/>
                <w:sz w:val="20"/>
                <w:lang w:val="fr-CA"/>
              </w:rPr>
              <w:noBreakHyphen/>
              <w:t>elle eu tort d'annuler le verdict de négligence prononcé contre Fermar Paving Limited intimée vu que l'accident avait été causé par la conduite dangereuse de M. Morsi et non par la négligence de l'entrepreneur?</w:t>
            </w:r>
          </w:p>
        </w:tc>
      </w:tr>
      <w:tr w:rsidR="000C6A2A" w:rsidRPr="008C68F8" w:rsidTr="009F6372">
        <w:tc>
          <w:tcPr>
            <w:tcW w:w="5000" w:type="pct"/>
            <w:gridSpan w:val="3"/>
          </w:tcPr>
          <w:p w:rsidR="000C6A2A" w:rsidRPr="006042C8" w:rsidRDefault="000C6A2A" w:rsidP="009F6372">
            <w:pPr>
              <w:jc w:val="both"/>
              <w:rPr>
                <w:rFonts w:eastAsia="Calibri"/>
                <w:sz w:val="20"/>
                <w:lang w:val="fr-CA"/>
              </w:rPr>
            </w:pPr>
          </w:p>
        </w:tc>
      </w:tr>
      <w:tr w:rsidR="000C6A2A" w:rsidRPr="008C68F8" w:rsidTr="009F6372">
        <w:tc>
          <w:tcPr>
            <w:tcW w:w="5000" w:type="pct"/>
            <w:gridSpan w:val="3"/>
          </w:tcPr>
          <w:p w:rsidR="000C6A2A" w:rsidRPr="006042C8" w:rsidRDefault="000C6A2A" w:rsidP="009F6372">
            <w:pPr>
              <w:jc w:val="both"/>
              <w:rPr>
                <w:rFonts w:eastAsia="Calibri"/>
                <w:sz w:val="20"/>
                <w:lang w:val="fr-CA"/>
              </w:rPr>
            </w:pPr>
            <w:r w:rsidRPr="006042C8">
              <w:rPr>
                <w:rFonts w:eastAsia="Calibri"/>
                <w:sz w:val="20"/>
                <w:lang w:val="fr-CA"/>
              </w:rPr>
              <w:t>La présente affaire concerne la responsabilité d'un accident de la route survenu le 15 juin 2005. Vers 18 h 30 ce jour</w:t>
            </w:r>
            <w:r w:rsidRPr="006042C8">
              <w:rPr>
                <w:rFonts w:eastAsia="Calibri"/>
                <w:sz w:val="20"/>
                <w:lang w:val="fr-CA"/>
              </w:rPr>
              <w:noBreakHyphen/>
              <w:t>là, Mark Morsi conduisait un véhicule automobile sur la promenade Major Mackenzie à environ 400 mètres à l'ouest de l'intersection de la route 27 dans la municipalité régionale de York. Un après</w:t>
            </w:r>
            <w:r w:rsidRPr="006042C8">
              <w:rPr>
                <w:rFonts w:eastAsia="Calibri"/>
                <w:sz w:val="20"/>
                <w:lang w:val="fr-CA"/>
              </w:rPr>
              <w:noBreakHyphen/>
              <w:t>midi d'été ensoleillé, M. Morsi rentrait chez lui en voiture sur une route fraîchement pavée lorsqu'il s'est trouvé en présence de plusieurs panneaux de signalisation indiquant qu'il s'approchait d'une courbe et qu'il devait réduire sa vitesse à 60 km/h. Monsieur Morsi conduisait à une vitesse de 117 à 120 km/h, bien au</w:t>
            </w:r>
            <w:r w:rsidRPr="006042C8">
              <w:rPr>
                <w:rFonts w:eastAsia="Calibri"/>
                <w:sz w:val="20"/>
                <w:lang w:val="fr-CA"/>
              </w:rPr>
              <w:noBreakHyphen/>
              <w:t>delà de la limite affichée. Monsieur Morsi a perdu la maîtrise de son véhicule qui a quitté la chaussée et a percuté un pylône. Il est décédé des suites de l'accident. L'accident s'est produit dans une zone qui venait d'être traitée en surface par un sous</w:t>
            </w:r>
            <w:r w:rsidRPr="006042C8">
              <w:rPr>
                <w:rFonts w:eastAsia="Calibri"/>
                <w:sz w:val="20"/>
                <w:lang w:val="fr-CA"/>
              </w:rPr>
              <w:noBreakHyphen/>
              <w:t>traitant de Fermar Paving Limited, intimée, qui avait été engagée par contrat par la municipalité régionale de York (« York »), également intimée.</w:t>
            </w:r>
          </w:p>
          <w:p w:rsidR="000C6A2A" w:rsidRPr="006042C8" w:rsidRDefault="000C6A2A" w:rsidP="009F6372">
            <w:pPr>
              <w:jc w:val="both"/>
              <w:rPr>
                <w:rFonts w:eastAsia="Calibri"/>
                <w:sz w:val="20"/>
                <w:lang w:val="fr-CA"/>
              </w:rPr>
            </w:pPr>
          </w:p>
        </w:tc>
      </w:tr>
      <w:tr w:rsidR="000C6A2A" w:rsidRPr="008C68F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t>6 juillet 2010</w:t>
            </w:r>
          </w:p>
          <w:p w:rsidR="000C6A2A" w:rsidRPr="006042C8" w:rsidRDefault="000C6A2A" w:rsidP="009F6372">
            <w:pPr>
              <w:jc w:val="both"/>
              <w:rPr>
                <w:rFonts w:eastAsia="Calibri"/>
                <w:sz w:val="20"/>
                <w:lang w:val="fr-CA"/>
              </w:rPr>
            </w:pPr>
            <w:r w:rsidRPr="006042C8">
              <w:rPr>
                <w:rFonts w:eastAsia="Calibri"/>
                <w:sz w:val="20"/>
                <w:lang w:val="fr-CA"/>
              </w:rPr>
              <w:t xml:space="preserve">Cour supérieure de justice de l'Ontario </w:t>
            </w:r>
          </w:p>
          <w:p w:rsidR="000C6A2A" w:rsidRPr="006042C8" w:rsidRDefault="000C6A2A" w:rsidP="009F6372">
            <w:pPr>
              <w:jc w:val="both"/>
              <w:rPr>
                <w:rFonts w:eastAsia="Calibri"/>
                <w:sz w:val="20"/>
                <w:lang w:val="fr-CA"/>
              </w:rPr>
            </w:pPr>
            <w:r w:rsidRPr="006042C8">
              <w:rPr>
                <w:rFonts w:eastAsia="Calibri"/>
                <w:sz w:val="20"/>
                <w:lang w:val="fr-CA"/>
              </w:rPr>
              <w:t>(Juge Shaughnessy)</w:t>
            </w:r>
          </w:p>
          <w:p w:rsidR="000C6A2A" w:rsidRPr="006042C8" w:rsidRDefault="000C6A2A" w:rsidP="009F6372">
            <w:pPr>
              <w:jc w:val="both"/>
              <w:rPr>
                <w:rFonts w:eastAsia="Calibri"/>
                <w:sz w:val="20"/>
                <w:lang w:val="fr-CA"/>
              </w:rPr>
            </w:pPr>
            <w:r w:rsidRPr="006042C8">
              <w:rPr>
                <w:rFonts w:eastAsia="Calibri"/>
                <w:sz w:val="20"/>
                <w:lang w:val="fr-CA"/>
              </w:rPr>
              <w:t>2010 ONSC 3851</w:t>
            </w:r>
          </w:p>
          <w:p w:rsidR="000C6A2A" w:rsidRPr="006042C8" w:rsidRDefault="000C6A2A" w:rsidP="009F6372">
            <w:pPr>
              <w:jc w:val="both"/>
              <w:rPr>
                <w:rFonts w:eastAsia="Calibri"/>
                <w:sz w:val="20"/>
                <w:lang w:val="fr-CA"/>
              </w:rPr>
            </w:pPr>
          </w:p>
        </w:tc>
        <w:tc>
          <w:tcPr>
            <w:tcW w:w="243" w:type="pct"/>
          </w:tcPr>
          <w:p w:rsidR="000C6A2A" w:rsidRPr="006042C8" w:rsidRDefault="000C6A2A" w:rsidP="009F6372">
            <w:pPr>
              <w:jc w:val="both"/>
              <w:rPr>
                <w:rFonts w:eastAsia="Calibri"/>
                <w:sz w:val="20"/>
                <w:lang w:val="fr-CA"/>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Les intimées York et Fermar sont jugées solidairement responsables des préjudices subis par les demandeurs; la responsabilité est attribuée comme suit : York 25 %, Fermar  25 %, négligence de la victime, M. Morsi 50 %</w:t>
            </w:r>
          </w:p>
          <w:p w:rsidR="000C6A2A" w:rsidRPr="006042C8" w:rsidRDefault="000C6A2A" w:rsidP="009F6372">
            <w:pPr>
              <w:ind w:left="720"/>
              <w:contextualSpacing/>
              <w:jc w:val="both"/>
              <w:rPr>
                <w:sz w:val="20"/>
                <w:lang w:val="fr-CA" w:eastAsia="en-CA"/>
              </w:rPr>
            </w:pPr>
          </w:p>
        </w:tc>
      </w:tr>
      <w:tr w:rsidR="000C6A2A" w:rsidRPr="008C68F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t>8 septembre 2011</w:t>
            </w:r>
          </w:p>
          <w:p w:rsidR="000C6A2A" w:rsidRPr="006042C8" w:rsidRDefault="000C6A2A" w:rsidP="009F6372">
            <w:pPr>
              <w:jc w:val="both"/>
              <w:rPr>
                <w:rFonts w:eastAsia="Calibri"/>
                <w:sz w:val="20"/>
                <w:lang w:val="fr-CA"/>
              </w:rPr>
            </w:pPr>
            <w:r w:rsidRPr="006042C8">
              <w:rPr>
                <w:rFonts w:eastAsia="Calibri"/>
                <w:sz w:val="20"/>
                <w:lang w:val="fr-CA"/>
              </w:rPr>
              <w:t xml:space="preserve">Cour d'appel de l'Ontario </w:t>
            </w:r>
          </w:p>
          <w:p w:rsidR="000C6A2A" w:rsidRPr="006042C8" w:rsidRDefault="000C6A2A" w:rsidP="009F6372">
            <w:pPr>
              <w:jc w:val="both"/>
              <w:rPr>
                <w:rFonts w:eastAsia="Calibri"/>
                <w:sz w:val="20"/>
                <w:lang w:val="fr-CA"/>
              </w:rPr>
            </w:pPr>
            <w:r w:rsidRPr="006042C8">
              <w:rPr>
                <w:rFonts w:eastAsia="Calibri"/>
                <w:sz w:val="20"/>
                <w:lang w:val="fr-CA"/>
              </w:rPr>
              <w:t>(Juges MacPherson, Juriansz et Karakatsanis)</w:t>
            </w:r>
          </w:p>
          <w:p w:rsidR="000C6A2A" w:rsidRPr="006042C8" w:rsidRDefault="000C6A2A" w:rsidP="009F6372">
            <w:pPr>
              <w:jc w:val="both"/>
              <w:rPr>
                <w:rFonts w:eastAsia="Calibri"/>
                <w:sz w:val="20"/>
                <w:lang w:val="fr-CA"/>
              </w:rPr>
            </w:pPr>
            <w:r w:rsidRPr="006042C8">
              <w:rPr>
                <w:rFonts w:eastAsia="Calibri"/>
                <w:sz w:val="20"/>
                <w:lang w:val="fr-CA"/>
              </w:rPr>
              <w:t>2011 ONCA 577</w:t>
            </w:r>
          </w:p>
          <w:p w:rsidR="000C6A2A" w:rsidRPr="006042C8" w:rsidRDefault="000C6A2A" w:rsidP="009F6372">
            <w:pPr>
              <w:jc w:val="both"/>
              <w:rPr>
                <w:rFonts w:eastAsia="Calibri"/>
                <w:sz w:val="20"/>
                <w:lang w:val="fr-CA"/>
              </w:rPr>
            </w:pPr>
          </w:p>
        </w:tc>
        <w:tc>
          <w:tcPr>
            <w:tcW w:w="243" w:type="pct"/>
          </w:tcPr>
          <w:p w:rsidR="000C6A2A" w:rsidRPr="006042C8" w:rsidRDefault="000C6A2A" w:rsidP="009F6372">
            <w:pPr>
              <w:jc w:val="both"/>
              <w:rPr>
                <w:rFonts w:eastAsia="Calibri"/>
                <w:sz w:val="20"/>
                <w:lang w:val="fr-CA"/>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Appel accueilli, jugement de première instance annulé et action rejetée.</w:t>
            </w:r>
          </w:p>
          <w:p w:rsidR="000C6A2A" w:rsidRPr="006042C8" w:rsidRDefault="000C6A2A" w:rsidP="009F6372">
            <w:pPr>
              <w:jc w:val="both"/>
              <w:rPr>
                <w:rFonts w:eastAsia="Calibri"/>
                <w:sz w:val="20"/>
                <w:lang w:val="fr-CA"/>
              </w:rPr>
            </w:pPr>
          </w:p>
        </w:tc>
      </w:tr>
      <w:tr w:rsidR="000C6A2A" w:rsidRPr="006042C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t>4 novembre 2011</w:t>
            </w:r>
          </w:p>
          <w:p w:rsidR="000C6A2A" w:rsidRPr="006042C8" w:rsidRDefault="000C6A2A" w:rsidP="009F6372">
            <w:pPr>
              <w:jc w:val="both"/>
              <w:rPr>
                <w:rFonts w:eastAsia="Calibri"/>
                <w:sz w:val="20"/>
                <w:lang w:val="fr-CA"/>
              </w:rPr>
            </w:pPr>
            <w:r w:rsidRPr="006042C8">
              <w:rPr>
                <w:rFonts w:eastAsia="Calibri"/>
                <w:sz w:val="20"/>
                <w:lang w:val="fr-CA"/>
              </w:rPr>
              <w:t>Cour suprême du Canada</w:t>
            </w:r>
          </w:p>
        </w:tc>
        <w:tc>
          <w:tcPr>
            <w:tcW w:w="243" w:type="pct"/>
          </w:tcPr>
          <w:p w:rsidR="000C6A2A" w:rsidRPr="006042C8" w:rsidRDefault="000C6A2A" w:rsidP="009F6372">
            <w:pPr>
              <w:jc w:val="both"/>
              <w:rPr>
                <w:rFonts w:eastAsia="Calibri"/>
                <w:sz w:val="20"/>
                <w:lang w:val="fr-CA"/>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Demande d'autorisation d'appel, déposée</w:t>
            </w:r>
          </w:p>
          <w:p w:rsidR="000C6A2A" w:rsidRPr="006042C8" w:rsidRDefault="000C6A2A" w:rsidP="009F6372">
            <w:pPr>
              <w:jc w:val="both"/>
              <w:rPr>
                <w:rFonts w:eastAsia="Calibri"/>
                <w:sz w:val="20"/>
                <w:lang w:val="fr-CA"/>
              </w:rPr>
            </w:pPr>
          </w:p>
        </w:tc>
      </w:tr>
    </w:tbl>
    <w:p w:rsidR="00837483" w:rsidRDefault="00837483" w:rsidP="00837483">
      <w:pPr>
        <w:rPr>
          <w:sz w:val="20"/>
          <w:szCs w:val="20"/>
        </w:rPr>
      </w:pPr>
    </w:p>
    <w:p w:rsidR="00837483" w:rsidRDefault="009753DF" w:rsidP="00837483">
      <w:pPr>
        <w:rPr>
          <w:sz w:val="20"/>
          <w:szCs w:val="20"/>
          <w:lang w:val="fr-CA"/>
        </w:rPr>
      </w:pPr>
      <w:r w:rsidRPr="009753DF">
        <w:rPr>
          <w:sz w:val="20"/>
          <w:szCs w:val="20"/>
          <w:lang w:val="fr-CA"/>
        </w:rPr>
        <w:pict>
          <v:rect id="_x0000_i1043" style="width:2in;height:1pt" o:hrpct="0" o:hralign="center" o:hrstd="t" o:hrnoshade="t" o:hr="t" fillcolor="black [3213]" stroked="f"/>
        </w:pict>
      </w:r>
    </w:p>
    <w:p w:rsidR="00837483" w:rsidRDefault="00837483" w:rsidP="0083748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235D5" w:rsidRPr="008C68F8" w:rsidTr="00604498">
        <w:trPr>
          <w:cantSplit/>
        </w:trPr>
        <w:tc>
          <w:tcPr>
            <w:tcW w:w="1458" w:type="dxa"/>
          </w:tcPr>
          <w:p w:rsidR="00F235D5" w:rsidRPr="00184193" w:rsidRDefault="00F235D5" w:rsidP="00604498">
            <w:pPr>
              <w:rPr>
                <w:sz w:val="20"/>
                <w:szCs w:val="20"/>
              </w:rPr>
            </w:pPr>
            <w:r w:rsidRPr="00184193">
              <w:rPr>
                <w:rStyle w:val="SCCFileNumberChar"/>
                <w:sz w:val="20"/>
                <w:szCs w:val="20"/>
              </w:rPr>
              <w:t>34551</w:t>
            </w:r>
          </w:p>
          <w:p w:rsidR="00F235D5" w:rsidRPr="00184193" w:rsidRDefault="00F235D5" w:rsidP="00604498">
            <w:pPr>
              <w:rPr>
                <w:b/>
                <w:sz w:val="20"/>
                <w:szCs w:val="20"/>
                <w:lang w:val="fr-CA"/>
              </w:rPr>
            </w:pPr>
          </w:p>
        </w:tc>
        <w:tc>
          <w:tcPr>
            <w:tcW w:w="8118" w:type="dxa"/>
          </w:tcPr>
          <w:p w:rsidR="00F235D5" w:rsidRPr="00184193" w:rsidRDefault="00F235D5" w:rsidP="00604498">
            <w:pPr>
              <w:rPr>
                <w:sz w:val="20"/>
                <w:szCs w:val="20"/>
                <w:lang w:val="fr-CA"/>
              </w:rPr>
            </w:pPr>
            <w:r w:rsidRPr="00184193">
              <w:rPr>
                <w:rStyle w:val="SCCLsocChar"/>
                <w:sz w:val="20"/>
                <w:szCs w:val="20"/>
              </w:rPr>
              <w:t>Jacques Gagné c. Sa Majesté la Reine</w:t>
            </w:r>
            <w:r w:rsidRPr="00184193">
              <w:rPr>
                <w:sz w:val="20"/>
                <w:szCs w:val="20"/>
                <w:lang w:val="fr-CA"/>
              </w:rPr>
              <w:t xml:space="preserve"> (Qc) (Criminelle) (Autorisation)</w:t>
            </w:r>
          </w:p>
          <w:p w:rsidR="00F235D5" w:rsidRPr="00184193" w:rsidRDefault="00F235D5" w:rsidP="00604498">
            <w:pPr>
              <w:rPr>
                <w:sz w:val="20"/>
                <w:szCs w:val="20"/>
                <w:lang w:val="fr-CA"/>
              </w:rPr>
            </w:pPr>
          </w:p>
        </w:tc>
      </w:tr>
      <w:tr w:rsidR="00F235D5" w:rsidRPr="008C68F8" w:rsidTr="00604498">
        <w:trPr>
          <w:cantSplit/>
        </w:trPr>
        <w:tc>
          <w:tcPr>
            <w:tcW w:w="1458" w:type="dxa"/>
          </w:tcPr>
          <w:p w:rsidR="00F235D5" w:rsidRPr="00184193" w:rsidRDefault="00F235D5" w:rsidP="00604498">
            <w:pPr>
              <w:rPr>
                <w:sz w:val="20"/>
                <w:szCs w:val="20"/>
              </w:rPr>
            </w:pPr>
            <w:r w:rsidRPr="00184193">
              <w:rPr>
                <w:sz w:val="20"/>
                <w:szCs w:val="20"/>
              </w:rPr>
              <w:t>Coram :</w:t>
            </w:r>
          </w:p>
        </w:tc>
        <w:tc>
          <w:tcPr>
            <w:tcW w:w="8118" w:type="dxa"/>
          </w:tcPr>
          <w:p w:rsidR="00F235D5" w:rsidRPr="00184193" w:rsidRDefault="00F235D5" w:rsidP="00604498">
            <w:pPr>
              <w:rPr>
                <w:sz w:val="20"/>
                <w:szCs w:val="20"/>
                <w:lang w:val="fr-CA"/>
              </w:rPr>
            </w:pPr>
            <w:r w:rsidRPr="00184193">
              <w:rPr>
                <w:rStyle w:val="SCCCoramChar"/>
                <w:sz w:val="20"/>
                <w:szCs w:val="20"/>
              </w:rPr>
              <w:t>Les juges LeBel, Abella et Cromwell</w:t>
            </w:r>
          </w:p>
          <w:p w:rsidR="00F235D5" w:rsidRPr="00184193" w:rsidRDefault="00F235D5" w:rsidP="00604498">
            <w:pPr>
              <w:rPr>
                <w:sz w:val="20"/>
                <w:szCs w:val="20"/>
                <w:u w:val="single"/>
                <w:lang w:val="fr-CA"/>
              </w:rPr>
            </w:pPr>
          </w:p>
        </w:tc>
      </w:tr>
      <w:tr w:rsidR="00F235D5" w:rsidRPr="00184193" w:rsidTr="00604498">
        <w:trPr>
          <w:cantSplit/>
        </w:trPr>
        <w:tc>
          <w:tcPr>
            <w:tcW w:w="9576" w:type="dxa"/>
            <w:gridSpan w:val="2"/>
          </w:tcPr>
          <w:p w:rsidR="00F235D5" w:rsidRPr="00184193" w:rsidRDefault="00F235D5" w:rsidP="00604498">
            <w:pPr>
              <w:pStyle w:val="SCCShortJudgment"/>
              <w:rPr>
                <w:szCs w:val="20"/>
                <w:lang w:val="fr-CA"/>
              </w:rPr>
            </w:pPr>
            <w:r w:rsidRPr="00184193">
              <w:rPr>
                <w:szCs w:val="20"/>
                <w:lang w:val="fr-CA"/>
              </w:rPr>
              <w:t>Les requêtes pour la production d’un mémoire amendé au soutien d’une demande d’autorisation d’appel et en prorogation du délai de signification et dépôt du mémoire amendé sont rejetées. La demande d’autorisation d’appel des arrêts de la Cour d’appel du Québec (Montréal), numéros 500-10-004753-107 et 500-10-004792-105, 2011 QCCA 1896 et 2011 QCCA 1898, daté du 3 octobre 2011, est rejetée sans dépens.</w:t>
            </w:r>
          </w:p>
          <w:p w:rsidR="00F235D5" w:rsidRPr="00184193" w:rsidRDefault="00F235D5" w:rsidP="00604498">
            <w:pPr>
              <w:pStyle w:val="SCCShortJudgment"/>
              <w:ind w:firstLine="0"/>
              <w:rPr>
                <w:szCs w:val="20"/>
                <w:lang w:val="fr-CA"/>
              </w:rPr>
            </w:pPr>
          </w:p>
          <w:p w:rsidR="00F235D5" w:rsidRPr="00184193" w:rsidRDefault="00F235D5" w:rsidP="00604498">
            <w:pPr>
              <w:pStyle w:val="SCCShortJudgment"/>
              <w:rPr>
                <w:szCs w:val="20"/>
              </w:rPr>
            </w:pPr>
            <w:r w:rsidRPr="00184193">
              <w:rPr>
                <w:szCs w:val="20"/>
              </w:rPr>
              <w:t>The motions to file an amended memorandum of argument in support of an application for leave to appeal and to extend the time to serve and file the amended memorandum of argument are dismissed. The application for leave to appeal from the judgments of the Court of Appeal of Quebec (Montréal), Numbers 500-10-004753-107 and 500-10-004792-105, 2011 QCCA 1896 and 2011 QCCA 1898, dated October 3, 2011, is dismissed without costs.</w:t>
            </w:r>
          </w:p>
        </w:tc>
      </w:tr>
    </w:tbl>
    <w:p w:rsidR="00837483" w:rsidRDefault="00837483" w:rsidP="00837483">
      <w:pPr>
        <w:rPr>
          <w:sz w:val="20"/>
          <w:szCs w:val="20"/>
        </w:rPr>
      </w:pPr>
    </w:p>
    <w:p w:rsidR="00837483" w:rsidRPr="001B157C" w:rsidRDefault="00837483" w:rsidP="00837483">
      <w:pPr>
        <w:rPr>
          <w:sz w:val="20"/>
          <w:szCs w:val="20"/>
          <w:u w:val="single"/>
        </w:rPr>
      </w:pPr>
      <w:r w:rsidRPr="001B157C">
        <w:rPr>
          <w:sz w:val="20"/>
          <w:szCs w:val="20"/>
          <w:u w:val="single"/>
        </w:rPr>
        <w:lastRenderedPageBreak/>
        <w:t>CASE SUMMARY</w:t>
      </w:r>
    </w:p>
    <w:p w:rsidR="00837483" w:rsidRDefault="00837483" w:rsidP="0083748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6A2A" w:rsidRPr="006042C8" w:rsidTr="009F6372">
        <w:tc>
          <w:tcPr>
            <w:tcW w:w="5000" w:type="pct"/>
            <w:gridSpan w:val="3"/>
          </w:tcPr>
          <w:p w:rsidR="000C6A2A" w:rsidRPr="006042C8" w:rsidRDefault="000C6A2A" w:rsidP="009F6372">
            <w:pPr>
              <w:jc w:val="both"/>
              <w:rPr>
                <w:rFonts w:eastAsia="Calibri"/>
                <w:sz w:val="20"/>
              </w:rPr>
            </w:pPr>
            <w:r w:rsidRPr="006042C8">
              <w:rPr>
                <w:rFonts w:eastAsia="Calibri"/>
                <w:sz w:val="20"/>
              </w:rPr>
              <w:t xml:space="preserve">Taxation – Income tax – Civil procedure – Dilatory appeal – Applicant convicted of wilfully evading or attempting to evade compliance with </w:t>
            </w:r>
            <w:r w:rsidRPr="006042C8">
              <w:rPr>
                <w:rFonts w:eastAsia="Calibri"/>
                <w:i/>
                <w:sz w:val="20"/>
              </w:rPr>
              <w:t>Income Tax Act</w:t>
            </w:r>
            <w:r w:rsidRPr="006042C8">
              <w:rPr>
                <w:rFonts w:eastAsia="Calibri"/>
                <w:sz w:val="20"/>
              </w:rPr>
              <w:t xml:space="preserve"> by allowing several taxpayers not to report amounts withdrawn from their registered retirement savings plans, registered pension plans or locked</w:t>
            </w:r>
            <w:r w:rsidRPr="006042C8">
              <w:rPr>
                <w:rFonts w:eastAsia="Calibri"/>
                <w:sz w:val="20"/>
              </w:rPr>
              <w:noBreakHyphen/>
              <w:t>in retirement accounts – Failure to file appeal factum within time granted – Appeals from conviction and sentence held to be dilatory and dismissed – Whether Court of Appeal was justified in finding proceedings dilatory in this case – Whether applicant could be convicted of contravening s. 239(1)(</w:t>
            </w:r>
            <w:r w:rsidRPr="006042C8">
              <w:rPr>
                <w:rFonts w:eastAsia="Calibri"/>
                <w:i/>
                <w:sz w:val="20"/>
              </w:rPr>
              <w:t>d</w:t>
            </w:r>
            <w:r w:rsidRPr="006042C8">
              <w:rPr>
                <w:rFonts w:eastAsia="Calibri"/>
                <w:sz w:val="20"/>
              </w:rPr>
              <w:t xml:space="preserve">) of </w:t>
            </w:r>
            <w:r w:rsidRPr="006042C8">
              <w:rPr>
                <w:rFonts w:eastAsia="Calibri"/>
                <w:i/>
                <w:sz w:val="20"/>
              </w:rPr>
              <w:t>Income Tax Act</w:t>
            </w:r>
            <w:r w:rsidRPr="006042C8">
              <w:rPr>
                <w:rFonts w:eastAsia="Calibri"/>
                <w:sz w:val="20"/>
              </w:rPr>
              <w:t xml:space="preserve"> in circumstances.</w:t>
            </w:r>
          </w:p>
        </w:tc>
      </w:tr>
      <w:tr w:rsidR="000C6A2A" w:rsidRPr="006042C8" w:rsidTr="009F6372">
        <w:tc>
          <w:tcPr>
            <w:tcW w:w="5000" w:type="pct"/>
            <w:gridSpan w:val="3"/>
          </w:tcPr>
          <w:p w:rsidR="000C6A2A" w:rsidRPr="006042C8" w:rsidRDefault="000C6A2A" w:rsidP="009F6372">
            <w:pPr>
              <w:jc w:val="both"/>
              <w:rPr>
                <w:rFonts w:eastAsia="Calibri"/>
                <w:sz w:val="20"/>
              </w:rPr>
            </w:pPr>
          </w:p>
        </w:tc>
      </w:tr>
      <w:tr w:rsidR="000C6A2A" w:rsidRPr="006042C8" w:rsidTr="009F6372">
        <w:tc>
          <w:tcPr>
            <w:tcW w:w="5000" w:type="pct"/>
            <w:gridSpan w:val="3"/>
          </w:tcPr>
          <w:p w:rsidR="000C6A2A" w:rsidRPr="006042C8" w:rsidRDefault="000C6A2A" w:rsidP="009F6372">
            <w:pPr>
              <w:jc w:val="both"/>
              <w:rPr>
                <w:rFonts w:eastAsia="Calibri"/>
                <w:sz w:val="20"/>
              </w:rPr>
            </w:pPr>
            <w:r w:rsidRPr="006042C8">
              <w:rPr>
                <w:rFonts w:eastAsia="Calibri"/>
                <w:sz w:val="20"/>
              </w:rPr>
              <w:t>At the end of a trial spread out over about seven and a half years, the applicant Mr. Gagné was convicted of contravening s. 239(1)(</w:t>
            </w:r>
            <w:r w:rsidRPr="006042C8">
              <w:rPr>
                <w:rFonts w:eastAsia="Calibri"/>
                <w:i/>
                <w:sz w:val="20"/>
              </w:rPr>
              <w:t>d</w:t>
            </w:r>
            <w:r w:rsidRPr="006042C8">
              <w:rPr>
                <w:rFonts w:eastAsia="Calibri"/>
                <w:sz w:val="20"/>
              </w:rPr>
              <w:t xml:space="preserve">) of the </w:t>
            </w:r>
            <w:r w:rsidRPr="006042C8">
              <w:rPr>
                <w:rFonts w:eastAsia="Calibri"/>
                <w:i/>
                <w:sz w:val="20"/>
              </w:rPr>
              <w:t>Income Tax Act</w:t>
            </w:r>
            <w:r w:rsidRPr="006042C8">
              <w:rPr>
                <w:rFonts w:eastAsia="Calibri"/>
                <w:sz w:val="20"/>
              </w:rPr>
              <w:t>.  He was sentenced to 42 months in prison and fined $616,000.</w:t>
            </w:r>
          </w:p>
          <w:p w:rsidR="000C6A2A" w:rsidRPr="006042C8" w:rsidRDefault="000C6A2A" w:rsidP="009F6372">
            <w:pPr>
              <w:jc w:val="both"/>
              <w:rPr>
                <w:rFonts w:eastAsia="Calibri"/>
                <w:sz w:val="20"/>
              </w:rPr>
            </w:pPr>
          </w:p>
          <w:p w:rsidR="000C6A2A" w:rsidRPr="006042C8" w:rsidRDefault="000C6A2A" w:rsidP="009F6372">
            <w:pPr>
              <w:jc w:val="both"/>
              <w:rPr>
                <w:rFonts w:eastAsia="Calibri"/>
                <w:sz w:val="20"/>
              </w:rPr>
            </w:pPr>
            <w:r w:rsidRPr="006042C8">
              <w:rPr>
                <w:rFonts w:eastAsia="Calibri"/>
                <w:sz w:val="20"/>
              </w:rPr>
              <w:t xml:space="preserve">Mr. Gagné appealed the Court of Québec’s decisions concerning his guilt and sentence to the Court of Appeal.  Fourteen months after the inscription on the merits, Mr. Gagné’s appeal factum had still not been filed, so the Crown served motions to dismiss the appeals.  On July 4, 2011, the Court of Appeal extended the time for filing the factum to September 30, 2011 and adjourned the hearing of the motions to dismiss the appeals to October 3, 2011.  However, once that date arrived, the Court of Appeal recorded Mr. Gagné’s failure to file his factum and allowed the motions to dismiss the appeals.  It concluded that Mr. Gagné’s appeals seemed clearly dilatory. </w:t>
            </w:r>
          </w:p>
          <w:p w:rsidR="000C6A2A" w:rsidRPr="006042C8" w:rsidRDefault="000C6A2A" w:rsidP="009F6372">
            <w:pPr>
              <w:jc w:val="both"/>
              <w:rPr>
                <w:rFonts w:eastAsia="Calibri"/>
                <w:sz w:val="20"/>
              </w:rPr>
            </w:pPr>
          </w:p>
        </w:tc>
      </w:tr>
      <w:tr w:rsidR="000C6A2A" w:rsidRPr="006042C8" w:rsidTr="009F6372">
        <w:tc>
          <w:tcPr>
            <w:tcW w:w="2427" w:type="pct"/>
          </w:tcPr>
          <w:p w:rsidR="000C6A2A" w:rsidRPr="006042C8" w:rsidRDefault="000C6A2A" w:rsidP="009F6372">
            <w:pPr>
              <w:jc w:val="both"/>
              <w:rPr>
                <w:rFonts w:eastAsia="Calibri"/>
                <w:sz w:val="20"/>
              </w:rPr>
            </w:pPr>
            <w:r w:rsidRPr="006042C8">
              <w:rPr>
                <w:rFonts w:eastAsia="Calibri"/>
                <w:sz w:val="20"/>
              </w:rPr>
              <w:t>July 23, 2010</w:t>
            </w:r>
          </w:p>
          <w:p w:rsidR="000C6A2A" w:rsidRPr="006042C8" w:rsidRDefault="000C6A2A" w:rsidP="009F6372">
            <w:pPr>
              <w:jc w:val="both"/>
              <w:rPr>
                <w:rFonts w:eastAsia="Calibri"/>
                <w:sz w:val="20"/>
              </w:rPr>
            </w:pPr>
            <w:r w:rsidRPr="006042C8">
              <w:rPr>
                <w:rFonts w:eastAsia="Calibri"/>
                <w:sz w:val="20"/>
              </w:rPr>
              <w:t>Court of Québec</w:t>
            </w:r>
          </w:p>
          <w:p w:rsidR="000C6A2A" w:rsidRPr="006042C8" w:rsidRDefault="000C6A2A" w:rsidP="009F6372">
            <w:pPr>
              <w:jc w:val="both"/>
              <w:rPr>
                <w:rFonts w:eastAsia="Calibri"/>
                <w:sz w:val="20"/>
              </w:rPr>
            </w:pPr>
            <w:r w:rsidRPr="006042C8">
              <w:rPr>
                <w:rFonts w:eastAsia="Calibri"/>
                <w:sz w:val="20"/>
              </w:rPr>
              <w:t>(Judge Paré)</w:t>
            </w:r>
          </w:p>
          <w:p w:rsidR="000C6A2A" w:rsidRPr="006042C8" w:rsidRDefault="000C6A2A" w:rsidP="009F6372">
            <w:pPr>
              <w:jc w:val="both"/>
              <w:rPr>
                <w:rFonts w:eastAsia="Calibri"/>
                <w:sz w:val="20"/>
              </w:rPr>
            </w:pPr>
            <w:r w:rsidRPr="006042C8">
              <w:rPr>
                <w:rFonts w:eastAsia="Calibri"/>
                <w:sz w:val="20"/>
              </w:rPr>
              <w:t>2010 QCCQ 18420</w:t>
            </w:r>
          </w:p>
          <w:p w:rsidR="000C6A2A" w:rsidRPr="006042C8" w:rsidRDefault="000C6A2A" w:rsidP="009F6372">
            <w:pPr>
              <w:jc w:val="both"/>
              <w:rPr>
                <w:rFonts w:eastAsia="Calibri"/>
                <w:sz w:val="20"/>
              </w:rPr>
            </w:pP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Applicant convicted and sentenced</w:t>
            </w:r>
          </w:p>
          <w:p w:rsidR="000C6A2A" w:rsidRPr="006042C8" w:rsidRDefault="000C6A2A" w:rsidP="009F6372">
            <w:pPr>
              <w:jc w:val="both"/>
              <w:rPr>
                <w:rFonts w:eastAsia="Calibri"/>
                <w:sz w:val="20"/>
              </w:rPr>
            </w:pPr>
          </w:p>
        </w:tc>
      </w:tr>
      <w:tr w:rsidR="000C6A2A" w:rsidRPr="006042C8" w:rsidTr="009F6372">
        <w:tc>
          <w:tcPr>
            <w:tcW w:w="2427" w:type="pct"/>
          </w:tcPr>
          <w:p w:rsidR="000C6A2A" w:rsidRPr="006042C8" w:rsidRDefault="000C6A2A" w:rsidP="009F6372">
            <w:pPr>
              <w:jc w:val="both"/>
              <w:rPr>
                <w:rFonts w:eastAsia="Calibri"/>
                <w:sz w:val="20"/>
              </w:rPr>
            </w:pPr>
            <w:r w:rsidRPr="006042C8">
              <w:rPr>
                <w:rFonts w:eastAsia="Calibri"/>
                <w:sz w:val="20"/>
              </w:rPr>
              <w:t>October 3, 2011</w:t>
            </w:r>
          </w:p>
          <w:p w:rsidR="000C6A2A" w:rsidRPr="006042C8" w:rsidRDefault="000C6A2A" w:rsidP="009F6372">
            <w:pPr>
              <w:jc w:val="both"/>
              <w:rPr>
                <w:rFonts w:eastAsia="Calibri"/>
                <w:sz w:val="20"/>
              </w:rPr>
            </w:pPr>
            <w:r w:rsidRPr="006042C8">
              <w:rPr>
                <w:rFonts w:eastAsia="Calibri"/>
                <w:sz w:val="20"/>
              </w:rPr>
              <w:t>Quebec Court of Appeal (Montréal)</w:t>
            </w:r>
          </w:p>
          <w:p w:rsidR="000C6A2A" w:rsidRPr="006042C8" w:rsidRDefault="000C6A2A" w:rsidP="009F6372">
            <w:pPr>
              <w:jc w:val="both"/>
              <w:rPr>
                <w:rFonts w:eastAsia="Calibri"/>
                <w:sz w:val="20"/>
              </w:rPr>
            </w:pPr>
            <w:r w:rsidRPr="006042C8">
              <w:rPr>
                <w:rFonts w:eastAsia="Calibri"/>
                <w:sz w:val="20"/>
              </w:rPr>
              <w:t>(Beauregard, Rochon and Hilton JJ.A)</w:t>
            </w:r>
          </w:p>
          <w:p w:rsidR="000C6A2A" w:rsidRPr="006042C8" w:rsidRDefault="000C6A2A" w:rsidP="009F6372">
            <w:pPr>
              <w:jc w:val="both"/>
              <w:rPr>
                <w:rFonts w:eastAsia="Calibri"/>
                <w:sz w:val="20"/>
              </w:rPr>
            </w:pPr>
            <w:r w:rsidRPr="006042C8">
              <w:rPr>
                <w:rFonts w:eastAsia="Calibri"/>
                <w:sz w:val="20"/>
              </w:rPr>
              <w:t>2011 QCCA 1896; 500</w:t>
            </w:r>
            <w:r w:rsidRPr="006042C8">
              <w:rPr>
                <w:rFonts w:eastAsia="Calibri"/>
                <w:sz w:val="20"/>
              </w:rPr>
              <w:noBreakHyphen/>
              <w:t>10</w:t>
            </w:r>
            <w:r w:rsidRPr="006042C8">
              <w:rPr>
                <w:rFonts w:eastAsia="Calibri"/>
                <w:sz w:val="20"/>
              </w:rPr>
              <w:noBreakHyphen/>
              <w:t>004753</w:t>
            </w:r>
            <w:r w:rsidRPr="006042C8">
              <w:rPr>
                <w:rFonts w:eastAsia="Calibri"/>
                <w:sz w:val="20"/>
              </w:rPr>
              <w:noBreakHyphen/>
              <w:t>107</w:t>
            </w:r>
          </w:p>
          <w:p w:rsidR="000C6A2A" w:rsidRPr="006042C8" w:rsidRDefault="000C6A2A" w:rsidP="009F6372">
            <w:pPr>
              <w:jc w:val="both"/>
              <w:rPr>
                <w:rFonts w:eastAsia="Calibri"/>
                <w:sz w:val="20"/>
              </w:rPr>
            </w:pPr>
            <w:r w:rsidRPr="006042C8">
              <w:rPr>
                <w:rFonts w:eastAsia="Calibri"/>
                <w:sz w:val="20"/>
              </w:rPr>
              <w:t>2011 QCCA 1898; 500</w:t>
            </w:r>
            <w:r w:rsidRPr="006042C8">
              <w:rPr>
                <w:rFonts w:eastAsia="Calibri"/>
                <w:sz w:val="20"/>
              </w:rPr>
              <w:noBreakHyphen/>
              <w:t>10</w:t>
            </w:r>
            <w:r w:rsidRPr="006042C8">
              <w:rPr>
                <w:rFonts w:eastAsia="Calibri"/>
                <w:sz w:val="20"/>
              </w:rPr>
              <w:noBreakHyphen/>
              <w:t>004792</w:t>
            </w:r>
            <w:r w:rsidRPr="006042C8">
              <w:rPr>
                <w:rFonts w:eastAsia="Calibri"/>
                <w:sz w:val="20"/>
              </w:rPr>
              <w:noBreakHyphen/>
              <w:t>105</w:t>
            </w:r>
          </w:p>
          <w:p w:rsidR="000C6A2A" w:rsidRPr="006042C8" w:rsidRDefault="000C6A2A" w:rsidP="009F6372">
            <w:pPr>
              <w:jc w:val="both"/>
              <w:rPr>
                <w:rFonts w:eastAsia="Calibri"/>
                <w:sz w:val="20"/>
              </w:rPr>
            </w:pP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Motions to dismiss appeals allowed; appeals from conviction and sentence dismissed</w:t>
            </w:r>
          </w:p>
          <w:p w:rsidR="000C6A2A" w:rsidRPr="006042C8" w:rsidRDefault="000C6A2A" w:rsidP="009F6372">
            <w:pPr>
              <w:jc w:val="both"/>
              <w:rPr>
                <w:rFonts w:eastAsia="Calibri"/>
                <w:sz w:val="20"/>
              </w:rPr>
            </w:pPr>
          </w:p>
        </w:tc>
      </w:tr>
      <w:tr w:rsidR="000C6A2A" w:rsidRPr="006042C8" w:rsidTr="009F6372">
        <w:tc>
          <w:tcPr>
            <w:tcW w:w="2427" w:type="pct"/>
          </w:tcPr>
          <w:p w:rsidR="000C6A2A" w:rsidRPr="006042C8" w:rsidRDefault="000C6A2A" w:rsidP="009F6372">
            <w:pPr>
              <w:jc w:val="both"/>
              <w:rPr>
                <w:rFonts w:eastAsia="Calibri"/>
                <w:sz w:val="20"/>
              </w:rPr>
            </w:pPr>
            <w:r w:rsidRPr="006042C8">
              <w:rPr>
                <w:rFonts w:eastAsia="Calibri"/>
                <w:sz w:val="20"/>
              </w:rPr>
              <w:t>December 1, 2011</w:t>
            </w:r>
          </w:p>
          <w:p w:rsidR="000C6A2A" w:rsidRPr="006042C8" w:rsidRDefault="000C6A2A" w:rsidP="009F6372">
            <w:pPr>
              <w:jc w:val="both"/>
              <w:rPr>
                <w:rFonts w:eastAsia="Calibri"/>
                <w:sz w:val="20"/>
              </w:rPr>
            </w:pPr>
            <w:r w:rsidRPr="006042C8">
              <w:rPr>
                <w:rFonts w:eastAsia="Calibri"/>
                <w:sz w:val="20"/>
              </w:rPr>
              <w:t>Supreme Court of Canada</w:t>
            </w: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Application for leave to appeal filed</w:t>
            </w:r>
          </w:p>
          <w:p w:rsidR="000C6A2A" w:rsidRPr="006042C8" w:rsidRDefault="000C6A2A" w:rsidP="009F6372">
            <w:pPr>
              <w:jc w:val="both"/>
              <w:rPr>
                <w:rFonts w:eastAsia="Calibri"/>
                <w:sz w:val="20"/>
              </w:rPr>
            </w:pPr>
          </w:p>
        </w:tc>
      </w:tr>
    </w:tbl>
    <w:p w:rsidR="00837483" w:rsidRDefault="00837483" w:rsidP="00837483">
      <w:pPr>
        <w:rPr>
          <w:sz w:val="20"/>
          <w:szCs w:val="20"/>
        </w:rPr>
      </w:pPr>
    </w:p>
    <w:p w:rsidR="00837483" w:rsidRPr="00C50A5C" w:rsidRDefault="009753DF" w:rsidP="00837483">
      <w:pPr>
        <w:rPr>
          <w:sz w:val="20"/>
          <w:szCs w:val="20"/>
        </w:rPr>
      </w:pPr>
      <w:r w:rsidRPr="009753DF">
        <w:rPr>
          <w:sz w:val="20"/>
          <w:szCs w:val="20"/>
          <w:lang w:val="fr-CA"/>
        </w:rPr>
        <w:pict>
          <v:rect id="_x0000_i1044" style="width:2in;height:1pt" o:hrpct="0" o:hralign="center" o:hrstd="t" o:hrnoshade="t" o:hr="t" fillcolor="black [3213]" stroked="f"/>
        </w:pict>
      </w:r>
    </w:p>
    <w:p w:rsidR="00837483" w:rsidRDefault="00837483" w:rsidP="00837483">
      <w:pPr>
        <w:rPr>
          <w:sz w:val="20"/>
          <w:szCs w:val="20"/>
        </w:rPr>
      </w:pPr>
    </w:p>
    <w:p w:rsidR="00837483" w:rsidRPr="001B157C" w:rsidRDefault="00837483" w:rsidP="00837483">
      <w:pPr>
        <w:rPr>
          <w:sz w:val="20"/>
          <w:szCs w:val="20"/>
          <w:u w:val="single"/>
          <w:lang w:val="fr-CA"/>
        </w:rPr>
      </w:pPr>
      <w:r w:rsidRPr="001B157C">
        <w:rPr>
          <w:sz w:val="20"/>
          <w:szCs w:val="20"/>
          <w:u w:val="single"/>
          <w:lang w:val="fr-CA"/>
        </w:rPr>
        <w:t>RÉSUMÉ DE L’AFFAIRE</w:t>
      </w:r>
    </w:p>
    <w:p w:rsidR="00837483" w:rsidRDefault="00837483" w:rsidP="0083748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6A2A" w:rsidRPr="00C43006" w:rsidTr="009F6372">
        <w:tc>
          <w:tcPr>
            <w:tcW w:w="5000" w:type="pct"/>
            <w:gridSpan w:val="3"/>
          </w:tcPr>
          <w:p w:rsidR="000C6A2A" w:rsidRPr="006042C8" w:rsidRDefault="000C6A2A" w:rsidP="009F6372">
            <w:pPr>
              <w:jc w:val="both"/>
              <w:rPr>
                <w:rFonts w:eastAsia="Calibri"/>
                <w:sz w:val="20"/>
                <w:lang w:val="fr-CA"/>
              </w:rPr>
            </w:pPr>
            <w:r w:rsidRPr="006042C8">
              <w:rPr>
                <w:rFonts w:eastAsia="Calibri"/>
                <w:sz w:val="20"/>
                <w:highlight w:val="white"/>
                <w:lang w:val="fr-CA"/>
              </w:rPr>
              <w:t xml:space="preserve">Droit fiscal – Impôt sur le revenu – Procédure civile – Appel dilatoire – Demandeur trouvé coupable d’avoir volontairement éludé ou tenté d’éluder l’observation de la </w:t>
            </w:r>
            <w:r w:rsidRPr="006042C8">
              <w:rPr>
                <w:rFonts w:eastAsia="Calibri"/>
                <w:i/>
                <w:sz w:val="20"/>
                <w:highlight w:val="white"/>
                <w:lang w:val="fr-CA"/>
              </w:rPr>
              <w:t>Loi de l’impôt sur le revenu</w:t>
            </w:r>
            <w:r w:rsidRPr="006042C8">
              <w:rPr>
                <w:rFonts w:eastAsia="Calibri"/>
                <w:sz w:val="20"/>
                <w:highlight w:val="white"/>
                <w:lang w:val="fr-CA"/>
              </w:rPr>
              <w:t xml:space="preserve"> en </w:t>
            </w:r>
            <w:r w:rsidRPr="006042C8">
              <w:rPr>
                <w:rFonts w:eastAsia="Calibri"/>
                <w:sz w:val="20"/>
                <w:lang w:val="fr-CA"/>
              </w:rPr>
              <w:t>permettant à plusieurs contribuables de ne pas déclarer des montants retirés de leurs régimes enregistrés d’épargne</w:t>
            </w:r>
            <w:r w:rsidRPr="006042C8">
              <w:rPr>
                <w:rFonts w:eastAsia="Calibri"/>
                <w:sz w:val="20"/>
                <w:lang w:val="fr-CA"/>
              </w:rPr>
              <w:noBreakHyphen/>
              <w:t xml:space="preserve">retraite, de leurs régimes de pension agrées ou de leurs comptes de retraite immobilisés – </w:t>
            </w:r>
            <w:r w:rsidRPr="006042C8">
              <w:rPr>
                <w:rFonts w:eastAsia="Calibri"/>
                <w:sz w:val="20"/>
                <w:lang w:val="fr-FR"/>
              </w:rPr>
              <w:t>Défaut de produire un mémoire</w:t>
            </w:r>
            <w:r w:rsidRPr="006042C8">
              <w:rPr>
                <w:rFonts w:eastAsia="Calibri"/>
                <w:sz w:val="20"/>
                <w:lang w:val="fr-CA"/>
              </w:rPr>
              <w:t xml:space="preserve"> en appel à l’intérieur des délais accordés – Appels de la peine et de la sentence jugés dilatoires et rejetés </w:t>
            </w:r>
            <w:r w:rsidRPr="006042C8">
              <w:rPr>
                <w:rFonts w:eastAsia="Calibri"/>
                <w:sz w:val="20"/>
                <w:lang w:val="fr-FR"/>
              </w:rPr>
              <w:t xml:space="preserve">– </w:t>
            </w:r>
            <w:r w:rsidRPr="006042C8">
              <w:rPr>
                <w:rFonts w:eastAsia="Calibri"/>
                <w:sz w:val="20"/>
                <w:lang w:val="fr-CA"/>
              </w:rPr>
              <w:t>La Cour d’appel était</w:t>
            </w:r>
            <w:r w:rsidRPr="006042C8">
              <w:rPr>
                <w:rFonts w:eastAsia="Calibri"/>
                <w:sz w:val="20"/>
                <w:lang w:val="fr-CA"/>
              </w:rPr>
              <w:noBreakHyphen/>
              <w:t>elle justifiée de conclure au caractère dilatoire des procédures en l’espèce? – Le demandeur pouvait</w:t>
            </w:r>
            <w:r w:rsidRPr="006042C8">
              <w:rPr>
                <w:rFonts w:eastAsia="Calibri"/>
                <w:sz w:val="20"/>
                <w:lang w:val="fr-CA"/>
              </w:rPr>
              <w:noBreakHyphen/>
              <w:t xml:space="preserve">il être trouvé coupable d’avoir contrevenu a l’al. 239(1)(d) de la </w:t>
            </w:r>
            <w:r w:rsidRPr="006042C8">
              <w:rPr>
                <w:rFonts w:eastAsia="Calibri"/>
                <w:i/>
                <w:sz w:val="20"/>
                <w:lang w:val="fr-CA"/>
              </w:rPr>
              <w:t>Loi de l’impôt sur le revenu</w:t>
            </w:r>
            <w:r w:rsidRPr="006042C8">
              <w:rPr>
                <w:rFonts w:eastAsia="Calibri"/>
                <w:sz w:val="20"/>
                <w:lang w:val="fr-CA"/>
              </w:rPr>
              <w:t xml:space="preserve"> dans les circonstances?</w:t>
            </w:r>
          </w:p>
        </w:tc>
      </w:tr>
      <w:tr w:rsidR="000C6A2A" w:rsidRPr="00C43006" w:rsidTr="009F6372">
        <w:tc>
          <w:tcPr>
            <w:tcW w:w="5000" w:type="pct"/>
            <w:gridSpan w:val="3"/>
          </w:tcPr>
          <w:p w:rsidR="000C6A2A" w:rsidRPr="006042C8" w:rsidRDefault="000C6A2A" w:rsidP="009F6372">
            <w:pPr>
              <w:jc w:val="both"/>
              <w:rPr>
                <w:rFonts w:eastAsia="Calibri"/>
                <w:sz w:val="20"/>
                <w:lang w:val="fr-CA"/>
              </w:rPr>
            </w:pPr>
          </w:p>
        </w:tc>
      </w:tr>
      <w:tr w:rsidR="000C6A2A" w:rsidRPr="008C68F8" w:rsidTr="009F6372">
        <w:tc>
          <w:tcPr>
            <w:tcW w:w="5000" w:type="pct"/>
            <w:gridSpan w:val="3"/>
          </w:tcPr>
          <w:p w:rsidR="000C6A2A" w:rsidRPr="006042C8" w:rsidRDefault="000C6A2A" w:rsidP="009F6372">
            <w:pPr>
              <w:jc w:val="both"/>
              <w:rPr>
                <w:rFonts w:eastAsia="Calibri"/>
                <w:sz w:val="20"/>
                <w:lang w:val="fr-CA"/>
              </w:rPr>
            </w:pPr>
            <w:r w:rsidRPr="006042C8">
              <w:rPr>
                <w:rFonts w:eastAsia="Calibri"/>
                <w:sz w:val="20"/>
                <w:lang w:val="fr-CA"/>
              </w:rPr>
              <w:t>Au terme d’un procès qui s’est échelonné sur une période d’environ sept ans et demi, le demandeur, M. Gagné, a été trouvé coupable d’avoir contrevenu à l’al. 239(1)(d) de</w:t>
            </w:r>
            <w:r w:rsidRPr="006042C8">
              <w:rPr>
                <w:rFonts w:eastAsia="Calibri"/>
                <w:sz w:val="20"/>
                <w:highlight w:val="white"/>
                <w:lang w:val="fr-CA"/>
              </w:rPr>
              <w:t xml:space="preserve"> la </w:t>
            </w:r>
            <w:r w:rsidRPr="006042C8">
              <w:rPr>
                <w:rFonts w:eastAsia="Calibri"/>
                <w:i/>
                <w:iCs/>
                <w:sz w:val="20"/>
                <w:highlight w:val="white"/>
                <w:lang w:val="fr-CA"/>
              </w:rPr>
              <w:t>Loi de l’impôt sur le revenu</w:t>
            </w:r>
            <w:r w:rsidRPr="006042C8">
              <w:rPr>
                <w:rFonts w:eastAsia="Calibri"/>
                <w:sz w:val="20"/>
                <w:highlight w:val="white"/>
                <w:lang w:val="fr-CA"/>
              </w:rPr>
              <w:t>.</w:t>
            </w:r>
            <w:r w:rsidRPr="006042C8">
              <w:rPr>
                <w:rFonts w:eastAsia="Calibri"/>
                <w:sz w:val="20"/>
                <w:lang w:val="fr-CA"/>
              </w:rPr>
              <w:t xml:space="preserve"> On lui a imposé une peine d’emprisonnement de 42 mois en plus d’une amende de 616 000 $.</w:t>
            </w:r>
          </w:p>
          <w:p w:rsidR="000C6A2A" w:rsidRPr="006042C8" w:rsidRDefault="000C6A2A" w:rsidP="009F6372">
            <w:pPr>
              <w:jc w:val="both"/>
              <w:rPr>
                <w:rFonts w:eastAsia="Calibri"/>
                <w:sz w:val="20"/>
                <w:lang w:val="fr-CA"/>
              </w:rPr>
            </w:pPr>
          </w:p>
          <w:p w:rsidR="000C6A2A" w:rsidRPr="006042C8" w:rsidRDefault="000C6A2A" w:rsidP="009F6372">
            <w:pPr>
              <w:jc w:val="both"/>
              <w:rPr>
                <w:rFonts w:eastAsia="Calibri"/>
                <w:sz w:val="20"/>
                <w:highlight w:val="white"/>
                <w:lang w:val="fr-CA"/>
              </w:rPr>
            </w:pPr>
            <w:r w:rsidRPr="006042C8">
              <w:rPr>
                <w:rFonts w:eastAsia="Calibri"/>
                <w:sz w:val="20"/>
                <w:lang w:val="fr-CA"/>
              </w:rPr>
              <w:t xml:space="preserve">M. Gagné a porté en appel devant la Cour d’appel les décisions de la Cour du Québec sur la culpabilité et la sentence. </w:t>
            </w:r>
            <w:r w:rsidRPr="006042C8">
              <w:rPr>
                <w:rFonts w:eastAsia="Calibri"/>
                <w:sz w:val="20"/>
                <w:lang w:val="fr-CA"/>
              </w:rPr>
              <w:lastRenderedPageBreak/>
              <w:t>Quatorze mois après l’inscription sur le fond</w:t>
            </w:r>
            <w:r w:rsidRPr="006042C8">
              <w:rPr>
                <w:rFonts w:eastAsia="Calibri"/>
                <w:sz w:val="20"/>
                <w:highlight w:val="white"/>
                <w:lang w:val="fr-CA"/>
              </w:rPr>
              <w:t>, le mémoire d’appel de M. Gagné n’était toujours pas déposé. Vu ce défaut, la Couronne a signifié des requêtes en rejet d’appel. Le 4 juillet 2001, la Cour d’appel a prorogé le délai de production du mémoire jusqu’au 30 septembre 2011 et ajourné l’audition des requêtes en rejet d’appel au 3 octobre 2011. Une fois cette date arrivée, cependant, la Cour d’appel a constaté le défaut de M. Gagné de produire son mémoire et accueilli les requêtes en rejet d’appel. Elle a conclu qu</w:t>
            </w:r>
            <w:r w:rsidRPr="006042C8">
              <w:rPr>
                <w:rFonts w:eastAsia="Calibri"/>
                <w:sz w:val="20"/>
                <w:lang w:val="fr-CA"/>
              </w:rPr>
              <w:t xml:space="preserve">e les appels de M. Gagné </w:t>
            </w:r>
            <w:r w:rsidRPr="006042C8">
              <w:rPr>
                <w:rFonts w:eastAsia="Calibri"/>
                <w:sz w:val="20"/>
                <w:highlight w:val="white"/>
                <w:lang w:val="fr-CA"/>
              </w:rPr>
              <w:t xml:space="preserve">paraissaient manifestement dilatoires. </w:t>
            </w:r>
          </w:p>
          <w:p w:rsidR="000C6A2A" w:rsidRPr="006042C8" w:rsidRDefault="000C6A2A" w:rsidP="009F6372">
            <w:pPr>
              <w:jc w:val="both"/>
              <w:rPr>
                <w:rFonts w:eastAsia="Calibri"/>
                <w:sz w:val="20"/>
                <w:lang w:val="fr-CA"/>
              </w:rPr>
            </w:pPr>
          </w:p>
        </w:tc>
      </w:tr>
      <w:tr w:rsidR="000C6A2A" w:rsidRPr="006042C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lastRenderedPageBreak/>
              <w:t>Le 23 juillet 2010</w:t>
            </w:r>
          </w:p>
          <w:p w:rsidR="000C6A2A" w:rsidRPr="006042C8" w:rsidRDefault="000C6A2A" w:rsidP="009F6372">
            <w:pPr>
              <w:jc w:val="both"/>
              <w:rPr>
                <w:rFonts w:eastAsia="Calibri"/>
                <w:sz w:val="20"/>
                <w:lang w:val="fr-CA"/>
              </w:rPr>
            </w:pPr>
            <w:r w:rsidRPr="006042C8">
              <w:rPr>
                <w:rFonts w:eastAsia="Calibri"/>
                <w:sz w:val="20"/>
                <w:lang w:val="fr-CA"/>
              </w:rPr>
              <w:t>Cour du Québec</w:t>
            </w:r>
          </w:p>
          <w:p w:rsidR="000C6A2A" w:rsidRPr="006042C8" w:rsidRDefault="000C6A2A" w:rsidP="009F6372">
            <w:pPr>
              <w:jc w:val="both"/>
              <w:rPr>
                <w:rFonts w:eastAsia="Calibri"/>
                <w:sz w:val="20"/>
                <w:lang w:val="fr-CA"/>
              </w:rPr>
            </w:pPr>
            <w:r w:rsidRPr="006042C8">
              <w:rPr>
                <w:rFonts w:eastAsia="Calibri"/>
                <w:sz w:val="20"/>
                <w:lang w:val="fr-CA"/>
              </w:rPr>
              <w:t>(La juge Paré)</w:t>
            </w:r>
          </w:p>
          <w:p w:rsidR="000C6A2A" w:rsidRPr="006042C8" w:rsidRDefault="000C6A2A" w:rsidP="009F6372">
            <w:pPr>
              <w:jc w:val="both"/>
              <w:rPr>
                <w:rFonts w:eastAsia="Calibri"/>
                <w:sz w:val="20"/>
                <w:lang w:val="fr-CA"/>
              </w:rPr>
            </w:pPr>
            <w:r w:rsidRPr="006042C8">
              <w:rPr>
                <w:rFonts w:eastAsia="Calibri"/>
                <w:sz w:val="20"/>
                <w:lang w:val="fr-CA"/>
              </w:rPr>
              <w:t>2010 QCCQ 18420</w:t>
            </w:r>
          </w:p>
          <w:p w:rsidR="000C6A2A" w:rsidRPr="006042C8" w:rsidRDefault="000C6A2A" w:rsidP="009F6372">
            <w:pPr>
              <w:jc w:val="both"/>
              <w:rPr>
                <w:rFonts w:eastAsia="Calibri"/>
                <w:sz w:val="20"/>
                <w:lang w:val="fr-CA"/>
              </w:rPr>
            </w:pPr>
          </w:p>
        </w:tc>
        <w:tc>
          <w:tcPr>
            <w:tcW w:w="243" w:type="pct"/>
          </w:tcPr>
          <w:p w:rsidR="000C6A2A" w:rsidRPr="006042C8" w:rsidRDefault="000C6A2A" w:rsidP="009F6372">
            <w:pPr>
              <w:jc w:val="both"/>
              <w:rPr>
                <w:rFonts w:eastAsia="Calibri"/>
                <w:sz w:val="20"/>
                <w:lang w:val="fr-CA"/>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Déclaration de culpabilité et sentence</w:t>
            </w:r>
          </w:p>
          <w:p w:rsidR="000C6A2A" w:rsidRPr="006042C8" w:rsidRDefault="000C6A2A" w:rsidP="009F6372">
            <w:pPr>
              <w:jc w:val="both"/>
              <w:rPr>
                <w:rFonts w:eastAsia="Calibri"/>
                <w:sz w:val="20"/>
                <w:lang w:val="fr-CA"/>
              </w:rPr>
            </w:pPr>
          </w:p>
        </w:tc>
      </w:tr>
      <w:tr w:rsidR="000C6A2A" w:rsidRPr="008C68F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t>Le 3 octobre 2011</w:t>
            </w:r>
          </w:p>
          <w:p w:rsidR="000C6A2A" w:rsidRPr="006042C8" w:rsidRDefault="000C6A2A" w:rsidP="009F6372">
            <w:pPr>
              <w:jc w:val="both"/>
              <w:rPr>
                <w:rFonts w:eastAsia="Calibri"/>
                <w:sz w:val="20"/>
                <w:lang w:val="fr-CA"/>
              </w:rPr>
            </w:pPr>
            <w:r w:rsidRPr="006042C8">
              <w:rPr>
                <w:rFonts w:eastAsia="Calibri"/>
                <w:sz w:val="20"/>
                <w:lang w:val="fr-CA"/>
              </w:rPr>
              <w:t>Cour d’appel du Québec (Montréal)</w:t>
            </w:r>
          </w:p>
          <w:p w:rsidR="000C6A2A" w:rsidRPr="006042C8" w:rsidRDefault="000C6A2A" w:rsidP="009F6372">
            <w:pPr>
              <w:jc w:val="both"/>
              <w:rPr>
                <w:rFonts w:eastAsia="Calibri"/>
                <w:sz w:val="20"/>
                <w:lang w:val="fr-CA"/>
              </w:rPr>
            </w:pPr>
            <w:r w:rsidRPr="006042C8">
              <w:rPr>
                <w:rFonts w:eastAsia="Calibri"/>
                <w:sz w:val="20"/>
                <w:lang w:val="fr-CA"/>
              </w:rPr>
              <w:t>(Les juges Beauregard, Rochon et Hilton)</w:t>
            </w:r>
          </w:p>
          <w:p w:rsidR="000C6A2A" w:rsidRPr="006042C8" w:rsidRDefault="000C6A2A" w:rsidP="009F6372">
            <w:pPr>
              <w:jc w:val="both"/>
              <w:rPr>
                <w:rFonts w:eastAsia="Calibri"/>
                <w:sz w:val="20"/>
                <w:lang w:val="fr-CA"/>
              </w:rPr>
            </w:pPr>
            <w:r w:rsidRPr="006042C8">
              <w:rPr>
                <w:rFonts w:eastAsia="Calibri"/>
                <w:sz w:val="20"/>
                <w:lang w:val="fr-CA"/>
              </w:rPr>
              <w:t>2011 QCCA 1896; 500</w:t>
            </w:r>
            <w:r w:rsidRPr="006042C8">
              <w:rPr>
                <w:rFonts w:eastAsia="Calibri"/>
                <w:sz w:val="20"/>
                <w:lang w:val="fr-CA"/>
              </w:rPr>
              <w:noBreakHyphen/>
              <w:t>10</w:t>
            </w:r>
            <w:r w:rsidRPr="006042C8">
              <w:rPr>
                <w:rFonts w:eastAsia="Calibri"/>
                <w:sz w:val="20"/>
                <w:lang w:val="fr-CA"/>
              </w:rPr>
              <w:noBreakHyphen/>
              <w:t>004753</w:t>
            </w:r>
            <w:r w:rsidRPr="006042C8">
              <w:rPr>
                <w:rFonts w:eastAsia="Calibri"/>
                <w:sz w:val="20"/>
                <w:lang w:val="fr-CA"/>
              </w:rPr>
              <w:noBreakHyphen/>
              <w:t>107</w:t>
            </w:r>
          </w:p>
          <w:p w:rsidR="000C6A2A" w:rsidRPr="006042C8" w:rsidRDefault="000C6A2A" w:rsidP="009F6372">
            <w:pPr>
              <w:jc w:val="both"/>
              <w:rPr>
                <w:rFonts w:eastAsia="Calibri"/>
                <w:sz w:val="20"/>
                <w:lang w:val="fr-CA"/>
              </w:rPr>
            </w:pPr>
            <w:r w:rsidRPr="006042C8">
              <w:rPr>
                <w:rFonts w:eastAsia="Calibri"/>
                <w:sz w:val="20"/>
                <w:lang w:val="fr-CA"/>
              </w:rPr>
              <w:t>2011 QCCA 1898, 500</w:t>
            </w:r>
            <w:r w:rsidRPr="006042C8">
              <w:rPr>
                <w:rFonts w:eastAsia="Calibri"/>
                <w:sz w:val="20"/>
                <w:lang w:val="fr-CA"/>
              </w:rPr>
              <w:noBreakHyphen/>
              <w:t>10</w:t>
            </w:r>
            <w:r w:rsidRPr="006042C8">
              <w:rPr>
                <w:rFonts w:eastAsia="Calibri"/>
                <w:sz w:val="20"/>
                <w:lang w:val="fr-CA"/>
              </w:rPr>
              <w:noBreakHyphen/>
              <w:t>004792</w:t>
            </w:r>
            <w:r w:rsidRPr="006042C8">
              <w:rPr>
                <w:rFonts w:eastAsia="Calibri"/>
                <w:sz w:val="20"/>
                <w:lang w:val="fr-CA"/>
              </w:rPr>
              <w:noBreakHyphen/>
              <w:t>105</w:t>
            </w:r>
          </w:p>
          <w:p w:rsidR="000C6A2A" w:rsidRPr="006042C8" w:rsidRDefault="000C6A2A" w:rsidP="009F6372">
            <w:pPr>
              <w:jc w:val="both"/>
              <w:rPr>
                <w:rFonts w:eastAsia="Calibri"/>
                <w:sz w:val="20"/>
                <w:lang w:val="fr-CA"/>
              </w:rPr>
            </w:pPr>
          </w:p>
        </w:tc>
        <w:tc>
          <w:tcPr>
            <w:tcW w:w="243" w:type="pct"/>
          </w:tcPr>
          <w:p w:rsidR="000C6A2A" w:rsidRPr="006042C8" w:rsidRDefault="000C6A2A" w:rsidP="009F6372">
            <w:pPr>
              <w:jc w:val="both"/>
              <w:rPr>
                <w:rFonts w:eastAsia="Calibri"/>
                <w:sz w:val="20"/>
                <w:lang w:val="fr-CA"/>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Requêtes en rejet d’appel accueillies; appels de la condamnation et de la peine rejetés</w:t>
            </w:r>
          </w:p>
          <w:p w:rsidR="000C6A2A" w:rsidRPr="006042C8" w:rsidRDefault="000C6A2A" w:rsidP="009F6372">
            <w:pPr>
              <w:jc w:val="both"/>
              <w:rPr>
                <w:rFonts w:eastAsia="Calibri"/>
                <w:sz w:val="20"/>
                <w:lang w:val="fr-CA"/>
              </w:rPr>
            </w:pPr>
          </w:p>
        </w:tc>
      </w:tr>
      <w:tr w:rsidR="000C6A2A" w:rsidRPr="006042C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t>Le 1 décembre 2011</w:t>
            </w:r>
          </w:p>
          <w:p w:rsidR="000C6A2A" w:rsidRPr="006042C8" w:rsidRDefault="000C6A2A" w:rsidP="009F6372">
            <w:pPr>
              <w:jc w:val="both"/>
              <w:rPr>
                <w:rFonts w:eastAsia="Calibri"/>
                <w:sz w:val="20"/>
                <w:lang w:val="fr-CA"/>
              </w:rPr>
            </w:pPr>
            <w:r w:rsidRPr="006042C8">
              <w:rPr>
                <w:rFonts w:eastAsia="Calibri"/>
                <w:sz w:val="20"/>
                <w:lang w:val="fr-CA"/>
              </w:rPr>
              <w:t>Cour suprême du Canada</w:t>
            </w:r>
          </w:p>
        </w:tc>
        <w:tc>
          <w:tcPr>
            <w:tcW w:w="243" w:type="pct"/>
          </w:tcPr>
          <w:p w:rsidR="000C6A2A" w:rsidRPr="006042C8" w:rsidRDefault="000C6A2A" w:rsidP="009F6372">
            <w:pPr>
              <w:jc w:val="both"/>
              <w:rPr>
                <w:rFonts w:eastAsia="Calibri"/>
                <w:sz w:val="20"/>
                <w:lang w:val="fr-CA"/>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Demande d'autorisation d'appel déposée</w:t>
            </w:r>
          </w:p>
          <w:p w:rsidR="000C6A2A" w:rsidRPr="006042C8" w:rsidRDefault="000C6A2A" w:rsidP="009F6372">
            <w:pPr>
              <w:jc w:val="both"/>
              <w:rPr>
                <w:rFonts w:eastAsia="Calibri"/>
                <w:sz w:val="20"/>
                <w:lang w:val="fr-CA"/>
              </w:rPr>
            </w:pPr>
          </w:p>
        </w:tc>
      </w:tr>
    </w:tbl>
    <w:p w:rsidR="00837483" w:rsidRDefault="00837483" w:rsidP="00837483">
      <w:pPr>
        <w:rPr>
          <w:sz w:val="20"/>
          <w:szCs w:val="20"/>
        </w:rPr>
      </w:pPr>
    </w:p>
    <w:p w:rsidR="00837483" w:rsidRDefault="009753DF" w:rsidP="00837483">
      <w:pPr>
        <w:rPr>
          <w:sz w:val="20"/>
          <w:szCs w:val="20"/>
          <w:lang w:val="fr-CA"/>
        </w:rPr>
      </w:pPr>
      <w:r w:rsidRPr="009753DF">
        <w:rPr>
          <w:sz w:val="20"/>
          <w:szCs w:val="20"/>
          <w:lang w:val="fr-CA"/>
        </w:rPr>
        <w:pict>
          <v:rect id="_x0000_i1045" style="width:2in;height:1pt" o:hrpct="0" o:hralign="center" o:hrstd="t" o:hrnoshade="t" o:hr="t" fillcolor="black [3213]" stroked="f"/>
        </w:pict>
      </w:r>
    </w:p>
    <w:p w:rsidR="00837483" w:rsidRDefault="00837483" w:rsidP="0083748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235D5" w:rsidRPr="008C68F8" w:rsidTr="00604498">
        <w:trPr>
          <w:cantSplit/>
        </w:trPr>
        <w:tc>
          <w:tcPr>
            <w:tcW w:w="1458" w:type="dxa"/>
          </w:tcPr>
          <w:p w:rsidR="00F235D5" w:rsidRPr="00184193" w:rsidRDefault="00F235D5" w:rsidP="00604498">
            <w:pPr>
              <w:rPr>
                <w:sz w:val="20"/>
                <w:szCs w:val="20"/>
              </w:rPr>
            </w:pPr>
            <w:r w:rsidRPr="00184193">
              <w:rPr>
                <w:rStyle w:val="SCCFileNumberChar"/>
                <w:sz w:val="20"/>
                <w:szCs w:val="20"/>
              </w:rPr>
              <w:t>34591</w:t>
            </w:r>
          </w:p>
          <w:p w:rsidR="00F235D5" w:rsidRPr="00184193" w:rsidRDefault="00F235D5" w:rsidP="00604498">
            <w:pPr>
              <w:rPr>
                <w:b/>
                <w:sz w:val="20"/>
                <w:szCs w:val="20"/>
                <w:lang w:val="fr-CA"/>
              </w:rPr>
            </w:pPr>
          </w:p>
        </w:tc>
        <w:tc>
          <w:tcPr>
            <w:tcW w:w="8118" w:type="dxa"/>
          </w:tcPr>
          <w:p w:rsidR="00F235D5" w:rsidRPr="00184193" w:rsidRDefault="00F235D5" w:rsidP="00604498">
            <w:pPr>
              <w:jc w:val="both"/>
              <w:rPr>
                <w:sz w:val="20"/>
                <w:szCs w:val="20"/>
                <w:lang w:val="fr-CA"/>
              </w:rPr>
            </w:pPr>
            <w:r w:rsidRPr="00184193">
              <w:rPr>
                <w:rStyle w:val="SCCLsocChar"/>
                <w:sz w:val="20"/>
                <w:szCs w:val="20"/>
              </w:rPr>
              <w:t xml:space="preserve">S.C.P. Environnement </w:t>
            </w:r>
            <w:r w:rsidR="00794295">
              <w:rPr>
                <w:rStyle w:val="SCCLsocChar"/>
                <w:sz w:val="20"/>
                <w:szCs w:val="20"/>
              </w:rPr>
              <w:t>i</w:t>
            </w:r>
            <w:r w:rsidRPr="00184193">
              <w:rPr>
                <w:rStyle w:val="SCCLsocChar"/>
                <w:sz w:val="20"/>
                <w:szCs w:val="20"/>
              </w:rPr>
              <w:t>nc. c. Esperanza Penaranda, Gratiela Dima</w:t>
            </w:r>
            <w:r w:rsidR="00794295">
              <w:rPr>
                <w:rStyle w:val="SCCLsocChar"/>
                <w:sz w:val="20"/>
                <w:szCs w:val="20"/>
              </w:rPr>
              <w:t xml:space="preserve"> et</w:t>
            </w:r>
            <w:r w:rsidRPr="00184193">
              <w:rPr>
                <w:rStyle w:val="SCCLsocChar"/>
                <w:sz w:val="20"/>
                <w:szCs w:val="20"/>
              </w:rPr>
              <w:t xml:space="preserve"> Gilles Dansereau</w:t>
            </w:r>
            <w:r w:rsidRPr="00184193">
              <w:rPr>
                <w:sz w:val="20"/>
                <w:szCs w:val="20"/>
                <w:lang w:val="fr-CA"/>
              </w:rPr>
              <w:t xml:space="preserve"> (Qc) (Civile) (Autorisation)</w:t>
            </w:r>
          </w:p>
          <w:p w:rsidR="00F235D5" w:rsidRPr="00184193" w:rsidRDefault="00F235D5" w:rsidP="00604498">
            <w:pPr>
              <w:rPr>
                <w:sz w:val="20"/>
                <w:szCs w:val="20"/>
                <w:lang w:val="fr-CA"/>
              </w:rPr>
            </w:pPr>
          </w:p>
        </w:tc>
      </w:tr>
      <w:tr w:rsidR="00F235D5" w:rsidRPr="008C68F8" w:rsidTr="00604498">
        <w:trPr>
          <w:cantSplit/>
        </w:trPr>
        <w:tc>
          <w:tcPr>
            <w:tcW w:w="1458" w:type="dxa"/>
          </w:tcPr>
          <w:p w:rsidR="00F235D5" w:rsidRPr="00184193" w:rsidRDefault="00F235D5" w:rsidP="00604498">
            <w:pPr>
              <w:rPr>
                <w:sz w:val="20"/>
                <w:szCs w:val="20"/>
              </w:rPr>
            </w:pPr>
            <w:r w:rsidRPr="00184193">
              <w:rPr>
                <w:sz w:val="20"/>
                <w:szCs w:val="20"/>
              </w:rPr>
              <w:t>Coram :</w:t>
            </w:r>
          </w:p>
        </w:tc>
        <w:tc>
          <w:tcPr>
            <w:tcW w:w="8118" w:type="dxa"/>
          </w:tcPr>
          <w:p w:rsidR="00F235D5" w:rsidRPr="00184193" w:rsidRDefault="00F235D5" w:rsidP="00604498">
            <w:pPr>
              <w:rPr>
                <w:sz w:val="20"/>
                <w:szCs w:val="20"/>
                <w:lang w:val="fr-CA"/>
              </w:rPr>
            </w:pPr>
            <w:r w:rsidRPr="00184193">
              <w:rPr>
                <w:rStyle w:val="SCCCoramChar"/>
                <w:sz w:val="20"/>
                <w:szCs w:val="20"/>
              </w:rPr>
              <w:t>Les juges LeBel, Abella et Cromwell</w:t>
            </w:r>
          </w:p>
          <w:p w:rsidR="00F235D5" w:rsidRPr="00184193" w:rsidRDefault="00F235D5" w:rsidP="00604498">
            <w:pPr>
              <w:rPr>
                <w:sz w:val="20"/>
                <w:szCs w:val="20"/>
                <w:u w:val="single"/>
                <w:lang w:val="fr-CA"/>
              </w:rPr>
            </w:pPr>
          </w:p>
        </w:tc>
      </w:tr>
      <w:tr w:rsidR="00F235D5" w:rsidRPr="00184193" w:rsidTr="00604498">
        <w:trPr>
          <w:cantSplit/>
        </w:trPr>
        <w:tc>
          <w:tcPr>
            <w:tcW w:w="9576" w:type="dxa"/>
            <w:gridSpan w:val="2"/>
          </w:tcPr>
          <w:p w:rsidR="00F235D5" w:rsidRPr="00184193" w:rsidRDefault="00F235D5" w:rsidP="00604498">
            <w:pPr>
              <w:pStyle w:val="SCCShortJudgment"/>
              <w:rPr>
                <w:szCs w:val="20"/>
                <w:lang w:val="fr-CA"/>
              </w:rPr>
            </w:pPr>
            <w:r w:rsidRPr="00184193">
              <w:rPr>
                <w:szCs w:val="20"/>
                <w:lang w:val="fr-CA"/>
              </w:rPr>
              <w:t>Les demandes d’autorisation d’appel et d’autorisation d’appel incident de l’arrêt de la Cour d’appel du Québec (Montréal), numéros 500-09-019520-097, 500-09-019509-090 et 500-09-019519-099, 2011 QCCA 1948, daté du 24 octobre 2011, sont rejetées avec dépens.</w:t>
            </w:r>
          </w:p>
          <w:p w:rsidR="00F235D5" w:rsidRPr="00184193" w:rsidRDefault="00F235D5" w:rsidP="00604498">
            <w:pPr>
              <w:pStyle w:val="SCCShortJudgment"/>
              <w:ind w:firstLine="0"/>
              <w:rPr>
                <w:szCs w:val="20"/>
                <w:lang w:val="fr-CA"/>
              </w:rPr>
            </w:pPr>
          </w:p>
          <w:p w:rsidR="00F235D5" w:rsidRPr="00184193" w:rsidRDefault="00F235D5" w:rsidP="00604498">
            <w:pPr>
              <w:pStyle w:val="SCCShortJudgment"/>
              <w:rPr>
                <w:szCs w:val="20"/>
              </w:rPr>
            </w:pPr>
            <w:r w:rsidRPr="00184193">
              <w:rPr>
                <w:szCs w:val="20"/>
              </w:rPr>
              <w:t>The applications for leave to appeal and for leave to cross-appeal from the judgment of the Court of Appeal of Quebec (Montréal), Numbers 500-09-019520-097, 500-09-019509-090 and 500-09-019519-099, 2011 QCCA 1948, dated October 24, 2011, are dismissed with costs.</w:t>
            </w:r>
          </w:p>
        </w:tc>
      </w:tr>
    </w:tbl>
    <w:p w:rsidR="00837483" w:rsidRDefault="00837483" w:rsidP="00837483">
      <w:pPr>
        <w:rPr>
          <w:sz w:val="20"/>
          <w:szCs w:val="20"/>
        </w:rPr>
      </w:pPr>
    </w:p>
    <w:p w:rsidR="00837483" w:rsidRPr="001B157C" w:rsidRDefault="00837483" w:rsidP="00837483">
      <w:pPr>
        <w:rPr>
          <w:sz w:val="20"/>
          <w:szCs w:val="20"/>
          <w:u w:val="single"/>
        </w:rPr>
      </w:pPr>
      <w:r w:rsidRPr="001B157C">
        <w:rPr>
          <w:sz w:val="20"/>
          <w:szCs w:val="20"/>
          <w:u w:val="single"/>
        </w:rPr>
        <w:t>CASE SUMMARY</w:t>
      </w:r>
    </w:p>
    <w:p w:rsidR="00837483" w:rsidRDefault="00837483" w:rsidP="0083748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6A2A" w:rsidRPr="006042C8" w:rsidTr="009F6372">
        <w:tc>
          <w:tcPr>
            <w:tcW w:w="5000" w:type="pct"/>
            <w:gridSpan w:val="3"/>
          </w:tcPr>
          <w:p w:rsidR="000C6A2A" w:rsidRPr="006042C8" w:rsidRDefault="000C6A2A" w:rsidP="009F6372">
            <w:pPr>
              <w:jc w:val="both"/>
              <w:rPr>
                <w:rFonts w:eastAsia="Calibri"/>
                <w:sz w:val="20"/>
              </w:rPr>
            </w:pPr>
            <w:r w:rsidRPr="006042C8">
              <w:rPr>
                <w:rFonts w:eastAsia="Calibri"/>
                <w:sz w:val="20"/>
              </w:rPr>
              <w:t xml:space="preserve">Civil liability – Latent defect – Professional misconduct – UFFI present in immovable purchased by notarial deed – Liability of vendor, environmental assessor and notary in issue – Whether Court of Appeal erred in not concluding that notary’s fault was </w:t>
            </w:r>
            <w:r w:rsidRPr="006042C8">
              <w:rPr>
                <w:rFonts w:eastAsia="Calibri"/>
                <w:i/>
                <w:sz w:val="20"/>
              </w:rPr>
              <w:t>novus actus interveniens</w:t>
            </w:r>
            <w:r w:rsidRPr="006042C8">
              <w:rPr>
                <w:rFonts w:eastAsia="Calibri"/>
                <w:sz w:val="20"/>
              </w:rPr>
              <w:t>.</w:t>
            </w:r>
          </w:p>
        </w:tc>
      </w:tr>
      <w:tr w:rsidR="000C6A2A" w:rsidRPr="006042C8" w:rsidTr="009F6372">
        <w:tc>
          <w:tcPr>
            <w:tcW w:w="5000" w:type="pct"/>
            <w:gridSpan w:val="3"/>
          </w:tcPr>
          <w:p w:rsidR="000C6A2A" w:rsidRPr="006042C8" w:rsidRDefault="000C6A2A" w:rsidP="009F6372">
            <w:pPr>
              <w:jc w:val="both"/>
              <w:rPr>
                <w:rFonts w:eastAsia="Calibri"/>
                <w:sz w:val="20"/>
              </w:rPr>
            </w:pPr>
          </w:p>
        </w:tc>
      </w:tr>
      <w:tr w:rsidR="000C6A2A" w:rsidRPr="006042C8" w:rsidTr="009F6372">
        <w:tc>
          <w:tcPr>
            <w:tcW w:w="5000" w:type="pct"/>
            <w:gridSpan w:val="3"/>
          </w:tcPr>
          <w:p w:rsidR="000C6A2A" w:rsidRPr="006042C8" w:rsidRDefault="000C6A2A" w:rsidP="009F6372">
            <w:pPr>
              <w:jc w:val="both"/>
              <w:rPr>
                <w:rFonts w:eastAsia="Calibri"/>
                <w:sz w:val="20"/>
              </w:rPr>
            </w:pPr>
            <w:r w:rsidRPr="006042C8">
              <w:rPr>
                <w:rFonts w:eastAsia="Calibri"/>
                <w:sz w:val="20"/>
              </w:rPr>
              <w:t>In October 2005, Gratiela Dima made a promise to purchase a rental residential immovable in Montréal.  Since the Canada Mortgage and Housing Corporation required an environmental report for that site, Ms. Dima hired S.C.P., which declared that the site met the requirements for residential use.  On the day the deed of sale was signed, the notary, Mr. Dansereau, mentioned that he had learned that there had formerly been UFFI in the walls but that this was no longer the case; the vendor, Ms. Penaranda, who knew the immovable well, said nothing.  Because of her persistent doubts, Ms. Dima hired an expert, who confirmed the presence of UFFI.  She had to find a new insurer and then do the cleanup work.  After giving notice of default, Ms. Dima filed suit.</w:t>
            </w:r>
          </w:p>
          <w:p w:rsidR="000C6A2A" w:rsidRPr="006042C8" w:rsidRDefault="000C6A2A" w:rsidP="009F6372">
            <w:pPr>
              <w:jc w:val="both"/>
              <w:rPr>
                <w:rFonts w:eastAsia="Calibri"/>
                <w:sz w:val="20"/>
              </w:rPr>
            </w:pPr>
          </w:p>
        </w:tc>
      </w:tr>
      <w:tr w:rsidR="000C6A2A" w:rsidRPr="006042C8" w:rsidTr="009F6372">
        <w:tc>
          <w:tcPr>
            <w:tcW w:w="2427" w:type="pct"/>
          </w:tcPr>
          <w:p w:rsidR="000C6A2A" w:rsidRPr="006042C8" w:rsidRDefault="000C6A2A" w:rsidP="009F6372">
            <w:pPr>
              <w:jc w:val="both"/>
              <w:rPr>
                <w:rFonts w:eastAsia="Calibri"/>
                <w:sz w:val="20"/>
              </w:rPr>
            </w:pPr>
            <w:r w:rsidRPr="006042C8">
              <w:rPr>
                <w:rFonts w:eastAsia="Calibri"/>
                <w:sz w:val="20"/>
              </w:rPr>
              <w:lastRenderedPageBreak/>
              <w:t>February 19, 2009</w:t>
            </w:r>
          </w:p>
          <w:p w:rsidR="000C6A2A" w:rsidRPr="006042C8" w:rsidRDefault="000C6A2A" w:rsidP="009F6372">
            <w:pPr>
              <w:jc w:val="both"/>
              <w:rPr>
                <w:rFonts w:eastAsia="Calibri"/>
                <w:sz w:val="20"/>
              </w:rPr>
            </w:pPr>
            <w:r w:rsidRPr="006042C8">
              <w:rPr>
                <w:rFonts w:eastAsia="Calibri"/>
                <w:sz w:val="20"/>
              </w:rPr>
              <w:t>(Courteau J.)</w:t>
            </w:r>
          </w:p>
          <w:p w:rsidR="000C6A2A" w:rsidRPr="006042C8" w:rsidRDefault="000C6A2A" w:rsidP="009F6372">
            <w:pPr>
              <w:jc w:val="both"/>
              <w:rPr>
                <w:rFonts w:eastAsia="Calibri"/>
                <w:sz w:val="20"/>
              </w:rPr>
            </w:pPr>
            <w:r w:rsidRPr="006042C8">
              <w:rPr>
                <w:rFonts w:eastAsia="Calibri"/>
                <w:sz w:val="20"/>
              </w:rPr>
              <w:t>Neutral citation: 2009 QCCS 912</w:t>
            </w:r>
          </w:p>
          <w:p w:rsidR="000C6A2A" w:rsidRPr="006042C8" w:rsidRDefault="000C6A2A" w:rsidP="009F6372">
            <w:pPr>
              <w:jc w:val="both"/>
              <w:rPr>
                <w:rFonts w:eastAsia="Calibri"/>
                <w:sz w:val="20"/>
              </w:rPr>
            </w:pP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Purchaser Ms. Dima’s action allowed and $56,983 awarded; vendor Ms. Penaranda, assessor S.C.P. and notary Mr. Dansereau condemned solidarily</w:t>
            </w:r>
          </w:p>
          <w:p w:rsidR="000C6A2A" w:rsidRPr="006042C8" w:rsidRDefault="000C6A2A" w:rsidP="009F6372">
            <w:pPr>
              <w:jc w:val="both"/>
              <w:rPr>
                <w:rFonts w:eastAsia="Calibri"/>
                <w:sz w:val="20"/>
              </w:rPr>
            </w:pPr>
          </w:p>
        </w:tc>
      </w:tr>
      <w:tr w:rsidR="000C6A2A" w:rsidRPr="006042C8" w:rsidTr="009F6372">
        <w:tc>
          <w:tcPr>
            <w:tcW w:w="2427" w:type="pct"/>
          </w:tcPr>
          <w:p w:rsidR="000C6A2A" w:rsidRPr="006042C8" w:rsidRDefault="000C6A2A" w:rsidP="009F6372">
            <w:pPr>
              <w:jc w:val="both"/>
              <w:rPr>
                <w:rFonts w:eastAsia="Calibri"/>
                <w:sz w:val="20"/>
              </w:rPr>
            </w:pPr>
            <w:r w:rsidRPr="006042C8">
              <w:rPr>
                <w:rFonts w:eastAsia="Calibri"/>
                <w:sz w:val="20"/>
              </w:rPr>
              <w:t>October 24, 2011</w:t>
            </w:r>
          </w:p>
          <w:p w:rsidR="000C6A2A" w:rsidRPr="006042C8" w:rsidRDefault="000C6A2A" w:rsidP="009F6372">
            <w:pPr>
              <w:jc w:val="both"/>
              <w:rPr>
                <w:rFonts w:eastAsia="Calibri"/>
                <w:sz w:val="20"/>
              </w:rPr>
            </w:pPr>
            <w:r w:rsidRPr="006042C8">
              <w:rPr>
                <w:rFonts w:eastAsia="Calibri"/>
                <w:sz w:val="20"/>
              </w:rPr>
              <w:t>Quebec Court of Appeal (Montréal)</w:t>
            </w:r>
          </w:p>
          <w:p w:rsidR="000C6A2A" w:rsidRPr="006042C8" w:rsidRDefault="000C6A2A" w:rsidP="009F6372">
            <w:pPr>
              <w:jc w:val="both"/>
              <w:rPr>
                <w:rFonts w:eastAsia="Calibri"/>
                <w:sz w:val="20"/>
              </w:rPr>
            </w:pPr>
            <w:r w:rsidRPr="006042C8">
              <w:rPr>
                <w:rFonts w:eastAsia="Calibri"/>
                <w:sz w:val="20"/>
              </w:rPr>
              <w:t>(Dufresne, Léger and Wagner JJ.A.)</w:t>
            </w:r>
          </w:p>
          <w:p w:rsidR="000C6A2A" w:rsidRPr="006042C8" w:rsidRDefault="000C6A2A" w:rsidP="009F6372">
            <w:pPr>
              <w:jc w:val="both"/>
              <w:rPr>
                <w:rFonts w:eastAsia="Calibri"/>
                <w:sz w:val="20"/>
              </w:rPr>
            </w:pPr>
            <w:r w:rsidRPr="006042C8">
              <w:rPr>
                <w:rFonts w:eastAsia="Calibri"/>
                <w:sz w:val="20"/>
              </w:rPr>
              <w:t>Neutral citation: 2011 QCCA 1948</w:t>
            </w:r>
          </w:p>
          <w:p w:rsidR="000C6A2A" w:rsidRPr="006042C8" w:rsidRDefault="000C6A2A" w:rsidP="009F6372">
            <w:pPr>
              <w:jc w:val="both"/>
              <w:rPr>
                <w:rFonts w:eastAsia="Calibri"/>
                <w:sz w:val="20"/>
              </w:rPr>
            </w:pPr>
          </w:p>
        </w:tc>
        <w:tc>
          <w:tcPr>
            <w:tcW w:w="243" w:type="pc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 xml:space="preserve">Appeal allowed to exonerate notary and replace solidary liability with liability </w:t>
            </w:r>
            <w:r w:rsidRPr="006042C8">
              <w:rPr>
                <w:rFonts w:eastAsia="Calibri"/>
                <w:i/>
                <w:sz w:val="20"/>
              </w:rPr>
              <w:t>in solidum</w:t>
            </w:r>
          </w:p>
        </w:tc>
      </w:tr>
      <w:tr w:rsidR="000C6A2A" w:rsidRPr="006042C8" w:rsidTr="009F6372">
        <w:trPr>
          <w:trHeight w:val="460"/>
        </w:trPr>
        <w:tc>
          <w:tcPr>
            <w:tcW w:w="2427" w:type="pct"/>
          </w:tcPr>
          <w:p w:rsidR="000C6A2A" w:rsidRPr="006042C8" w:rsidRDefault="000C6A2A" w:rsidP="009F6372">
            <w:pPr>
              <w:jc w:val="both"/>
              <w:rPr>
                <w:rFonts w:eastAsia="Calibri"/>
                <w:sz w:val="20"/>
              </w:rPr>
            </w:pPr>
            <w:r w:rsidRPr="006042C8">
              <w:rPr>
                <w:rFonts w:eastAsia="Calibri"/>
                <w:sz w:val="20"/>
              </w:rPr>
              <w:t>December 23, 2011</w:t>
            </w:r>
          </w:p>
          <w:p w:rsidR="000C6A2A" w:rsidRPr="006042C8" w:rsidRDefault="000C6A2A" w:rsidP="009F6372">
            <w:pPr>
              <w:jc w:val="both"/>
              <w:rPr>
                <w:rFonts w:eastAsia="Calibri"/>
                <w:sz w:val="20"/>
              </w:rPr>
            </w:pPr>
            <w:r w:rsidRPr="006042C8">
              <w:rPr>
                <w:rFonts w:eastAsia="Calibri"/>
                <w:sz w:val="20"/>
              </w:rPr>
              <w:t>Supreme Court of Canada</w:t>
            </w:r>
          </w:p>
          <w:p w:rsidR="000C6A2A" w:rsidRPr="006042C8" w:rsidRDefault="000C6A2A" w:rsidP="009F6372">
            <w:pPr>
              <w:jc w:val="both"/>
              <w:rPr>
                <w:rFonts w:eastAsia="Calibri"/>
                <w:sz w:val="20"/>
              </w:rPr>
            </w:pPr>
          </w:p>
        </w:tc>
        <w:tc>
          <w:tcPr>
            <w:tcW w:w="243" w:type="pct"/>
            <w:vMerge w:val="restart"/>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Application for leave to appeal filed</w:t>
            </w:r>
          </w:p>
          <w:p w:rsidR="000C6A2A" w:rsidRPr="006042C8" w:rsidRDefault="000C6A2A" w:rsidP="009F6372">
            <w:pPr>
              <w:jc w:val="both"/>
              <w:rPr>
                <w:rFonts w:eastAsia="Calibri"/>
                <w:sz w:val="20"/>
              </w:rPr>
            </w:pPr>
          </w:p>
        </w:tc>
      </w:tr>
      <w:tr w:rsidR="000C6A2A" w:rsidRPr="006042C8" w:rsidTr="009F6372">
        <w:trPr>
          <w:trHeight w:val="460"/>
        </w:trPr>
        <w:tc>
          <w:tcPr>
            <w:tcW w:w="2427" w:type="pct"/>
          </w:tcPr>
          <w:p w:rsidR="000C6A2A" w:rsidRPr="006042C8" w:rsidRDefault="000C6A2A" w:rsidP="009F6372">
            <w:pPr>
              <w:jc w:val="both"/>
              <w:rPr>
                <w:rFonts w:eastAsia="Calibri"/>
                <w:sz w:val="20"/>
              </w:rPr>
            </w:pPr>
            <w:r w:rsidRPr="006042C8">
              <w:rPr>
                <w:rFonts w:eastAsia="Calibri"/>
                <w:sz w:val="20"/>
              </w:rPr>
              <w:t xml:space="preserve">February 3, 2012 </w:t>
            </w:r>
          </w:p>
          <w:p w:rsidR="000C6A2A" w:rsidRPr="006042C8" w:rsidRDefault="000C6A2A" w:rsidP="009F6372">
            <w:pPr>
              <w:jc w:val="both"/>
              <w:rPr>
                <w:rFonts w:eastAsia="Calibri"/>
                <w:sz w:val="20"/>
              </w:rPr>
            </w:pPr>
            <w:r w:rsidRPr="006042C8">
              <w:rPr>
                <w:rFonts w:eastAsia="Calibri"/>
                <w:sz w:val="20"/>
              </w:rPr>
              <w:t>Supreme Court of Canada</w:t>
            </w:r>
          </w:p>
        </w:tc>
        <w:tc>
          <w:tcPr>
            <w:tcW w:w="243" w:type="pct"/>
            <w:vMerge/>
          </w:tcPr>
          <w:p w:rsidR="000C6A2A" w:rsidRPr="006042C8" w:rsidRDefault="000C6A2A" w:rsidP="009F6372">
            <w:pPr>
              <w:jc w:val="both"/>
              <w:rPr>
                <w:rFonts w:eastAsia="Calibri"/>
                <w:sz w:val="20"/>
              </w:rPr>
            </w:pPr>
          </w:p>
        </w:tc>
        <w:tc>
          <w:tcPr>
            <w:tcW w:w="2330" w:type="pct"/>
          </w:tcPr>
          <w:p w:rsidR="000C6A2A" w:rsidRPr="006042C8" w:rsidRDefault="000C6A2A" w:rsidP="009F6372">
            <w:pPr>
              <w:jc w:val="both"/>
              <w:rPr>
                <w:rFonts w:eastAsia="Calibri"/>
                <w:sz w:val="20"/>
              </w:rPr>
            </w:pPr>
            <w:r w:rsidRPr="006042C8">
              <w:rPr>
                <w:rFonts w:eastAsia="Calibri"/>
                <w:sz w:val="20"/>
              </w:rPr>
              <w:t>Application for leave to cross-appeal filed by respondent Ms. Penaranda</w:t>
            </w:r>
          </w:p>
        </w:tc>
      </w:tr>
    </w:tbl>
    <w:p w:rsidR="00837483" w:rsidRDefault="00837483" w:rsidP="00837483">
      <w:pPr>
        <w:rPr>
          <w:sz w:val="20"/>
          <w:szCs w:val="20"/>
        </w:rPr>
      </w:pPr>
    </w:p>
    <w:p w:rsidR="00837483" w:rsidRPr="00C50A5C" w:rsidRDefault="009753DF" w:rsidP="00837483">
      <w:pPr>
        <w:rPr>
          <w:sz w:val="20"/>
          <w:szCs w:val="20"/>
        </w:rPr>
      </w:pPr>
      <w:r w:rsidRPr="009753DF">
        <w:rPr>
          <w:sz w:val="20"/>
          <w:szCs w:val="20"/>
          <w:lang w:val="fr-CA"/>
        </w:rPr>
        <w:pict>
          <v:rect id="_x0000_i1046" style="width:2in;height:1pt" o:hrpct="0" o:hralign="center" o:hrstd="t" o:hrnoshade="t" o:hr="t" fillcolor="black [3213]" stroked="f"/>
        </w:pict>
      </w:r>
    </w:p>
    <w:p w:rsidR="00837483" w:rsidRDefault="00837483" w:rsidP="00837483">
      <w:pPr>
        <w:rPr>
          <w:sz w:val="20"/>
          <w:szCs w:val="20"/>
        </w:rPr>
      </w:pPr>
    </w:p>
    <w:p w:rsidR="00837483" w:rsidRPr="001B157C" w:rsidRDefault="00837483" w:rsidP="00837483">
      <w:pPr>
        <w:rPr>
          <w:sz w:val="20"/>
          <w:szCs w:val="20"/>
          <w:u w:val="single"/>
          <w:lang w:val="fr-CA"/>
        </w:rPr>
      </w:pPr>
      <w:r w:rsidRPr="001B157C">
        <w:rPr>
          <w:sz w:val="20"/>
          <w:szCs w:val="20"/>
          <w:u w:val="single"/>
          <w:lang w:val="fr-CA"/>
        </w:rPr>
        <w:t>RÉSUMÉ DE L’AFFAIRE</w:t>
      </w:r>
    </w:p>
    <w:p w:rsidR="00837483" w:rsidRDefault="00837483" w:rsidP="0083748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6A2A" w:rsidRPr="008C68F8" w:rsidTr="009F6372">
        <w:tc>
          <w:tcPr>
            <w:tcW w:w="5000" w:type="pct"/>
            <w:gridSpan w:val="3"/>
          </w:tcPr>
          <w:p w:rsidR="000C6A2A" w:rsidRPr="006042C8" w:rsidRDefault="000C6A2A" w:rsidP="009F6372">
            <w:pPr>
              <w:jc w:val="both"/>
              <w:rPr>
                <w:rFonts w:eastAsia="Calibri"/>
                <w:sz w:val="20"/>
                <w:lang w:val="fr-CA"/>
              </w:rPr>
            </w:pPr>
            <w:r w:rsidRPr="006042C8">
              <w:rPr>
                <w:rFonts w:eastAsia="Calibri"/>
                <w:sz w:val="20"/>
                <w:lang w:val="fr-CA"/>
              </w:rPr>
              <w:t xml:space="preserve">Responsabilité civile – Vice caché – Faute professionnelle – Présence de MIUF dans un immeuble acquis par acte notarié – Responsabilité de la venderesse, de l’évaluateur environnemental et du notaire en litige – La Cour d’appel a-t-elle erré en ne retenant pas la faute du notaire à titre de </w:t>
            </w:r>
            <w:r w:rsidRPr="006042C8">
              <w:rPr>
                <w:rFonts w:eastAsia="Calibri"/>
                <w:i/>
                <w:sz w:val="20"/>
                <w:lang w:val="fr-CA"/>
              </w:rPr>
              <w:t>novus actus interveniens</w:t>
            </w:r>
            <w:r w:rsidRPr="006042C8">
              <w:rPr>
                <w:rFonts w:eastAsia="Calibri"/>
                <w:sz w:val="20"/>
                <w:lang w:val="fr-CA"/>
              </w:rPr>
              <w:t>?</w:t>
            </w:r>
          </w:p>
        </w:tc>
      </w:tr>
      <w:tr w:rsidR="000C6A2A" w:rsidRPr="008C68F8" w:rsidTr="009F6372">
        <w:tc>
          <w:tcPr>
            <w:tcW w:w="5000" w:type="pct"/>
            <w:gridSpan w:val="3"/>
          </w:tcPr>
          <w:p w:rsidR="000C6A2A" w:rsidRPr="006042C8" w:rsidRDefault="000C6A2A" w:rsidP="009F6372">
            <w:pPr>
              <w:jc w:val="both"/>
              <w:rPr>
                <w:rFonts w:eastAsia="Calibri"/>
                <w:sz w:val="20"/>
                <w:lang w:val="fr-CA"/>
              </w:rPr>
            </w:pPr>
          </w:p>
        </w:tc>
      </w:tr>
      <w:tr w:rsidR="000C6A2A" w:rsidRPr="006042C8" w:rsidTr="009F6372">
        <w:tc>
          <w:tcPr>
            <w:tcW w:w="5000" w:type="pct"/>
            <w:gridSpan w:val="3"/>
          </w:tcPr>
          <w:p w:rsidR="000C6A2A" w:rsidRPr="006042C8" w:rsidRDefault="000C6A2A" w:rsidP="009F6372">
            <w:pPr>
              <w:jc w:val="both"/>
              <w:rPr>
                <w:rFonts w:eastAsia="Calibri"/>
                <w:sz w:val="20"/>
                <w:lang w:val="fr-CA"/>
              </w:rPr>
            </w:pPr>
            <w:r w:rsidRPr="006042C8">
              <w:rPr>
                <w:rFonts w:eastAsia="Calibri"/>
                <w:sz w:val="20"/>
                <w:lang w:val="fr-CA"/>
              </w:rPr>
              <w:t>En octobre 2005, Gratiela Dima fait une promesse d’achat pour un immeuble locatif à Montréal. Comme la Société canadienne d’hypothèque et de logement exige un rapport environnemental pour ce site, Mme Dima mandate S.C.P., qui déclare le lieu conforme aux exigences d’un usage résidentiel. Le jour de la signature de l’acte de vente, le notaire Dansereau mentionne avoir appris que les murs ont déjà contenu de la MIUF mais qu’il n’y en a plus; la venderesse Penaranda, qui connaît bien l’immeuble, se tait. À cause de doutes persistants, Mme Dima confie un mandat à un expert, qui confirme la présence de MIUF. Elle doit trouver un nouvel assureur puis faire les travaux de nettoyage. Après mise en demeure, elle dépose une poursuite.</w:t>
            </w:r>
          </w:p>
          <w:p w:rsidR="000C6A2A" w:rsidRPr="006042C8" w:rsidRDefault="000C6A2A" w:rsidP="009F6372">
            <w:pPr>
              <w:jc w:val="both"/>
              <w:rPr>
                <w:rFonts w:eastAsia="Calibri"/>
                <w:sz w:val="20"/>
                <w:lang w:val="fr-CA"/>
              </w:rPr>
            </w:pPr>
          </w:p>
        </w:tc>
      </w:tr>
      <w:tr w:rsidR="000C6A2A" w:rsidRPr="008C68F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t>Le 19 février 2009</w:t>
            </w:r>
          </w:p>
          <w:p w:rsidR="000C6A2A" w:rsidRPr="006042C8" w:rsidRDefault="000C6A2A" w:rsidP="009F6372">
            <w:pPr>
              <w:jc w:val="both"/>
              <w:rPr>
                <w:rFonts w:eastAsia="Calibri"/>
                <w:sz w:val="20"/>
                <w:lang w:val="fr-CA"/>
              </w:rPr>
            </w:pPr>
            <w:r w:rsidRPr="006042C8">
              <w:rPr>
                <w:rFonts w:eastAsia="Calibri"/>
                <w:sz w:val="20"/>
                <w:lang w:val="fr-CA"/>
              </w:rPr>
              <w:t>(La juge Courteau)</w:t>
            </w:r>
          </w:p>
          <w:p w:rsidR="000C6A2A" w:rsidRPr="006042C8" w:rsidRDefault="000C6A2A" w:rsidP="009F6372">
            <w:pPr>
              <w:jc w:val="both"/>
              <w:rPr>
                <w:rFonts w:eastAsia="Calibri"/>
                <w:sz w:val="20"/>
                <w:lang w:val="fr-CA"/>
              </w:rPr>
            </w:pPr>
            <w:r w:rsidRPr="006042C8">
              <w:rPr>
                <w:rFonts w:eastAsia="Calibri"/>
                <w:sz w:val="20"/>
                <w:lang w:val="fr-CA"/>
              </w:rPr>
              <w:t>Référence neutre : 2009 QCCS 912</w:t>
            </w:r>
          </w:p>
          <w:p w:rsidR="000C6A2A" w:rsidRPr="006042C8" w:rsidRDefault="000C6A2A" w:rsidP="009F6372">
            <w:pPr>
              <w:jc w:val="both"/>
              <w:rPr>
                <w:rFonts w:eastAsia="Calibri"/>
                <w:sz w:val="20"/>
                <w:lang w:val="fr-CA"/>
              </w:rPr>
            </w:pPr>
          </w:p>
        </w:tc>
        <w:tc>
          <w:tcPr>
            <w:tcW w:w="243" w:type="pct"/>
          </w:tcPr>
          <w:p w:rsidR="000C6A2A" w:rsidRPr="006042C8" w:rsidRDefault="000C6A2A" w:rsidP="009F6372">
            <w:pPr>
              <w:jc w:val="both"/>
              <w:rPr>
                <w:rFonts w:eastAsia="Calibri"/>
                <w:sz w:val="20"/>
                <w:lang w:val="fr-FR"/>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Action de l’acheteuse Dima accueillie à hauteur de $56 983; condamnation solidaire de la venderesse Penaranda, de l’évaluatrice S.C.P. et du notaire Dansereau.</w:t>
            </w:r>
          </w:p>
          <w:p w:rsidR="000C6A2A" w:rsidRPr="006042C8" w:rsidRDefault="000C6A2A" w:rsidP="009F6372">
            <w:pPr>
              <w:jc w:val="both"/>
              <w:rPr>
                <w:rFonts w:eastAsia="Calibri"/>
                <w:sz w:val="20"/>
                <w:lang w:val="fr-CA"/>
              </w:rPr>
            </w:pPr>
          </w:p>
        </w:tc>
      </w:tr>
      <w:tr w:rsidR="000C6A2A" w:rsidRPr="008C68F8" w:rsidTr="009F6372">
        <w:tc>
          <w:tcPr>
            <w:tcW w:w="2427" w:type="pct"/>
          </w:tcPr>
          <w:p w:rsidR="000C6A2A" w:rsidRPr="006042C8" w:rsidRDefault="000C6A2A" w:rsidP="009F6372">
            <w:pPr>
              <w:jc w:val="both"/>
              <w:rPr>
                <w:rFonts w:eastAsia="Calibri"/>
                <w:sz w:val="20"/>
                <w:lang w:val="fr-CA"/>
              </w:rPr>
            </w:pPr>
            <w:r w:rsidRPr="006042C8">
              <w:rPr>
                <w:rFonts w:eastAsia="Calibri"/>
                <w:sz w:val="20"/>
                <w:lang w:val="fr-CA"/>
              </w:rPr>
              <w:t>Le 24 octobre 2011</w:t>
            </w:r>
          </w:p>
          <w:p w:rsidR="000C6A2A" w:rsidRPr="006042C8" w:rsidRDefault="000C6A2A" w:rsidP="009F6372">
            <w:pPr>
              <w:jc w:val="both"/>
              <w:rPr>
                <w:rFonts w:eastAsia="Calibri"/>
                <w:sz w:val="20"/>
                <w:lang w:val="fr-CA"/>
              </w:rPr>
            </w:pPr>
            <w:r w:rsidRPr="006042C8">
              <w:rPr>
                <w:rFonts w:eastAsia="Calibri"/>
                <w:sz w:val="20"/>
                <w:lang w:val="fr-CA"/>
              </w:rPr>
              <w:t>Cour d’appel du Québec (Montréal)</w:t>
            </w:r>
          </w:p>
          <w:p w:rsidR="000C6A2A" w:rsidRPr="006042C8" w:rsidRDefault="000C6A2A" w:rsidP="009F6372">
            <w:pPr>
              <w:jc w:val="both"/>
              <w:rPr>
                <w:rFonts w:eastAsia="Calibri"/>
                <w:sz w:val="20"/>
                <w:lang w:val="fr-CA"/>
              </w:rPr>
            </w:pPr>
            <w:r w:rsidRPr="006042C8">
              <w:rPr>
                <w:rFonts w:eastAsia="Calibri"/>
                <w:sz w:val="20"/>
                <w:lang w:val="fr-CA"/>
              </w:rPr>
              <w:t>(Les juges Dufresne, Léger et Wagner)</w:t>
            </w:r>
          </w:p>
          <w:p w:rsidR="000C6A2A" w:rsidRPr="006042C8" w:rsidRDefault="000C6A2A" w:rsidP="009F6372">
            <w:pPr>
              <w:jc w:val="both"/>
              <w:rPr>
                <w:rFonts w:eastAsia="Calibri"/>
                <w:sz w:val="20"/>
                <w:lang w:val="fr-CA"/>
              </w:rPr>
            </w:pPr>
            <w:r w:rsidRPr="006042C8">
              <w:rPr>
                <w:rFonts w:eastAsia="Calibri"/>
                <w:sz w:val="20"/>
                <w:lang w:val="fr-CA"/>
              </w:rPr>
              <w:t>Référence neutre : 2011 QCCA 1948</w:t>
            </w:r>
          </w:p>
          <w:p w:rsidR="000C6A2A" w:rsidRPr="006042C8" w:rsidRDefault="000C6A2A" w:rsidP="009F6372">
            <w:pPr>
              <w:jc w:val="both"/>
              <w:rPr>
                <w:rFonts w:eastAsia="Calibri"/>
                <w:sz w:val="20"/>
                <w:lang w:val="fr-FR"/>
              </w:rPr>
            </w:pPr>
          </w:p>
        </w:tc>
        <w:tc>
          <w:tcPr>
            <w:tcW w:w="243" w:type="pct"/>
          </w:tcPr>
          <w:p w:rsidR="000C6A2A" w:rsidRPr="006042C8" w:rsidRDefault="000C6A2A" w:rsidP="009F6372">
            <w:pPr>
              <w:jc w:val="both"/>
              <w:rPr>
                <w:rFonts w:eastAsia="Calibri"/>
                <w:sz w:val="20"/>
                <w:lang w:val="fr-FR"/>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 xml:space="preserve">Appel accueilli aux fins d’exonérer le notaire et de remplacer la responsabilité solidaire par la responsabilité </w:t>
            </w:r>
            <w:r w:rsidRPr="006042C8">
              <w:rPr>
                <w:rFonts w:eastAsia="Calibri"/>
                <w:i/>
                <w:sz w:val="20"/>
                <w:lang w:val="fr-CA"/>
              </w:rPr>
              <w:t>in solidum</w:t>
            </w:r>
            <w:r w:rsidRPr="006042C8">
              <w:rPr>
                <w:rFonts w:eastAsia="Calibri"/>
                <w:sz w:val="20"/>
                <w:lang w:val="fr-CA"/>
              </w:rPr>
              <w:t>.</w:t>
            </w:r>
          </w:p>
        </w:tc>
      </w:tr>
      <w:tr w:rsidR="008C68F8" w:rsidRPr="008C68F8" w:rsidTr="009F6372">
        <w:tc>
          <w:tcPr>
            <w:tcW w:w="2427" w:type="pct"/>
          </w:tcPr>
          <w:p w:rsidR="008C68F8" w:rsidRPr="006042C8" w:rsidRDefault="008C68F8" w:rsidP="008C68F8">
            <w:pPr>
              <w:jc w:val="both"/>
              <w:rPr>
                <w:rFonts w:eastAsia="Calibri"/>
                <w:sz w:val="20"/>
                <w:lang w:val="fr-CA"/>
              </w:rPr>
            </w:pPr>
            <w:r w:rsidRPr="006042C8">
              <w:rPr>
                <w:rFonts w:eastAsia="Calibri"/>
                <w:sz w:val="20"/>
                <w:lang w:val="fr-CA"/>
              </w:rPr>
              <w:t>Le 23 décembre 2011</w:t>
            </w:r>
          </w:p>
          <w:p w:rsidR="008C68F8" w:rsidRPr="006042C8" w:rsidRDefault="008C68F8" w:rsidP="008C68F8">
            <w:pPr>
              <w:jc w:val="both"/>
              <w:rPr>
                <w:rFonts w:eastAsia="Calibri"/>
                <w:sz w:val="20"/>
                <w:lang w:val="fr-CA"/>
              </w:rPr>
            </w:pPr>
            <w:r w:rsidRPr="006042C8">
              <w:rPr>
                <w:rFonts w:eastAsia="Calibri"/>
                <w:sz w:val="20"/>
                <w:lang w:val="fr-CA"/>
              </w:rPr>
              <w:t>Cour suprême du Canada</w:t>
            </w:r>
          </w:p>
          <w:p w:rsidR="008C68F8" w:rsidRPr="006042C8" w:rsidRDefault="008C68F8" w:rsidP="009F6372">
            <w:pPr>
              <w:jc w:val="both"/>
              <w:rPr>
                <w:rFonts w:eastAsia="Calibri"/>
                <w:sz w:val="20"/>
                <w:lang w:val="fr-CA"/>
              </w:rPr>
            </w:pPr>
          </w:p>
        </w:tc>
        <w:tc>
          <w:tcPr>
            <w:tcW w:w="243" w:type="pct"/>
          </w:tcPr>
          <w:p w:rsidR="008C68F8" w:rsidRPr="006042C8" w:rsidRDefault="008C68F8" w:rsidP="009F6372">
            <w:pPr>
              <w:jc w:val="both"/>
              <w:rPr>
                <w:rFonts w:eastAsia="Calibri"/>
                <w:sz w:val="20"/>
                <w:lang w:val="fr-FR"/>
              </w:rPr>
            </w:pPr>
          </w:p>
        </w:tc>
        <w:tc>
          <w:tcPr>
            <w:tcW w:w="2330" w:type="pct"/>
          </w:tcPr>
          <w:p w:rsidR="008C68F8" w:rsidRPr="006042C8" w:rsidRDefault="008C68F8" w:rsidP="008C68F8">
            <w:pPr>
              <w:jc w:val="both"/>
              <w:rPr>
                <w:rFonts w:eastAsia="Calibri"/>
                <w:sz w:val="20"/>
                <w:lang w:val="fr-CA"/>
              </w:rPr>
            </w:pPr>
            <w:r w:rsidRPr="006042C8">
              <w:rPr>
                <w:rFonts w:eastAsia="Calibri"/>
                <w:sz w:val="20"/>
                <w:lang w:val="fr-CA"/>
              </w:rPr>
              <w:t>Demande d'autorisation d'appel déposée.</w:t>
            </w:r>
          </w:p>
          <w:p w:rsidR="008C68F8" w:rsidRPr="006042C8" w:rsidRDefault="008C68F8" w:rsidP="009F6372">
            <w:pPr>
              <w:jc w:val="both"/>
              <w:rPr>
                <w:rFonts w:eastAsia="Calibri"/>
                <w:sz w:val="20"/>
                <w:lang w:val="fr-CA"/>
              </w:rPr>
            </w:pPr>
          </w:p>
        </w:tc>
      </w:tr>
      <w:tr w:rsidR="000C6A2A" w:rsidRPr="008C68F8" w:rsidTr="009F6372">
        <w:tc>
          <w:tcPr>
            <w:tcW w:w="2427" w:type="pct"/>
          </w:tcPr>
          <w:p w:rsidR="000C6A2A" w:rsidRPr="006042C8" w:rsidRDefault="000C6A2A" w:rsidP="009F6372">
            <w:pPr>
              <w:jc w:val="both"/>
              <w:rPr>
                <w:rFonts w:eastAsia="Calibri"/>
                <w:sz w:val="20"/>
                <w:lang w:val="fr-FR"/>
              </w:rPr>
            </w:pPr>
            <w:r w:rsidRPr="006042C8">
              <w:rPr>
                <w:rFonts w:eastAsia="Calibri"/>
                <w:sz w:val="20"/>
                <w:lang w:val="fr-FR"/>
              </w:rPr>
              <w:t xml:space="preserve">Le 3 février 2012 </w:t>
            </w:r>
          </w:p>
          <w:p w:rsidR="000C6A2A" w:rsidRPr="006042C8" w:rsidRDefault="000C6A2A" w:rsidP="009F6372">
            <w:pPr>
              <w:jc w:val="both"/>
              <w:rPr>
                <w:rFonts w:eastAsia="Calibri"/>
                <w:sz w:val="20"/>
                <w:lang w:val="fr-FR"/>
              </w:rPr>
            </w:pPr>
            <w:r w:rsidRPr="006042C8">
              <w:rPr>
                <w:rFonts w:eastAsia="Calibri"/>
                <w:sz w:val="20"/>
                <w:lang w:val="fr-FR"/>
              </w:rPr>
              <w:t>Cour suprême du Canada</w:t>
            </w:r>
          </w:p>
        </w:tc>
        <w:tc>
          <w:tcPr>
            <w:tcW w:w="243" w:type="pct"/>
          </w:tcPr>
          <w:p w:rsidR="000C6A2A" w:rsidRPr="006042C8" w:rsidRDefault="000C6A2A" w:rsidP="009F6372">
            <w:pPr>
              <w:jc w:val="both"/>
              <w:rPr>
                <w:rFonts w:eastAsia="Calibri"/>
                <w:sz w:val="20"/>
                <w:lang w:val="fr-FR"/>
              </w:rPr>
            </w:pPr>
          </w:p>
        </w:tc>
        <w:tc>
          <w:tcPr>
            <w:tcW w:w="2330" w:type="pct"/>
          </w:tcPr>
          <w:p w:rsidR="000C6A2A" w:rsidRPr="006042C8" w:rsidRDefault="000C6A2A" w:rsidP="009F6372">
            <w:pPr>
              <w:jc w:val="both"/>
              <w:rPr>
                <w:rFonts w:eastAsia="Calibri"/>
                <w:sz w:val="20"/>
                <w:lang w:val="fr-CA"/>
              </w:rPr>
            </w:pPr>
            <w:r w:rsidRPr="006042C8">
              <w:rPr>
                <w:rFonts w:eastAsia="Calibri"/>
                <w:sz w:val="20"/>
                <w:lang w:val="fr-CA"/>
              </w:rPr>
              <w:t>Demande d’autorisation d’appel incident de l’intimée Penaranda déposée.</w:t>
            </w:r>
          </w:p>
        </w:tc>
      </w:tr>
    </w:tbl>
    <w:p w:rsidR="00837483" w:rsidRPr="000C6A2A" w:rsidRDefault="00837483" w:rsidP="00837483">
      <w:pPr>
        <w:rPr>
          <w:sz w:val="20"/>
          <w:szCs w:val="20"/>
          <w:lang w:val="fr-CA"/>
        </w:rPr>
      </w:pPr>
    </w:p>
    <w:p w:rsidR="00837483" w:rsidRDefault="009753DF" w:rsidP="00837483">
      <w:pPr>
        <w:rPr>
          <w:sz w:val="20"/>
          <w:szCs w:val="20"/>
          <w:lang w:val="fr-CA"/>
        </w:rPr>
      </w:pPr>
      <w:r w:rsidRPr="009753DF">
        <w:rPr>
          <w:sz w:val="20"/>
          <w:szCs w:val="20"/>
          <w:lang w:val="fr-CA"/>
        </w:rPr>
        <w:pict>
          <v:rect id="_x0000_i1047" style="width:2in;height:1pt" o:hrpct="0" o:hralign="center" o:hrstd="t" o:hrnoshade="t" o:hr="t" fillcolor="black [3213]" stroked="f"/>
        </w:pict>
      </w:r>
    </w:p>
    <w:p w:rsidR="00837483" w:rsidRDefault="00837483" w:rsidP="00837483">
      <w:pPr>
        <w:rPr>
          <w:sz w:val="20"/>
          <w:szCs w:val="20"/>
        </w:rPr>
      </w:pPr>
    </w:p>
    <w:p w:rsidR="00F235D5" w:rsidRDefault="00F235D5">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235D5" w:rsidRPr="008C68F8" w:rsidTr="00604498">
        <w:trPr>
          <w:cantSplit/>
        </w:trPr>
        <w:tc>
          <w:tcPr>
            <w:tcW w:w="1458" w:type="dxa"/>
          </w:tcPr>
          <w:p w:rsidR="00F235D5" w:rsidRPr="00184193" w:rsidRDefault="00F235D5" w:rsidP="00604498">
            <w:pPr>
              <w:rPr>
                <w:sz w:val="20"/>
                <w:szCs w:val="20"/>
              </w:rPr>
            </w:pPr>
            <w:r w:rsidRPr="00184193">
              <w:rPr>
                <w:rStyle w:val="SCCFileNumberChar"/>
                <w:sz w:val="20"/>
                <w:szCs w:val="20"/>
              </w:rPr>
              <w:lastRenderedPageBreak/>
              <w:t>34596</w:t>
            </w:r>
          </w:p>
          <w:p w:rsidR="00F235D5" w:rsidRPr="00184193" w:rsidRDefault="00F235D5" w:rsidP="00604498">
            <w:pPr>
              <w:rPr>
                <w:b/>
                <w:sz w:val="20"/>
                <w:szCs w:val="20"/>
                <w:lang w:val="fr-CA"/>
              </w:rPr>
            </w:pPr>
          </w:p>
        </w:tc>
        <w:tc>
          <w:tcPr>
            <w:tcW w:w="8118" w:type="dxa"/>
          </w:tcPr>
          <w:p w:rsidR="00F235D5" w:rsidRPr="00184193" w:rsidRDefault="00F235D5" w:rsidP="00604498">
            <w:pPr>
              <w:jc w:val="both"/>
              <w:rPr>
                <w:sz w:val="20"/>
                <w:szCs w:val="20"/>
                <w:lang w:val="fr-CA"/>
              </w:rPr>
            </w:pPr>
            <w:r w:rsidRPr="00184193">
              <w:rPr>
                <w:rStyle w:val="SCCLsocChar"/>
                <w:sz w:val="20"/>
                <w:szCs w:val="20"/>
              </w:rPr>
              <w:t>Immeubles Jacques Robitaille inc. c. Financière Banque Nationale, Lévesque Beaubien Geoffrion inc.</w:t>
            </w:r>
            <w:r w:rsidR="001463D7">
              <w:rPr>
                <w:rStyle w:val="SCCLsocChar"/>
                <w:sz w:val="20"/>
                <w:szCs w:val="20"/>
              </w:rPr>
              <w:t xml:space="preserve"> et</w:t>
            </w:r>
            <w:r w:rsidRPr="00184193">
              <w:rPr>
                <w:rStyle w:val="SCCLsocChar"/>
                <w:sz w:val="20"/>
                <w:szCs w:val="20"/>
              </w:rPr>
              <w:t xml:space="preserve"> Jean-Guy Coulombe</w:t>
            </w:r>
            <w:r w:rsidRPr="00184193">
              <w:rPr>
                <w:sz w:val="20"/>
                <w:szCs w:val="20"/>
                <w:lang w:val="fr-CA"/>
              </w:rPr>
              <w:t xml:space="preserve"> (Qc) (Civile) (Autorisation)</w:t>
            </w:r>
          </w:p>
          <w:p w:rsidR="00F235D5" w:rsidRPr="00184193" w:rsidRDefault="00F235D5" w:rsidP="00604498">
            <w:pPr>
              <w:jc w:val="both"/>
              <w:rPr>
                <w:sz w:val="20"/>
                <w:szCs w:val="20"/>
                <w:lang w:val="fr-CA"/>
              </w:rPr>
            </w:pPr>
          </w:p>
        </w:tc>
      </w:tr>
      <w:tr w:rsidR="00F235D5" w:rsidRPr="008C68F8" w:rsidTr="00604498">
        <w:trPr>
          <w:cantSplit/>
        </w:trPr>
        <w:tc>
          <w:tcPr>
            <w:tcW w:w="1458" w:type="dxa"/>
          </w:tcPr>
          <w:p w:rsidR="00F235D5" w:rsidRPr="00184193" w:rsidRDefault="00F235D5" w:rsidP="00604498">
            <w:pPr>
              <w:rPr>
                <w:sz w:val="20"/>
                <w:szCs w:val="20"/>
              </w:rPr>
            </w:pPr>
            <w:r w:rsidRPr="00184193">
              <w:rPr>
                <w:sz w:val="20"/>
                <w:szCs w:val="20"/>
              </w:rPr>
              <w:t>Coram :</w:t>
            </w:r>
          </w:p>
        </w:tc>
        <w:tc>
          <w:tcPr>
            <w:tcW w:w="8118" w:type="dxa"/>
          </w:tcPr>
          <w:p w:rsidR="00F235D5" w:rsidRPr="00184193" w:rsidRDefault="00F235D5" w:rsidP="00604498">
            <w:pPr>
              <w:rPr>
                <w:sz w:val="20"/>
                <w:szCs w:val="20"/>
                <w:lang w:val="fr-CA"/>
              </w:rPr>
            </w:pPr>
            <w:r w:rsidRPr="00184193">
              <w:rPr>
                <w:rStyle w:val="SCCCoramChar"/>
                <w:sz w:val="20"/>
                <w:szCs w:val="20"/>
              </w:rPr>
              <w:t>Les juges LeBel, Abella et Cromwell</w:t>
            </w:r>
          </w:p>
          <w:p w:rsidR="00F235D5" w:rsidRPr="00184193" w:rsidRDefault="00F235D5" w:rsidP="00604498">
            <w:pPr>
              <w:rPr>
                <w:sz w:val="20"/>
                <w:szCs w:val="20"/>
                <w:u w:val="single"/>
                <w:lang w:val="fr-CA"/>
              </w:rPr>
            </w:pPr>
          </w:p>
        </w:tc>
      </w:tr>
      <w:tr w:rsidR="00F235D5" w:rsidRPr="00184193" w:rsidTr="00604498">
        <w:trPr>
          <w:cantSplit/>
        </w:trPr>
        <w:tc>
          <w:tcPr>
            <w:tcW w:w="9576" w:type="dxa"/>
            <w:gridSpan w:val="2"/>
          </w:tcPr>
          <w:p w:rsidR="00F235D5" w:rsidRPr="00184193" w:rsidRDefault="00F235D5" w:rsidP="00604498">
            <w:pPr>
              <w:pStyle w:val="SCCShortJudgment"/>
              <w:rPr>
                <w:szCs w:val="20"/>
                <w:lang w:val="fr-CA"/>
              </w:rPr>
            </w:pPr>
            <w:r w:rsidRPr="00184193">
              <w:rPr>
                <w:szCs w:val="20"/>
                <w:lang w:val="fr-CA"/>
              </w:rPr>
              <w:t>La requête en prorogation du délai de signification et de dépôt de la demande d’autorisation d’appel est accordée. La demande d’autorisation d’appel de l’arrêt de la Cour d’appel du Québec (Québec), numéro 200-09-006658-097, 2011 QCCA 1952, daté du 24 octobre 2011, est rejetée avec dépens.</w:t>
            </w:r>
          </w:p>
          <w:p w:rsidR="00F235D5" w:rsidRPr="00184193" w:rsidRDefault="00F235D5" w:rsidP="00604498">
            <w:pPr>
              <w:pStyle w:val="SCCShortJudgment"/>
              <w:ind w:firstLine="0"/>
              <w:rPr>
                <w:szCs w:val="20"/>
                <w:lang w:val="fr-CA"/>
              </w:rPr>
            </w:pPr>
          </w:p>
          <w:p w:rsidR="00F235D5" w:rsidRPr="00184193" w:rsidRDefault="00F235D5" w:rsidP="00604498">
            <w:pPr>
              <w:pStyle w:val="SCCShortJudgment"/>
              <w:rPr>
                <w:szCs w:val="20"/>
              </w:rPr>
            </w:pPr>
            <w:r w:rsidRPr="00184193">
              <w:rPr>
                <w:szCs w:val="20"/>
              </w:rPr>
              <w:t>The motion for an extension of time to serve and file the application for leave to appeal is granted. The application for leave to appeal from the judgment of the Court of Appeal of Quebec (Québec), Number 200-09-006658-097, 2011 QCCA 1952, dated October 24, 2011, is dismissed with costs.</w:t>
            </w:r>
          </w:p>
        </w:tc>
      </w:tr>
    </w:tbl>
    <w:p w:rsidR="000C6A2A" w:rsidRDefault="000C6A2A" w:rsidP="000C6A2A">
      <w:pPr>
        <w:rPr>
          <w:sz w:val="20"/>
          <w:szCs w:val="20"/>
        </w:rPr>
      </w:pPr>
    </w:p>
    <w:p w:rsidR="000C6A2A" w:rsidRPr="001B157C" w:rsidRDefault="000C6A2A" w:rsidP="000C6A2A">
      <w:pPr>
        <w:rPr>
          <w:sz w:val="20"/>
          <w:szCs w:val="20"/>
          <w:u w:val="single"/>
        </w:rPr>
      </w:pPr>
      <w:r w:rsidRPr="001B157C">
        <w:rPr>
          <w:sz w:val="20"/>
          <w:szCs w:val="20"/>
          <w:u w:val="single"/>
        </w:rPr>
        <w:t>CASE SUMMARY</w:t>
      </w:r>
    </w:p>
    <w:p w:rsidR="000C6A2A" w:rsidRDefault="000C6A2A" w:rsidP="000C6A2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6A2A" w:rsidRPr="006042C8" w:rsidTr="009F6372">
        <w:tc>
          <w:tcPr>
            <w:tcW w:w="5000" w:type="pct"/>
            <w:gridSpan w:val="3"/>
          </w:tcPr>
          <w:p w:rsidR="000C6A2A" w:rsidRPr="006042C8" w:rsidRDefault="000C6A2A" w:rsidP="009F6372">
            <w:pPr>
              <w:jc w:val="both"/>
              <w:rPr>
                <w:rFonts w:eastAsia="Calibri"/>
                <w:sz w:val="20"/>
                <w:szCs w:val="20"/>
              </w:rPr>
            </w:pPr>
            <w:r w:rsidRPr="006042C8">
              <w:rPr>
                <w:rFonts w:eastAsia="Calibri"/>
                <w:sz w:val="20"/>
                <w:szCs w:val="20"/>
              </w:rPr>
              <w:t xml:space="preserve">Civil liability — Professional liability — Unrestricted practice securities dealer — Extent of obligations of unrestricted practice dealer (and its representative) toward client — Client’s investor profile — Scope of dealer’s obligation to supervise its representative — In light of principles set out in </w:t>
            </w:r>
            <w:r w:rsidRPr="006042C8">
              <w:rPr>
                <w:rFonts w:eastAsia="Calibri"/>
                <w:i/>
                <w:iCs/>
                <w:sz w:val="20"/>
                <w:szCs w:val="20"/>
              </w:rPr>
              <w:t>Laflamme v. Prudential</w:t>
            </w:r>
            <w:r w:rsidRPr="006042C8">
              <w:rPr>
                <w:rFonts w:eastAsia="Calibri"/>
                <w:i/>
                <w:iCs/>
                <w:sz w:val="20"/>
                <w:szCs w:val="20"/>
              </w:rPr>
              <w:noBreakHyphen/>
              <w:t>Bache Commodities</w:t>
            </w:r>
            <w:r w:rsidRPr="006042C8">
              <w:rPr>
                <w:rFonts w:eastAsia="Calibri"/>
                <w:sz w:val="20"/>
                <w:szCs w:val="20"/>
              </w:rPr>
              <w:t xml:space="preserve">, [2000] 1 S.C.R. 638, impact on civil liability of dealer or its representative of detrimental transaction contrary to client’s profile on written form — In light of principles set out in </w:t>
            </w:r>
            <w:r w:rsidRPr="006042C8">
              <w:rPr>
                <w:rFonts w:eastAsia="Calibri"/>
                <w:i/>
                <w:sz w:val="20"/>
                <w:szCs w:val="20"/>
              </w:rPr>
              <w:t>Morin v. Blais</w:t>
            </w:r>
            <w:r w:rsidRPr="006042C8">
              <w:rPr>
                <w:rFonts w:eastAsia="Calibri"/>
                <w:sz w:val="20"/>
                <w:szCs w:val="20"/>
              </w:rPr>
              <w:t>, [1977] 1 S.C.R. 570, extent to which violation of regulatory standard gives rise to civil liability — Whether Quebec Superior Court and Court of Appeal erred in finding, having regard to evidence and</w:t>
            </w:r>
            <w:r w:rsidRPr="006042C8">
              <w:rPr>
                <w:rFonts w:eastAsia="Calibri"/>
                <w:color w:val="000000"/>
                <w:sz w:val="20"/>
                <w:szCs w:val="20"/>
              </w:rPr>
              <w:t xml:space="preserve"> particularly plaintiff’s [</w:t>
            </w:r>
            <w:r w:rsidRPr="006042C8">
              <w:rPr>
                <w:rFonts w:eastAsia="Calibri"/>
                <w:smallCaps/>
                <w:color w:val="000000"/>
                <w:sz w:val="20"/>
                <w:szCs w:val="20"/>
              </w:rPr>
              <w:t>translation</w:t>
            </w:r>
            <w:r w:rsidRPr="006042C8">
              <w:rPr>
                <w:rFonts w:eastAsia="Calibri"/>
                <w:color w:val="000000"/>
                <w:sz w:val="20"/>
                <w:szCs w:val="20"/>
              </w:rPr>
              <w:t>] “personality, business experience and experience on the stock market”, that obligations to provide advice and information applicable in this case had not been violated.</w:t>
            </w:r>
          </w:p>
        </w:tc>
      </w:tr>
      <w:tr w:rsidR="000C6A2A" w:rsidRPr="006042C8" w:rsidTr="009F6372">
        <w:tc>
          <w:tcPr>
            <w:tcW w:w="5000" w:type="pct"/>
            <w:gridSpan w:val="3"/>
          </w:tcPr>
          <w:p w:rsidR="000C6A2A" w:rsidRPr="006042C8" w:rsidRDefault="000C6A2A" w:rsidP="009F6372">
            <w:pPr>
              <w:jc w:val="both"/>
              <w:rPr>
                <w:rFonts w:eastAsia="Calibri"/>
                <w:sz w:val="20"/>
                <w:szCs w:val="20"/>
              </w:rPr>
            </w:pPr>
          </w:p>
        </w:tc>
      </w:tr>
      <w:tr w:rsidR="000C6A2A" w:rsidRPr="006042C8" w:rsidTr="009F6372">
        <w:tc>
          <w:tcPr>
            <w:tcW w:w="5000" w:type="pct"/>
            <w:gridSpan w:val="3"/>
          </w:tcPr>
          <w:p w:rsidR="000C6A2A" w:rsidRPr="006042C8" w:rsidRDefault="000C6A2A" w:rsidP="009F6372">
            <w:pPr>
              <w:jc w:val="both"/>
              <w:rPr>
                <w:rFonts w:eastAsia="Calibri"/>
                <w:sz w:val="20"/>
                <w:szCs w:val="20"/>
              </w:rPr>
            </w:pPr>
            <w:r w:rsidRPr="006042C8">
              <w:rPr>
                <w:rFonts w:eastAsia="Calibri"/>
                <w:sz w:val="20"/>
                <w:szCs w:val="20"/>
              </w:rPr>
              <w:t>On the basis of advice given by the respondent Jean</w:t>
            </w:r>
            <w:r w:rsidRPr="006042C8">
              <w:rPr>
                <w:rFonts w:eastAsia="Calibri"/>
                <w:sz w:val="20"/>
                <w:szCs w:val="20"/>
              </w:rPr>
              <w:noBreakHyphen/>
              <w:t>Guy Coulombe, who at the time was representing an unrestricted practice dealer, the respondent National Bank Financial/Lévesque Beaubien Geoffrion inc., the president of the applicant company ordered that numerous option transactions be carried out. Those transactions were part of a strategy developed at the request of the president of the applicant company to absorb losses incurred following the purchase of American bonds in February 1996.  The option transactions, which were initially profitable, ultimately resulted in several million dollars of losses in June 1997.  In 1988, the applicant company brought an action in liability against the dealer and its representative, arguing essentially that the advice that had been given was not consistent with the risk tolerance or investment objectives set by the applicant company’s president.</w:t>
            </w:r>
          </w:p>
          <w:p w:rsidR="000C6A2A" w:rsidRPr="006042C8" w:rsidRDefault="000C6A2A" w:rsidP="009F6372">
            <w:pPr>
              <w:jc w:val="both"/>
              <w:rPr>
                <w:rFonts w:eastAsia="Calibri"/>
                <w:sz w:val="20"/>
                <w:szCs w:val="20"/>
              </w:rPr>
            </w:pPr>
          </w:p>
        </w:tc>
      </w:tr>
      <w:tr w:rsidR="000C6A2A" w:rsidRPr="006042C8" w:rsidTr="009F6372">
        <w:tc>
          <w:tcPr>
            <w:tcW w:w="2427" w:type="pct"/>
          </w:tcPr>
          <w:p w:rsidR="000C6A2A" w:rsidRPr="006042C8" w:rsidRDefault="000C6A2A" w:rsidP="009F6372">
            <w:pPr>
              <w:jc w:val="both"/>
              <w:rPr>
                <w:rFonts w:eastAsia="Calibri"/>
                <w:sz w:val="20"/>
                <w:szCs w:val="20"/>
              </w:rPr>
            </w:pPr>
            <w:r w:rsidRPr="006042C8">
              <w:rPr>
                <w:rFonts w:eastAsia="Calibri"/>
                <w:sz w:val="20"/>
                <w:szCs w:val="20"/>
              </w:rPr>
              <w:t>February 27, 2009</w:t>
            </w:r>
          </w:p>
          <w:p w:rsidR="000C6A2A" w:rsidRPr="006042C8" w:rsidRDefault="000C6A2A" w:rsidP="009F6372">
            <w:pPr>
              <w:jc w:val="both"/>
              <w:rPr>
                <w:rFonts w:eastAsia="Calibri"/>
                <w:sz w:val="20"/>
                <w:szCs w:val="20"/>
              </w:rPr>
            </w:pPr>
            <w:r w:rsidRPr="006042C8">
              <w:rPr>
                <w:rFonts w:eastAsia="Calibri"/>
                <w:sz w:val="20"/>
                <w:szCs w:val="20"/>
              </w:rPr>
              <w:t>Quebec Superior Court</w:t>
            </w:r>
          </w:p>
          <w:p w:rsidR="000C6A2A" w:rsidRPr="006042C8" w:rsidRDefault="000C6A2A" w:rsidP="009F6372">
            <w:pPr>
              <w:jc w:val="both"/>
              <w:rPr>
                <w:rFonts w:eastAsia="Calibri"/>
                <w:sz w:val="20"/>
                <w:szCs w:val="20"/>
              </w:rPr>
            </w:pPr>
            <w:r w:rsidRPr="006042C8">
              <w:rPr>
                <w:rFonts w:eastAsia="Calibri"/>
                <w:sz w:val="20"/>
                <w:szCs w:val="20"/>
              </w:rPr>
              <w:t>(Blondin J.)</w:t>
            </w:r>
          </w:p>
          <w:p w:rsidR="000C6A2A" w:rsidRPr="006042C8" w:rsidRDefault="000C6A2A" w:rsidP="009F6372">
            <w:pPr>
              <w:jc w:val="both"/>
              <w:rPr>
                <w:rFonts w:eastAsia="Calibri"/>
                <w:sz w:val="20"/>
                <w:szCs w:val="20"/>
              </w:rPr>
            </w:pPr>
            <w:r w:rsidRPr="006042C8">
              <w:rPr>
                <w:rFonts w:eastAsia="Calibri"/>
                <w:sz w:val="20"/>
                <w:szCs w:val="20"/>
              </w:rPr>
              <w:t>Neutral citation: 2009 QCCS 1006</w:t>
            </w:r>
          </w:p>
          <w:p w:rsidR="000C6A2A" w:rsidRPr="006042C8" w:rsidRDefault="000C6A2A" w:rsidP="009F6372">
            <w:pPr>
              <w:jc w:val="both"/>
              <w:rPr>
                <w:rFonts w:eastAsia="Calibri"/>
                <w:sz w:val="20"/>
                <w:szCs w:val="20"/>
              </w:rPr>
            </w:pPr>
          </w:p>
        </w:tc>
        <w:tc>
          <w:tcPr>
            <w:tcW w:w="243" w:type="pct"/>
          </w:tcPr>
          <w:p w:rsidR="000C6A2A" w:rsidRPr="006042C8" w:rsidRDefault="000C6A2A" w:rsidP="009F6372">
            <w:pPr>
              <w:jc w:val="both"/>
              <w:rPr>
                <w:rFonts w:eastAsia="Calibri"/>
                <w:sz w:val="20"/>
                <w:szCs w:val="20"/>
              </w:rPr>
            </w:pPr>
          </w:p>
        </w:tc>
        <w:tc>
          <w:tcPr>
            <w:tcW w:w="2330" w:type="pct"/>
          </w:tcPr>
          <w:p w:rsidR="000C6A2A" w:rsidRPr="006042C8" w:rsidRDefault="000C6A2A" w:rsidP="009F6372">
            <w:pPr>
              <w:jc w:val="both"/>
              <w:rPr>
                <w:rFonts w:eastAsia="Calibri"/>
                <w:sz w:val="20"/>
                <w:szCs w:val="20"/>
              </w:rPr>
            </w:pPr>
            <w:r w:rsidRPr="006042C8">
              <w:rPr>
                <w:rFonts w:eastAsia="Calibri"/>
                <w:sz w:val="20"/>
                <w:szCs w:val="20"/>
              </w:rPr>
              <w:t>Action in damages dismissed</w:t>
            </w:r>
          </w:p>
        </w:tc>
      </w:tr>
      <w:tr w:rsidR="000C6A2A" w:rsidRPr="006042C8" w:rsidTr="009F6372">
        <w:tc>
          <w:tcPr>
            <w:tcW w:w="2427" w:type="pct"/>
          </w:tcPr>
          <w:p w:rsidR="000C6A2A" w:rsidRPr="006042C8" w:rsidRDefault="000C6A2A" w:rsidP="009F6372">
            <w:pPr>
              <w:jc w:val="both"/>
              <w:rPr>
                <w:rFonts w:eastAsia="Calibri"/>
                <w:sz w:val="20"/>
                <w:szCs w:val="20"/>
              </w:rPr>
            </w:pPr>
            <w:r w:rsidRPr="006042C8">
              <w:rPr>
                <w:rFonts w:eastAsia="Calibri"/>
                <w:sz w:val="20"/>
                <w:szCs w:val="20"/>
              </w:rPr>
              <w:t>October 24, 2011</w:t>
            </w:r>
          </w:p>
          <w:p w:rsidR="000C6A2A" w:rsidRPr="006042C8" w:rsidRDefault="000C6A2A" w:rsidP="009F6372">
            <w:pPr>
              <w:jc w:val="both"/>
              <w:rPr>
                <w:rFonts w:eastAsia="Calibri"/>
                <w:sz w:val="20"/>
                <w:szCs w:val="20"/>
              </w:rPr>
            </w:pPr>
            <w:r w:rsidRPr="006042C8">
              <w:rPr>
                <w:rFonts w:eastAsia="Calibri"/>
                <w:sz w:val="20"/>
                <w:szCs w:val="20"/>
              </w:rPr>
              <w:t>Quebec Court of Appeal (Québec)</w:t>
            </w:r>
          </w:p>
          <w:p w:rsidR="000C6A2A" w:rsidRPr="006042C8" w:rsidRDefault="000C6A2A" w:rsidP="009F6372">
            <w:pPr>
              <w:jc w:val="both"/>
              <w:rPr>
                <w:rFonts w:eastAsia="Calibri"/>
                <w:sz w:val="20"/>
                <w:szCs w:val="20"/>
              </w:rPr>
            </w:pPr>
            <w:r w:rsidRPr="006042C8">
              <w:rPr>
                <w:rFonts w:eastAsia="Calibri"/>
                <w:sz w:val="20"/>
                <w:szCs w:val="20"/>
              </w:rPr>
              <w:t>(Brossard, Rochette and Gagnon JJ.A.)</w:t>
            </w:r>
          </w:p>
          <w:p w:rsidR="000C6A2A" w:rsidRPr="006042C8" w:rsidRDefault="000C6A2A" w:rsidP="009F6372">
            <w:pPr>
              <w:jc w:val="both"/>
              <w:rPr>
                <w:rFonts w:eastAsia="Calibri"/>
                <w:sz w:val="20"/>
                <w:szCs w:val="20"/>
              </w:rPr>
            </w:pPr>
            <w:r w:rsidRPr="006042C8">
              <w:rPr>
                <w:rFonts w:eastAsia="Calibri"/>
                <w:sz w:val="20"/>
                <w:szCs w:val="20"/>
              </w:rPr>
              <w:t>Neutral citation: 2011 QCCA 1952</w:t>
            </w:r>
          </w:p>
          <w:p w:rsidR="000C6A2A" w:rsidRPr="006042C8" w:rsidRDefault="000C6A2A" w:rsidP="009F6372">
            <w:pPr>
              <w:jc w:val="both"/>
              <w:rPr>
                <w:rFonts w:eastAsia="Calibri"/>
                <w:sz w:val="20"/>
                <w:szCs w:val="20"/>
              </w:rPr>
            </w:pPr>
          </w:p>
        </w:tc>
        <w:tc>
          <w:tcPr>
            <w:tcW w:w="243" w:type="pct"/>
          </w:tcPr>
          <w:p w:rsidR="000C6A2A" w:rsidRPr="006042C8" w:rsidRDefault="000C6A2A" w:rsidP="009F6372">
            <w:pPr>
              <w:jc w:val="both"/>
              <w:rPr>
                <w:rFonts w:eastAsia="Calibri"/>
                <w:sz w:val="20"/>
                <w:szCs w:val="20"/>
              </w:rPr>
            </w:pPr>
          </w:p>
        </w:tc>
        <w:tc>
          <w:tcPr>
            <w:tcW w:w="2330" w:type="pct"/>
          </w:tcPr>
          <w:p w:rsidR="000C6A2A" w:rsidRPr="006042C8" w:rsidRDefault="000C6A2A" w:rsidP="009F6372">
            <w:pPr>
              <w:jc w:val="both"/>
              <w:rPr>
                <w:rFonts w:eastAsia="Calibri"/>
                <w:sz w:val="20"/>
                <w:szCs w:val="20"/>
              </w:rPr>
            </w:pPr>
            <w:r w:rsidRPr="006042C8">
              <w:rPr>
                <w:rFonts w:eastAsia="Calibri"/>
                <w:sz w:val="20"/>
                <w:szCs w:val="20"/>
              </w:rPr>
              <w:t>Appeal dismissed</w:t>
            </w:r>
          </w:p>
        </w:tc>
      </w:tr>
      <w:tr w:rsidR="000C6A2A" w:rsidRPr="006042C8" w:rsidTr="009F6372">
        <w:tc>
          <w:tcPr>
            <w:tcW w:w="2427" w:type="pct"/>
          </w:tcPr>
          <w:p w:rsidR="000C6A2A" w:rsidRPr="006042C8" w:rsidRDefault="000C6A2A" w:rsidP="009F6372">
            <w:pPr>
              <w:jc w:val="both"/>
              <w:rPr>
                <w:rFonts w:eastAsia="Calibri"/>
                <w:sz w:val="20"/>
                <w:szCs w:val="20"/>
              </w:rPr>
            </w:pPr>
            <w:r w:rsidRPr="006042C8">
              <w:rPr>
                <w:rFonts w:eastAsia="Calibri"/>
                <w:sz w:val="20"/>
                <w:szCs w:val="20"/>
              </w:rPr>
              <w:t>December 29, 2011</w:t>
            </w:r>
          </w:p>
          <w:p w:rsidR="000C6A2A" w:rsidRPr="006042C8" w:rsidRDefault="000C6A2A" w:rsidP="009F6372">
            <w:pPr>
              <w:jc w:val="both"/>
              <w:rPr>
                <w:rFonts w:eastAsia="Calibri"/>
                <w:sz w:val="20"/>
                <w:szCs w:val="20"/>
              </w:rPr>
            </w:pPr>
            <w:r w:rsidRPr="006042C8">
              <w:rPr>
                <w:rFonts w:eastAsia="Calibri"/>
                <w:sz w:val="20"/>
                <w:szCs w:val="20"/>
              </w:rPr>
              <w:t>Supreme Court of Canada</w:t>
            </w:r>
          </w:p>
        </w:tc>
        <w:tc>
          <w:tcPr>
            <w:tcW w:w="243" w:type="pct"/>
          </w:tcPr>
          <w:p w:rsidR="000C6A2A" w:rsidRPr="006042C8" w:rsidRDefault="000C6A2A" w:rsidP="009F6372">
            <w:pPr>
              <w:jc w:val="both"/>
              <w:rPr>
                <w:rFonts w:eastAsia="Calibri"/>
                <w:sz w:val="20"/>
                <w:szCs w:val="20"/>
              </w:rPr>
            </w:pPr>
          </w:p>
        </w:tc>
        <w:tc>
          <w:tcPr>
            <w:tcW w:w="2330" w:type="pct"/>
          </w:tcPr>
          <w:p w:rsidR="000C6A2A" w:rsidRPr="006042C8" w:rsidRDefault="000C6A2A" w:rsidP="009F6372">
            <w:pPr>
              <w:jc w:val="both"/>
              <w:rPr>
                <w:rFonts w:eastAsia="Calibri"/>
                <w:sz w:val="20"/>
                <w:szCs w:val="20"/>
              </w:rPr>
            </w:pPr>
            <w:r w:rsidRPr="006042C8">
              <w:rPr>
                <w:rFonts w:eastAsia="Calibri"/>
                <w:sz w:val="20"/>
                <w:szCs w:val="20"/>
              </w:rPr>
              <w:t>Application for leave to appeal and motion to extend time to apply for leave to appeal filed</w:t>
            </w:r>
          </w:p>
        </w:tc>
      </w:tr>
    </w:tbl>
    <w:p w:rsidR="000C6A2A" w:rsidRDefault="000C6A2A" w:rsidP="000C6A2A">
      <w:pPr>
        <w:rPr>
          <w:sz w:val="20"/>
          <w:szCs w:val="20"/>
        </w:rPr>
      </w:pPr>
    </w:p>
    <w:p w:rsidR="000C6A2A" w:rsidRPr="00C50A5C" w:rsidRDefault="009753DF" w:rsidP="000C6A2A">
      <w:pPr>
        <w:rPr>
          <w:sz w:val="20"/>
          <w:szCs w:val="20"/>
        </w:rPr>
      </w:pPr>
      <w:r w:rsidRPr="009753DF">
        <w:rPr>
          <w:sz w:val="20"/>
          <w:szCs w:val="20"/>
          <w:lang w:val="fr-CA"/>
        </w:rPr>
        <w:pict>
          <v:rect id="_x0000_i1048" style="width:2in;height:1pt" o:hrpct="0" o:hralign="center" o:hrstd="t" o:hrnoshade="t" o:hr="t" fillcolor="black [3213]" stroked="f"/>
        </w:pict>
      </w:r>
    </w:p>
    <w:p w:rsidR="000C6A2A" w:rsidRDefault="000C6A2A" w:rsidP="000C6A2A">
      <w:pPr>
        <w:rPr>
          <w:sz w:val="20"/>
          <w:szCs w:val="20"/>
        </w:rPr>
      </w:pPr>
    </w:p>
    <w:p w:rsidR="00F235D5" w:rsidRDefault="00F235D5">
      <w:pPr>
        <w:rPr>
          <w:sz w:val="20"/>
          <w:szCs w:val="20"/>
          <w:u w:val="single"/>
          <w:lang w:val="fr-CA"/>
        </w:rPr>
      </w:pPr>
      <w:r>
        <w:rPr>
          <w:sz w:val="20"/>
          <w:szCs w:val="20"/>
          <w:u w:val="single"/>
          <w:lang w:val="fr-CA"/>
        </w:rPr>
        <w:br w:type="page"/>
      </w:r>
    </w:p>
    <w:p w:rsidR="000C6A2A" w:rsidRPr="001B157C" w:rsidRDefault="000C6A2A" w:rsidP="000C6A2A">
      <w:pPr>
        <w:rPr>
          <w:sz w:val="20"/>
          <w:szCs w:val="20"/>
          <w:u w:val="single"/>
          <w:lang w:val="fr-CA"/>
        </w:rPr>
      </w:pPr>
      <w:r w:rsidRPr="001B157C">
        <w:rPr>
          <w:sz w:val="20"/>
          <w:szCs w:val="20"/>
          <w:u w:val="single"/>
          <w:lang w:val="fr-CA"/>
        </w:rPr>
        <w:lastRenderedPageBreak/>
        <w:t>RÉSUMÉ DE L’AFFAIRE</w:t>
      </w:r>
    </w:p>
    <w:p w:rsidR="000C6A2A" w:rsidRDefault="000C6A2A" w:rsidP="000C6A2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6A2A" w:rsidRPr="008C68F8" w:rsidTr="009F6372">
        <w:tc>
          <w:tcPr>
            <w:tcW w:w="5000" w:type="pct"/>
            <w:gridSpan w:val="3"/>
          </w:tcPr>
          <w:p w:rsidR="000C6A2A" w:rsidRPr="006042C8" w:rsidRDefault="000C6A2A" w:rsidP="009F6372">
            <w:pPr>
              <w:jc w:val="both"/>
              <w:rPr>
                <w:rFonts w:eastAsia="Calibri"/>
                <w:sz w:val="20"/>
                <w:szCs w:val="20"/>
                <w:lang w:val="fr-CA"/>
              </w:rPr>
            </w:pPr>
            <w:r w:rsidRPr="006042C8">
              <w:rPr>
                <w:rFonts w:eastAsia="Calibri"/>
                <w:sz w:val="20"/>
                <w:szCs w:val="20"/>
                <w:lang w:val="fr-CA"/>
              </w:rPr>
              <w:t>Responsabilité civile — Responsabilité professionnelle — Courtier de plein exercice en valeurs mobilières — Intensité des obligations d’un courtier de plein exercice (et de son représentant) à l’égard de son client — Profil d’investisseur du client — Portée de l’obligation de surveillance du courtier vis</w:t>
            </w:r>
            <w:r w:rsidRPr="006042C8">
              <w:rPr>
                <w:rFonts w:eastAsia="Calibri"/>
                <w:sz w:val="20"/>
                <w:szCs w:val="20"/>
                <w:lang w:val="fr-CA"/>
              </w:rPr>
              <w:noBreakHyphen/>
              <w:t>à</w:t>
            </w:r>
            <w:r w:rsidRPr="006042C8">
              <w:rPr>
                <w:rFonts w:eastAsia="Calibri"/>
                <w:sz w:val="20"/>
                <w:szCs w:val="20"/>
                <w:lang w:val="fr-CA"/>
              </w:rPr>
              <w:noBreakHyphen/>
              <w:t xml:space="preserve">vis de son représentant — À la lumière des principes énoncés dans l’arrêt </w:t>
            </w:r>
            <w:r w:rsidRPr="006042C8">
              <w:rPr>
                <w:rFonts w:eastAsia="Calibri"/>
                <w:i/>
                <w:iCs/>
                <w:sz w:val="20"/>
                <w:szCs w:val="20"/>
                <w:lang w:val="fr-CA"/>
              </w:rPr>
              <w:t>Laflamme c. Prudential</w:t>
            </w:r>
            <w:r w:rsidRPr="006042C8">
              <w:rPr>
                <w:rFonts w:eastAsia="Calibri"/>
                <w:i/>
                <w:iCs/>
                <w:sz w:val="20"/>
                <w:szCs w:val="20"/>
                <w:lang w:val="fr-CA"/>
              </w:rPr>
              <w:noBreakHyphen/>
              <w:t>Bache Commodities</w:t>
            </w:r>
            <w:r w:rsidRPr="006042C8">
              <w:rPr>
                <w:rFonts w:eastAsia="Calibri"/>
                <w:sz w:val="20"/>
                <w:szCs w:val="20"/>
                <w:lang w:val="fr-CA"/>
              </w:rPr>
              <w:t xml:space="preserve">, [2000] 1 R.C.S. 638, quelle est la conséquence sur la responsabilité civile du courtier ou de son représentant d’une transaction préjudiciable contraire au profil du client établi à sa fiche écrite? — À la lumière des principes énoncés dans l’arrêt </w:t>
            </w:r>
            <w:r w:rsidRPr="006042C8">
              <w:rPr>
                <w:rFonts w:eastAsia="Calibri"/>
                <w:i/>
                <w:sz w:val="20"/>
                <w:szCs w:val="20"/>
                <w:lang w:val="fr-CA"/>
              </w:rPr>
              <w:t>Morin c. Blais</w:t>
            </w:r>
            <w:r w:rsidRPr="006042C8">
              <w:rPr>
                <w:rFonts w:eastAsia="Calibri"/>
                <w:sz w:val="20"/>
                <w:szCs w:val="20"/>
                <w:lang w:val="fr-CA"/>
              </w:rPr>
              <w:t>, [1977] 1 R.C.S. 570, dans quelle mesure la violation d’une norme réglementaire emporte</w:t>
            </w:r>
            <w:r w:rsidRPr="006042C8">
              <w:rPr>
                <w:rFonts w:eastAsia="Calibri"/>
                <w:sz w:val="20"/>
                <w:szCs w:val="20"/>
                <w:lang w:val="fr-CA"/>
              </w:rPr>
              <w:noBreakHyphen/>
              <w:t>t</w:t>
            </w:r>
            <w:r w:rsidRPr="006042C8">
              <w:rPr>
                <w:rFonts w:eastAsia="Calibri"/>
                <w:sz w:val="20"/>
                <w:szCs w:val="20"/>
                <w:lang w:val="fr-CA"/>
              </w:rPr>
              <w:noBreakHyphen/>
              <w:t xml:space="preserve">elle responsabilité civile? — </w:t>
            </w:r>
            <w:r w:rsidRPr="006042C8">
              <w:rPr>
                <w:rFonts w:eastAsia="Calibri"/>
                <w:color w:val="000000"/>
                <w:sz w:val="20"/>
                <w:szCs w:val="20"/>
                <w:lang w:val="fr-CA"/>
              </w:rPr>
              <w:t>La Cour supérieure et la Cour d’appel du Québec ont</w:t>
            </w:r>
            <w:r w:rsidRPr="006042C8">
              <w:rPr>
                <w:rFonts w:eastAsia="Calibri"/>
                <w:color w:val="000000"/>
                <w:sz w:val="20"/>
                <w:szCs w:val="20"/>
                <w:lang w:val="fr-CA"/>
              </w:rPr>
              <w:noBreakHyphen/>
              <w:t>elles erré en considérant, eu égard à la preuve et notamment « à la personnalité du demandeur, à son expérience du milieu des affaires et celle acquise sur le marché boursier », qu’il n’y a pas eu violation des obligations de conseil et d’information applicables en l’espèce?</w:t>
            </w:r>
          </w:p>
        </w:tc>
      </w:tr>
      <w:tr w:rsidR="000C6A2A" w:rsidRPr="008C68F8" w:rsidTr="009F6372">
        <w:tc>
          <w:tcPr>
            <w:tcW w:w="5000" w:type="pct"/>
            <w:gridSpan w:val="3"/>
          </w:tcPr>
          <w:p w:rsidR="000C6A2A" w:rsidRPr="006042C8" w:rsidRDefault="000C6A2A" w:rsidP="009F6372">
            <w:pPr>
              <w:jc w:val="both"/>
              <w:rPr>
                <w:rFonts w:eastAsia="Calibri"/>
                <w:sz w:val="20"/>
                <w:szCs w:val="20"/>
                <w:lang w:val="fr-CA"/>
              </w:rPr>
            </w:pPr>
          </w:p>
        </w:tc>
      </w:tr>
      <w:tr w:rsidR="000C6A2A" w:rsidRPr="008C68F8" w:rsidTr="009F6372">
        <w:tc>
          <w:tcPr>
            <w:tcW w:w="5000" w:type="pct"/>
            <w:gridSpan w:val="3"/>
          </w:tcPr>
          <w:p w:rsidR="000C6A2A" w:rsidRPr="006042C8" w:rsidRDefault="000C6A2A" w:rsidP="009F6372">
            <w:pPr>
              <w:jc w:val="both"/>
              <w:rPr>
                <w:rFonts w:eastAsia="Calibri"/>
                <w:sz w:val="20"/>
                <w:szCs w:val="20"/>
                <w:lang w:val="fr-CA"/>
              </w:rPr>
            </w:pPr>
            <w:r w:rsidRPr="006042C8">
              <w:rPr>
                <w:rFonts w:eastAsia="Calibri"/>
                <w:sz w:val="20"/>
                <w:szCs w:val="20"/>
                <w:lang w:val="fr-CA"/>
              </w:rPr>
              <w:t>Sur la base de conseils prodigués par l’intimé M. Jean</w:t>
            </w:r>
            <w:r w:rsidRPr="006042C8">
              <w:rPr>
                <w:rFonts w:eastAsia="Calibri"/>
                <w:sz w:val="20"/>
                <w:szCs w:val="20"/>
                <w:lang w:val="fr-CA"/>
              </w:rPr>
              <w:noBreakHyphen/>
              <w:t>Guy Coulombe, lequel représentait alors un courtier de plein exercice, à savoir l’intimée la Financière Banque Nationale Lévesque Beaubien Geoffrion inc., le président de la société demanderesse a donné l’ordre d’exécuter de nombreuses transactions sur des contrats d’option.  Ces transactions s’inscrivaient dans le cadre d’une stratégie élaborée à la demande du président de la société demanderesse dans le but d’éponger des pertes subies à la suite de l’acquisition en février 1996 d’obligations américaines. D’abord fructueuses, ces transactions sur les contrats d’options se sont ultimement soldées en juin 1997 par des pertes de plusieurs millions de dollars.  En 1988, la société demanderesse intente alors un recours en responsabilité dirigée contre le courtier en cause et son représentant, alléguant essentiellement que les conseils qui ont été donnés ne correspondaient pas à la tolérance au risque ni aux objectifs de placement que s’était fixés le président de la société demanderesse.</w:t>
            </w:r>
          </w:p>
          <w:p w:rsidR="000C6A2A" w:rsidRPr="006042C8" w:rsidRDefault="000C6A2A" w:rsidP="009F6372">
            <w:pPr>
              <w:jc w:val="both"/>
              <w:rPr>
                <w:rFonts w:eastAsia="Calibri"/>
                <w:sz w:val="20"/>
                <w:szCs w:val="20"/>
                <w:lang w:val="fr-CA"/>
              </w:rPr>
            </w:pPr>
          </w:p>
        </w:tc>
      </w:tr>
      <w:tr w:rsidR="000C6A2A" w:rsidRPr="008C68F8" w:rsidTr="009F6372">
        <w:tc>
          <w:tcPr>
            <w:tcW w:w="2427" w:type="pct"/>
          </w:tcPr>
          <w:p w:rsidR="000C6A2A" w:rsidRPr="006042C8" w:rsidRDefault="000C6A2A" w:rsidP="009F6372">
            <w:pPr>
              <w:jc w:val="both"/>
              <w:rPr>
                <w:rFonts w:eastAsia="Calibri"/>
                <w:sz w:val="20"/>
                <w:szCs w:val="20"/>
                <w:lang w:val="fr-CA"/>
              </w:rPr>
            </w:pPr>
            <w:r w:rsidRPr="006042C8">
              <w:rPr>
                <w:rFonts w:eastAsia="Calibri"/>
                <w:sz w:val="20"/>
                <w:szCs w:val="20"/>
                <w:lang w:val="fr-CA"/>
              </w:rPr>
              <w:t>Le 27 février 2009</w:t>
            </w:r>
          </w:p>
          <w:p w:rsidR="000C6A2A" w:rsidRPr="006042C8" w:rsidRDefault="000C6A2A" w:rsidP="009F6372">
            <w:pPr>
              <w:jc w:val="both"/>
              <w:rPr>
                <w:rFonts w:eastAsia="Calibri"/>
                <w:sz w:val="20"/>
                <w:szCs w:val="20"/>
                <w:lang w:val="fr-CA"/>
              </w:rPr>
            </w:pPr>
            <w:r w:rsidRPr="006042C8">
              <w:rPr>
                <w:rFonts w:eastAsia="Calibri"/>
                <w:sz w:val="20"/>
                <w:szCs w:val="20"/>
                <w:lang w:val="fr-CA"/>
              </w:rPr>
              <w:t>Cour supérieure du Québec</w:t>
            </w:r>
          </w:p>
          <w:p w:rsidR="000C6A2A" w:rsidRPr="006042C8" w:rsidRDefault="000C6A2A" w:rsidP="009F6372">
            <w:pPr>
              <w:jc w:val="both"/>
              <w:rPr>
                <w:rFonts w:eastAsia="Calibri"/>
                <w:sz w:val="20"/>
                <w:szCs w:val="20"/>
                <w:lang w:val="fr-CA"/>
              </w:rPr>
            </w:pPr>
            <w:r w:rsidRPr="006042C8">
              <w:rPr>
                <w:rFonts w:eastAsia="Calibri"/>
                <w:sz w:val="20"/>
                <w:szCs w:val="20"/>
                <w:lang w:val="fr-CA"/>
              </w:rPr>
              <w:t>(La juge Blondin)</w:t>
            </w:r>
          </w:p>
          <w:p w:rsidR="000C6A2A" w:rsidRPr="006042C8" w:rsidRDefault="000C6A2A" w:rsidP="009F6372">
            <w:pPr>
              <w:jc w:val="both"/>
              <w:rPr>
                <w:rFonts w:eastAsia="Calibri"/>
                <w:sz w:val="20"/>
                <w:szCs w:val="20"/>
                <w:lang w:val="fr-CA"/>
              </w:rPr>
            </w:pPr>
            <w:r w:rsidRPr="006042C8">
              <w:rPr>
                <w:rFonts w:eastAsia="Calibri"/>
                <w:sz w:val="20"/>
                <w:szCs w:val="20"/>
                <w:lang w:val="fr-CA"/>
              </w:rPr>
              <w:t>Référence neutre : 2009 QCCS 1006</w:t>
            </w:r>
          </w:p>
          <w:p w:rsidR="000C6A2A" w:rsidRPr="006042C8" w:rsidRDefault="000C6A2A" w:rsidP="009F6372">
            <w:pPr>
              <w:jc w:val="both"/>
              <w:rPr>
                <w:rFonts w:eastAsia="Calibri"/>
                <w:sz w:val="20"/>
                <w:szCs w:val="20"/>
                <w:lang w:val="fr-CA"/>
              </w:rPr>
            </w:pPr>
          </w:p>
        </w:tc>
        <w:tc>
          <w:tcPr>
            <w:tcW w:w="243" w:type="pct"/>
          </w:tcPr>
          <w:p w:rsidR="000C6A2A" w:rsidRPr="006042C8" w:rsidRDefault="000C6A2A" w:rsidP="009F6372">
            <w:pPr>
              <w:jc w:val="both"/>
              <w:rPr>
                <w:rFonts w:eastAsia="Calibri"/>
                <w:sz w:val="20"/>
                <w:szCs w:val="20"/>
                <w:lang w:val="fr-CA"/>
              </w:rPr>
            </w:pPr>
          </w:p>
        </w:tc>
        <w:tc>
          <w:tcPr>
            <w:tcW w:w="2330" w:type="pct"/>
          </w:tcPr>
          <w:p w:rsidR="000C6A2A" w:rsidRPr="006042C8" w:rsidRDefault="000C6A2A" w:rsidP="009F6372">
            <w:pPr>
              <w:jc w:val="both"/>
              <w:rPr>
                <w:rFonts w:eastAsia="Calibri"/>
                <w:sz w:val="20"/>
                <w:szCs w:val="20"/>
                <w:lang w:val="fr-CA"/>
              </w:rPr>
            </w:pPr>
            <w:r w:rsidRPr="006042C8">
              <w:rPr>
                <w:rFonts w:eastAsia="Calibri"/>
                <w:sz w:val="20"/>
                <w:szCs w:val="20"/>
                <w:lang w:val="fr-CA"/>
              </w:rPr>
              <w:t>Action en dommages</w:t>
            </w:r>
            <w:r w:rsidRPr="006042C8">
              <w:rPr>
                <w:rFonts w:eastAsia="Calibri"/>
                <w:sz w:val="20"/>
                <w:szCs w:val="20"/>
                <w:lang w:val="fr-CA"/>
              </w:rPr>
              <w:noBreakHyphen/>
              <w:t>intérêts rejetée.</w:t>
            </w:r>
          </w:p>
        </w:tc>
      </w:tr>
      <w:tr w:rsidR="000C6A2A" w:rsidRPr="006042C8" w:rsidTr="009F6372">
        <w:tc>
          <w:tcPr>
            <w:tcW w:w="2427" w:type="pct"/>
          </w:tcPr>
          <w:p w:rsidR="000C6A2A" w:rsidRPr="006042C8" w:rsidRDefault="000C6A2A" w:rsidP="009F6372">
            <w:pPr>
              <w:jc w:val="both"/>
              <w:rPr>
                <w:rFonts w:eastAsia="Calibri"/>
                <w:sz w:val="20"/>
                <w:szCs w:val="20"/>
                <w:lang w:val="fr-CA"/>
              </w:rPr>
            </w:pPr>
            <w:r w:rsidRPr="006042C8">
              <w:rPr>
                <w:rFonts w:eastAsia="Calibri"/>
                <w:sz w:val="20"/>
                <w:szCs w:val="20"/>
                <w:lang w:val="fr-CA"/>
              </w:rPr>
              <w:t>Le 24 octobre 2011</w:t>
            </w:r>
          </w:p>
          <w:p w:rsidR="000C6A2A" w:rsidRPr="006042C8" w:rsidRDefault="000C6A2A" w:rsidP="009F6372">
            <w:pPr>
              <w:jc w:val="both"/>
              <w:rPr>
                <w:rFonts w:eastAsia="Calibri"/>
                <w:sz w:val="20"/>
                <w:szCs w:val="20"/>
                <w:lang w:val="fr-CA"/>
              </w:rPr>
            </w:pPr>
            <w:r w:rsidRPr="006042C8">
              <w:rPr>
                <w:rFonts w:eastAsia="Calibri"/>
                <w:sz w:val="20"/>
                <w:szCs w:val="20"/>
                <w:lang w:val="fr-CA"/>
              </w:rPr>
              <w:t>Cour d’appel du Québec (Québec)</w:t>
            </w:r>
          </w:p>
          <w:p w:rsidR="000C6A2A" w:rsidRPr="006042C8" w:rsidRDefault="000C6A2A" w:rsidP="009F6372">
            <w:pPr>
              <w:jc w:val="both"/>
              <w:rPr>
                <w:rFonts w:eastAsia="Calibri"/>
                <w:sz w:val="20"/>
                <w:szCs w:val="20"/>
                <w:lang w:val="fr-CA"/>
              </w:rPr>
            </w:pPr>
            <w:r w:rsidRPr="006042C8">
              <w:rPr>
                <w:rFonts w:eastAsia="Calibri"/>
                <w:sz w:val="20"/>
                <w:szCs w:val="20"/>
                <w:lang w:val="fr-CA"/>
              </w:rPr>
              <w:t>(Les juges Brossard, Rochette et Gagnon)</w:t>
            </w:r>
          </w:p>
          <w:p w:rsidR="000C6A2A" w:rsidRPr="006042C8" w:rsidRDefault="000C6A2A" w:rsidP="009F6372">
            <w:pPr>
              <w:jc w:val="both"/>
              <w:rPr>
                <w:rFonts w:eastAsia="Calibri"/>
                <w:sz w:val="20"/>
                <w:szCs w:val="20"/>
                <w:lang w:val="fr-CA"/>
              </w:rPr>
            </w:pPr>
            <w:r w:rsidRPr="006042C8">
              <w:rPr>
                <w:rFonts w:eastAsia="Calibri"/>
                <w:sz w:val="20"/>
                <w:szCs w:val="20"/>
                <w:lang w:val="fr-CA"/>
              </w:rPr>
              <w:t>Référence neutre : 2011 QCCA 1952</w:t>
            </w:r>
          </w:p>
          <w:p w:rsidR="000C6A2A" w:rsidRPr="006042C8" w:rsidRDefault="000C6A2A" w:rsidP="009F6372">
            <w:pPr>
              <w:jc w:val="both"/>
              <w:rPr>
                <w:rFonts w:eastAsia="Calibri"/>
                <w:sz w:val="20"/>
                <w:szCs w:val="20"/>
                <w:lang w:val="fr-CA"/>
              </w:rPr>
            </w:pPr>
          </w:p>
        </w:tc>
        <w:tc>
          <w:tcPr>
            <w:tcW w:w="243" w:type="pct"/>
          </w:tcPr>
          <w:p w:rsidR="000C6A2A" w:rsidRPr="006042C8" w:rsidRDefault="000C6A2A" w:rsidP="009F6372">
            <w:pPr>
              <w:jc w:val="both"/>
              <w:rPr>
                <w:rFonts w:eastAsia="Calibri"/>
                <w:sz w:val="20"/>
                <w:szCs w:val="20"/>
                <w:lang w:val="fr-CA"/>
              </w:rPr>
            </w:pPr>
          </w:p>
        </w:tc>
        <w:tc>
          <w:tcPr>
            <w:tcW w:w="2330" w:type="pct"/>
          </w:tcPr>
          <w:p w:rsidR="000C6A2A" w:rsidRPr="006042C8" w:rsidRDefault="000C6A2A" w:rsidP="009F6372">
            <w:pPr>
              <w:jc w:val="both"/>
              <w:rPr>
                <w:rFonts w:eastAsia="Calibri"/>
                <w:sz w:val="20"/>
                <w:szCs w:val="20"/>
                <w:lang w:val="fr-CA"/>
              </w:rPr>
            </w:pPr>
            <w:r w:rsidRPr="006042C8">
              <w:rPr>
                <w:rFonts w:eastAsia="Calibri"/>
                <w:sz w:val="20"/>
                <w:szCs w:val="20"/>
                <w:lang w:val="fr-CA"/>
              </w:rPr>
              <w:t>Appel rejeté.</w:t>
            </w:r>
          </w:p>
        </w:tc>
      </w:tr>
      <w:tr w:rsidR="000C6A2A" w:rsidRPr="00C43006" w:rsidTr="009F6372">
        <w:tc>
          <w:tcPr>
            <w:tcW w:w="2427" w:type="pct"/>
          </w:tcPr>
          <w:p w:rsidR="000C6A2A" w:rsidRPr="006042C8" w:rsidRDefault="000C6A2A" w:rsidP="009F6372">
            <w:pPr>
              <w:jc w:val="both"/>
              <w:rPr>
                <w:rFonts w:eastAsia="Calibri"/>
                <w:sz w:val="20"/>
                <w:szCs w:val="20"/>
                <w:lang w:val="fr-CA"/>
              </w:rPr>
            </w:pPr>
            <w:r w:rsidRPr="006042C8">
              <w:rPr>
                <w:rFonts w:eastAsia="Calibri"/>
                <w:sz w:val="20"/>
                <w:szCs w:val="20"/>
                <w:lang w:val="fr-CA"/>
              </w:rPr>
              <w:t>Le 29 décembre 2011</w:t>
            </w:r>
          </w:p>
          <w:p w:rsidR="000C6A2A" w:rsidRPr="006042C8" w:rsidRDefault="000C6A2A" w:rsidP="009F6372">
            <w:pPr>
              <w:jc w:val="both"/>
              <w:rPr>
                <w:rFonts w:eastAsia="Calibri"/>
                <w:sz w:val="20"/>
                <w:szCs w:val="20"/>
                <w:lang w:val="fr-CA"/>
              </w:rPr>
            </w:pPr>
            <w:r w:rsidRPr="006042C8">
              <w:rPr>
                <w:rFonts w:eastAsia="Calibri"/>
                <w:sz w:val="20"/>
                <w:szCs w:val="20"/>
                <w:lang w:val="fr-CA"/>
              </w:rPr>
              <w:t>Cour suprême du Canada</w:t>
            </w:r>
          </w:p>
          <w:p w:rsidR="000C6A2A" w:rsidRPr="006042C8" w:rsidRDefault="000C6A2A" w:rsidP="009F6372">
            <w:pPr>
              <w:jc w:val="both"/>
              <w:rPr>
                <w:rFonts w:eastAsia="Calibri"/>
                <w:sz w:val="20"/>
                <w:szCs w:val="20"/>
                <w:lang w:val="fr-CA"/>
              </w:rPr>
            </w:pPr>
          </w:p>
        </w:tc>
        <w:tc>
          <w:tcPr>
            <w:tcW w:w="243" w:type="pct"/>
          </w:tcPr>
          <w:p w:rsidR="000C6A2A" w:rsidRPr="006042C8" w:rsidRDefault="000C6A2A" w:rsidP="009F6372">
            <w:pPr>
              <w:jc w:val="both"/>
              <w:rPr>
                <w:rFonts w:eastAsia="Calibri"/>
                <w:sz w:val="20"/>
                <w:szCs w:val="20"/>
                <w:lang w:val="fr-CA"/>
              </w:rPr>
            </w:pPr>
          </w:p>
        </w:tc>
        <w:tc>
          <w:tcPr>
            <w:tcW w:w="2330" w:type="pct"/>
          </w:tcPr>
          <w:p w:rsidR="000C6A2A" w:rsidRPr="006042C8" w:rsidRDefault="000C6A2A" w:rsidP="009F6372">
            <w:pPr>
              <w:jc w:val="both"/>
              <w:rPr>
                <w:rFonts w:eastAsia="Calibri"/>
                <w:sz w:val="20"/>
                <w:szCs w:val="20"/>
                <w:lang w:val="fr-CA"/>
              </w:rPr>
            </w:pPr>
            <w:r w:rsidRPr="006042C8">
              <w:rPr>
                <w:rFonts w:eastAsia="Calibri"/>
                <w:sz w:val="20"/>
                <w:szCs w:val="20"/>
                <w:lang w:val="fr-CA"/>
              </w:rPr>
              <w:t>Demande d'autorisation d'appel et requête en prorogation de délai pour demander l’autorisation d’appel déposées.</w:t>
            </w:r>
          </w:p>
        </w:tc>
      </w:tr>
    </w:tbl>
    <w:p w:rsidR="000C6A2A" w:rsidRPr="00837483" w:rsidRDefault="000C6A2A" w:rsidP="000C6A2A">
      <w:pPr>
        <w:rPr>
          <w:sz w:val="20"/>
          <w:szCs w:val="20"/>
          <w:lang w:val="fr-CA"/>
        </w:rPr>
      </w:pPr>
    </w:p>
    <w:p w:rsidR="000C6A2A" w:rsidRDefault="009753DF" w:rsidP="000C6A2A">
      <w:pPr>
        <w:rPr>
          <w:sz w:val="20"/>
          <w:szCs w:val="20"/>
          <w:lang w:val="fr-CA"/>
        </w:rPr>
      </w:pPr>
      <w:r w:rsidRPr="009753DF">
        <w:rPr>
          <w:sz w:val="20"/>
          <w:szCs w:val="20"/>
          <w:lang w:val="fr-CA"/>
        </w:rPr>
        <w:pict>
          <v:rect id="_x0000_i1049" style="width:2in;height:1pt" o:hrpct="0" o:hralign="center" o:hrstd="t" o:hrnoshade="t" o:hr="t" fillcolor="black [3213]" stroked="f"/>
        </w:pict>
      </w:r>
    </w:p>
    <w:p w:rsidR="00837483" w:rsidRDefault="00837483" w:rsidP="008D292F">
      <w:pPr>
        <w:rPr>
          <w:sz w:val="20"/>
          <w:szCs w:val="20"/>
        </w:rPr>
      </w:pPr>
    </w:p>
    <w:p w:rsidR="00F235D5" w:rsidRDefault="00F235D5" w:rsidP="00F235D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235D5" w:rsidRPr="00184193" w:rsidTr="00604498">
        <w:trPr>
          <w:cantSplit/>
        </w:trPr>
        <w:tc>
          <w:tcPr>
            <w:tcW w:w="1458" w:type="dxa"/>
          </w:tcPr>
          <w:p w:rsidR="00F235D5" w:rsidRPr="00184193" w:rsidRDefault="00F235D5" w:rsidP="00604498">
            <w:pPr>
              <w:rPr>
                <w:sz w:val="20"/>
                <w:szCs w:val="20"/>
              </w:rPr>
            </w:pPr>
            <w:r w:rsidRPr="00184193">
              <w:rPr>
                <w:rStyle w:val="SCCFileNumberChar"/>
                <w:sz w:val="20"/>
                <w:szCs w:val="20"/>
              </w:rPr>
              <w:t>34613</w:t>
            </w:r>
          </w:p>
          <w:p w:rsidR="00F235D5" w:rsidRPr="00184193" w:rsidRDefault="00F235D5" w:rsidP="00604498">
            <w:pPr>
              <w:rPr>
                <w:b/>
                <w:sz w:val="20"/>
                <w:szCs w:val="20"/>
                <w:lang w:val="fr-CA"/>
              </w:rPr>
            </w:pPr>
          </w:p>
        </w:tc>
        <w:tc>
          <w:tcPr>
            <w:tcW w:w="8118" w:type="dxa"/>
          </w:tcPr>
          <w:p w:rsidR="00F235D5" w:rsidRPr="00184193" w:rsidRDefault="00F235D5" w:rsidP="00604498">
            <w:pPr>
              <w:jc w:val="both"/>
              <w:rPr>
                <w:sz w:val="20"/>
                <w:szCs w:val="20"/>
              </w:rPr>
            </w:pPr>
            <w:r w:rsidRPr="00184193">
              <w:rPr>
                <w:rStyle w:val="SCCLsocChar"/>
                <w:sz w:val="20"/>
                <w:szCs w:val="20"/>
                <w:lang w:val="en-CA"/>
              </w:rPr>
              <w:t>Trygve Shawn Wenn v. Raymond Chow, Executor of the Estate of Erland Walter Wenn a.k.a. Erland Wenn a.k.a. Erland W. Wenn, Deceased</w:t>
            </w:r>
            <w:r w:rsidRPr="00184193">
              <w:rPr>
                <w:sz w:val="20"/>
                <w:szCs w:val="20"/>
              </w:rPr>
              <w:t xml:space="preserve"> (B.C.) (Civil) (By Leave)</w:t>
            </w:r>
          </w:p>
          <w:p w:rsidR="00F235D5" w:rsidRPr="00184193" w:rsidRDefault="00F235D5" w:rsidP="00604498">
            <w:pPr>
              <w:rPr>
                <w:sz w:val="20"/>
                <w:szCs w:val="20"/>
              </w:rPr>
            </w:pPr>
          </w:p>
        </w:tc>
      </w:tr>
      <w:tr w:rsidR="00F235D5" w:rsidRPr="00184193" w:rsidTr="00604498">
        <w:trPr>
          <w:cantSplit/>
        </w:trPr>
        <w:tc>
          <w:tcPr>
            <w:tcW w:w="1458" w:type="dxa"/>
          </w:tcPr>
          <w:p w:rsidR="00F235D5" w:rsidRPr="00184193" w:rsidRDefault="00F235D5" w:rsidP="00604498">
            <w:pPr>
              <w:rPr>
                <w:sz w:val="20"/>
                <w:szCs w:val="20"/>
              </w:rPr>
            </w:pPr>
            <w:r w:rsidRPr="00184193">
              <w:rPr>
                <w:sz w:val="20"/>
                <w:szCs w:val="20"/>
              </w:rPr>
              <w:t>Coram :</w:t>
            </w:r>
          </w:p>
        </w:tc>
        <w:tc>
          <w:tcPr>
            <w:tcW w:w="8118" w:type="dxa"/>
          </w:tcPr>
          <w:p w:rsidR="00F235D5" w:rsidRPr="00184193" w:rsidRDefault="00F235D5" w:rsidP="00604498">
            <w:pPr>
              <w:rPr>
                <w:sz w:val="20"/>
                <w:szCs w:val="20"/>
              </w:rPr>
            </w:pPr>
            <w:r w:rsidRPr="00184193">
              <w:rPr>
                <w:rStyle w:val="SCCCoramChar"/>
                <w:sz w:val="20"/>
                <w:szCs w:val="20"/>
                <w:lang w:val="en-CA"/>
              </w:rPr>
              <w:t>LeBel, Abella and Cromwell JJ.</w:t>
            </w:r>
          </w:p>
          <w:p w:rsidR="00F235D5" w:rsidRPr="00184193" w:rsidRDefault="00F235D5" w:rsidP="00604498">
            <w:pPr>
              <w:rPr>
                <w:sz w:val="20"/>
                <w:szCs w:val="20"/>
                <w:u w:val="single"/>
              </w:rPr>
            </w:pPr>
          </w:p>
        </w:tc>
      </w:tr>
      <w:tr w:rsidR="00F235D5" w:rsidRPr="008C68F8" w:rsidTr="00604498">
        <w:trPr>
          <w:cantSplit/>
        </w:trPr>
        <w:tc>
          <w:tcPr>
            <w:tcW w:w="9576" w:type="dxa"/>
            <w:gridSpan w:val="2"/>
          </w:tcPr>
          <w:p w:rsidR="00F235D5" w:rsidRPr="00184193" w:rsidRDefault="00F235D5" w:rsidP="00604498">
            <w:pPr>
              <w:pStyle w:val="SCCShortJudgment"/>
              <w:rPr>
                <w:szCs w:val="20"/>
              </w:rPr>
            </w:pPr>
            <w:r w:rsidRPr="00184193">
              <w:rPr>
                <w:szCs w:val="20"/>
              </w:rPr>
              <w:lastRenderedPageBreak/>
              <w:t>The motion for an extension of time to serve and file the application for leave to appeal is granted. The application for leave to appeal from the judgment of the Court of Appeal for British Columbia (Vancouver), Number CA038688, 2011 BCCA 430, dated October 27, 2011, is dismissed with costs.</w:t>
            </w:r>
          </w:p>
          <w:p w:rsidR="00F235D5" w:rsidRPr="00184193" w:rsidRDefault="00F235D5" w:rsidP="00604498">
            <w:pPr>
              <w:pStyle w:val="SCCShortJudgment"/>
              <w:ind w:firstLine="0"/>
              <w:rPr>
                <w:szCs w:val="20"/>
              </w:rPr>
            </w:pPr>
          </w:p>
          <w:p w:rsidR="00F235D5" w:rsidRPr="00184193" w:rsidRDefault="00F235D5" w:rsidP="00604498">
            <w:pPr>
              <w:pStyle w:val="SCCShortJudgment"/>
              <w:rPr>
                <w:szCs w:val="20"/>
                <w:lang w:val="fr-CA"/>
              </w:rPr>
            </w:pPr>
            <w:r w:rsidRPr="00184193">
              <w:rPr>
                <w:szCs w:val="20"/>
                <w:lang w:val="fr-CA"/>
              </w:rPr>
              <w:t>La requête en prorogation du délai de signification et de dépôt de la demande d’autorisation d’appel est accordée. La demande d’autorisation d’appel de l’arrêt de la Cour d’appel de la Colombie-Britannique (Vancouver), numéro CA038688, 2011 BCCA 430, daté du 27 octobre 2011, est rejetée avec dépens.</w:t>
            </w:r>
          </w:p>
        </w:tc>
      </w:tr>
    </w:tbl>
    <w:p w:rsidR="00F235D5" w:rsidRPr="00F235D5" w:rsidRDefault="00F235D5" w:rsidP="00F235D5">
      <w:pPr>
        <w:rPr>
          <w:sz w:val="20"/>
          <w:szCs w:val="20"/>
          <w:lang w:val="fr-CA"/>
        </w:rPr>
      </w:pPr>
    </w:p>
    <w:p w:rsidR="00F235D5" w:rsidRPr="001B157C" w:rsidRDefault="00F235D5" w:rsidP="00F235D5">
      <w:pPr>
        <w:rPr>
          <w:sz w:val="20"/>
          <w:szCs w:val="20"/>
          <w:u w:val="single"/>
        </w:rPr>
      </w:pPr>
      <w:r w:rsidRPr="001B157C">
        <w:rPr>
          <w:sz w:val="20"/>
          <w:szCs w:val="20"/>
          <w:u w:val="single"/>
        </w:rPr>
        <w:t>CASE SUMMARY</w:t>
      </w:r>
    </w:p>
    <w:p w:rsidR="00F235D5" w:rsidRDefault="00F235D5" w:rsidP="00F235D5">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35D5" w:rsidRPr="006042C8" w:rsidTr="00604498">
        <w:tc>
          <w:tcPr>
            <w:tcW w:w="5000" w:type="pct"/>
            <w:gridSpan w:val="3"/>
          </w:tcPr>
          <w:p w:rsidR="00F235D5" w:rsidRPr="006042C8" w:rsidRDefault="00F235D5" w:rsidP="00604498">
            <w:pPr>
              <w:jc w:val="both"/>
              <w:rPr>
                <w:rFonts w:eastAsia="Calibri"/>
                <w:sz w:val="20"/>
              </w:rPr>
            </w:pPr>
            <w:r w:rsidRPr="006042C8">
              <w:rPr>
                <w:rFonts w:eastAsia="Calibri"/>
                <w:sz w:val="20"/>
              </w:rPr>
              <w:t>Contracts – Formation – Part performance – Property – Real property – Applicant and his brothers seeking specific performance of alleged contract for purchase of family home – Chambers judge granting respondent executor’s application to have claim dismissed – Whether Court of Appeal erred in not holding that there was a valid and subsisting contract of purchase and sale of the house – Whether Court of Appeal erred in not recognizing uniqueness of childhood home – Whether Court of Appeal erred in not finding that there was partial performance on the part of the plaintiffs.</w:t>
            </w:r>
          </w:p>
        </w:tc>
      </w:tr>
      <w:tr w:rsidR="00F235D5" w:rsidRPr="006042C8" w:rsidTr="00604498">
        <w:tc>
          <w:tcPr>
            <w:tcW w:w="5000" w:type="pct"/>
            <w:gridSpan w:val="3"/>
          </w:tcPr>
          <w:p w:rsidR="00F235D5" w:rsidRPr="006042C8" w:rsidRDefault="00F235D5" w:rsidP="00604498">
            <w:pPr>
              <w:jc w:val="both"/>
              <w:rPr>
                <w:rFonts w:eastAsia="Calibri"/>
                <w:sz w:val="20"/>
              </w:rPr>
            </w:pPr>
          </w:p>
        </w:tc>
      </w:tr>
      <w:tr w:rsidR="00F235D5" w:rsidRPr="006042C8" w:rsidTr="00604498">
        <w:tc>
          <w:tcPr>
            <w:tcW w:w="5000" w:type="pct"/>
            <w:gridSpan w:val="3"/>
          </w:tcPr>
          <w:p w:rsidR="00F235D5" w:rsidRPr="006042C8" w:rsidRDefault="00F235D5" w:rsidP="00604498">
            <w:pPr>
              <w:jc w:val="both"/>
              <w:rPr>
                <w:rFonts w:eastAsia="Calibri"/>
                <w:sz w:val="20"/>
              </w:rPr>
            </w:pPr>
            <w:r w:rsidRPr="006042C8">
              <w:rPr>
                <w:rFonts w:eastAsia="Calibri"/>
                <w:sz w:val="20"/>
              </w:rPr>
              <w:t>Erland Walter Wenn died on February 23, 2008, and letters of probate were granted the following November.  The sons of the deceased, including the applicant, claim that they entered into an agreement with the estate to purchase the family home.  They brought an action for specific performance of the alleged contract.  The respondent executor brought an application to have the claim for specific performance dismissed.  The chambers judge granted the application and the action was dismissed.  The Court of Appeal dismissed the applicant’s appeal of that decision.</w:t>
            </w:r>
          </w:p>
          <w:p w:rsidR="00F235D5" w:rsidRPr="006042C8" w:rsidRDefault="00F235D5" w:rsidP="00604498">
            <w:pPr>
              <w:jc w:val="both"/>
              <w:rPr>
                <w:rFonts w:eastAsia="Calibri"/>
                <w:sz w:val="20"/>
              </w:rPr>
            </w:pPr>
          </w:p>
        </w:tc>
      </w:tr>
      <w:tr w:rsidR="00F235D5" w:rsidRPr="006042C8" w:rsidTr="00604498">
        <w:tc>
          <w:tcPr>
            <w:tcW w:w="2427" w:type="pct"/>
          </w:tcPr>
          <w:p w:rsidR="00F235D5" w:rsidRPr="006042C8" w:rsidRDefault="00F235D5" w:rsidP="00604498">
            <w:pPr>
              <w:jc w:val="both"/>
              <w:rPr>
                <w:rFonts w:eastAsia="Calibri"/>
                <w:sz w:val="20"/>
              </w:rPr>
            </w:pPr>
            <w:r w:rsidRPr="006042C8">
              <w:rPr>
                <w:rFonts w:eastAsia="Calibri"/>
                <w:sz w:val="20"/>
              </w:rPr>
              <w:t>November 22, 2010</w:t>
            </w:r>
          </w:p>
          <w:p w:rsidR="00F235D5" w:rsidRPr="006042C8" w:rsidRDefault="00F235D5" w:rsidP="00604498">
            <w:pPr>
              <w:jc w:val="both"/>
              <w:rPr>
                <w:rFonts w:eastAsia="Calibri"/>
                <w:sz w:val="20"/>
              </w:rPr>
            </w:pPr>
            <w:r w:rsidRPr="006042C8">
              <w:rPr>
                <w:rFonts w:eastAsia="Calibri"/>
                <w:sz w:val="20"/>
              </w:rPr>
              <w:t>Supreme Court of British Columbia</w:t>
            </w:r>
          </w:p>
          <w:p w:rsidR="00F235D5" w:rsidRPr="006042C8" w:rsidRDefault="00F235D5" w:rsidP="00604498">
            <w:pPr>
              <w:jc w:val="both"/>
              <w:rPr>
                <w:rFonts w:eastAsia="Calibri"/>
                <w:sz w:val="20"/>
              </w:rPr>
            </w:pPr>
            <w:r w:rsidRPr="006042C8">
              <w:rPr>
                <w:rFonts w:eastAsia="Calibri"/>
                <w:sz w:val="20"/>
              </w:rPr>
              <w:t>(Williamson J.)</w:t>
            </w:r>
          </w:p>
          <w:p w:rsidR="00F235D5" w:rsidRPr="006042C8" w:rsidRDefault="00F235D5" w:rsidP="00604498">
            <w:pPr>
              <w:jc w:val="both"/>
              <w:rPr>
                <w:rFonts w:eastAsia="Calibri"/>
                <w:sz w:val="20"/>
              </w:rPr>
            </w:pPr>
          </w:p>
        </w:tc>
        <w:tc>
          <w:tcPr>
            <w:tcW w:w="243" w:type="pct"/>
          </w:tcPr>
          <w:p w:rsidR="00F235D5" w:rsidRPr="006042C8" w:rsidRDefault="00F235D5" w:rsidP="00604498">
            <w:pPr>
              <w:jc w:val="both"/>
              <w:rPr>
                <w:rFonts w:eastAsia="Calibri"/>
                <w:sz w:val="20"/>
              </w:rPr>
            </w:pPr>
          </w:p>
        </w:tc>
        <w:tc>
          <w:tcPr>
            <w:tcW w:w="2330" w:type="pct"/>
          </w:tcPr>
          <w:p w:rsidR="00F235D5" w:rsidRPr="006042C8" w:rsidRDefault="00F235D5" w:rsidP="00604498">
            <w:pPr>
              <w:jc w:val="both"/>
              <w:rPr>
                <w:rFonts w:eastAsia="Calibri"/>
                <w:sz w:val="20"/>
              </w:rPr>
            </w:pPr>
            <w:r w:rsidRPr="006042C8">
              <w:rPr>
                <w:rFonts w:eastAsia="Calibri"/>
                <w:sz w:val="20"/>
              </w:rPr>
              <w:t>Respondent’s application to have claim dismissed allowed</w:t>
            </w:r>
          </w:p>
        </w:tc>
      </w:tr>
      <w:tr w:rsidR="00F235D5" w:rsidRPr="006042C8" w:rsidTr="00604498">
        <w:tc>
          <w:tcPr>
            <w:tcW w:w="2427" w:type="pct"/>
          </w:tcPr>
          <w:p w:rsidR="00F235D5" w:rsidRPr="006042C8" w:rsidRDefault="00F235D5" w:rsidP="00604498">
            <w:pPr>
              <w:jc w:val="both"/>
              <w:rPr>
                <w:rFonts w:eastAsia="Calibri"/>
                <w:sz w:val="20"/>
              </w:rPr>
            </w:pPr>
            <w:r w:rsidRPr="006042C8">
              <w:rPr>
                <w:rFonts w:eastAsia="Calibri"/>
                <w:sz w:val="20"/>
              </w:rPr>
              <w:t>October 27, 2011</w:t>
            </w:r>
          </w:p>
          <w:p w:rsidR="00F235D5" w:rsidRPr="006042C8" w:rsidRDefault="00F235D5" w:rsidP="00604498">
            <w:pPr>
              <w:jc w:val="both"/>
              <w:rPr>
                <w:rFonts w:eastAsia="Calibri"/>
                <w:sz w:val="20"/>
              </w:rPr>
            </w:pPr>
            <w:r w:rsidRPr="006042C8">
              <w:rPr>
                <w:rFonts w:eastAsia="Calibri"/>
                <w:sz w:val="20"/>
              </w:rPr>
              <w:t xml:space="preserve">Court of Appeal for British Columbia </w:t>
            </w:r>
          </w:p>
          <w:p w:rsidR="00F235D5" w:rsidRPr="006042C8" w:rsidRDefault="00F235D5" w:rsidP="00604498">
            <w:pPr>
              <w:jc w:val="both"/>
              <w:rPr>
                <w:rFonts w:eastAsia="Calibri"/>
                <w:sz w:val="20"/>
              </w:rPr>
            </w:pPr>
            <w:r w:rsidRPr="006042C8">
              <w:rPr>
                <w:rFonts w:eastAsia="Calibri"/>
                <w:sz w:val="20"/>
              </w:rPr>
              <w:t>(Newbury, Saunders and Smith JJ.A.)</w:t>
            </w:r>
          </w:p>
          <w:p w:rsidR="00F235D5" w:rsidRPr="006042C8" w:rsidRDefault="00F235D5" w:rsidP="00604498">
            <w:pPr>
              <w:jc w:val="both"/>
              <w:rPr>
                <w:rFonts w:eastAsia="Calibri"/>
                <w:sz w:val="20"/>
              </w:rPr>
            </w:pPr>
            <w:r w:rsidRPr="006042C8">
              <w:rPr>
                <w:rFonts w:eastAsia="Calibri"/>
                <w:sz w:val="20"/>
              </w:rPr>
              <w:t>2011 BCCA 430</w:t>
            </w:r>
          </w:p>
          <w:p w:rsidR="00F235D5" w:rsidRPr="006042C8" w:rsidRDefault="00F235D5" w:rsidP="00604498">
            <w:pPr>
              <w:jc w:val="both"/>
              <w:rPr>
                <w:rFonts w:eastAsia="Calibri"/>
                <w:sz w:val="20"/>
              </w:rPr>
            </w:pPr>
          </w:p>
        </w:tc>
        <w:tc>
          <w:tcPr>
            <w:tcW w:w="243" w:type="pct"/>
          </w:tcPr>
          <w:p w:rsidR="00F235D5" w:rsidRPr="006042C8" w:rsidRDefault="00F235D5" w:rsidP="00604498">
            <w:pPr>
              <w:jc w:val="both"/>
              <w:rPr>
                <w:rFonts w:eastAsia="Calibri"/>
                <w:sz w:val="20"/>
              </w:rPr>
            </w:pPr>
          </w:p>
        </w:tc>
        <w:tc>
          <w:tcPr>
            <w:tcW w:w="2330" w:type="pct"/>
          </w:tcPr>
          <w:p w:rsidR="00F235D5" w:rsidRPr="006042C8" w:rsidRDefault="00F235D5" w:rsidP="00604498">
            <w:pPr>
              <w:jc w:val="both"/>
              <w:rPr>
                <w:rFonts w:eastAsia="Calibri"/>
                <w:sz w:val="20"/>
              </w:rPr>
            </w:pPr>
            <w:r w:rsidRPr="006042C8">
              <w:rPr>
                <w:rFonts w:eastAsia="Calibri"/>
                <w:sz w:val="20"/>
              </w:rPr>
              <w:t>Appeal dismissed</w:t>
            </w:r>
          </w:p>
          <w:p w:rsidR="00F235D5" w:rsidRPr="006042C8" w:rsidRDefault="00F235D5" w:rsidP="00604498">
            <w:pPr>
              <w:jc w:val="both"/>
              <w:rPr>
                <w:rFonts w:eastAsia="Calibri"/>
                <w:sz w:val="20"/>
              </w:rPr>
            </w:pPr>
          </w:p>
        </w:tc>
      </w:tr>
      <w:tr w:rsidR="00F235D5" w:rsidRPr="006042C8" w:rsidTr="00604498">
        <w:tc>
          <w:tcPr>
            <w:tcW w:w="2427" w:type="pct"/>
          </w:tcPr>
          <w:p w:rsidR="00F235D5" w:rsidRPr="006042C8" w:rsidRDefault="00F235D5" w:rsidP="00604498">
            <w:pPr>
              <w:jc w:val="both"/>
              <w:rPr>
                <w:rFonts w:eastAsia="Calibri"/>
                <w:sz w:val="20"/>
              </w:rPr>
            </w:pPr>
            <w:r w:rsidRPr="006042C8">
              <w:rPr>
                <w:rFonts w:eastAsia="Calibri"/>
                <w:sz w:val="20"/>
              </w:rPr>
              <w:t>January 12, 2012</w:t>
            </w:r>
          </w:p>
          <w:p w:rsidR="00F235D5" w:rsidRPr="006042C8" w:rsidRDefault="00F235D5" w:rsidP="00604498">
            <w:pPr>
              <w:jc w:val="both"/>
              <w:rPr>
                <w:rFonts w:eastAsia="Calibri"/>
                <w:sz w:val="20"/>
              </w:rPr>
            </w:pPr>
            <w:r w:rsidRPr="006042C8">
              <w:rPr>
                <w:rFonts w:eastAsia="Calibri"/>
                <w:sz w:val="20"/>
              </w:rPr>
              <w:t>Supreme Court of Canada</w:t>
            </w:r>
          </w:p>
        </w:tc>
        <w:tc>
          <w:tcPr>
            <w:tcW w:w="243" w:type="pct"/>
          </w:tcPr>
          <w:p w:rsidR="00F235D5" w:rsidRPr="006042C8" w:rsidRDefault="00F235D5" w:rsidP="00604498">
            <w:pPr>
              <w:jc w:val="both"/>
              <w:rPr>
                <w:rFonts w:eastAsia="Calibri"/>
                <w:sz w:val="20"/>
              </w:rPr>
            </w:pPr>
          </w:p>
        </w:tc>
        <w:tc>
          <w:tcPr>
            <w:tcW w:w="2330" w:type="pct"/>
          </w:tcPr>
          <w:p w:rsidR="00F235D5" w:rsidRPr="006042C8" w:rsidRDefault="00F235D5" w:rsidP="00604498">
            <w:pPr>
              <w:jc w:val="both"/>
              <w:rPr>
                <w:rFonts w:eastAsia="Calibri"/>
                <w:sz w:val="20"/>
              </w:rPr>
            </w:pPr>
            <w:r w:rsidRPr="006042C8">
              <w:rPr>
                <w:rFonts w:eastAsia="Calibri"/>
                <w:sz w:val="20"/>
              </w:rPr>
              <w:t>Application for leave to appeal and motion for extension of time filed</w:t>
            </w:r>
          </w:p>
        </w:tc>
      </w:tr>
    </w:tbl>
    <w:p w:rsidR="00F235D5" w:rsidRDefault="00F235D5" w:rsidP="00F235D5">
      <w:pPr>
        <w:rPr>
          <w:sz w:val="20"/>
          <w:szCs w:val="20"/>
        </w:rPr>
      </w:pPr>
    </w:p>
    <w:p w:rsidR="00F235D5" w:rsidRPr="00C50A5C" w:rsidRDefault="009753DF" w:rsidP="00F235D5">
      <w:pPr>
        <w:rPr>
          <w:sz w:val="20"/>
          <w:szCs w:val="20"/>
        </w:rPr>
      </w:pPr>
      <w:r w:rsidRPr="009753DF">
        <w:rPr>
          <w:sz w:val="20"/>
          <w:szCs w:val="20"/>
          <w:lang w:val="fr-CA"/>
        </w:rPr>
        <w:pict>
          <v:rect id="_x0000_i1050" style="width:2in;height:1pt" o:hrpct="0" o:hralign="center" o:hrstd="t" o:hrnoshade="t" o:hr="t" fillcolor="black [3213]" stroked="f"/>
        </w:pict>
      </w:r>
    </w:p>
    <w:p w:rsidR="00F235D5" w:rsidRDefault="00F235D5" w:rsidP="00F235D5">
      <w:pPr>
        <w:rPr>
          <w:sz w:val="20"/>
          <w:szCs w:val="20"/>
        </w:rPr>
      </w:pPr>
    </w:p>
    <w:p w:rsidR="00F235D5" w:rsidRPr="001B157C" w:rsidRDefault="00F235D5" w:rsidP="00F235D5">
      <w:pPr>
        <w:rPr>
          <w:sz w:val="20"/>
          <w:szCs w:val="20"/>
          <w:u w:val="single"/>
          <w:lang w:val="fr-CA"/>
        </w:rPr>
      </w:pPr>
      <w:r w:rsidRPr="001B157C">
        <w:rPr>
          <w:sz w:val="20"/>
          <w:szCs w:val="20"/>
          <w:u w:val="single"/>
          <w:lang w:val="fr-CA"/>
        </w:rPr>
        <w:t>RÉSUMÉ DE L’AFFAIRE</w:t>
      </w:r>
    </w:p>
    <w:p w:rsidR="00F235D5" w:rsidRDefault="00F235D5" w:rsidP="00F235D5">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235D5" w:rsidRPr="008C68F8" w:rsidTr="00604498">
        <w:tc>
          <w:tcPr>
            <w:tcW w:w="5000" w:type="pct"/>
            <w:gridSpan w:val="3"/>
          </w:tcPr>
          <w:p w:rsidR="00F235D5" w:rsidRPr="006042C8" w:rsidRDefault="00F235D5" w:rsidP="00604498">
            <w:pPr>
              <w:jc w:val="both"/>
              <w:rPr>
                <w:rFonts w:eastAsia="Calibri"/>
                <w:sz w:val="20"/>
                <w:lang w:val="fr-CA"/>
              </w:rPr>
            </w:pPr>
            <w:r w:rsidRPr="006042C8">
              <w:rPr>
                <w:rFonts w:eastAsia="Calibri"/>
                <w:sz w:val="20"/>
                <w:lang w:val="fr-CA"/>
              </w:rPr>
              <w:t>Contrats – Formation – Exécution partielle – Biens – Biens réels – Le demandeur et ses frères demandent l'exécution en nature d’un contrat allégué d'achat de la maison familiale – Le juge en chambre a accueilli la requête de l'exécuteur intimé en rejet de la demande – La Cour d'appel a</w:t>
            </w:r>
            <w:r w:rsidRPr="006042C8">
              <w:rPr>
                <w:rFonts w:eastAsia="Calibri"/>
                <w:sz w:val="20"/>
                <w:lang w:val="fr-CA"/>
              </w:rPr>
              <w:noBreakHyphen/>
              <w:t>t</w:t>
            </w:r>
            <w:r w:rsidRPr="006042C8">
              <w:rPr>
                <w:rFonts w:eastAsia="Calibri"/>
                <w:sz w:val="20"/>
                <w:lang w:val="fr-CA"/>
              </w:rPr>
              <w:noBreakHyphen/>
              <w:t>elle eu tort de ne pas conclure qu'il existait un contrat d'achat et de vente de la maison valable et toujours en vigueur? – La Cour d'appel a</w:t>
            </w:r>
            <w:r w:rsidRPr="006042C8">
              <w:rPr>
                <w:rFonts w:eastAsia="Calibri"/>
                <w:sz w:val="20"/>
                <w:lang w:val="fr-CA"/>
              </w:rPr>
              <w:noBreakHyphen/>
              <w:t>t</w:t>
            </w:r>
            <w:r w:rsidRPr="006042C8">
              <w:rPr>
                <w:rFonts w:eastAsia="Calibri"/>
                <w:sz w:val="20"/>
                <w:lang w:val="fr-CA"/>
              </w:rPr>
              <w:noBreakHyphen/>
              <w:t>elle eu tort de ne pas reconnaître le caractère unique de la maison d'enfance? – La Cour d'appel a</w:t>
            </w:r>
            <w:r w:rsidRPr="006042C8">
              <w:rPr>
                <w:rFonts w:eastAsia="Calibri"/>
                <w:sz w:val="20"/>
                <w:lang w:val="fr-CA"/>
              </w:rPr>
              <w:noBreakHyphen/>
              <w:t>t</w:t>
            </w:r>
            <w:r w:rsidRPr="006042C8">
              <w:rPr>
                <w:rFonts w:eastAsia="Calibri"/>
                <w:sz w:val="20"/>
                <w:lang w:val="fr-CA"/>
              </w:rPr>
              <w:noBreakHyphen/>
              <w:t>elle eu tort de ne pas conclure qu'il y avait eu exécution partielle par les demandeurs de première instance?</w:t>
            </w:r>
          </w:p>
        </w:tc>
      </w:tr>
      <w:tr w:rsidR="00F235D5" w:rsidRPr="008C68F8" w:rsidTr="00604498">
        <w:tc>
          <w:tcPr>
            <w:tcW w:w="5000" w:type="pct"/>
            <w:gridSpan w:val="3"/>
          </w:tcPr>
          <w:p w:rsidR="00F235D5" w:rsidRPr="006042C8" w:rsidRDefault="00F235D5" w:rsidP="00604498">
            <w:pPr>
              <w:jc w:val="both"/>
              <w:rPr>
                <w:rFonts w:eastAsia="Calibri"/>
                <w:sz w:val="20"/>
                <w:lang w:val="fr-CA"/>
              </w:rPr>
            </w:pPr>
          </w:p>
        </w:tc>
      </w:tr>
      <w:tr w:rsidR="00F235D5" w:rsidRPr="008C68F8" w:rsidTr="00604498">
        <w:tc>
          <w:tcPr>
            <w:tcW w:w="5000" w:type="pct"/>
            <w:gridSpan w:val="3"/>
          </w:tcPr>
          <w:p w:rsidR="00F235D5" w:rsidRPr="006042C8" w:rsidRDefault="00F235D5" w:rsidP="00604498">
            <w:pPr>
              <w:jc w:val="both"/>
              <w:rPr>
                <w:rFonts w:eastAsia="Calibri"/>
                <w:sz w:val="20"/>
                <w:lang w:val="fr-CA"/>
              </w:rPr>
            </w:pPr>
            <w:r w:rsidRPr="006042C8">
              <w:rPr>
                <w:rFonts w:eastAsia="Calibri"/>
                <w:sz w:val="20"/>
                <w:lang w:val="fr-CA"/>
              </w:rPr>
              <w:t xml:space="preserve">Erland Walter Wenn est décédé le 23 février 2008 et les lettres d'homologation ont été octroyées au mois de novembre suivant. Les fils du défunt, y compris le demandeur, allèguent avoir conclu un accord avec la succession pour l’achat de la maison familiale. Ils ont intenté une action en exécution en nature du contrat allégué. L'exécuteur intimé a présenté une requête en rejet de la demande d'exécution en nature. Le juge en chambre a accueilli la demande et </w:t>
            </w:r>
            <w:r w:rsidRPr="006042C8">
              <w:rPr>
                <w:rFonts w:eastAsia="Calibri"/>
                <w:sz w:val="20"/>
                <w:lang w:val="fr-CA"/>
              </w:rPr>
              <w:lastRenderedPageBreak/>
              <w:t>l'action a été rejetée. La Cour d'appel a rejeté l'appel du demandeur de cette décision.</w:t>
            </w:r>
          </w:p>
          <w:p w:rsidR="00F235D5" w:rsidRPr="006042C8" w:rsidRDefault="00F235D5" w:rsidP="00604498">
            <w:pPr>
              <w:jc w:val="both"/>
              <w:rPr>
                <w:rFonts w:eastAsia="Calibri"/>
                <w:sz w:val="20"/>
                <w:lang w:val="fr-CA"/>
              </w:rPr>
            </w:pPr>
          </w:p>
        </w:tc>
      </w:tr>
      <w:tr w:rsidR="00F235D5" w:rsidRPr="008C68F8" w:rsidTr="00604498">
        <w:tc>
          <w:tcPr>
            <w:tcW w:w="2427" w:type="pct"/>
          </w:tcPr>
          <w:p w:rsidR="00F235D5" w:rsidRPr="006042C8" w:rsidRDefault="00F235D5" w:rsidP="00604498">
            <w:pPr>
              <w:jc w:val="both"/>
              <w:rPr>
                <w:rFonts w:eastAsia="Calibri"/>
                <w:sz w:val="20"/>
                <w:lang w:val="fr-CA"/>
              </w:rPr>
            </w:pPr>
            <w:r w:rsidRPr="006042C8">
              <w:rPr>
                <w:rFonts w:eastAsia="Calibri"/>
                <w:sz w:val="20"/>
                <w:lang w:val="fr-CA"/>
              </w:rPr>
              <w:lastRenderedPageBreak/>
              <w:t>22 novembre 2010</w:t>
            </w:r>
          </w:p>
          <w:p w:rsidR="00F235D5" w:rsidRPr="006042C8" w:rsidRDefault="00F235D5" w:rsidP="00604498">
            <w:pPr>
              <w:jc w:val="both"/>
              <w:rPr>
                <w:rFonts w:eastAsia="Calibri"/>
                <w:sz w:val="20"/>
                <w:lang w:val="fr-CA"/>
              </w:rPr>
            </w:pPr>
            <w:r w:rsidRPr="006042C8">
              <w:rPr>
                <w:rFonts w:eastAsia="Calibri"/>
                <w:sz w:val="20"/>
                <w:lang w:val="fr-CA"/>
              </w:rPr>
              <w:t>Cour suprême de la Colombie</w:t>
            </w:r>
            <w:r w:rsidRPr="006042C8">
              <w:rPr>
                <w:rFonts w:eastAsia="Calibri"/>
                <w:sz w:val="20"/>
                <w:lang w:val="fr-CA"/>
              </w:rPr>
              <w:noBreakHyphen/>
              <w:t xml:space="preserve">Britannique </w:t>
            </w:r>
          </w:p>
          <w:p w:rsidR="00F235D5" w:rsidRPr="006042C8" w:rsidRDefault="00F235D5" w:rsidP="00604498">
            <w:pPr>
              <w:jc w:val="both"/>
              <w:rPr>
                <w:rFonts w:eastAsia="Calibri"/>
                <w:sz w:val="20"/>
                <w:lang w:val="fr-CA"/>
              </w:rPr>
            </w:pPr>
            <w:r w:rsidRPr="006042C8">
              <w:rPr>
                <w:rFonts w:eastAsia="Calibri"/>
                <w:sz w:val="20"/>
                <w:lang w:val="fr-CA"/>
              </w:rPr>
              <w:t>(Juge Williamson)</w:t>
            </w:r>
          </w:p>
          <w:p w:rsidR="00F235D5" w:rsidRPr="006042C8" w:rsidRDefault="00F235D5" w:rsidP="00604498">
            <w:pPr>
              <w:jc w:val="both"/>
              <w:rPr>
                <w:rFonts w:eastAsia="Calibri"/>
                <w:sz w:val="20"/>
                <w:lang w:val="fr-CA"/>
              </w:rPr>
            </w:pPr>
          </w:p>
        </w:tc>
        <w:tc>
          <w:tcPr>
            <w:tcW w:w="243" w:type="pct"/>
          </w:tcPr>
          <w:p w:rsidR="00F235D5" w:rsidRPr="006042C8" w:rsidRDefault="00F235D5" w:rsidP="00604498">
            <w:pPr>
              <w:jc w:val="both"/>
              <w:rPr>
                <w:rFonts w:eastAsia="Calibri"/>
                <w:sz w:val="20"/>
                <w:lang w:val="fr-CA"/>
              </w:rPr>
            </w:pPr>
          </w:p>
        </w:tc>
        <w:tc>
          <w:tcPr>
            <w:tcW w:w="2330" w:type="pct"/>
          </w:tcPr>
          <w:p w:rsidR="00F235D5" w:rsidRPr="006042C8" w:rsidRDefault="00F235D5" w:rsidP="00604498">
            <w:pPr>
              <w:jc w:val="both"/>
              <w:rPr>
                <w:rFonts w:eastAsia="Calibri"/>
                <w:sz w:val="20"/>
                <w:lang w:val="fr-CA"/>
              </w:rPr>
            </w:pPr>
            <w:r w:rsidRPr="006042C8">
              <w:rPr>
                <w:rFonts w:eastAsia="Calibri"/>
                <w:sz w:val="20"/>
                <w:lang w:val="fr-CA"/>
              </w:rPr>
              <w:t>Requête de l'intimé en rejet de la demande, accueillie</w:t>
            </w:r>
          </w:p>
        </w:tc>
      </w:tr>
      <w:tr w:rsidR="00F235D5" w:rsidRPr="006042C8" w:rsidTr="00604498">
        <w:tc>
          <w:tcPr>
            <w:tcW w:w="2427" w:type="pct"/>
          </w:tcPr>
          <w:p w:rsidR="00F235D5" w:rsidRPr="006042C8" w:rsidRDefault="00F235D5" w:rsidP="00604498">
            <w:pPr>
              <w:jc w:val="both"/>
              <w:rPr>
                <w:rFonts w:eastAsia="Calibri"/>
                <w:sz w:val="20"/>
                <w:lang w:val="fr-CA"/>
              </w:rPr>
            </w:pPr>
            <w:r w:rsidRPr="006042C8">
              <w:rPr>
                <w:rFonts w:eastAsia="Calibri"/>
                <w:sz w:val="20"/>
                <w:lang w:val="fr-CA"/>
              </w:rPr>
              <w:t>27 octobre 2011</w:t>
            </w:r>
          </w:p>
          <w:p w:rsidR="00F235D5" w:rsidRPr="006042C8" w:rsidRDefault="00F235D5" w:rsidP="00604498">
            <w:pPr>
              <w:jc w:val="both"/>
              <w:rPr>
                <w:rFonts w:eastAsia="Calibri"/>
                <w:sz w:val="20"/>
                <w:lang w:val="fr-CA"/>
              </w:rPr>
            </w:pPr>
            <w:r w:rsidRPr="006042C8">
              <w:rPr>
                <w:rFonts w:eastAsia="Calibri"/>
                <w:sz w:val="20"/>
                <w:lang w:val="fr-CA"/>
              </w:rPr>
              <w:t>Cour d'appel de la Colombie</w:t>
            </w:r>
            <w:r w:rsidRPr="006042C8">
              <w:rPr>
                <w:rFonts w:eastAsia="Calibri"/>
                <w:sz w:val="20"/>
                <w:lang w:val="fr-CA"/>
              </w:rPr>
              <w:noBreakHyphen/>
              <w:t xml:space="preserve">Britannique </w:t>
            </w:r>
          </w:p>
          <w:p w:rsidR="00F235D5" w:rsidRPr="006042C8" w:rsidRDefault="00F235D5" w:rsidP="00604498">
            <w:pPr>
              <w:jc w:val="both"/>
              <w:rPr>
                <w:rFonts w:eastAsia="Calibri"/>
                <w:sz w:val="20"/>
              </w:rPr>
            </w:pPr>
            <w:r w:rsidRPr="006042C8">
              <w:rPr>
                <w:rFonts w:eastAsia="Calibri"/>
                <w:sz w:val="20"/>
              </w:rPr>
              <w:t>(Juges Newbury, Saunders et Smith)</w:t>
            </w:r>
          </w:p>
          <w:p w:rsidR="00F235D5" w:rsidRPr="006042C8" w:rsidRDefault="00F235D5" w:rsidP="00604498">
            <w:pPr>
              <w:jc w:val="both"/>
              <w:rPr>
                <w:rFonts w:eastAsia="Calibri"/>
                <w:sz w:val="20"/>
              </w:rPr>
            </w:pPr>
            <w:r w:rsidRPr="006042C8">
              <w:rPr>
                <w:rFonts w:eastAsia="Calibri"/>
                <w:sz w:val="20"/>
              </w:rPr>
              <w:t>2011 BCCA 430</w:t>
            </w:r>
          </w:p>
          <w:p w:rsidR="00F235D5" w:rsidRPr="006042C8" w:rsidRDefault="00F235D5" w:rsidP="00604498">
            <w:pPr>
              <w:jc w:val="both"/>
              <w:rPr>
                <w:rFonts w:eastAsia="Calibri"/>
                <w:sz w:val="20"/>
              </w:rPr>
            </w:pPr>
          </w:p>
        </w:tc>
        <w:tc>
          <w:tcPr>
            <w:tcW w:w="243" w:type="pct"/>
          </w:tcPr>
          <w:p w:rsidR="00F235D5" w:rsidRPr="006042C8" w:rsidRDefault="00F235D5" w:rsidP="00604498">
            <w:pPr>
              <w:jc w:val="both"/>
              <w:rPr>
                <w:rFonts w:eastAsia="Calibri"/>
                <w:sz w:val="20"/>
              </w:rPr>
            </w:pPr>
          </w:p>
        </w:tc>
        <w:tc>
          <w:tcPr>
            <w:tcW w:w="2330" w:type="pct"/>
          </w:tcPr>
          <w:p w:rsidR="00F235D5" w:rsidRPr="006042C8" w:rsidRDefault="00F235D5" w:rsidP="00604498">
            <w:pPr>
              <w:jc w:val="both"/>
              <w:rPr>
                <w:rFonts w:eastAsia="Calibri"/>
                <w:sz w:val="20"/>
                <w:lang w:val="fr-CA"/>
              </w:rPr>
            </w:pPr>
            <w:r w:rsidRPr="006042C8">
              <w:rPr>
                <w:rFonts w:eastAsia="Calibri"/>
                <w:sz w:val="20"/>
                <w:lang w:val="fr-CA"/>
              </w:rPr>
              <w:t>Appel rejeté</w:t>
            </w:r>
          </w:p>
          <w:p w:rsidR="00F235D5" w:rsidRPr="006042C8" w:rsidRDefault="00F235D5" w:rsidP="00604498">
            <w:pPr>
              <w:jc w:val="both"/>
              <w:rPr>
                <w:rFonts w:eastAsia="Calibri"/>
                <w:sz w:val="20"/>
                <w:lang w:val="fr-CA"/>
              </w:rPr>
            </w:pPr>
          </w:p>
        </w:tc>
      </w:tr>
      <w:tr w:rsidR="00F235D5" w:rsidRPr="008C68F8" w:rsidTr="00604498">
        <w:tc>
          <w:tcPr>
            <w:tcW w:w="2427" w:type="pct"/>
          </w:tcPr>
          <w:p w:rsidR="00F235D5" w:rsidRPr="006042C8" w:rsidRDefault="00F235D5" w:rsidP="00604498">
            <w:pPr>
              <w:jc w:val="both"/>
              <w:rPr>
                <w:rFonts w:eastAsia="Calibri"/>
                <w:sz w:val="20"/>
                <w:lang w:val="fr-CA"/>
              </w:rPr>
            </w:pPr>
            <w:r w:rsidRPr="006042C8">
              <w:rPr>
                <w:rFonts w:eastAsia="Calibri"/>
                <w:sz w:val="20"/>
                <w:lang w:val="fr-CA"/>
              </w:rPr>
              <w:t>12 janvier 2012</w:t>
            </w:r>
          </w:p>
          <w:p w:rsidR="00F235D5" w:rsidRPr="006042C8" w:rsidRDefault="00F235D5" w:rsidP="00604498">
            <w:pPr>
              <w:jc w:val="both"/>
              <w:rPr>
                <w:rFonts w:eastAsia="Calibri"/>
                <w:sz w:val="20"/>
                <w:lang w:val="fr-CA"/>
              </w:rPr>
            </w:pPr>
            <w:r w:rsidRPr="006042C8">
              <w:rPr>
                <w:rFonts w:eastAsia="Calibri"/>
                <w:sz w:val="20"/>
                <w:lang w:val="fr-CA"/>
              </w:rPr>
              <w:t>Cour suprême du Canada</w:t>
            </w:r>
          </w:p>
        </w:tc>
        <w:tc>
          <w:tcPr>
            <w:tcW w:w="243" w:type="pct"/>
          </w:tcPr>
          <w:p w:rsidR="00F235D5" w:rsidRPr="006042C8" w:rsidRDefault="00F235D5" w:rsidP="00604498">
            <w:pPr>
              <w:jc w:val="both"/>
              <w:rPr>
                <w:rFonts w:eastAsia="Calibri"/>
                <w:sz w:val="20"/>
                <w:lang w:val="fr-CA"/>
              </w:rPr>
            </w:pPr>
          </w:p>
        </w:tc>
        <w:tc>
          <w:tcPr>
            <w:tcW w:w="2330" w:type="pct"/>
          </w:tcPr>
          <w:p w:rsidR="00F235D5" w:rsidRPr="006042C8" w:rsidRDefault="00F235D5" w:rsidP="00604498">
            <w:pPr>
              <w:jc w:val="both"/>
              <w:rPr>
                <w:rFonts w:eastAsia="Calibri"/>
                <w:sz w:val="20"/>
                <w:lang w:val="fr-CA"/>
              </w:rPr>
            </w:pPr>
            <w:r w:rsidRPr="006042C8">
              <w:rPr>
                <w:rFonts w:eastAsia="Calibri"/>
                <w:sz w:val="20"/>
                <w:lang w:val="fr-CA"/>
              </w:rPr>
              <w:t>Demande d'autorisation d'appel et requête en prolongation de délai, déposées</w:t>
            </w:r>
          </w:p>
        </w:tc>
      </w:tr>
    </w:tbl>
    <w:p w:rsidR="00F235D5" w:rsidRPr="000C6A2A" w:rsidRDefault="00F235D5" w:rsidP="00F235D5">
      <w:pPr>
        <w:rPr>
          <w:sz w:val="20"/>
          <w:szCs w:val="20"/>
          <w:lang w:val="fr-CA"/>
        </w:rPr>
      </w:pPr>
    </w:p>
    <w:p w:rsidR="00F235D5" w:rsidRDefault="009753DF" w:rsidP="00F235D5">
      <w:pPr>
        <w:rPr>
          <w:sz w:val="20"/>
          <w:szCs w:val="20"/>
          <w:lang w:val="fr-CA"/>
        </w:rPr>
      </w:pPr>
      <w:r w:rsidRPr="009753DF">
        <w:rPr>
          <w:sz w:val="20"/>
          <w:szCs w:val="20"/>
          <w:lang w:val="fr-CA"/>
        </w:rPr>
        <w:pict>
          <v:rect id="_x0000_i1051" style="width:2in;height:1pt" o:hrpct="0" o:hralign="center" o:hrstd="t" o:hrnoshade="t" o:hr="t" fillcolor="black [3213]" stroked="f"/>
        </w:pict>
      </w:r>
    </w:p>
    <w:p w:rsidR="00F235D5" w:rsidRPr="00837483" w:rsidRDefault="00F235D5" w:rsidP="008D292F">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1A454A" w:rsidRPr="00956F45" w:rsidRDefault="001A454A" w:rsidP="001A454A">
      <w:pPr>
        <w:tabs>
          <w:tab w:val="left" w:pos="-1440"/>
          <w:tab w:val="left" w:pos="-720"/>
        </w:tabs>
        <w:jc w:val="both"/>
        <w:rPr>
          <w:sz w:val="20"/>
          <w:szCs w:val="20"/>
        </w:rPr>
      </w:pPr>
      <w:r w:rsidRPr="00956F45">
        <w:rPr>
          <w:sz w:val="20"/>
          <w:szCs w:val="20"/>
        </w:rPr>
        <w:t>20.04.2012</w:t>
      </w:r>
    </w:p>
    <w:p w:rsidR="001A454A" w:rsidRPr="00956F45" w:rsidRDefault="001A454A" w:rsidP="001A454A">
      <w:pPr>
        <w:tabs>
          <w:tab w:val="left" w:pos="-1440"/>
          <w:tab w:val="left" w:pos="-720"/>
        </w:tabs>
        <w:jc w:val="both"/>
        <w:rPr>
          <w:sz w:val="20"/>
          <w:szCs w:val="20"/>
        </w:rPr>
      </w:pPr>
    </w:p>
    <w:p w:rsidR="001A454A" w:rsidRPr="00956F45" w:rsidRDefault="001A454A" w:rsidP="001A454A">
      <w:pPr>
        <w:jc w:val="both"/>
        <w:rPr>
          <w:sz w:val="20"/>
          <w:szCs w:val="20"/>
          <w:lang w:val="fr-CA"/>
        </w:rPr>
      </w:pPr>
      <w:r w:rsidRPr="00956F45">
        <w:rPr>
          <w:sz w:val="20"/>
          <w:szCs w:val="20"/>
          <w:lang w:val="fr-CA"/>
        </w:rPr>
        <w:t>Before / Devant:   KARAKATSANIS J. / LA JUGE KARAKATSANIS</w:t>
      </w:r>
    </w:p>
    <w:p w:rsidR="001A454A" w:rsidRPr="00956F45" w:rsidRDefault="001A454A" w:rsidP="001A454A">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1A454A" w:rsidRPr="00956F45" w:rsidTr="006D6276">
        <w:tc>
          <w:tcPr>
            <w:tcW w:w="4338" w:type="dxa"/>
            <w:gridSpan w:val="2"/>
          </w:tcPr>
          <w:p w:rsidR="001A454A" w:rsidRPr="00956F45" w:rsidRDefault="001A454A" w:rsidP="006D6276">
            <w:pPr>
              <w:rPr>
                <w:b/>
                <w:sz w:val="20"/>
                <w:szCs w:val="20"/>
              </w:rPr>
            </w:pPr>
            <w:r w:rsidRPr="00956F45">
              <w:rPr>
                <w:b/>
                <w:sz w:val="20"/>
                <w:szCs w:val="20"/>
              </w:rPr>
              <w:t>Motions for leave to intervene</w:t>
            </w:r>
            <w:r w:rsidRPr="00956F45">
              <w:rPr>
                <w:sz w:val="20"/>
                <w:szCs w:val="20"/>
              </w:rPr>
              <w:t xml:space="preserve"> </w:t>
            </w:r>
            <w:r w:rsidR="009753DF" w:rsidRPr="00956F45">
              <w:rPr>
                <w:sz w:val="20"/>
                <w:szCs w:val="20"/>
              </w:rPr>
              <w:fldChar w:fldCharType="begin"/>
            </w:r>
            <w:r w:rsidRPr="00956F45">
              <w:rPr>
                <w:sz w:val="20"/>
                <w:szCs w:val="20"/>
              </w:rPr>
              <w:instrText xml:space="preserve"> SEQ CHAPTER \h \r 1</w:instrText>
            </w:r>
            <w:r w:rsidR="009753DF" w:rsidRPr="00956F45">
              <w:rPr>
                <w:sz w:val="20"/>
                <w:szCs w:val="20"/>
              </w:rPr>
              <w:fldChar w:fldCharType="end"/>
            </w:r>
          </w:p>
        </w:tc>
        <w:tc>
          <w:tcPr>
            <w:tcW w:w="1170" w:type="dxa"/>
          </w:tcPr>
          <w:p w:rsidR="001A454A" w:rsidRPr="00956F45" w:rsidRDefault="001A454A" w:rsidP="006D6276">
            <w:pPr>
              <w:rPr>
                <w:sz w:val="20"/>
                <w:szCs w:val="20"/>
              </w:rPr>
            </w:pPr>
          </w:p>
          <w:p w:rsidR="001A454A" w:rsidRPr="00956F45" w:rsidRDefault="001A454A" w:rsidP="006D6276">
            <w:pPr>
              <w:rPr>
                <w:sz w:val="20"/>
                <w:szCs w:val="20"/>
              </w:rPr>
            </w:pPr>
          </w:p>
        </w:tc>
        <w:tc>
          <w:tcPr>
            <w:tcW w:w="4327" w:type="dxa"/>
          </w:tcPr>
          <w:p w:rsidR="001A454A" w:rsidRPr="00956F45" w:rsidRDefault="001A454A" w:rsidP="006D6276">
            <w:pPr>
              <w:rPr>
                <w:b/>
                <w:sz w:val="20"/>
                <w:szCs w:val="20"/>
              </w:rPr>
            </w:pPr>
            <w:r w:rsidRPr="00956F45">
              <w:rPr>
                <w:b/>
                <w:bCs/>
                <w:sz w:val="20"/>
                <w:szCs w:val="20"/>
                <w:lang w:val="fr-CA"/>
              </w:rPr>
              <w:t>Requêtes en autorisation d’intervenir</w:t>
            </w:r>
            <w:r w:rsidRPr="00956F45">
              <w:rPr>
                <w:sz w:val="20"/>
                <w:szCs w:val="20"/>
              </w:rPr>
              <w:t xml:space="preserve"> </w:t>
            </w:r>
            <w:r w:rsidR="009753DF" w:rsidRPr="00956F45">
              <w:rPr>
                <w:sz w:val="20"/>
                <w:szCs w:val="20"/>
              </w:rPr>
              <w:fldChar w:fldCharType="begin"/>
            </w:r>
            <w:r w:rsidRPr="00956F45">
              <w:rPr>
                <w:sz w:val="20"/>
                <w:szCs w:val="20"/>
              </w:rPr>
              <w:instrText xml:space="preserve"> SEQ CHAPTER \h \r 1</w:instrText>
            </w:r>
            <w:r w:rsidR="009753DF" w:rsidRPr="00956F45">
              <w:rPr>
                <w:sz w:val="20"/>
                <w:szCs w:val="20"/>
              </w:rPr>
              <w:fldChar w:fldCharType="end"/>
            </w:r>
          </w:p>
        </w:tc>
      </w:tr>
      <w:tr w:rsidR="001A454A" w:rsidRPr="00956F45" w:rsidTr="006D6276">
        <w:tc>
          <w:tcPr>
            <w:tcW w:w="1368" w:type="dxa"/>
          </w:tcPr>
          <w:p w:rsidR="001A454A" w:rsidRPr="00956F45" w:rsidRDefault="001A454A" w:rsidP="006D6276">
            <w:pPr>
              <w:rPr>
                <w:sz w:val="20"/>
                <w:szCs w:val="20"/>
              </w:rPr>
            </w:pPr>
            <w:r w:rsidRPr="00956F45">
              <w:rPr>
                <w:sz w:val="20"/>
                <w:szCs w:val="20"/>
              </w:rPr>
              <w:t>BY / PAR</w:t>
            </w:r>
          </w:p>
        </w:tc>
        <w:tc>
          <w:tcPr>
            <w:tcW w:w="2970" w:type="dxa"/>
          </w:tcPr>
          <w:p w:rsidR="001A454A" w:rsidRPr="00956F45" w:rsidRDefault="001A454A" w:rsidP="006D6276">
            <w:pPr>
              <w:rPr>
                <w:sz w:val="20"/>
                <w:szCs w:val="20"/>
              </w:rPr>
            </w:pPr>
            <w:r w:rsidRPr="00956F45">
              <w:rPr>
                <w:sz w:val="20"/>
                <w:szCs w:val="20"/>
              </w:rPr>
              <w:t>Canadian Civil Liberties Association;</w:t>
            </w: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rPr>
                <w:sz w:val="20"/>
                <w:szCs w:val="20"/>
              </w:rPr>
            </w:pPr>
            <w:r w:rsidRPr="00956F45">
              <w:rPr>
                <w:sz w:val="20"/>
                <w:szCs w:val="20"/>
              </w:rPr>
              <w:t>Canadian Coalition Against Terror;</w:t>
            </w: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rPr>
                <w:sz w:val="20"/>
                <w:szCs w:val="20"/>
              </w:rPr>
            </w:pPr>
            <w:r w:rsidRPr="00956F45">
              <w:rPr>
                <w:sz w:val="20"/>
                <w:szCs w:val="20"/>
              </w:rPr>
              <w:t>British Columbia Civil Liberties Association;</w:t>
            </w: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8C68F8"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rPr>
                <w:sz w:val="20"/>
                <w:szCs w:val="20"/>
                <w:lang w:val="fr-CA"/>
              </w:rPr>
            </w:pPr>
            <w:r w:rsidRPr="00956F45">
              <w:rPr>
                <w:sz w:val="20"/>
                <w:szCs w:val="20"/>
                <w:lang w:val="fr-CA"/>
              </w:rPr>
              <w:t>Groupe d'étude en droits et libertés de la Faculté de droit de l'Université Laval</w:t>
            </w:r>
          </w:p>
        </w:tc>
        <w:tc>
          <w:tcPr>
            <w:tcW w:w="1170" w:type="dxa"/>
          </w:tcPr>
          <w:p w:rsidR="001A454A" w:rsidRPr="00956F45" w:rsidRDefault="001A454A" w:rsidP="006D6276">
            <w:pPr>
              <w:rPr>
                <w:sz w:val="20"/>
                <w:szCs w:val="20"/>
                <w:lang w:val="fr-CA"/>
              </w:rPr>
            </w:pPr>
          </w:p>
        </w:tc>
        <w:tc>
          <w:tcPr>
            <w:tcW w:w="4327" w:type="dxa"/>
          </w:tcPr>
          <w:p w:rsidR="001A454A" w:rsidRPr="00956F45" w:rsidRDefault="001A454A" w:rsidP="006D6276">
            <w:pPr>
              <w:rPr>
                <w:sz w:val="20"/>
                <w:szCs w:val="20"/>
                <w:lang w:val="fr-CA"/>
              </w:rPr>
            </w:pPr>
          </w:p>
        </w:tc>
      </w:tr>
      <w:tr w:rsidR="001A454A" w:rsidRPr="008C68F8" w:rsidTr="006D6276">
        <w:tc>
          <w:tcPr>
            <w:tcW w:w="1368" w:type="dxa"/>
          </w:tcPr>
          <w:p w:rsidR="001A454A" w:rsidRPr="00956F45" w:rsidRDefault="001A454A" w:rsidP="006D6276">
            <w:pPr>
              <w:rPr>
                <w:sz w:val="20"/>
                <w:szCs w:val="20"/>
                <w:lang w:val="fr-CA"/>
              </w:rPr>
            </w:pPr>
          </w:p>
        </w:tc>
        <w:tc>
          <w:tcPr>
            <w:tcW w:w="2970" w:type="dxa"/>
          </w:tcPr>
          <w:p w:rsidR="001A454A" w:rsidRPr="00956F45" w:rsidRDefault="001A454A" w:rsidP="006D6276">
            <w:pPr>
              <w:rPr>
                <w:sz w:val="20"/>
                <w:szCs w:val="20"/>
                <w:lang w:val="fr-CA"/>
              </w:rPr>
            </w:pPr>
          </w:p>
        </w:tc>
        <w:tc>
          <w:tcPr>
            <w:tcW w:w="1170" w:type="dxa"/>
          </w:tcPr>
          <w:p w:rsidR="001A454A" w:rsidRPr="00956F45" w:rsidRDefault="001A454A" w:rsidP="006D6276">
            <w:pPr>
              <w:rPr>
                <w:sz w:val="20"/>
                <w:szCs w:val="20"/>
                <w:lang w:val="fr-CA"/>
              </w:rPr>
            </w:pPr>
          </w:p>
        </w:tc>
        <w:tc>
          <w:tcPr>
            <w:tcW w:w="4327" w:type="dxa"/>
          </w:tcPr>
          <w:p w:rsidR="001A454A" w:rsidRPr="00956F45" w:rsidRDefault="001A454A" w:rsidP="006D6276">
            <w:pPr>
              <w:rPr>
                <w:sz w:val="20"/>
                <w:szCs w:val="20"/>
                <w:lang w:val="fr-CA"/>
              </w:rPr>
            </w:pPr>
          </w:p>
        </w:tc>
      </w:tr>
      <w:tr w:rsidR="001A454A" w:rsidRPr="00956F45" w:rsidTr="006D6276">
        <w:tc>
          <w:tcPr>
            <w:tcW w:w="1368" w:type="dxa"/>
          </w:tcPr>
          <w:p w:rsidR="001A454A" w:rsidRPr="00956F45" w:rsidRDefault="001A454A" w:rsidP="006D6276">
            <w:pPr>
              <w:rPr>
                <w:sz w:val="20"/>
                <w:szCs w:val="20"/>
              </w:rPr>
            </w:pPr>
            <w:r w:rsidRPr="00956F45">
              <w:rPr>
                <w:sz w:val="20"/>
                <w:szCs w:val="20"/>
              </w:rPr>
              <w:t>IN / DANS :</w:t>
            </w:r>
          </w:p>
        </w:tc>
        <w:tc>
          <w:tcPr>
            <w:tcW w:w="2970" w:type="dxa"/>
          </w:tcPr>
          <w:p w:rsidR="001A454A" w:rsidRPr="00956F45" w:rsidRDefault="001A454A" w:rsidP="006D6276">
            <w:pPr>
              <w:rPr>
                <w:sz w:val="20"/>
                <w:szCs w:val="20"/>
              </w:rPr>
            </w:pPr>
            <w:r w:rsidRPr="00956F45">
              <w:rPr>
                <w:sz w:val="20"/>
                <w:szCs w:val="20"/>
              </w:rPr>
              <w:t xml:space="preserve">Suresh Sriskandarajah </w:t>
            </w:r>
          </w:p>
          <w:p w:rsidR="001A454A" w:rsidRDefault="001A454A" w:rsidP="006D6276">
            <w:pPr>
              <w:rPr>
                <w:sz w:val="20"/>
                <w:szCs w:val="20"/>
              </w:rPr>
            </w:pPr>
          </w:p>
          <w:p w:rsidR="00BA701D" w:rsidRPr="00956F45" w:rsidRDefault="00BA701D" w:rsidP="00BA701D">
            <w:pPr>
              <w:rPr>
                <w:sz w:val="20"/>
                <w:szCs w:val="20"/>
              </w:rPr>
            </w:pPr>
            <w:r w:rsidRPr="00956F45">
              <w:rPr>
                <w:sz w:val="20"/>
                <w:szCs w:val="20"/>
              </w:rPr>
              <w:tab/>
              <w:t>v. (34009)</w:t>
            </w:r>
          </w:p>
          <w:p w:rsidR="00BA701D" w:rsidRDefault="00BA701D" w:rsidP="006D6276">
            <w:pPr>
              <w:rPr>
                <w:sz w:val="20"/>
                <w:szCs w:val="20"/>
              </w:rPr>
            </w:pPr>
          </w:p>
          <w:p w:rsidR="00BA701D" w:rsidRPr="00956F45" w:rsidRDefault="00BA701D" w:rsidP="00BA701D">
            <w:pPr>
              <w:rPr>
                <w:sz w:val="20"/>
                <w:szCs w:val="20"/>
              </w:rPr>
            </w:pPr>
            <w:r w:rsidRPr="00956F45">
              <w:rPr>
                <w:sz w:val="20"/>
                <w:szCs w:val="20"/>
              </w:rPr>
              <w:t>United States of America et al. (Crim.) (Ont.)</w:t>
            </w: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jc w:val="both"/>
              <w:rPr>
                <w:sz w:val="20"/>
                <w:szCs w:val="20"/>
              </w:rPr>
            </w:pP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jc w:val="both"/>
              <w:rPr>
                <w:sz w:val="20"/>
                <w:szCs w:val="20"/>
              </w:rPr>
            </w:pPr>
            <w:r w:rsidRPr="00956F45">
              <w:rPr>
                <w:sz w:val="20"/>
                <w:szCs w:val="20"/>
              </w:rPr>
              <w:t>- and between -</w:t>
            </w: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jc w:val="both"/>
              <w:rPr>
                <w:sz w:val="20"/>
                <w:szCs w:val="20"/>
              </w:rPr>
            </w:pP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rPr>
                <w:sz w:val="20"/>
                <w:szCs w:val="20"/>
              </w:rPr>
            </w:pPr>
            <w:r w:rsidRPr="00956F45">
              <w:rPr>
                <w:sz w:val="20"/>
                <w:szCs w:val="20"/>
              </w:rPr>
              <w:t>Piratheepan Nadarajah</w:t>
            </w:r>
          </w:p>
          <w:p w:rsidR="001A454A" w:rsidRDefault="001A454A" w:rsidP="006D6276">
            <w:pPr>
              <w:jc w:val="both"/>
              <w:rPr>
                <w:sz w:val="20"/>
                <w:szCs w:val="20"/>
              </w:rPr>
            </w:pPr>
          </w:p>
          <w:p w:rsidR="00BA701D" w:rsidRPr="00956F45" w:rsidRDefault="00BA701D" w:rsidP="00BA701D">
            <w:pPr>
              <w:jc w:val="both"/>
              <w:rPr>
                <w:sz w:val="20"/>
                <w:szCs w:val="20"/>
              </w:rPr>
            </w:pPr>
            <w:r w:rsidRPr="00956F45">
              <w:rPr>
                <w:sz w:val="20"/>
                <w:szCs w:val="20"/>
              </w:rPr>
              <w:tab/>
              <w:t>v. (34013)</w:t>
            </w:r>
          </w:p>
          <w:p w:rsidR="00BA701D" w:rsidRDefault="00BA701D" w:rsidP="006D6276">
            <w:pPr>
              <w:jc w:val="both"/>
              <w:rPr>
                <w:sz w:val="20"/>
                <w:szCs w:val="20"/>
              </w:rPr>
            </w:pPr>
          </w:p>
          <w:p w:rsidR="00BA701D" w:rsidRDefault="00BA701D" w:rsidP="006D6276">
            <w:pPr>
              <w:jc w:val="both"/>
              <w:rPr>
                <w:sz w:val="20"/>
                <w:szCs w:val="20"/>
              </w:rPr>
            </w:pPr>
            <w:r w:rsidRPr="00956F45">
              <w:rPr>
                <w:sz w:val="20"/>
                <w:szCs w:val="20"/>
              </w:rPr>
              <w:t xml:space="preserve">United States of America et al. </w:t>
            </w:r>
          </w:p>
          <w:p w:rsidR="00BA701D" w:rsidRPr="00956F45" w:rsidRDefault="00BA701D" w:rsidP="006D6276">
            <w:pPr>
              <w:jc w:val="both"/>
              <w:rPr>
                <w:sz w:val="20"/>
                <w:szCs w:val="20"/>
              </w:rPr>
            </w:pPr>
            <w:r w:rsidRPr="00956F45">
              <w:rPr>
                <w:sz w:val="20"/>
                <w:szCs w:val="20"/>
              </w:rPr>
              <w:t>(Crim.) (Ont.)</w:t>
            </w: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BA701D">
            <w:pPr>
              <w:jc w:val="both"/>
              <w:rPr>
                <w:sz w:val="20"/>
                <w:szCs w:val="20"/>
              </w:rPr>
            </w:pP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jc w:val="both"/>
              <w:rPr>
                <w:sz w:val="20"/>
                <w:szCs w:val="20"/>
              </w:rPr>
            </w:pPr>
            <w:r w:rsidRPr="00956F45">
              <w:rPr>
                <w:sz w:val="20"/>
                <w:szCs w:val="20"/>
              </w:rPr>
              <w:t>- and between -</w:t>
            </w: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jc w:val="both"/>
              <w:rPr>
                <w:sz w:val="20"/>
                <w:szCs w:val="20"/>
              </w:rPr>
            </w:pP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r w:rsidR="001A454A" w:rsidRPr="00956F45" w:rsidTr="006D6276">
        <w:tc>
          <w:tcPr>
            <w:tcW w:w="1368" w:type="dxa"/>
          </w:tcPr>
          <w:p w:rsidR="001A454A" w:rsidRPr="00956F45" w:rsidRDefault="001A454A" w:rsidP="006D6276">
            <w:pPr>
              <w:rPr>
                <w:sz w:val="20"/>
                <w:szCs w:val="20"/>
              </w:rPr>
            </w:pPr>
          </w:p>
        </w:tc>
        <w:tc>
          <w:tcPr>
            <w:tcW w:w="2970" w:type="dxa"/>
          </w:tcPr>
          <w:p w:rsidR="001A454A" w:rsidRPr="00956F45" w:rsidRDefault="001A454A" w:rsidP="006D6276">
            <w:pPr>
              <w:rPr>
                <w:sz w:val="20"/>
                <w:szCs w:val="20"/>
              </w:rPr>
            </w:pPr>
            <w:r w:rsidRPr="00956F45">
              <w:rPr>
                <w:sz w:val="20"/>
                <w:szCs w:val="20"/>
              </w:rPr>
              <w:t>Mohammad Momin Khawaja</w:t>
            </w:r>
          </w:p>
          <w:p w:rsidR="001A454A" w:rsidRDefault="001A454A" w:rsidP="006D6276">
            <w:pPr>
              <w:jc w:val="both"/>
              <w:rPr>
                <w:sz w:val="20"/>
                <w:szCs w:val="20"/>
              </w:rPr>
            </w:pPr>
          </w:p>
          <w:p w:rsidR="00BA701D" w:rsidRPr="00956F45" w:rsidRDefault="00BA701D" w:rsidP="00BA701D">
            <w:pPr>
              <w:jc w:val="both"/>
              <w:rPr>
                <w:sz w:val="20"/>
                <w:szCs w:val="20"/>
              </w:rPr>
            </w:pPr>
            <w:r w:rsidRPr="00956F45">
              <w:rPr>
                <w:sz w:val="20"/>
                <w:szCs w:val="20"/>
              </w:rPr>
              <w:tab/>
              <w:t>v. (34103)</w:t>
            </w:r>
          </w:p>
          <w:p w:rsidR="00BA701D" w:rsidRDefault="00BA701D" w:rsidP="006D6276">
            <w:pPr>
              <w:jc w:val="both"/>
              <w:rPr>
                <w:sz w:val="20"/>
                <w:szCs w:val="20"/>
              </w:rPr>
            </w:pPr>
          </w:p>
          <w:p w:rsidR="00BA701D" w:rsidRPr="00956F45" w:rsidRDefault="00BA701D" w:rsidP="00BA701D">
            <w:pPr>
              <w:jc w:val="both"/>
              <w:rPr>
                <w:sz w:val="20"/>
                <w:szCs w:val="20"/>
              </w:rPr>
            </w:pPr>
            <w:r w:rsidRPr="00956F45">
              <w:rPr>
                <w:sz w:val="20"/>
                <w:szCs w:val="20"/>
              </w:rPr>
              <w:t xml:space="preserve">Her Majesty the Queen </w:t>
            </w:r>
          </w:p>
          <w:p w:rsidR="00BA701D" w:rsidRPr="00956F45" w:rsidRDefault="00BA701D" w:rsidP="00BA701D">
            <w:pPr>
              <w:jc w:val="both"/>
              <w:rPr>
                <w:sz w:val="20"/>
                <w:szCs w:val="20"/>
              </w:rPr>
            </w:pPr>
            <w:r w:rsidRPr="00956F45">
              <w:rPr>
                <w:sz w:val="20"/>
                <w:szCs w:val="20"/>
              </w:rPr>
              <w:t>(Crim.) (Ont.)</w:t>
            </w:r>
          </w:p>
        </w:tc>
        <w:tc>
          <w:tcPr>
            <w:tcW w:w="1170" w:type="dxa"/>
          </w:tcPr>
          <w:p w:rsidR="001A454A" w:rsidRPr="00956F45" w:rsidRDefault="001A454A" w:rsidP="006D6276">
            <w:pPr>
              <w:rPr>
                <w:sz w:val="20"/>
                <w:szCs w:val="20"/>
              </w:rPr>
            </w:pPr>
          </w:p>
        </w:tc>
        <w:tc>
          <w:tcPr>
            <w:tcW w:w="4327" w:type="dxa"/>
          </w:tcPr>
          <w:p w:rsidR="001A454A" w:rsidRPr="00956F45" w:rsidRDefault="001A454A" w:rsidP="006D6276">
            <w:pPr>
              <w:rPr>
                <w:sz w:val="20"/>
                <w:szCs w:val="20"/>
              </w:rPr>
            </w:pPr>
          </w:p>
        </w:tc>
      </w:tr>
    </w:tbl>
    <w:p w:rsidR="001A454A" w:rsidRPr="00956F45" w:rsidRDefault="001A454A" w:rsidP="001A454A">
      <w:pPr>
        <w:jc w:val="both"/>
        <w:rPr>
          <w:sz w:val="20"/>
          <w:szCs w:val="20"/>
        </w:rPr>
      </w:pPr>
    </w:p>
    <w:p w:rsidR="001A454A" w:rsidRPr="00956F45" w:rsidRDefault="001A454A" w:rsidP="001A454A">
      <w:pPr>
        <w:tabs>
          <w:tab w:val="left" w:pos="-1440"/>
          <w:tab w:val="left" w:pos="-720"/>
        </w:tabs>
        <w:jc w:val="both"/>
        <w:rPr>
          <w:sz w:val="20"/>
          <w:szCs w:val="20"/>
          <w:lang w:val="fr-CA"/>
        </w:rPr>
      </w:pPr>
      <w:r w:rsidRPr="00956F45">
        <w:rPr>
          <w:b/>
          <w:sz w:val="20"/>
          <w:szCs w:val="20"/>
          <w:lang w:val="fr-CA"/>
        </w:rPr>
        <w:t>GRANTED IN PART / ACCORDÉE EN PARTIE</w:t>
      </w:r>
    </w:p>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spacing w:line="233" w:lineRule="auto"/>
        <w:jc w:val="both"/>
        <w:rPr>
          <w:sz w:val="20"/>
          <w:szCs w:val="20"/>
        </w:rPr>
      </w:pPr>
      <w:r w:rsidRPr="00956F45">
        <w:rPr>
          <w:b/>
          <w:bCs/>
          <w:sz w:val="20"/>
          <w:szCs w:val="20"/>
        </w:rPr>
        <w:t xml:space="preserve">UPON APPLICATIONS </w:t>
      </w:r>
      <w:r w:rsidRPr="00956F45">
        <w:rPr>
          <w:sz w:val="20"/>
          <w:szCs w:val="20"/>
        </w:rPr>
        <w:t>by the Canadian Civil Liberties Association, the Canadian Coalition Against Terror and the British Columbia Civil Liberties Association for leave to intervene in the above appeals;</w:t>
      </w:r>
    </w:p>
    <w:p w:rsidR="001A454A" w:rsidRPr="00956F45" w:rsidRDefault="001A454A" w:rsidP="001A454A">
      <w:pPr>
        <w:spacing w:line="233" w:lineRule="auto"/>
        <w:jc w:val="both"/>
        <w:rPr>
          <w:sz w:val="20"/>
          <w:szCs w:val="20"/>
        </w:rPr>
      </w:pPr>
    </w:p>
    <w:p w:rsidR="001A454A" w:rsidRPr="00956F45" w:rsidRDefault="001A454A" w:rsidP="001A454A">
      <w:pPr>
        <w:spacing w:line="211" w:lineRule="auto"/>
        <w:jc w:val="both"/>
        <w:rPr>
          <w:i/>
          <w:sz w:val="20"/>
          <w:szCs w:val="20"/>
        </w:rPr>
      </w:pPr>
      <w:r w:rsidRPr="00956F45">
        <w:rPr>
          <w:b/>
          <w:sz w:val="20"/>
          <w:szCs w:val="20"/>
        </w:rPr>
        <w:t>AND</w:t>
      </w:r>
      <w:r w:rsidRPr="00956F45">
        <w:rPr>
          <w:sz w:val="20"/>
          <w:szCs w:val="20"/>
        </w:rPr>
        <w:t xml:space="preserve"> </w:t>
      </w:r>
      <w:r w:rsidRPr="00956F45">
        <w:rPr>
          <w:b/>
          <w:bCs/>
          <w:sz w:val="20"/>
          <w:szCs w:val="20"/>
        </w:rPr>
        <w:t xml:space="preserve">UPON APPLICATION </w:t>
      </w:r>
      <w:r w:rsidRPr="00956F45">
        <w:rPr>
          <w:sz w:val="20"/>
          <w:szCs w:val="20"/>
        </w:rPr>
        <w:t xml:space="preserve">by the Groupe d'étude en droits et libertés de la Faculté de droit de l'Université Laval for leave to intervene in the appeal of </w:t>
      </w:r>
      <w:r w:rsidRPr="00956F45">
        <w:rPr>
          <w:i/>
          <w:sz w:val="20"/>
          <w:szCs w:val="20"/>
        </w:rPr>
        <w:t xml:space="preserve">Mohammad Momin Khawaja v. Her Majesty the Queen </w:t>
      </w:r>
      <w:r w:rsidRPr="00956F45">
        <w:rPr>
          <w:sz w:val="20"/>
          <w:szCs w:val="20"/>
        </w:rPr>
        <w:t>(34103);</w:t>
      </w:r>
    </w:p>
    <w:p w:rsidR="001A454A" w:rsidRPr="00956F45" w:rsidRDefault="001A454A" w:rsidP="001A454A">
      <w:pPr>
        <w:spacing w:line="233" w:lineRule="auto"/>
        <w:jc w:val="both"/>
        <w:rPr>
          <w:b/>
          <w:bCs/>
          <w:sz w:val="20"/>
          <w:szCs w:val="20"/>
        </w:rPr>
      </w:pPr>
    </w:p>
    <w:p w:rsidR="001A454A" w:rsidRPr="00956F45" w:rsidRDefault="001A454A" w:rsidP="001A454A">
      <w:pPr>
        <w:spacing w:line="233" w:lineRule="auto"/>
        <w:jc w:val="both"/>
        <w:rPr>
          <w:sz w:val="20"/>
          <w:szCs w:val="20"/>
        </w:rPr>
      </w:pPr>
      <w:r w:rsidRPr="00956F45">
        <w:rPr>
          <w:b/>
          <w:bCs/>
          <w:sz w:val="20"/>
          <w:szCs w:val="20"/>
        </w:rPr>
        <w:t>AND THE MATERIAL FILED</w:t>
      </w:r>
      <w:r w:rsidRPr="00956F45">
        <w:rPr>
          <w:sz w:val="20"/>
          <w:szCs w:val="20"/>
        </w:rPr>
        <w:t xml:space="preserve"> having been read;</w:t>
      </w:r>
    </w:p>
    <w:p w:rsidR="001A454A" w:rsidRPr="00956F45" w:rsidRDefault="001A454A" w:rsidP="001A454A">
      <w:pPr>
        <w:spacing w:line="233" w:lineRule="auto"/>
        <w:jc w:val="both"/>
        <w:rPr>
          <w:sz w:val="20"/>
          <w:szCs w:val="20"/>
        </w:rPr>
      </w:pPr>
    </w:p>
    <w:p w:rsidR="001A454A" w:rsidRPr="00956F45" w:rsidRDefault="001A454A" w:rsidP="001A454A">
      <w:pPr>
        <w:rPr>
          <w:b/>
          <w:bCs/>
          <w:sz w:val="20"/>
          <w:szCs w:val="20"/>
        </w:rPr>
      </w:pPr>
      <w:r w:rsidRPr="00956F45">
        <w:rPr>
          <w:b/>
          <w:bCs/>
          <w:sz w:val="20"/>
          <w:szCs w:val="20"/>
        </w:rPr>
        <w:br w:type="page"/>
      </w:r>
    </w:p>
    <w:p w:rsidR="001A454A" w:rsidRPr="00956F45" w:rsidRDefault="001A454A" w:rsidP="001A454A">
      <w:pPr>
        <w:spacing w:line="233" w:lineRule="auto"/>
        <w:jc w:val="both"/>
        <w:rPr>
          <w:sz w:val="20"/>
          <w:szCs w:val="20"/>
        </w:rPr>
      </w:pPr>
      <w:r w:rsidRPr="00956F45">
        <w:rPr>
          <w:b/>
          <w:bCs/>
          <w:sz w:val="20"/>
          <w:szCs w:val="20"/>
        </w:rPr>
        <w:lastRenderedPageBreak/>
        <w:t>IT IS HEREBY ORDERED THAT:</w:t>
      </w:r>
    </w:p>
    <w:p w:rsidR="001A454A" w:rsidRPr="00956F45" w:rsidRDefault="001A454A" w:rsidP="001A454A">
      <w:pPr>
        <w:spacing w:line="233" w:lineRule="auto"/>
        <w:jc w:val="both"/>
        <w:rPr>
          <w:sz w:val="20"/>
          <w:szCs w:val="20"/>
        </w:rPr>
      </w:pPr>
    </w:p>
    <w:p w:rsidR="001A454A" w:rsidRPr="00956F45" w:rsidRDefault="001A454A" w:rsidP="001A454A">
      <w:pPr>
        <w:spacing w:line="233" w:lineRule="auto"/>
        <w:jc w:val="both"/>
        <w:rPr>
          <w:sz w:val="20"/>
          <w:szCs w:val="20"/>
        </w:rPr>
      </w:pPr>
      <w:r w:rsidRPr="00956F45">
        <w:rPr>
          <w:sz w:val="20"/>
          <w:szCs w:val="20"/>
        </w:rPr>
        <w:t>The motions for leave to intervene of the Canadian Civil Liberties Association and the British Columbia Civil Liberties Association are granted and the said interveners shall be entitled to serve and file a single factum not to exceed 10 pages in length in these appeals on or before May 24, 2012.</w:t>
      </w:r>
    </w:p>
    <w:p w:rsidR="001A454A" w:rsidRPr="00956F45" w:rsidRDefault="001A454A" w:rsidP="001A454A">
      <w:pPr>
        <w:spacing w:line="233" w:lineRule="auto"/>
        <w:jc w:val="both"/>
        <w:rPr>
          <w:sz w:val="20"/>
          <w:szCs w:val="20"/>
        </w:rPr>
      </w:pPr>
    </w:p>
    <w:p w:rsidR="001A454A" w:rsidRPr="00956F45" w:rsidRDefault="001A454A" w:rsidP="001A454A">
      <w:pPr>
        <w:spacing w:line="233" w:lineRule="auto"/>
        <w:jc w:val="both"/>
        <w:rPr>
          <w:sz w:val="20"/>
          <w:szCs w:val="20"/>
        </w:rPr>
      </w:pPr>
      <w:r w:rsidRPr="00956F45">
        <w:rPr>
          <w:sz w:val="20"/>
          <w:szCs w:val="20"/>
        </w:rPr>
        <w:t xml:space="preserve">The motion for leave to intervene of the Groupe d'étude en droits et libertés de la Faculté de droit de l'Université Laval is granted and the said intervener shall be entitled to serve and file a factum not to exceed 10 pages in length in the appeal of </w:t>
      </w:r>
      <w:r w:rsidRPr="00956F45">
        <w:rPr>
          <w:i/>
          <w:sz w:val="20"/>
          <w:szCs w:val="20"/>
        </w:rPr>
        <w:t xml:space="preserve">Mohammad Momin Khawaja v. Her Majesty the Queen </w:t>
      </w:r>
      <w:r w:rsidRPr="00956F45">
        <w:rPr>
          <w:sz w:val="20"/>
          <w:szCs w:val="20"/>
        </w:rPr>
        <w:t>(34103) on or before May 24, 2012.</w:t>
      </w:r>
    </w:p>
    <w:p w:rsidR="001A454A" w:rsidRPr="00956F45" w:rsidRDefault="001A454A" w:rsidP="001A454A">
      <w:pPr>
        <w:spacing w:line="233" w:lineRule="auto"/>
        <w:jc w:val="both"/>
        <w:rPr>
          <w:sz w:val="20"/>
          <w:szCs w:val="20"/>
        </w:rPr>
      </w:pPr>
    </w:p>
    <w:p w:rsidR="001A454A" w:rsidRPr="00956F45" w:rsidRDefault="001A454A" w:rsidP="001A454A">
      <w:pPr>
        <w:spacing w:line="233" w:lineRule="auto"/>
        <w:jc w:val="both"/>
        <w:rPr>
          <w:sz w:val="20"/>
          <w:szCs w:val="20"/>
        </w:rPr>
      </w:pPr>
      <w:r w:rsidRPr="00956F45">
        <w:rPr>
          <w:sz w:val="20"/>
          <w:szCs w:val="20"/>
        </w:rPr>
        <w:t>The motion for leave to intervene of the the Canadian Coalition Against Terror is dismissed.</w:t>
      </w:r>
    </w:p>
    <w:p w:rsidR="001A454A" w:rsidRPr="00956F45" w:rsidRDefault="001A454A" w:rsidP="001A454A">
      <w:pPr>
        <w:spacing w:line="233" w:lineRule="auto"/>
        <w:jc w:val="both"/>
        <w:rPr>
          <w:sz w:val="20"/>
          <w:szCs w:val="20"/>
        </w:rPr>
      </w:pPr>
    </w:p>
    <w:p w:rsidR="001A454A" w:rsidRPr="00956F45" w:rsidRDefault="001A454A" w:rsidP="001A454A">
      <w:pPr>
        <w:spacing w:line="233" w:lineRule="auto"/>
        <w:jc w:val="both"/>
        <w:rPr>
          <w:sz w:val="20"/>
          <w:szCs w:val="20"/>
        </w:rPr>
      </w:pPr>
      <w:r w:rsidRPr="00956F45">
        <w:rPr>
          <w:sz w:val="20"/>
          <w:szCs w:val="20"/>
        </w:rPr>
        <w:t>The requests to present oral argument are deferred to a date following receipt and consideration of the written arguments of the parties and the interveners.</w:t>
      </w:r>
    </w:p>
    <w:p w:rsidR="001A454A" w:rsidRPr="00956F45" w:rsidRDefault="001A454A" w:rsidP="001A454A">
      <w:pPr>
        <w:spacing w:line="233" w:lineRule="auto"/>
        <w:jc w:val="both"/>
        <w:rPr>
          <w:sz w:val="20"/>
          <w:szCs w:val="20"/>
        </w:rPr>
      </w:pPr>
    </w:p>
    <w:p w:rsidR="001A454A" w:rsidRPr="00956F45" w:rsidRDefault="009753DF" w:rsidP="001A454A">
      <w:pPr>
        <w:spacing w:line="233" w:lineRule="auto"/>
        <w:jc w:val="both"/>
        <w:rPr>
          <w:sz w:val="20"/>
          <w:szCs w:val="20"/>
        </w:rPr>
      </w:pPr>
      <w:r w:rsidRPr="00956F45">
        <w:rPr>
          <w:sz w:val="20"/>
          <w:szCs w:val="20"/>
        </w:rPr>
        <w:fldChar w:fldCharType="begin"/>
      </w:r>
      <w:r w:rsidR="001A454A" w:rsidRPr="00956F45">
        <w:rPr>
          <w:sz w:val="20"/>
          <w:szCs w:val="20"/>
        </w:rPr>
        <w:instrText xml:space="preserve"> SEQ CHAPTER \h \r 1</w:instrText>
      </w:r>
      <w:r w:rsidRPr="00956F45">
        <w:rPr>
          <w:sz w:val="20"/>
          <w:szCs w:val="20"/>
        </w:rPr>
        <w:fldChar w:fldCharType="end"/>
      </w:r>
      <w:r w:rsidR="001A454A" w:rsidRPr="00956F45">
        <w:rPr>
          <w:bCs/>
          <w:sz w:val="20"/>
          <w:szCs w:val="20"/>
        </w:rPr>
        <w:t>The interveners are not entitled to raise new issues or to adduce further evidence or otherwise to supplement the record of the parties.</w:t>
      </w:r>
    </w:p>
    <w:p w:rsidR="001A454A" w:rsidRPr="00956F45" w:rsidRDefault="001A454A" w:rsidP="001A454A">
      <w:pPr>
        <w:spacing w:line="233" w:lineRule="auto"/>
        <w:jc w:val="both"/>
        <w:rPr>
          <w:sz w:val="20"/>
          <w:szCs w:val="20"/>
        </w:rPr>
      </w:pPr>
    </w:p>
    <w:p w:rsidR="001A454A" w:rsidRPr="00956F45" w:rsidRDefault="001A454A" w:rsidP="001A454A">
      <w:pPr>
        <w:spacing w:line="233" w:lineRule="auto"/>
        <w:jc w:val="both"/>
        <w:rPr>
          <w:sz w:val="20"/>
          <w:szCs w:val="20"/>
        </w:rPr>
      </w:pPr>
      <w:r w:rsidRPr="00956F45">
        <w:rPr>
          <w:sz w:val="20"/>
          <w:szCs w:val="20"/>
        </w:rPr>
        <w:t>Pursuant to Rule 59(1)(</w:t>
      </w:r>
      <w:r w:rsidRPr="00956F45">
        <w:rPr>
          <w:i/>
          <w:iCs/>
          <w:sz w:val="20"/>
          <w:szCs w:val="20"/>
        </w:rPr>
        <w:t>a</w:t>
      </w:r>
      <w:r w:rsidRPr="00956F45">
        <w:rPr>
          <w:sz w:val="20"/>
          <w:szCs w:val="20"/>
        </w:rPr>
        <w:t xml:space="preserve">) of the </w:t>
      </w:r>
      <w:r w:rsidRPr="00956F45">
        <w:rPr>
          <w:i/>
          <w:iCs/>
          <w:sz w:val="20"/>
          <w:szCs w:val="20"/>
        </w:rPr>
        <w:t>Rules of the Supreme Court of Canada</w:t>
      </w:r>
      <w:r w:rsidRPr="00956F45">
        <w:rPr>
          <w:sz w:val="20"/>
          <w:szCs w:val="20"/>
        </w:rPr>
        <w:t>, the interveners shall pay to the appellants and respondents any additional disbursements occasioned to the appellants and respondents by their interventions.</w:t>
      </w:r>
    </w:p>
    <w:p w:rsidR="001A454A" w:rsidRPr="00956F45" w:rsidRDefault="001A454A" w:rsidP="001A454A">
      <w:pPr>
        <w:spacing w:line="233" w:lineRule="auto"/>
        <w:jc w:val="both"/>
        <w:rPr>
          <w:sz w:val="20"/>
          <w:szCs w:val="20"/>
        </w:rPr>
      </w:pPr>
    </w:p>
    <w:p w:rsidR="001A454A" w:rsidRPr="00956F45" w:rsidRDefault="001A454A" w:rsidP="001A454A">
      <w:pPr>
        <w:spacing w:line="233" w:lineRule="auto"/>
        <w:jc w:val="both"/>
        <w:rPr>
          <w:sz w:val="20"/>
          <w:szCs w:val="20"/>
        </w:rPr>
      </w:pPr>
    </w:p>
    <w:p w:rsidR="001A454A" w:rsidRPr="00956F45" w:rsidRDefault="001A454A" w:rsidP="001A454A">
      <w:pPr>
        <w:spacing w:line="233" w:lineRule="auto"/>
        <w:jc w:val="both"/>
        <w:rPr>
          <w:sz w:val="20"/>
          <w:szCs w:val="20"/>
        </w:rPr>
      </w:pPr>
    </w:p>
    <w:p w:rsidR="001A454A" w:rsidRPr="00956F45" w:rsidRDefault="001A454A" w:rsidP="001A454A">
      <w:pPr>
        <w:jc w:val="both"/>
        <w:rPr>
          <w:sz w:val="20"/>
          <w:szCs w:val="20"/>
          <w:lang w:val="fr-CA"/>
        </w:rPr>
      </w:pPr>
      <w:r w:rsidRPr="00956F45">
        <w:rPr>
          <w:b/>
          <w:bCs/>
          <w:sz w:val="20"/>
          <w:szCs w:val="20"/>
          <w:lang w:val="fr-CA"/>
        </w:rPr>
        <w:t>À LA SUITE DES DEMANDE</w:t>
      </w:r>
      <w:r w:rsidRPr="00956F45">
        <w:rPr>
          <w:b/>
          <w:sz w:val="20"/>
          <w:szCs w:val="20"/>
          <w:lang w:val="fr-CA"/>
        </w:rPr>
        <w:t>S</w:t>
      </w:r>
      <w:r w:rsidRPr="00956F45">
        <w:rPr>
          <w:sz w:val="20"/>
          <w:szCs w:val="20"/>
          <w:lang w:val="fr-CA"/>
        </w:rPr>
        <w:t xml:space="preserve"> présentées par l’Association canadienne des libertés civiles, la Canadian Coalition Against Terror et l’Association des libertés civiles de la Colombie-Britannique en vue d'intervenir dans les appels susmentionnés;</w:t>
      </w:r>
    </w:p>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jc w:val="both"/>
        <w:rPr>
          <w:sz w:val="20"/>
          <w:szCs w:val="20"/>
          <w:lang w:val="fr-FR"/>
        </w:rPr>
      </w:pPr>
      <w:r w:rsidRPr="00956F45">
        <w:rPr>
          <w:b/>
          <w:bCs/>
          <w:sz w:val="20"/>
          <w:szCs w:val="20"/>
          <w:lang w:val="fr-CA"/>
        </w:rPr>
        <w:t>À LA SUITE DE LA DEMANDE</w:t>
      </w:r>
      <w:r w:rsidRPr="00956F45">
        <w:rPr>
          <w:b/>
          <w:sz w:val="20"/>
          <w:szCs w:val="20"/>
          <w:lang w:val="fr-CA"/>
        </w:rPr>
        <w:t xml:space="preserve"> </w:t>
      </w:r>
      <w:r w:rsidRPr="00956F45">
        <w:rPr>
          <w:sz w:val="20"/>
          <w:szCs w:val="20"/>
          <w:lang w:val="fr-CA"/>
        </w:rPr>
        <w:t xml:space="preserve">présentée par le </w:t>
      </w:r>
      <w:r w:rsidRPr="00956F45">
        <w:rPr>
          <w:sz w:val="20"/>
          <w:szCs w:val="20"/>
          <w:lang w:val="fr-FR"/>
        </w:rPr>
        <w:t xml:space="preserve">Groupe d'étude en droits et libertés de la Faculté de droit de l'Université Laval </w:t>
      </w:r>
      <w:r w:rsidRPr="00956F45">
        <w:rPr>
          <w:sz w:val="20"/>
          <w:szCs w:val="20"/>
          <w:lang w:val="fr-CA"/>
        </w:rPr>
        <w:t xml:space="preserve">en vue d'intervenir dans l’appel </w:t>
      </w:r>
      <w:r w:rsidRPr="00956F45">
        <w:rPr>
          <w:i/>
          <w:sz w:val="20"/>
          <w:szCs w:val="20"/>
          <w:lang w:val="fr-FR"/>
        </w:rPr>
        <w:t xml:space="preserve">Mohammad Momin Khawaja c. Sa Majesté la Reine </w:t>
      </w:r>
      <w:r w:rsidRPr="00956F45">
        <w:rPr>
          <w:sz w:val="20"/>
          <w:szCs w:val="20"/>
          <w:lang w:val="fr-FR"/>
        </w:rPr>
        <w:t>(34103);</w:t>
      </w:r>
    </w:p>
    <w:p w:rsidR="001A454A" w:rsidRPr="00956F45" w:rsidRDefault="001A454A" w:rsidP="001A454A">
      <w:pPr>
        <w:rPr>
          <w:sz w:val="20"/>
          <w:szCs w:val="20"/>
          <w:lang w:val="fr-CA"/>
        </w:rPr>
      </w:pPr>
    </w:p>
    <w:p w:rsidR="001A454A" w:rsidRPr="00956F45" w:rsidRDefault="001A454A" w:rsidP="001A454A">
      <w:pPr>
        <w:rPr>
          <w:sz w:val="20"/>
          <w:szCs w:val="20"/>
          <w:lang w:val="fr-CA"/>
        </w:rPr>
      </w:pPr>
      <w:r w:rsidRPr="00956F45">
        <w:rPr>
          <w:b/>
          <w:bCs/>
          <w:sz w:val="20"/>
          <w:szCs w:val="20"/>
          <w:lang w:val="fr-CA"/>
        </w:rPr>
        <w:t>ET APRÈS EXAMEN</w:t>
      </w:r>
      <w:r w:rsidRPr="00956F45">
        <w:rPr>
          <w:sz w:val="20"/>
          <w:szCs w:val="20"/>
          <w:lang w:val="fr-CA"/>
        </w:rPr>
        <w:t xml:space="preserve"> des documents déposés;</w:t>
      </w:r>
    </w:p>
    <w:p w:rsidR="001A454A" w:rsidRPr="00956F45" w:rsidRDefault="001A454A" w:rsidP="001A454A">
      <w:pPr>
        <w:rPr>
          <w:sz w:val="20"/>
          <w:szCs w:val="20"/>
          <w:lang w:val="fr-CA"/>
        </w:rPr>
      </w:pPr>
    </w:p>
    <w:p w:rsidR="001A454A" w:rsidRPr="00956F45" w:rsidRDefault="001A454A" w:rsidP="001A454A">
      <w:pPr>
        <w:rPr>
          <w:sz w:val="20"/>
          <w:szCs w:val="20"/>
          <w:lang w:val="fr-CA"/>
        </w:rPr>
      </w:pPr>
      <w:r w:rsidRPr="00956F45">
        <w:rPr>
          <w:b/>
          <w:bCs/>
          <w:sz w:val="20"/>
          <w:szCs w:val="20"/>
          <w:lang w:val="fr-CA"/>
        </w:rPr>
        <w:t xml:space="preserve">IL EST ORDONNÉ CE QUI SUIT : </w:t>
      </w:r>
    </w:p>
    <w:p w:rsidR="001A454A" w:rsidRPr="00956F45" w:rsidRDefault="001A454A" w:rsidP="001A454A">
      <w:pPr>
        <w:rPr>
          <w:sz w:val="20"/>
          <w:szCs w:val="20"/>
          <w:lang w:val="fr-CA"/>
        </w:rPr>
      </w:pPr>
    </w:p>
    <w:p w:rsidR="001A454A" w:rsidRPr="00956F45" w:rsidRDefault="001A454A" w:rsidP="001A454A">
      <w:pPr>
        <w:spacing w:line="233" w:lineRule="auto"/>
        <w:jc w:val="both"/>
        <w:rPr>
          <w:sz w:val="20"/>
          <w:szCs w:val="20"/>
          <w:lang w:val="fr-FR"/>
        </w:rPr>
      </w:pPr>
      <w:r w:rsidRPr="00956F45">
        <w:rPr>
          <w:sz w:val="20"/>
          <w:szCs w:val="20"/>
          <w:lang w:val="fr-CA"/>
        </w:rPr>
        <w:t xml:space="preserve">Les requêtes en autorisation d’intervenir présentées par l’Association canadienne des libertés civiles et l’Association des libertés civiles de la Colombie-Britannique sont accueillies et ces intervenantes pourront signifier et déposer un seul mémoire d'au plus 10 pages dans ces appels </w:t>
      </w:r>
      <w:r w:rsidRPr="00956F45">
        <w:rPr>
          <w:sz w:val="20"/>
          <w:szCs w:val="20"/>
          <w:lang w:val="fr-FR"/>
        </w:rPr>
        <w:t xml:space="preserve">au plus tard le 24 mai 2012. </w:t>
      </w:r>
    </w:p>
    <w:p w:rsidR="001A454A" w:rsidRPr="00956F45" w:rsidRDefault="001A454A" w:rsidP="001A454A">
      <w:pPr>
        <w:jc w:val="both"/>
        <w:rPr>
          <w:sz w:val="20"/>
          <w:szCs w:val="20"/>
          <w:lang w:val="fr-CA"/>
        </w:rPr>
      </w:pPr>
    </w:p>
    <w:p w:rsidR="001A454A" w:rsidRPr="00956F45" w:rsidRDefault="001A454A" w:rsidP="001A454A">
      <w:pPr>
        <w:jc w:val="both"/>
        <w:rPr>
          <w:sz w:val="20"/>
          <w:szCs w:val="20"/>
          <w:lang w:val="fr-FR"/>
        </w:rPr>
      </w:pPr>
      <w:r w:rsidRPr="00956F45">
        <w:rPr>
          <w:sz w:val="20"/>
          <w:szCs w:val="20"/>
          <w:lang w:val="fr-CA"/>
        </w:rPr>
        <w:t xml:space="preserve">La requête en autorisation d'intervenir présentée par le </w:t>
      </w:r>
      <w:r w:rsidRPr="00956F45">
        <w:rPr>
          <w:sz w:val="20"/>
          <w:szCs w:val="20"/>
          <w:lang w:val="fr-FR"/>
        </w:rPr>
        <w:t>Groupe d'étude en droits et libertés de la Faculté de droit de l'Université Laval</w:t>
      </w:r>
      <w:r w:rsidRPr="00956F45">
        <w:rPr>
          <w:sz w:val="20"/>
          <w:szCs w:val="20"/>
          <w:lang w:val="fr-CA"/>
        </w:rPr>
        <w:t xml:space="preserve"> est accueillie et cet intervenant pourra signifier et déposer un mémoire d'au plus 10 pages dans l’appel </w:t>
      </w:r>
      <w:r w:rsidRPr="00956F45">
        <w:rPr>
          <w:i/>
          <w:sz w:val="20"/>
          <w:szCs w:val="20"/>
          <w:lang w:val="fr-FR"/>
        </w:rPr>
        <w:t xml:space="preserve">Mohammad Momin Khawaja c. Sa Majesté la Reine </w:t>
      </w:r>
      <w:r w:rsidRPr="00956F45">
        <w:rPr>
          <w:sz w:val="20"/>
          <w:szCs w:val="20"/>
          <w:lang w:val="fr-FR"/>
        </w:rPr>
        <w:t>(34103) au plus tard le 24 mai 2012.</w:t>
      </w:r>
      <w:r w:rsidRPr="00956F45">
        <w:rPr>
          <w:sz w:val="20"/>
          <w:szCs w:val="20"/>
          <w:lang w:val="fr-CA"/>
        </w:rPr>
        <w:t xml:space="preserve"> </w:t>
      </w:r>
    </w:p>
    <w:p w:rsidR="001A454A" w:rsidRPr="00956F45" w:rsidRDefault="001A454A" w:rsidP="001A454A">
      <w:pPr>
        <w:jc w:val="both"/>
        <w:rPr>
          <w:i/>
          <w:iCs/>
          <w:sz w:val="20"/>
          <w:szCs w:val="20"/>
          <w:lang w:val="fr-CA"/>
        </w:rPr>
      </w:pPr>
    </w:p>
    <w:p w:rsidR="001A454A" w:rsidRPr="00956F45" w:rsidRDefault="001A454A" w:rsidP="001A454A">
      <w:pPr>
        <w:jc w:val="both"/>
        <w:rPr>
          <w:sz w:val="20"/>
          <w:szCs w:val="20"/>
          <w:lang w:val="fr-FR"/>
        </w:rPr>
      </w:pPr>
      <w:r w:rsidRPr="00956F45">
        <w:rPr>
          <w:sz w:val="20"/>
          <w:szCs w:val="20"/>
          <w:lang w:val="fr-CA"/>
        </w:rPr>
        <w:t>La requête en autorisation d'intervenir présentée par la Canadian Coalition Against Terror est rejetée.</w:t>
      </w:r>
    </w:p>
    <w:p w:rsidR="001A454A" w:rsidRPr="00956F45" w:rsidRDefault="001A454A" w:rsidP="001A454A">
      <w:pPr>
        <w:jc w:val="both"/>
        <w:rPr>
          <w:sz w:val="20"/>
          <w:szCs w:val="20"/>
          <w:lang w:val="fr-FR"/>
        </w:rPr>
      </w:pPr>
    </w:p>
    <w:p w:rsidR="001A454A" w:rsidRPr="00956F45" w:rsidRDefault="001A454A" w:rsidP="001A454A">
      <w:pPr>
        <w:jc w:val="both"/>
        <w:rPr>
          <w:sz w:val="20"/>
          <w:szCs w:val="20"/>
          <w:lang w:val="fr-CA"/>
        </w:rPr>
      </w:pPr>
      <w:r w:rsidRPr="00956F45">
        <w:rPr>
          <w:sz w:val="20"/>
          <w:szCs w:val="20"/>
          <w:lang w:val="fr-CA"/>
        </w:rPr>
        <w:t>La décision sur les demandes en vue de présenter une plaidoirie orale sera rendue après réception et examen des arguments écrits des parties et des intervenants.</w:t>
      </w:r>
    </w:p>
    <w:p w:rsidR="001A454A" w:rsidRPr="00956F45" w:rsidRDefault="001A454A" w:rsidP="001A454A">
      <w:pPr>
        <w:rPr>
          <w:sz w:val="20"/>
          <w:szCs w:val="20"/>
          <w:lang w:val="fr-CA"/>
        </w:rPr>
      </w:pPr>
    </w:p>
    <w:p w:rsidR="001A454A" w:rsidRPr="00956F45" w:rsidRDefault="009753DF" w:rsidP="001A454A">
      <w:pPr>
        <w:rPr>
          <w:sz w:val="20"/>
          <w:szCs w:val="20"/>
          <w:lang w:val="fr-FR"/>
        </w:rPr>
      </w:pPr>
      <w:r w:rsidRPr="00956F45">
        <w:rPr>
          <w:sz w:val="20"/>
          <w:szCs w:val="20"/>
        </w:rPr>
        <w:fldChar w:fldCharType="begin"/>
      </w:r>
      <w:r w:rsidR="001A454A" w:rsidRPr="00956F45">
        <w:rPr>
          <w:sz w:val="20"/>
          <w:szCs w:val="20"/>
          <w:lang w:val="fr-FR"/>
        </w:rPr>
        <w:instrText xml:space="preserve"> SEQ CHAPTER \h \r 1</w:instrText>
      </w:r>
      <w:r w:rsidRPr="00956F45">
        <w:rPr>
          <w:sz w:val="20"/>
          <w:szCs w:val="20"/>
        </w:rPr>
        <w:fldChar w:fldCharType="end"/>
      </w:r>
      <w:r w:rsidR="001A454A" w:rsidRPr="00956F45">
        <w:rPr>
          <w:bCs/>
          <w:sz w:val="20"/>
          <w:szCs w:val="20"/>
          <w:lang w:val="fr-FR"/>
        </w:rPr>
        <w:t>Les intervenants n'ont pas le droit de soulever de nouvelles questions, de produire d'autres éléments de preuve ni de compléter de quelque autre façon le dossier des parties.</w:t>
      </w:r>
    </w:p>
    <w:p w:rsidR="001A454A" w:rsidRPr="00956F45" w:rsidRDefault="001A454A" w:rsidP="001A454A">
      <w:pPr>
        <w:rPr>
          <w:sz w:val="20"/>
          <w:szCs w:val="20"/>
          <w:lang w:val="fr-CA"/>
        </w:rPr>
      </w:pPr>
    </w:p>
    <w:p w:rsidR="001A454A" w:rsidRPr="00956F45" w:rsidRDefault="001A454A" w:rsidP="001A454A">
      <w:pPr>
        <w:jc w:val="both"/>
        <w:rPr>
          <w:sz w:val="20"/>
          <w:szCs w:val="20"/>
          <w:lang w:val="fr-CA"/>
        </w:rPr>
      </w:pPr>
      <w:r w:rsidRPr="00956F45">
        <w:rPr>
          <w:sz w:val="20"/>
          <w:szCs w:val="20"/>
          <w:lang w:val="fr-CA"/>
        </w:rPr>
        <w:t>Conformément à l'alinéa 59(1)</w:t>
      </w:r>
      <w:r w:rsidRPr="00956F45">
        <w:rPr>
          <w:i/>
          <w:iCs/>
          <w:sz w:val="20"/>
          <w:szCs w:val="20"/>
          <w:lang w:val="fr-CA"/>
        </w:rPr>
        <w:t>a</w:t>
      </w:r>
      <w:r w:rsidRPr="00956F45">
        <w:rPr>
          <w:sz w:val="20"/>
          <w:szCs w:val="20"/>
          <w:lang w:val="fr-CA"/>
        </w:rPr>
        <w:t xml:space="preserve">) des </w:t>
      </w:r>
      <w:r w:rsidRPr="00956F45">
        <w:rPr>
          <w:i/>
          <w:iCs/>
          <w:sz w:val="20"/>
          <w:szCs w:val="20"/>
          <w:lang w:val="fr-CA"/>
        </w:rPr>
        <w:t>Règles de la Cour suprême du Canada</w:t>
      </w:r>
      <w:r w:rsidRPr="00956F45">
        <w:rPr>
          <w:sz w:val="20"/>
          <w:szCs w:val="20"/>
          <w:lang w:val="fr-CA"/>
        </w:rPr>
        <w:t>, les intervenants paieront aux appelants et aux intimés tous débours supplémentaires résultant de leur intervention.</w:t>
      </w:r>
    </w:p>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tabs>
          <w:tab w:val="left" w:pos="-1440"/>
          <w:tab w:val="left" w:pos="-720"/>
        </w:tabs>
        <w:spacing w:line="-19" w:lineRule="auto"/>
        <w:jc w:val="both"/>
        <w:rPr>
          <w:sz w:val="20"/>
          <w:szCs w:val="20"/>
          <w:lang w:val="fr-CA"/>
        </w:rPr>
      </w:pPr>
    </w:p>
    <w:p w:rsidR="001A454A" w:rsidRPr="00956F45" w:rsidRDefault="009753DF" w:rsidP="001A454A">
      <w:pPr>
        <w:tabs>
          <w:tab w:val="left" w:pos="-1440"/>
          <w:tab w:val="left" w:pos="-720"/>
        </w:tabs>
        <w:jc w:val="both"/>
        <w:rPr>
          <w:sz w:val="20"/>
          <w:szCs w:val="20"/>
        </w:rPr>
      </w:pPr>
      <w:r w:rsidRPr="009753DF">
        <w:rPr>
          <w:sz w:val="20"/>
          <w:szCs w:val="20"/>
          <w:lang w:val="fr-CA"/>
        </w:rPr>
        <w:pict>
          <v:rect id="_x0000_i1054" style="width:2in;height:1pt" o:hrpct="0" o:hralign="center" o:hrstd="t" o:hrnoshade="t" o:hr="t" fillcolor="black [3213]" stroked="f"/>
        </w:pict>
      </w:r>
    </w:p>
    <w:p w:rsidR="001A454A" w:rsidRPr="00956F45" w:rsidRDefault="001A454A" w:rsidP="001A454A">
      <w:pPr>
        <w:rPr>
          <w:sz w:val="20"/>
          <w:szCs w:val="20"/>
        </w:rPr>
      </w:pPr>
    </w:p>
    <w:p w:rsidR="001A454A" w:rsidRPr="00956F45" w:rsidRDefault="001A454A" w:rsidP="001A454A">
      <w:pPr>
        <w:rPr>
          <w:sz w:val="20"/>
          <w:szCs w:val="20"/>
        </w:rPr>
      </w:pPr>
      <w:r w:rsidRPr="00956F45">
        <w:rPr>
          <w:sz w:val="20"/>
          <w:szCs w:val="20"/>
        </w:rPr>
        <w:br w:type="page"/>
      </w:r>
    </w:p>
    <w:p w:rsidR="001A454A" w:rsidRPr="00956F45" w:rsidRDefault="001A454A" w:rsidP="001A454A">
      <w:pPr>
        <w:tabs>
          <w:tab w:val="left" w:pos="-1440"/>
          <w:tab w:val="left" w:pos="-720"/>
        </w:tabs>
        <w:jc w:val="both"/>
        <w:rPr>
          <w:sz w:val="20"/>
          <w:szCs w:val="20"/>
          <w:lang w:val="fr-CA"/>
        </w:rPr>
      </w:pPr>
      <w:r w:rsidRPr="00956F45">
        <w:rPr>
          <w:sz w:val="20"/>
          <w:szCs w:val="20"/>
          <w:lang w:val="fr-CA"/>
        </w:rPr>
        <w:lastRenderedPageBreak/>
        <w:t>25.04.2012</w:t>
      </w:r>
    </w:p>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jc w:val="both"/>
        <w:rPr>
          <w:sz w:val="20"/>
          <w:szCs w:val="20"/>
          <w:lang w:val="fr-CA"/>
        </w:rPr>
      </w:pPr>
      <w:r w:rsidRPr="00956F45">
        <w:rPr>
          <w:sz w:val="20"/>
          <w:szCs w:val="20"/>
          <w:lang w:val="fr-CA"/>
        </w:rPr>
        <w:t>Before / Devant :   Before / Devant:   KARAKATSANIS J. / LA JUGE KARAKATSANIS</w:t>
      </w:r>
    </w:p>
    <w:p w:rsidR="001A454A" w:rsidRPr="00956F45" w:rsidRDefault="001A454A" w:rsidP="001A454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A454A" w:rsidRPr="008C68F8" w:rsidTr="006D6276">
        <w:tc>
          <w:tcPr>
            <w:tcW w:w="4338" w:type="dxa"/>
          </w:tcPr>
          <w:p w:rsidR="001A454A" w:rsidRPr="00956F45" w:rsidRDefault="009753DF" w:rsidP="006D6276">
            <w:pPr>
              <w:tabs>
                <w:tab w:val="left" w:pos="-1440"/>
                <w:tab w:val="left" w:pos="-720"/>
              </w:tabs>
              <w:jc w:val="both"/>
              <w:rPr>
                <w:b/>
                <w:sz w:val="20"/>
                <w:szCs w:val="20"/>
              </w:rPr>
            </w:pPr>
            <w:r w:rsidRPr="00956F45">
              <w:rPr>
                <w:b/>
                <w:sz w:val="20"/>
                <w:szCs w:val="20"/>
              </w:rPr>
              <w:fldChar w:fldCharType="begin"/>
            </w:r>
            <w:r w:rsidR="001A454A" w:rsidRPr="00956F45">
              <w:rPr>
                <w:b/>
                <w:sz w:val="20"/>
                <w:szCs w:val="20"/>
              </w:rPr>
              <w:instrText xml:space="preserve"> SEQ CHAPTER \h \r 1</w:instrText>
            </w:r>
            <w:r w:rsidRPr="00956F45">
              <w:rPr>
                <w:b/>
                <w:sz w:val="20"/>
                <w:szCs w:val="20"/>
              </w:rPr>
              <w:fldChar w:fldCharType="end"/>
            </w:r>
            <w:r w:rsidR="001A454A" w:rsidRPr="00956F45">
              <w:rPr>
                <w:b/>
                <w:sz w:val="20"/>
                <w:szCs w:val="20"/>
              </w:rPr>
              <w:t xml:space="preserve">Motion for interim order </w:t>
            </w:r>
          </w:p>
        </w:tc>
        <w:tc>
          <w:tcPr>
            <w:tcW w:w="1170" w:type="dxa"/>
          </w:tcPr>
          <w:p w:rsidR="001A454A" w:rsidRPr="00956F45" w:rsidRDefault="001A454A" w:rsidP="006D6276">
            <w:pPr>
              <w:tabs>
                <w:tab w:val="left" w:pos="-1440"/>
                <w:tab w:val="left" w:pos="-720"/>
              </w:tabs>
              <w:jc w:val="both"/>
              <w:rPr>
                <w:sz w:val="20"/>
                <w:szCs w:val="20"/>
              </w:rPr>
            </w:pPr>
          </w:p>
          <w:p w:rsidR="001A454A" w:rsidRPr="00956F45" w:rsidRDefault="001A454A" w:rsidP="006D6276">
            <w:pPr>
              <w:tabs>
                <w:tab w:val="left" w:pos="-1440"/>
                <w:tab w:val="left" w:pos="-720"/>
              </w:tabs>
              <w:jc w:val="both"/>
              <w:rPr>
                <w:sz w:val="20"/>
                <w:szCs w:val="20"/>
              </w:rPr>
            </w:pPr>
          </w:p>
        </w:tc>
        <w:tc>
          <w:tcPr>
            <w:tcW w:w="4327" w:type="dxa"/>
          </w:tcPr>
          <w:p w:rsidR="001A454A" w:rsidRPr="00956F45" w:rsidRDefault="009753DF" w:rsidP="006D6276">
            <w:pPr>
              <w:tabs>
                <w:tab w:val="left" w:pos="-1440"/>
                <w:tab w:val="left" w:pos="-720"/>
              </w:tabs>
              <w:jc w:val="both"/>
              <w:rPr>
                <w:sz w:val="20"/>
                <w:szCs w:val="20"/>
                <w:lang w:val="fr-CA"/>
              </w:rPr>
            </w:pPr>
            <w:r w:rsidRPr="00956F45">
              <w:rPr>
                <w:sz w:val="20"/>
                <w:szCs w:val="20"/>
              </w:rPr>
              <w:fldChar w:fldCharType="begin"/>
            </w:r>
            <w:r w:rsidR="001A454A" w:rsidRPr="00956F45">
              <w:rPr>
                <w:sz w:val="20"/>
                <w:szCs w:val="20"/>
                <w:lang w:val="fr-CA"/>
              </w:rPr>
              <w:instrText xml:space="preserve"> SEQ CHAPTER \h \r 1</w:instrText>
            </w:r>
            <w:r w:rsidRPr="00956F45">
              <w:rPr>
                <w:sz w:val="20"/>
                <w:szCs w:val="20"/>
              </w:rPr>
              <w:fldChar w:fldCharType="end"/>
            </w:r>
            <w:r w:rsidR="001A454A" w:rsidRPr="00956F45">
              <w:rPr>
                <w:b/>
                <w:bCs/>
                <w:sz w:val="20"/>
                <w:szCs w:val="20"/>
                <w:lang w:val="fr-CA"/>
              </w:rPr>
              <w:t>Requête sollicitant une ordonnance provisoire</w:t>
            </w:r>
            <w:r w:rsidRPr="00956F45">
              <w:rPr>
                <w:sz w:val="20"/>
                <w:szCs w:val="20"/>
              </w:rPr>
              <w:fldChar w:fldCharType="begin"/>
            </w:r>
            <w:r w:rsidR="001A454A" w:rsidRPr="00956F45">
              <w:rPr>
                <w:sz w:val="20"/>
                <w:szCs w:val="20"/>
                <w:lang w:val="fr-CA"/>
              </w:rPr>
              <w:instrText xml:space="preserve"> SEQ CHAPTER \h \r 1</w:instrText>
            </w:r>
            <w:r w:rsidRPr="00956F45">
              <w:rPr>
                <w:sz w:val="20"/>
                <w:szCs w:val="20"/>
              </w:rPr>
              <w:fldChar w:fldCharType="end"/>
            </w:r>
            <w:r w:rsidRPr="00956F45">
              <w:rPr>
                <w:sz w:val="20"/>
                <w:szCs w:val="20"/>
              </w:rPr>
              <w:fldChar w:fldCharType="begin"/>
            </w:r>
            <w:r w:rsidR="001A454A" w:rsidRPr="00956F45">
              <w:rPr>
                <w:sz w:val="20"/>
                <w:szCs w:val="20"/>
                <w:lang w:val="fr-CA"/>
              </w:rPr>
              <w:instrText xml:space="preserve"> SEQ CHAPTER \h \r 1</w:instrText>
            </w:r>
            <w:r w:rsidRPr="00956F45">
              <w:rPr>
                <w:sz w:val="20"/>
                <w:szCs w:val="20"/>
              </w:rPr>
              <w:fldChar w:fldCharType="end"/>
            </w:r>
          </w:p>
        </w:tc>
      </w:tr>
      <w:tr w:rsidR="001A454A" w:rsidRPr="00956F45" w:rsidTr="006D6276">
        <w:tc>
          <w:tcPr>
            <w:tcW w:w="4338" w:type="dxa"/>
          </w:tcPr>
          <w:p w:rsidR="001A454A" w:rsidRPr="00956F45" w:rsidRDefault="001A454A" w:rsidP="006D6276">
            <w:pPr>
              <w:tabs>
                <w:tab w:val="left" w:pos="-1440"/>
                <w:tab w:val="left" w:pos="-720"/>
              </w:tabs>
              <w:jc w:val="both"/>
              <w:rPr>
                <w:sz w:val="20"/>
                <w:szCs w:val="20"/>
              </w:rPr>
            </w:pPr>
            <w:r w:rsidRPr="00956F45">
              <w:rPr>
                <w:sz w:val="20"/>
                <w:szCs w:val="20"/>
              </w:rPr>
              <w:t>Attorney General of Canada</w:t>
            </w:r>
          </w:p>
          <w:p w:rsidR="001A454A" w:rsidRPr="00956F45" w:rsidRDefault="001A454A" w:rsidP="006D6276">
            <w:pPr>
              <w:tabs>
                <w:tab w:val="left" w:pos="-1440"/>
                <w:tab w:val="left" w:pos="-720"/>
              </w:tabs>
              <w:jc w:val="both"/>
              <w:rPr>
                <w:sz w:val="20"/>
                <w:szCs w:val="20"/>
              </w:rPr>
            </w:pPr>
          </w:p>
          <w:p w:rsidR="001A454A" w:rsidRPr="00956F45" w:rsidRDefault="001A454A" w:rsidP="006D6276">
            <w:pPr>
              <w:tabs>
                <w:tab w:val="left" w:pos="-1440"/>
                <w:tab w:val="left" w:pos="-720"/>
              </w:tabs>
              <w:jc w:val="both"/>
              <w:rPr>
                <w:sz w:val="20"/>
                <w:szCs w:val="20"/>
              </w:rPr>
            </w:pPr>
            <w:r w:rsidRPr="00956F45">
              <w:rPr>
                <w:sz w:val="20"/>
                <w:szCs w:val="20"/>
              </w:rPr>
              <w:tab/>
              <w:t>v. (34788)</w:t>
            </w:r>
          </w:p>
          <w:p w:rsidR="001A454A" w:rsidRPr="00956F45" w:rsidRDefault="001A454A" w:rsidP="006D6276">
            <w:pPr>
              <w:tabs>
                <w:tab w:val="left" w:pos="-1440"/>
                <w:tab w:val="left" w:pos="-720"/>
              </w:tabs>
              <w:jc w:val="both"/>
              <w:rPr>
                <w:sz w:val="20"/>
                <w:szCs w:val="20"/>
              </w:rPr>
            </w:pPr>
          </w:p>
          <w:p w:rsidR="001A454A" w:rsidRPr="00956F45" w:rsidRDefault="001A454A" w:rsidP="006D6276">
            <w:pPr>
              <w:tabs>
                <w:tab w:val="left" w:pos="-1440"/>
                <w:tab w:val="left" w:pos="-720"/>
              </w:tabs>
              <w:jc w:val="both"/>
              <w:rPr>
                <w:sz w:val="20"/>
                <w:szCs w:val="20"/>
                <w:lang w:val="fr-CA"/>
              </w:rPr>
            </w:pPr>
            <w:r w:rsidRPr="00956F45">
              <w:rPr>
                <w:sz w:val="20"/>
                <w:szCs w:val="20"/>
                <w:lang w:val="fr-CA"/>
              </w:rPr>
              <w:t>Terri Bedford et al. (Crim.) (Ont.)</w:t>
            </w:r>
          </w:p>
        </w:tc>
        <w:tc>
          <w:tcPr>
            <w:tcW w:w="1170" w:type="dxa"/>
          </w:tcPr>
          <w:p w:rsidR="001A454A" w:rsidRPr="00956F45" w:rsidRDefault="001A454A" w:rsidP="006D6276">
            <w:pPr>
              <w:tabs>
                <w:tab w:val="left" w:pos="-1440"/>
                <w:tab w:val="left" w:pos="-720"/>
              </w:tabs>
              <w:jc w:val="both"/>
              <w:rPr>
                <w:sz w:val="20"/>
                <w:szCs w:val="20"/>
                <w:lang w:val="fr-CA"/>
              </w:rPr>
            </w:pPr>
          </w:p>
        </w:tc>
        <w:tc>
          <w:tcPr>
            <w:tcW w:w="4327" w:type="dxa"/>
          </w:tcPr>
          <w:p w:rsidR="001A454A" w:rsidRPr="00956F45" w:rsidRDefault="001A454A" w:rsidP="006D6276">
            <w:pPr>
              <w:tabs>
                <w:tab w:val="left" w:pos="-1440"/>
                <w:tab w:val="left" w:pos="-720"/>
              </w:tabs>
              <w:jc w:val="both"/>
              <w:rPr>
                <w:sz w:val="20"/>
                <w:szCs w:val="20"/>
                <w:lang w:val="fr-CA"/>
              </w:rPr>
            </w:pPr>
          </w:p>
        </w:tc>
      </w:tr>
    </w:tbl>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tabs>
          <w:tab w:val="left" w:pos="-1440"/>
          <w:tab w:val="left" w:pos="-720"/>
        </w:tabs>
        <w:jc w:val="both"/>
        <w:rPr>
          <w:b/>
          <w:sz w:val="20"/>
          <w:szCs w:val="20"/>
          <w:lang w:val="fr-CA"/>
        </w:rPr>
      </w:pPr>
      <w:r w:rsidRPr="00956F45">
        <w:rPr>
          <w:b/>
          <w:sz w:val="20"/>
          <w:szCs w:val="20"/>
          <w:lang w:val="fr-CA"/>
        </w:rPr>
        <w:t>GRANTED / ACCORDÉE</w:t>
      </w:r>
    </w:p>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tabs>
          <w:tab w:val="left" w:pos="-1440"/>
          <w:tab w:val="left" w:pos="-720"/>
        </w:tabs>
        <w:jc w:val="both"/>
        <w:rPr>
          <w:sz w:val="20"/>
          <w:szCs w:val="20"/>
        </w:rPr>
      </w:pPr>
      <w:r w:rsidRPr="00956F45">
        <w:rPr>
          <w:sz w:val="20"/>
          <w:szCs w:val="20"/>
        </w:rPr>
        <w:t>Motion of the applicant for an interim interim order extending a stay until the respondents file their response to the motion for an interim stay granted.</w:t>
      </w:r>
    </w:p>
    <w:p w:rsidR="001A454A" w:rsidRPr="00956F45" w:rsidRDefault="001A454A" w:rsidP="001A454A">
      <w:pPr>
        <w:tabs>
          <w:tab w:val="left" w:pos="-1440"/>
          <w:tab w:val="left" w:pos="-720"/>
        </w:tabs>
        <w:jc w:val="both"/>
        <w:rPr>
          <w:sz w:val="20"/>
          <w:szCs w:val="20"/>
        </w:rPr>
      </w:pPr>
    </w:p>
    <w:p w:rsidR="001A454A" w:rsidRPr="00956F45" w:rsidRDefault="001A454A" w:rsidP="001A454A">
      <w:pPr>
        <w:tabs>
          <w:tab w:val="left" w:pos="-1440"/>
          <w:tab w:val="left" w:pos="-720"/>
        </w:tabs>
        <w:jc w:val="both"/>
        <w:rPr>
          <w:sz w:val="20"/>
          <w:szCs w:val="20"/>
        </w:rPr>
      </w:pPr>
    </w:p>
    <w:p w:rsidR="001A454A" w:rsidRPr="00956F45" w:rsidRDefault="001A454A" w:rsidP="001A454A">
      <w:pPr>
        <w:tabs>
          <w:tab w:val="left" w:pos="-1440"/>
          <w:tab w:val="left" w:pos="-720"/>
        </w:tabs>
        <w:jc w:val="both"/>
        <w:rPr>
          <w:sz w:val="20"/>
          <w:szCs w:val="20"/>
        </w:rPr>
      </w:pPr>
    </w:p>
    <w:p w:rsidR="001A454A" w:rsidRPr="00956F45" w:rsidRDefault="001A454A" w:rsidP="001A454A">
      <w:pPr>
        <w:jc w:val="both"/>
        <w:rPr>
          <w:color w:val="1F497D"/>
          <w:sz w:val="20"/>
          <w:szCs w:val="20"/>
        </w:rPr>
      </w:pPr>
      <w:r w:rsidRPr="00956F45">
        <w:rPr>
          <w:sz w:val="20"/>
          <w:szCs w:val="20"/>
          <w:lang w:val="fr-CA"/>
        </w:rPr>
        <w:t xml:space="preserve">Requête du demandeur en vue d’obtenir une ordonnance provisoire de prorogation de sursis jusqu’au dépôt de la réponse des intimés à la requête en sursis provisoire.  </w:t>
      </w:r>
      <w:r w:rsidRPr="00956F45">
        <w:rPr>
          <w:sz w:val="20"/>
          <w:szCs w:val="20"/>
        </w:rPr>
        <w:t>Requête accueillie.</w:t>
      </w:r>
    </w:p>
    <w:p w:rsidR="001A454A" w:rsidRPr="00956F45" w:rsidRDefault="001A454A" w:rsidP="001A454A">
      <w:pPr>
        <w:tabs>
          <w:tab w:val="left" w:pos="-1440"/>
          <w:tab w:val="left" w:pos="-720"/>
        </w:tabs>
        <w:jc w:val="both"/>
        <w:rPr>
          <w:sz w:val="20"/>
          <w:szCs w:val="20"/>
        </w:rPr>
      </w:pPr>
    </w:p>
    <w:p w:rsidR="001A454A" w:rsidRPr="00956F45" w:rsidRDefault="009753DF" w:rsidP="001A454A">
      <w:pPr>
        <w:tabs>
          <w:tab w:val="left" w:pos="-1440"/>
          <w:tab w:val="left" w:pos="-720"/>
        </w:tabs>
        <w:jc w:val="both"/>
        <w:rPr>
          <w:sz w:val="20"/>
          <w:szCs w:val="20"/>
          <w:lang w:val="fr-CA"/>
        </w:rPr>
      </w:pPr>
      <w:r w:rsidRPr="009753DF">
        <w:rPr>
          <w:sz w:val="20"/>
          <w:szCs w:val="20"/>
          <w:lang w:val="fr-CA"/>
        </w:rPr>
        <w:pict>
          <v:rect id="_x0000_i1055" style="width:2in;height:1pt" o:hrpct="0" o:hralign="center" o:hrstd="t" o:hrnoshade="t" o:hr="t" fillcolor="black [3213]" stroked="f"/>
        </w:pict>
      </w:r>
    </w:p>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tabs>
          <w:tab w:val="left" w:pos="-1440"/>
          <w:tab w:val="left" w:pos="-720"/>
        </w:tabs>
        <w:jc w:val="both"/>
        <w:rPr>
          <w:sz w:val="20"/>
          <w:szCs w:val="20"/>
          <w:lang w:val="fr-CA"/>
        </w:rPr>
      </w:pPr>
      <w:r w:rsidRPr="00956F45">
        <w:rPr>
          <w:sz w:val="20"/>
          <w:szCs w:val="20"/>
          <w:lang w:val="fr-CA"/>
        </w:rPr>
        <w:t>26.04.2012</w:t>
      </w:r>
    </w:p>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jc w:val="both"/>
        <w:rPr>
          <w:sz w:val="20"/>
          <w:szCs w:val="20"/>
          <w:lang w:val="fr-CA"/>
        </w:rPr>
      </w:pPr>
      <w:r w:rsidRPr="00956F45">
        <w:rPr>
          <w:sz w:val="20"/>
          <w:szCs w:val="20"/>
          <w:lang w:val="fr-CA"/>
        </w:rPr>
        <w:t>Before / Devant :   KARAKATSANIS J. / LA JUGE KARAKATSANIS</w:t>
      </w:r>
    </w:p>
    <w:p w:rsidR="001A454A" w:rsidRPr="00956F45" w:rsidRDefault="001A454A" w:rsidP="001A454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A454A" w:rsidRPr="00956F45" w:rsidTr="006D6276">
        <w:tc>
          <w:tcPr>
            <w:tcW w:w="4338" w:type="dxa"/>
          </w:tcPr>
          <w:p w:rsidR="001A454A" w:rsidRPr="00956F45" w:rsidRDefault="009753DF" w:rsidP="006D6276">
            <w:pPr>
              <w:tabs>
                <w:tab w:val="left" w:pos="-1440"/>
                <w:tab w:val="left" w:pos="-720"/>
              </w:tabs>
              <w:jc w:val="both"/>
              <w:rPr>
                <w:b/>
                <w:sz w:val="20"/>
                <w:szCs w:val="20"/>
              </w:rPr>
            </w:pPr>
            <w:r w:rsidRPr="00956F45">
              <w:rPr>
                <w:sz w:val="20"/>
                <w:szCs w:val="20"/>
              </w:rPr>
              <w:fldChar w:fldCharType="begin"/>
            </w:r>
            <w:r w:rsidR="001A454A" w:rsidRPr="00956F45">
              <w:rPr>
                <w:sz w:val="20"/>
                <w:szCs w:val="20"/>
              </w:rPr>
              <w:instrText xml:space="preserve"> SEQ CHAPTER \h \r 1</w:instrText>
            </w:r>
            <w:r w:rsidRPr="00956F45">
              <w:rPr>
                <w:sz w:val="20"/>
                <w:szCs w:val="20"/>
              </w:rPr>
              <w:fldChar w:fldCharType="end"/>
            </w:r>
            <w:r w:rsidR="001A454A" w:rsidRPr="00956F45">
              <w:rPr>
                <w:b/>
                <w:bCs/>
                <w:sz w:val="20"/>
                <w:szCs w:val="20"/>
              </w:rPr>
              <w:t>Motion for stay</w:t>
            </w:r>
          </w:p>
        </w:tc>
        <w:tc>
          <w:tcPr>
            <w:tcW w:w="1170" w:type="dxa"/>
          </w:tcPr>
          <w:p w:rsidR="001A454A" w:rsidRPr="00956F45" w:rsidRDefault="001A454A" w:rsidP="006D6276">
            <w:pPr>
              <w:tabs>
                <w:tab w:val="left" w:pos="-1440"/>
                <w:tab w:val="left" w:pos="-720"/>
              </w:tabs>
              <w:jc w:val="both"/>
              <w:rPr>
                <w:sz w:val="20"/>
                <w:szCs w:val="20"/>
              </w:rPr>
            </w:pPr>
          </w:p>
          <w:p w:rsidR="001A454A" w:rsidRPr="00956F45" w:rsidRDefault="001A454A" w:rsidP="006D6276">
            <w:pPr>
              <w:tabs>
                <w:tab w:val="left" w:pos="-1440"/>
                <w:tab w:val="left" w:pos="-720"/>
              </w:tabs>
              <w:jc w:val="both"/>
              <w:rPr>
                <w:sz w:val="20"/>
                <w:szCs w:val="20"/>
              </w:rPr>
            </w:pPr>
          </w:p>
        </w:tc>
        <w:tc>
          <w:tcPr>
            <w:tcW w:w="4327" w:type="dxa"/>
          </w:tcPr>
          <w:p w:rsidR="001A454A" w:rsidRPr="00956F45" w:rsidRDefault="009753DF" w:rsidP="006D6276">
            <w:pPr>
              <w:tabs>
                <w:tab w:val="left" w:pos="-1440"/>
                <w:tab w:val="left" w:pos="-720"/>
              </w:tabs>
              <w:jc w:val="both"/>
              <w:rPr>
                <w:sz w:val="20"/>
                <w:szCs w:val="20"/>
                <w:lang w:val="fr-CA"/>
              </w:rPr>
            </w:pPr>
            <w:r w:rsidRPr="00956F45">
              <w:rPr>
                <w:sz w:val="20"/>
                <w:szCs w:val="20"/>
              </w:rPr>
              <w:fldChar w:fldCharType="begin"/>
            </w:r>
            <w:r w:rsidR="001A454A" w:rsidRPr="00956F45">
              <w:rPr>
                <w:sz w:val="20"/>
                <w:szCs w:val="20"/>
                <w:lang w:val="fr-CA"/>
              </w:rPr>
              <w:instrText xml:space="preserve"> SEQ CHAPTER \h \r 1</w:instrText>
            </w:r>
            <w:r w:rsidRPr="00956F45">
              <w:rPr>
                <w:sz w:val="20"/>
                <w:szCs w:val="20"/>
              </w:rPr>
              <w:fldChar w:fldCharType="end"/>
            </w:r>
            <w:r w:rsidR="001A454A" w:rsidRPr="00956F45">
              <w:rPr>
                <w:b/>
                <w:bCs/>
                <w:sz w:val="20"/>
                <w:szCs w:val="20"/>
                <w:lang w:val="fr-CA"/>
              </w:rPr>
              <w:t>Requête en sursis</w:t>
            </w:r>
            <w:r w:rsidRPr="00956F45">
              <w:rPr>
                <w:sz w:val="20"/>
                <w:szCs w:val="20"/>
              </w:rPr>
              <w:fldChar w:fldCharType="begin"/>
            </w:r>
            <w:r w:rsidR="001A454A" w:rsidRPr="00956F45">
              <w:rPr>
                <w:sz w:val="20"/>
                <w:szCs w:val="20"/>
                <w:lang w:val="fr-CA"/>
              </w:rPr>
              <w:instrText xml:space="preserve"> SEQ CHAPTER \h \r 1</w:instrText>
            </w:r>
            <w:r w:rsidRPr="00956F45">
              <w:rPr>
                <w:sz w:val="20"/>
                <w:szCs w:val="20"/>
              </w:rPr>
              <w:fldChar w:fldCharType="end"/>
            </w:r>
            <w:r w:rsidRPr="00956F45">
              <w:rPr>
                <w:sz w:val="20"/>
                <w:szCs w:val="20"/>
              </w:rPr>
              <w:fldChar w:fldCharType="begin"/>
            </w:r>
            <w:r w:rsidR="001A454A" w:rsidRPr="00956F45">
              <w:rPr>
                <w:sz w:val="20"/>
                <w:szCs w:val="20"/>
                <w:lang w:val="fr-CA"/>
              </w:rPr>
              <w:instrText xml:space="preserve"> SEQ CHAPTER \h \r 1</w:instrText>
            </w:r>
            <w:r w:rsidRPr="00956F45">
              <w:rPr>
                <w:sz w:val="20"/>
                <w:szCs w:val="20"/>
              </w:rPr>
              <w:fldChar w:fldCharType="end"/>
            </w:r>
          </w:p>
        </w:tc>
      </w:tr>
      <w:tr w:rsidR="001A454A" w:rsidRPr="00956F45" w:rsidTr="006D6276">
        <w:tc>
          <w:tcPr>
            <w:tcW w:w="4338" w:type="dxa"/>
          </w:tcPr>
          <w:p w:rsidR="001A454A" w:rsidRPr="00956F45" w:rsidRDefault="001A454A" w:rsidP="006D6276">
            <w:pPr>
              <w:tabs>
                <w:tab w:val="left" w:pos="-1440"/>
                <w:tab w:val="left" w:pos="-720"/>
              </w:tabs>
              <w:jc w:val="both"/>
              <w:rPr>
                <w:sz w:val="20"/>
                <w:szCs w:val="20"/>
              </w:rPr>
            </w:pPr>
            <w:r w:rsidRPr="00956F45">
              <w:rPr>
                <w:sz w:val="20"/>
                <w:szCs w:val="20"/>
              </w:rPr>
              <w:t>Attorney General of Canada</w:t>
            </w:r>
          </w:p>
          <w:p w:rsidR="001A454A" w:rsidRPr="00956F45" w:rsidRDefault="001A454A" w:rsidP="006D6276">
            <w:pPr>
              <w:tabs>
                <w:tab w:val="left" w:pos="-1440"/>
                <w:tab w:val="left" w:pos="-720"/>
              </w:tabs>
              <w:jc w:val="both"/>
              <w:rPr>
                <w:sz w:val="20"/>
                <w:szCs w:val="20"/>
              </w:rPr>
            </w:pPr>
          </w:p>
          <w:p w:rsidR="001A454A" w:rsidRPr="00956F45" w:rsidRDefault="001A454A" w:rsidP="006D6276">
            <w:pPr>
              <w:tabs>
                <w:tab w:val="left" w:pos="-1440"/>
                <w:tab w:val="left" w:pos="-720"/>
              </w:tabs>
              <w:jc w:val="both"/>
              <w:rPr>
                <w:sz w:val="20"/>
                <w:szCs w:val="20"/>
              </w:rPr>
            </w:pPr>
            <w:r w:rsidRPr="00956F45">
              <w:rPr>
                <w:sz w:val="20"/>
                <w:szCs w:val="20"/>
              </w:rPr>
              <w:tab/>
              <w:t>v. (34788)</w:t>
            </w:r>
          </w:p>
          <w:p w:rsidR="001A454A" w:rsidRPr="00956F45" w:rsidRDefault="001A454A" w:rsidP="006D6276">
            <w:pPr>
              <w:tabs>
                <w:tab w:val="left" w:pos="-1440"/>
                <w:tab w:val="left" w:pos="-720"/>
              </w:tabs>
              <w:jc w:val="both"/>
              <w:rPr>
                <w:sz w:val="20"/>
                <w:szCs w:val="20"/>
              </w:rPr>
            </w:pPr>
          </w:p>
          <w:p w:rsidR="001A454A" w:rsidRPr="00956F45" w:rsidRDefault="001A454A" w:rsidP="006D6276">
            <w:pPr>
              <w:tabs>
                <w:tab w:val="left" w:pos="-1440"/>
                <w:tab w:val="left" w:pos="-720"/>
              </w:tabs>
              <w:jc w:val="both"/>
              <w:rPr>
                <w:sz w:val="20"/>
                <w:szCs w:val="20"/>
                <w:lang w:val="fr-CA"/>
              </w:rPr>
            </w:pPr>
            <w:r w:rsidRPr="00956F45">
              <w:rPr>
                <w:sz w:val="20"/>
                <w:szCs w:val="20"/>
                <w:lang w:val="fr-CA"/>
              </w:rPr>
              <w:t>Terri Bedford et al. (Crim.) (Ont.)</w:t>
            </w:r>
          </w:p>
        </w:tc>
        <w:tc>
          <w:tcPr>
            <w:tcW w:w="1170" w:type="dxa"/>
          </w:tcPr>
          <w:p w:rsidR="001A454A" w:rsidRPr="00956F45" w:rsidRDefault="001A454A" w:rsidP="006D6276">
            <w:pPr>
              <w:tabs>
                <w:tab w:val="left" w:pos="-1440"/>
                <w:tab w:val="left" w:pos="-720"/>
              </w:tabs>
              <w:jc w:val="both"/>
              <w:rPr>
                <w:sz w:val="20"/>
                <w:szCs w:val="20"/>
                <w:lang w:val="fr-CA"/>
              </w:rPr>
            </w:pPr>
          </w:p>
        </w:tc>
        <w:tc>
          <w:tcPr>
            <w:tcW w:w="4327" w:type="dxa"/>
          </w:tcPr>
          <w:p w:rsidR="001A454A" w:rsidRPr="00956F45" w:rsidRDefault="001A454A" w:rsidP="006D6276">
            <w:pPr>
              <w:tabs>
                <w:tab w:val="left" w:pos="-1440"/>
                <w:tab w:val="left" w:pos="-720"/>
              </w:tabs>
              <w:jc w:val="both"/>
              <w:rPr>
                <w:sz w:val="20"/>
                <w:szCs w:val="20"/>
                <w:lang w:val="fr-CA"/>
              </w:rPr>
            </w:pPr>
          </w:p>
        </w:tc>
      </w:tr>
    </w:tbl>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tabs>
          <w:tab w:val="left" w:pos="-1440"/>
          <w:tab w:val="left" w:pos="-720"/>
        </w:tabs>
        <w:jc w:val="both"/>
        <w:rPr>
          <w:b/>
          <w:sz w:val="20"/>
          <w:szCs w:val="20"/>
          <w:lang w:val="fr-CA"/>
        </w:rPr>
      </w:pPr>
      <w:r w:rsidRPr="00956F45">
        <w:rPr>
          <w:b/>
          <w:sz w:val="20"/>
          <w:szCs w:val="20"/>
          <w:lang w:val="fr-CA"/>
        </w:rPr>
        <w:t>GRANTED / ACCORDÉE</w:t>
      </w:r>
    </w:p>
    <w:p w:rsidR="001A454A" w:rsidRPr="00956F45" w:rsidRDefault="001A454A" w:rsidP="001A454A">
      <w:pPr>
        <w:tabs>
          <w:tab w:val="left" w:pos="-1440"/>
          <w:tab w:val="left" w:pos="-720"/>
        </w:tabs>
        <w:jc w:val="both"/>
        <w:rPr>
          <w:sz w:val="20"/>
          <w:szCs w:val="20"/>
          <w:lang w:val="fr-CA"/>
        </w:rPr>
      </w:pPr>
    </w:p>
    <w:p w:rsidR="001A454A" w:rsidRPr="00956F45" w:rsidRDefault="001A454A" w:rsidP="001A454A">
      <w:pPr>
        <w:jc w:val="both"/>
        <w:rPr>
          <w:sz w:val="20"/>
          <w:szCs w:val="20"/>
        </w:rPr>
      </w:pPr>
      <w:r w:rsidRPr="00956F45">
        <w:rPr>
          <w:b/>
          <w:sz w:val="20"/>
          <w:szCs w:val="20"/>
        </w:rPr>
        <w:t>UPON APPLICATION</w:t>
      </w:r>
      <w:r w:rsidRPr="00956F45">
        <w:rPr>
          <w:sz w:val="20"/>
          <w:szCs w:val="20"/>
        </w:rPr>
        <w:t xml:space="preserve"> by the Applicant, the Attorney General of Canada, for an interim order extending the 30-day stay of the decision of the Court of Appeal for Ontario to read in words of limitation into s. 212(1)(j) of the Criminal Code;</w:t>
      </w:r>
    </w:p>
    <w:p w:rsidR="001A454A" w:rsidRPr="00956F45" w:rsidRDefault="001A454A" w:rsidP="001A454A">
      <w:pPr>
        <w:jc w:val="both"/>
        <w:rPr>
          <w:sz w:val="20"/>
          <w:szCs w:val="20"/>
        </w:rPr>
      </w:pPr>
    </w:p>
    <w:p w:rsidR="001A454A" w:rsidRPr="00956F45" w:rsidRDefault="001A454A" w:rsidP="001A454A">
      <w:pPr>
        <w:jc w:val="both"/>
        <w:rPr>
          <w:sz w:val="20"/>
          <w:szCs w:val="20"/>
        </w:rPr>
      </w:pPr>
      <w:r w:rsidRPr="00956F45">
        <w:rPr>
          <w:b/>
          <w:sz w:val="20"/>
          <w:szCs w:val="20"/>
        </w:rPr>
        <w:t>AND FURTHER TO MY ORDER OF APRIL 25, 2012</w:t>
      </w:r>
      <w:r w:rsidRPr="00956F45">
        <w:rPr>
          <w:sz w:val="20"/>
          <w:szCs w:val="20"/>
        </w:rPr>
        <w:t>;</w:t>
      </w:r>
    </w:p>
    <w:p w:rsidR="001A454A" w:rsidRPr="00956F45" w:rsidRDefault="001A454A" w:rsidP="001A454A">
      <w:pPr>
        <w:jc w:val="both"/>
        <w:rPr>
          <w:sz w:val="20"/>
          <w:szCs w:val="20"/>
        </w:rPr>
      </w:pPr>
    </w:p>
    <w:p w:rsidR="001A454A" w:rsidRPr="00956F45" w:rsidRDefault="001A454A" w:rsidP="001A454A">
      <w:pPr>
        <w:jc w:val="both"/>
        <w:rPr>
          <w:sz w:val="20"/>
          <w:szCs w:val="20"/>
        </w:rPr>
      </w:pPr>
      <w:r w:rsidRPr="00956F45">
        <w:rPr>
          <w:b/>
          <w:sz w:val="20"/>
          <w:szCs w:val="20"/>
        </w:rPr>
        <w:t>AND HAVING READ THE MATERIAL FILED</w:t>
      </w:r>
      <w:r w:rsidRPr="00956F45">
        <w:rPr>
          <w:sz w:val="20"/>
          <w:szCs w:val="20"/>
        </w:rPr>
        <w:t xml:space="preserve">; </w:t>
      </w:r>
    </w:p>
    <w:p w:rsidR="001A454A" w:rsidRPr="00956F45" w:rsidRDefault="001A454A" w:rsidP="001A454A">
      <w:pPr>
        <w:jc w:val="both"/>
        <w:rPr>
          <w:sz w:val="20"/>
          <w:szCs w:val="20"/>
        </w:rPr>
      </w:pPr>
    </w:p>
    <w:p w:rsidR="001A454A" w:rsidRPr="00956F45" w:rsidRDefault="001A454A" w:rsidP="001A454A">
      <w:pPr>
        <w:jc w:val="both"/>
        <w:rPr>
          <w:sz w:val="20"/>
          <w:szCs w:val="20"/>
        </w:rPr>
      </w:pPr>
      <w:r w:rsidRPr="00956F45">
        <w:rPr>
          <w:sz w:val="20"/>
          <w:szCs w:val="20"/>
        </w:rPr>
        <w:t>I am satisfied that it is in the public interest to grant an interim stay in order to maintain the status quo for the relatively short period of time until the motion for a stay is finally disposed of.</w:t>
      </w:r>
    </w:p>
    <w:p w:rsidR="001A454A" w:rsidRPr="00956F45" w:rsidRDefault="001A454A" w:rsidP="001A454A">
      <w:pPr>
        <w:jc w:val="both"/>
        <w:rPr>
          <w:sz w:val="20"/>
          <w:szCs w:val="20"/>
        </w:rPr>
      </w:pPr>
    </w:p>
    <w:p w:rsidR="001A454A" w:rsidRPr="00956F45" w:rsidRDefault="001A454A" w:rsidP="001A454A">
      <w:pPr>
        <w:jc w:val="both"/>
        <w:rPr>
          <w:sz w:val="20"/>
          <w:szCs w:val="20"/>
        </w:rPr>
      </w:pPr>
      <w:r w:rsidRPr="00956F45">
        <w:rPr>
          <w:b/>
          <w:sz w:val="20"/>
          <w:szCs w:val="20"/>
        </w:rPr>
        <w:t>THEREFORE IT IS HEREBY ORDERED THAT</w:t>
      </w:r>
      <w:r w:rsidRPr="00956F45">
        <w:rPr>
          <w:sz w:val="20"/>
          <w:szCs w:val="20"/>
        </w:rPr>
        <w:t xml:space="preserve"> an interim stay is granted.</w:t>
      </w:r>
    </w:p>
    <w:p w:rsidR="001A454A" w:rsidRPr="00956F45" w:rsidRDefault="001A454A" w:rsidP="001A454A">
      <w:pPr>
        <w:tabs>
          <w:tab w:val="left" w:pos="-1440"/>
          <w:tab w:val="left" w:pos="-720"/>
        </w:tabs>
        <w:jc w:val="both"/>
        <w:rPr>
          <w:sz w:val="20"/>
          <w:szCs w:val="20"/>
        </w:rPr>
      </w:pPr>
    </w:p>
    <w:p w:rsidR="001A454A" w:rsidRPr="00956F45" w:rsidRDefault="001A454A" w:rsidP="001A454A">
      <w:pPr>
        <w:tabs>
          <w:tab w:val="left" w:pos="-1440"/>
          <w:tab w:val="left" w:pos="-720"/>
        </w:tabs>
        <w:jc w:val="both"/>
        <w:rPr>
          <w:sz w:val="20"/>
          <w:szCs w:val="20"/>
        </w:rPr>
      </w:pPr>
    </w:p>
    <w:p w:rsidR="001A454A" w:rsidRPr="00956F45" w:rsidRDefault="001A454A" w:rsidP="001A454A">
      <w:pPr>
        <w:tabs>
          <w:tab w:val="left" w:pos="-1440"/>
          <w:tab w:val="left" w:pos="-720"/>
        </w:tabs>
        <w:jc w:val="both"/>
        <w:rPr>
          <w:sz w:val="20"/>
          <w:szCs w:val="20"/>
        </w:rPr>
      </w:pPr>
    </w:p>
    <w:p w:rsidR="001A454A" w:rsidRPr="00956F45" w:rsidRDefault="001A454A" w:rsidP="001A454A">
      <w:pPr>
        <w:jc w:val="both"/>
        <w:rPr>
          <w:sz w:val="20"/>
          <w:szCs w:val="20"/>
          <w:lang w:val="fr-FR"/>
        </w:rPr>
      </w:pPr>
      <w:r w:rsidRPr="00956F45">
        <w:rPr>
          <w:b/>
          <w:sz w:val="20"/>
          <w:szCs w:val="20"/>
          <w:lang w:val="fr-FR"/>
        </w:rPr>
        <w:lastRenderedPageBreak/>
        <w:t>À LA SUITE DE LA REQUÊTE</w:t>
      </w:r>
      <w:r w:rsidRPr="00956F45">
        <w:rPr>
          <w:sz w:val="20"/>
          <w:szCs w:val="20"/>
          <w:lang w:val="fr-FR"/>
        </w:rPr>
        <w:t xml:space="preserve"> du demandeur, le procureur général du Canada, en vue d’obtenir la prorogation provisoire du sursis de 30 jours de la décision de la Cour d’appel de l’Ontario qui a jugé que le libellé de l’al. 212(1)</w:t>
      </w:r>
      <w:r w:rsidRPr="00956F45">
        <w:rPr>
          <w:i/>
          <w:sz w:val="20"/>
          <w:szCs w:val="20"/>
          <w:lang w:val="fr-FR"/>
        </w:rPr>
        <w:t>j</w:t>
      </w:r>
      <w:r w:rsidRPr="00956F45">
        <w:rPr>
          <w:sz w:val="20"/>
          <w:szCs w:val="20"/>
          <w:lang w:val="fr-FR"/>
        </w:rPr>
        <w:t xml:space="preserve">) du </w:t>
      </w:r>
      <w:r w:rsidRPr="00956F45">
        <w:rPr>
          <w:i/>
          <w:sz w:val="20"/>
          <w:szCs w:val="20"/>
          <w:lang w:val="fr-FR"/>
        </w:rPr>
        <w:t>Code criminel</w:t>
      </w:r>
      <w:r w:rsidRPr="00956F45">
        <w:rPr>
          <w:sz w:val="20"/>
          <w:szCs w:val="20"/>
          <w:lang w:val="fr-FR"/>
        </w:rPr>
        <w:t xml:space="preserve"> contient des termes restrictifs ;</w:t>
      </w:r>
    </w:p>
    <w:p w:rsidR="001A454A" w:rsidRPr="00956F45" w:rsidRDefault="001A454A" w:rsidP="001A454A">
      <w:pPr>
        <w:jc w:val="both"/>
        <w:rPr>
          <w:sz w:val="20"/>
          <w:szCs w:val="20"/>
          <w:lang w:val="fr-FR"/>
        </w:rPr>
      </w:pPr>
    </w:p>
    <w:p w:rsidR="001A454A" w:rsidRPr="00956F45" w:rsidRDefault="001A454A" w:rsidP="001A454A">
      <w:pPr>
        <w:jc w:val="both"/>
        <w:rPr>
          <w:b/>
          <w:sz w:val="20"/>
          <w:szCs w:val="20"/>
          <w:lang w:val="fr-FR"/>
        </w:rPr>
      </w:pPr>
      <w:r w:rsidRPr="00956F45">
        <w:rPr>
          <w:b/>
          <w:sz w:val="20"/>
          <w:szCs w:val="20"/>
          <w:lang w:val="fr-FR"/>
        </w:rPr>
        <w:t>ET À LA SUITE DE L’ORDONNANCE QUE J’AI RENDUE LE 25 AVRIL 2012 ;</w:t>
      </w:r>
    </w:p>
    <w:p w:rsidR="001A454A" w:rsidRPr="00956F45" w:rsidRDefault="001A454A" w:rsidP="001A454A">
      <w:pPr>
        <w:rPr>
          <w:b/>
          <w:sz w:val="20"/>
          <w:szCs w:val="20"/>
          <w:lang w:val="fr-FR"/>
        </w:rPr>
      </w:pPr>
    </w:p>
    <w:p w:rsidR="001A454A" w:rsidRPr="00956F45" w:rsidRDefault="001A454A" w:rsidP="001A454A">
      <w:pPr>
        <w:jc w:val="both"/>
        <w:rPr>
          <w:sz w:val="20"/>
          <w:szCs w:val="20"/>
          <w:lang w:val="fr-FR"/>
        </w:rPr>
      </w:pPr>
      <w:r w:rsidRPr="00956F45">
        <w:rPr>
          <w:b/>
          <w:sz w:val="20"/>
          <w:szCs w:val="20"/>
          <w:lang w:val="fr-FR"/>
        </w:rPr>
        <w:t>ET APRÈS EXAMEN</w:t>
      </w:r>
      <w:r w:rsidRPr="00956F45">
        <w:rPr>
          <w:sz w:val="20"/>
          <w:szCs w:val="20"/>
          <w:lang w:val="fr-FR"/>
        </w:rPr>
        <w:t xml:space="preserve"> des documents déposés; </w:t>
      </w:r>
    </w:p>
    <w:p w:rsidR="001A454A" w:rsidRPr="00956F45" w:rsidRDefault="001A454A" w:rsidP="001A454A">
      <w:pPr>
        <w:jc w:val="both"/>
        <w:rPr>
          <w:sz w:val="20"/>
          <w:szCs w:val="20"/>
          <w:lang w:val="fr-FR"/>
        </w:rPr>
      </w:pPr>
    </w:p>
    <w:p w:rsidR="001A454A" w:rsidRPr="00956F45" w:rsidRDefault="001A454A" w:rsidP="001A454A">
      <w:pPr>
        <w:jc w:val="both"/>
        <w:rPr>
          <w:sz w:val="20"/>
          <w:szCs w:val="20"/>
          <w:lang w:val="fr-FR"/>
        </w:rPr>
      </w:pPr>
      <w:r w:rsidRPr="00956F45">
        <w:rPr>
          <w:sz w:val="20"/>
          <w:szCs w:val="20"/>
          <w:lang w:val="fr-FR"/>
        </w:rPr>
        <w:t>Je suis convaincue qu’il est dans l’intérêt public d’accorder un sursis provisoire de manière à préserver le statu quo pour une courte période de temps, soit jusqu’à ce que la requête en sursis soit jugée sur le fond.</w:t>
      </w:r>
    </w:p>
    <w:p w:rsidR="001A454A" w:rsidRPr="00956F45" w:rsidRDefault="001A454A" w:rsidP="001A454A">
      <w:pPr>
        <w:jc w:val="both"/>
        <w:rPr>
          <w:sz w:val="20"/>
          <w:szCs w:val="20"/>
          <w:lang w:val="fr-FR"/>
        </w:rPr>
      </w:pPr>
    </w:p>
    <w:p w:rsidR="001A454A" w:rsidRPr="00956F45" w:rsidRDefault="001A454A" w:rsidP="001A454A">
      <w:pPr>
        <w:jc w:val="both"/>
        <w:rPr>
          <w:sz w:val="20"/>
          <w:szCs w:val="20"/>
          <w:lang w:val="fr-FR"/>
        </w:rPr>
      </w:pPr>
      <w:r w:rsidRPr="00956F45">
        <w:rPr>
          <w:b/>
          <w:sz w:val="20"/>
          <w:szCs w:val="20"/>
          <w:lang w:val="fr-FR"/>
        </w:rPr>
        <w:t>EN CONSÉQUENCE, IL EST ORDONNÉ QU’</w:t>
      </w:r>
      <w:r w:rsidRPr="00956F45">
        <w:rPr>
          <w:sz w:val="20"/>
          <w:szCs w:val="20"/>
          <w:lang w:val="fr-FR"/>
        </w:rPr>
        <w:t>un sursis provisoire soit accordé.</w:t>
      </w:r>
    </w:p>
    <w:p w:rsidR="001A454A" w:rsidRPr="00956F45" w:rsidRDefault="001A454A" w:rsidP="001A454A">
      <w:pPr>
        <w:tabs>
          <w:tab w:val="left" w:pos="-1440"/>
          <w:tab w:val="left" w:pos="-720"/>
        </w:tabs>
        <w:jc w:val="both"/>
        <w:rPr>
          <w:sz w:val="20"/>
          <w:szCs w:val="20"/>
          <w:lang w:val="fr-FR"/>
        </w:rPr>
      </w:pPr>
    </w:p>
    <w:p w:rsidR="001A454A" w:rsidRPr="00956F45" w:rsidRDefault="009753DF" w:rsidP="001A454A">
      <w:pPr>
        <w:tabs>
          <w:tab w:val="left" w:pos="-1440"/>
          <w:tab w:val="left" w:pos="-720"/>
        </w:tabs>
        <w:jc w:val="both"/>
        <w:rPr>
          <w:sz w:val="20"/>
          <w:szCs w:val="20"/>
          <w:lang w:val="fr-CA"/>
        </w:rPr>
      </w:pPr>
      <w:r w:rsidRPr="009753DF">
        <w:rPr>
          <w:sz w:val="20"/>
          <w:szCs w:val="20"/>
          <w:lang w:val="fr-CA"/>
        </w:rPr>
        <w:pict>
          <v:rect id="_x0000_i1056" style="width:2in;height:1pt" o:hrpct="0" o:hralign="center" o:hrstd="t" o:hrnoshade="t" o:hr="t" fillcolor="black [3213]" stroked="f"/>
        </w:pict>
      </w:r>
    </w:p>
    <w:p w:rsidR="001A454A" w:rsidRDefault="001A454A" w:rsidP="001A454A">
      <w:pPr>
        <w:tabs>
          <w:tab w:val="left" w:pos="-1440"/>
          <w:tab w:val="left" w:pos="-720"/>
        </w:tabs>
        <w:jc w:val="both"/>
        <w:rPr>
          <w:sz w:val="20"/>
          <w:szCs w:val="20"/>
          <w:lang w:val="fr-CA"/>
        </w:rPr>
      </w:pPr>
    </w:p>
    <w:p w:rsidR="001A454A" w:rsidRDefault="001A454A" w:rsidP="001A454A">
      <w:pPr>
        <w:tabs>
          <w:tab w:val="left" w:pos="-1440"/>
          <w:tab w:val="left" w:pos="-720"/>
        </w:tabs>
        <w:jc w:val="both"/>
        <w:rPr>
          <w:sz w:val="20"/>
          <w:szCs w:val="20"/>
          <w:lang w:val="fr-CA"/>
        </w:rPr>
      </w:pPr>
    </w:p>
    <w:p w:rsidR="001A454A" w:rsidRPr="00956F45" w:rsidRDefault="001A454A" w:rsidP="001A454A">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8C68F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D036E2" w:rsidRDefault="00D036E2" w:rsidP="003B3977">
            <w:pPr>
              <w:rPr>
                <w:sz w:val="20"/>
                <w:szCs w:val="20"/>
                <w:lang w:val="fr-CA"/>
              </w:rPr>
            </w:pPr>
            <w:r w:rsidRPr="00D036E2">
              <w:rPr>
                <w:sz w:val="20"/>
                <w:szCs w:val="20"/>
                <w:lang w:val="fr-CA"/>
              </w:rPr>
              <w:t>18</w:t>
            </w:r>
            <w:r w:rsidR="0010587F" w:rsidRPr="00D036E2">
              <w:rPr>
                <w:sz w:val="20"/>
                <w:szCs w:val="20"/>
                <w:lang w:val="fr-CA"/>
              </w:rPr>
              <w:t>.0</w:t>
            </w:r>
            <w:r w:rsidRPr="00D036E2">
              <w:rPr>
                <w:sz w:val="20"/>
                <w:szCs w:val="20"/>
                <w:lang w:val="fr-CA"/>
              </w:rPr>
              <w:t>4</w:t>
            </w:r>
            <w:r w:rsidR="0010587F" w:rsidRPr="00D036E2">
              <w:rPr>
                <w:sz w:val="20"/>
                <w:szCs w:val="20"/>
                <w:lang w:val="fr-CA"/>
              </w:rPr>
              <w:t>.201</w:t>
            </w:r>
            <w:r w:rsidRPr="00D036E2">
              <w:rPr>
                <w:sz w:val="20"/>
                <w:szCs w:val="20"/>
                <w:lang w:val="fr-CA"/>
              </w:rPr>
              <w:t>2</w:t>
            </w:r>
          </w:p>
          <w:p w:rsidR="0010587F" w:rsidRPr="00D036E2" w:rsidRDefault="0010587F" w:rsidP="003B3977">
            <w:pPr>
              <w:rPr>
                <w:sz w:val="20"/>
                <w:szCs w:val="20"/>
                <w:lang w:val="fr-CA"/>
              </w:rPr>
            </w:pPr>
          </w:p>
          <w:p w:rsidR="0010587F" w:rsidRPr="00D036E2" w:rsidRDefault="00D036E2" w:rsidP="003B3977">
            <w:pPr>
              <w:rPr>
                <w:b/>
                <w:sz w:val="20"/>
                <w:szCs w:val="20"/>
                <w:lang w:val="fr-CA"/>
              </w:rPr>
            </w:pPr>
            <w:r w:rsidRPr="00D036E2">
              <w:rPr>
                <w:b/>
                <w:sz w:val="20"/>
                <w:szCs w:val="20"/>
                <w:lang w:val="fr-CA"/>
              </w:rPr>
              <w:t>Marine Services International Limited et al.</w:t>
            </w:r>
          </w:p>
          <w:p w:rsidR="0010587F" w:rsidRPr="00D036E2" w:rsidRDefault="0010587F" w:rsidP="003B3977">
            <w:pPr>
              <w:rPr>
                <w:b/>
                <w:sz w:val="20"/>
                <w:szCs w:val="20"/>
                <w:lang w:val="fr-CA"/>
              </w:rPr>
            </w:pPr>
          </w:p>
          <w:p w:rsidR="0010587F" w:rsidRPr="003B3977" w:rsidRDefault="0010587F" w:rsidP="003B3977">
            <w:pPr>
              <w:rPr>
                <w:b/>
                <w:sz w:val="20"/>
                <w:szCs w:val="20"/>
              </w:rPr>
            </w:pPr>
            <w:r w:rsidRPr="00D036E2">
              <w:rPr>
                <w:b/>
                <w:sz w:val="20"/>
                <w:szCs w:val="20"/>
                <w:lang w:val="fr-CA"/>
              </w:rPr>
              <w:tab/>
            </w:r>
            <w:r w:rsidRPr="003B3977">
              <w:rPr>
                <w:b/>
                <w:sz w:val="20"/>
                <w:szCs w:val="20"/>
              </w:rPr>
              <w:t>v. (34</w:t>
            </w:r>
            <w:r w:rsidR="00D036E2">
              <w:rPr>
                <w:b/>
                <w:sz w:val="20"/>
                <w:szCs w:val="20"/>
              </w:rPr>
              <w:t>429</w:t>
            </w:r>
            <w:r w:rsidRPr="003B3977">
              <w:rPr>
                <w:b/>
                <w:sz w:val="20"/>
                <w:szCs w:val="20"/>
              </w:rPr>
              <w:t>)</w:t>
            </w:r>
          </w:p>
          <w:p w:rsidR="0010587F" w:rsidRPr="003B3977" w:rsidRDefault="0010587F" w:rsidP="003B3977">
            <w:pPr>
              <w:rPr>
                <w:b/>
                <w:sz w:val="20"/>
                <w:szCs w:val="20"/>
              </w:rPr>
            </w:pPr>
          </w:p>
          <w:p w:rsidR="0010587F" w:rsidRPr="003B3977" w:rsidRDefault="00D036E2" w:rsidP="003B3977">
            <w:pPr>
              <w:rPr>
                <w:b/>
                <w:sz w:val="20"/>
                <w:szCs w:val="20"/>
              </w:rPr>
            </w:pPr>
            <w:r>
              <w:rPr>
                <w:b/>
                <w:sz w:val="20"/>
                <w:szCs w:val="20"/>
              </w:rPr>
              <w:t>Estate of Joseph Ryan, by it’s Administratrix, Yvonne Ryan et al.</w:t>
            </w:r>
            <w:r w:rsidR="0010587F" w:rsidRPr="003B3977">
              <w:rPr>
                <w:b/>
                <w:sz w:val="20"/>
                <w:szCs w:val="20"/>
              </w:rPr>
              <w:t xml:space="preserve"> (</w:t>
            </w:r>
            <w:r>
              <w:rPr>
                <w:b/>
                <w:sz w:val="20"/>
                <w:szCs w:val="20"/>
              </w:rPr>
              <w:t>N.L</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D036E2">
              <w:rPr>
                <w:sz w:val="20"/>
                <w:szCs w:val="20"/>
              </w:rPr>
              <w:t>By Leave</w:t>
            </w:r>
            <w:r w:rsidRPr="003B3977">
              <w:rPr>
                <w:sz w:val="20"/>
                <w:szCs w:val="20"/>
              </w:rPr>
              <w:t>)</w:t>
            </w:r>
          </w:p>
          <w:p w:rsidR="0010587F" w:rsidRPr="003B3977" w:rsidRDefault="0010587F" w:rsidP="003B3977">
            <w:pPr>
              <w:rPr>
                <w:sz w:val="20"/>
                <w:szCs w:val="20"/>
              </w:rPr>
            </w:pPr>
          </w:p>
          <w:p w:rsidR="0010587F" w:rsidRPr="00D036E2" w:rsidRDefault="009753DF" w:rsidP="003B3977">
            <w:pPr>
              <w:rPr>
                <w:sz w:val="20"/>
                <w:szCs w:val="20"/>
              </w:rPr>
            </w:pPr>
            <w:r w:rsidRPr="009753DF">
              <w:rPr>
                <w:sz w:val="20"/>
                <w:szCs w:val="20"/>
                <w:lang w:val="fr-CA"/>
              </w:rPr>
              <w:pict>
                <v:rect id="_x0000_i105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F95E51" w:rsidRDefault="00F95E51" w:rsidP="00F40249">
      <w:pPr>
        <w:rPr>
          <w:sz w:val="20"/>
          <w:szCs w:val="20"/>
        </w:rPr>
      </w:pPr>
    </w:p>
    <w:p w:rsidR="00F95E51" w:rsidRDefault="00F95E51" w:rsidP="00F40249">
      <w:pPr>
        <w:rPr>
          <w:sz w:val="20"/>
          <w:szCs w:val="20"/>
        </w:rPr>
      </w:pPr>
    </w:p>
    <w:p w:rsidR="00F95E51" w:rsidRDefault="00F95E51"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E903A1" w:rsidRPr="002E0C7E" w:rsidRDefault="009753DF"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3"/>
      <w:footerReference w:type="default" r:id="rId4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0D" w:rsidRDefault="00E5400D" w:rsidP="00A87207">
      <w:r>
        <w:separator/>
      </w:r>
    </w:p>
  </w:endnote>
  <w:endnote w:type="continuationSeparator" w:id="0">
    <w:p w:rsidR="00E5400D" w:rsidRDefault="00E5400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pPr>
      <w:pStyle w:val="Footer"/>
      <w:rPr>
        <w:lang w:val="fr-CA"/>
      </w:rPr>
    </w:pPr>
    <w:r w:rsidRPr="009753DF">
      <w:rPr>
        <w:lang w:val="fr-CA"/>
      </w:rPr>
      <w:pict>
        <v:rect id="_x0000_i1053" style="width:480.95pt;height:1pt" o:hralign="center" o:hrstd="t" o:hrnoshade="t" o:hr="t" fillcolor="black [3213]" stroked="f"/>
      </w:pict>
    </w:r>
  </w:p>
  <w:p w:rsidR="00E5400D" w:rsidRDefault="00E5400D" w:rsidP="00245129">
    <w:pPr>
      <w:tabs>
        <w:tab w:val="center" w:pos="4680"/>
      </w:tabs>
    </w:pPr>
    <w:r>
      <w:tab/>
    </w:r>
    <w:r w:rsidRPr="0009648D">
      <w:t xml:space="preserve">- </w:t>
    </w:r>
    <w:fldSimple w:instr=" PAGE   \* MERGEFORMAT ">
      <w:r w:rsidR="00C43006">
        <w:rPr>
          <w:noProof/>
        </w:rPr>
        <w:t>689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400D"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00D" w:rsidRDefault="00E5400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rsidP="00755F22">
    <w:pPr>
      <w:tabs>
        <w:tab w:val="left" w:pos="-1440"/>
        <w:tab w:val="left" w:pos="-720"/>
      </w:tabs>
    </w:pPr>
    <w:r>
      <w:pict>
        <v:rect id="_x0000_i1057" style="width:480.95pt;height:1pt" o:hralign="center" o:hrstd="t" o:hrnoshade="t" o:hr="t" fillcolor="black [3213]" stroked="f"/>
      </w:pict>
    </w:r>
  </w:p>
  <w:p w:rsidR="00E5400D" w:rsidRDefault="00E5400D" w:rsidP="00EB2B90">
    <w:pPr>
      <w:tabs>
        <w:tab w:val="center" w:pos="4680"/>
      </w:tabs>
    </w:pPr>
    <w:r>
      <w:tab/>
      <w:t xml:space="preserve">- </w:t>
    </w:r>
    <w:fldSimple w:instr=" PAGE   \* MERGEFORMAT ">
      <w:r w:rsidR="00C43006">
        <w:rPr>
          <w:noProof/>
        </w:rPr>
        <w:t>703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rsidP="00EB2B90">
    <w:pPr>
      <w:tabs>
        <w:tab w:val="center" w:pos="4680"/>
      </w:tabs>
    </w:pPr>
    <w:r>
      <w:pict>
        <v:rect id="_x0000_i1058" style="width:480.95pt;height:1pt" o:hralign="center" o:hrstd="t" o:hrnoshade="t" o:hr="t" fillcolor="black [3213]" stroked="f"/>
      </w:pict>
    </w:r>
  </w:p>
  <w:p w:rsidR="00E5400D" w:rsidRPr="0031432F" w:rsidRDefault="00E5400D" w:rsidP="00EB2B90">
    <w:pPr>
      <w:tabs>
        <w:tab w:val="center" w:pos="4680"/>
      </w:tabs>
    </w:pPr>
    <w:r>
      <w:tab/>
      <w:t xml:space="preserve">- </w:t>
    </w:r>
    <w:fldSimple w:instr=" PAGE   \* MERGEFORMAT ">
      <w:r w:rsidR="00C43006">
        <w:rPr>
          <w:noProof/>
        </w:rPr>
        <w:t>700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400D"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00D" w:rsidRDefault="00E5400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753DF">
      <w:rPr>
        <w:lang w:val="fr-CA"/>
      </w:rPr>
      <w:pict>
        <v:rect id="_x0000_i1060" style="width:480.95pt;height:1pt" o:hralign="center" o:hrstd="t" o:hrnoshade="t" o:hr="t" fillcolor="black [3213]" stroked="f"/>
      </w:pict>
    </w:r>
  </w:p>
  <w:p w:rsidR="00E5400D" w:rsidRDefault="00E5400D"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pPr>
      <w:pStyle w:val="Footer"/>
      <w:rPr>
        <w:lang w:val="fr-CA"/>
      </w:rPr>
    </w:pPr>
    <w:r w:rsidRPr="009753DF">
      <w:rPr>
        <w:lang w:val="fr-CA"/>
      </w:rPr>
      <w:pict>
        <v:rect id="_x0000_i1061" style="width:480.95pt;height:1pt" o:hralign="center" o:hrstd="t" o:hrnoshade="t" o:hr="t" fillcolor="black [3213]" stroked="f"/>
      </w:pict>
    </w:r>
  </w:p>
  <w:p w:rsidR="00E5400D" w:rsidRDefault="00E5400D" w:rsidP="00EB2B90">
    <w:pPr>
      <w:tabs>
        <w:tab w:val="center" w:pos="4680"/>
      </w:tabs>
    </w:pPr>
    <w:r>
      <w:tab/>
      <w:t xml:space="preserve">- </w:t>
    </w:r>
    <w:fldSimple w:instr=" PAGE   \* MERGEFORMAT ">
      <w:r w:rsidR="00C43006">
        <w:rPr>
          <w:noProof/>
        </w:rPr>
        <w:t>704</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Pr="00924065" w:rsidRDefault="00E5400D"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rsidP="00A87207">
    <w:pPr>
      <w:pStyle w:val="Footer"/>
    </w:pPr>
    <w:r>
      <w:pict>
        <v:rect id="_x0000_i1035" style="width:480.95pt;height:1pt" o:hralign="center" o:hrstd="t" o:hrnoshade="t" o:hr="t" fillcolor="black [3213]" stroked="f"/>
      </w:pict>
    </w:r>
  </w:p>
  <w:p w:rsidR="00E5400D" w:rsidRPr="00B7374B" w:rsidRDefault="00E5400D" w:rsidP="00B7374B">
    <w:pPr>
      <w:tabs>
        <w:tab w:val="center" w:pos="4680"/>
      </w:tabs>
      <w:rPr>
        <w:szCs w:val="24"/>
      </w:rPr>
    </w:pPr>
    <w:r w:rsidRPr="00954D22">
      <w:rPr>
        <w:szCs w:val="24"/>
      </w:rPr>
      <w:tab/>
      <w:t xml:space="preserve">- </w:t>
    </w:r>
    <w:r w:rsidR="009753DF" w:rsidRPr="00954D22">
      <w:rPr>
        <w:szCs w:val="24"/>
      </w:rPr>
      <w:fldChar w:fldCharType="begin"/>
    </w:r>
    <w:r w:rsidRPr="00954D22">
      <w:rPr>
        <w:szCs w:val="24"/>
      </w:rPr>
      <w:instrText xml:space="preserve"> PAGE   \* MERGEFORMAT </w:instrText>
    </w:r>
    <w:r w:rsidR="009753DF" w:rsidRPr="00954D22">
      <w:rPr>
        <w:szCs w:val="24"/>
      </w:rPr>
      <w:fldChar w:fldCharType="separate"/>
    </w:r>
    <w:r w:rsidR="00C43006">
      <w:rPr>
        <w:noProof/>
        <w:szCs w:val="24"/>
      </w:rPr>
      <w:t>687</w:t>
    </w:r>
    <w:r w:rsidR="009753DF"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rsidP="00755F22">
    <w:pPr>
      <w:tabs>
        <w:tab w:val="left" w:pos="-1440"/>
        <w:tab w:val="left" w:pos="-720"/>
      </w:tabs>
    </w:pPr>
    <w:r>
      <w:pict>
        <v:rect id="_x0000_i1036" style="width:480.95pt;height:1pt" o:hralign="center" o:hrstd="t" o:hrnoshade="t" o:hr="t" fillcolor="black [3213]" stroked="f"/>
      </w:pict>
    </w:r>
  </w:p>
  <w:p w:rsidR="00E5400D" w:rsidRPr="00954D22" w:rsidRDefault="00E5400D" w:rsidP="00B7374B">
    <w:pPr>
      <w:tabs>
        <w:tab w:val="center" w:pos="4680"/>
      </w:tabs>
      <w:rPr>
        <w:szCs w:val="24"/>
      </w:rPr>
    </w:pPr>
    <w:r w:rsidRPr="00954D22">
      <w:rPr>
        <w:szCs w:val="24"/>
      </w:rPr>
      <w:tab/>
      <w:t xml:space="preserve">- </w:t>
    </w:r>
    <w:r w:rsidR="009753DF">
      <w:rPr>
        <w:szCs w:val="24"/>
      </w:rPr>
      <w:fldChar w:fldCharType="begin"/>
    </w:r>
    <w:r>
      <w:rPr>
        <w:szCs w:val="24"/>
      </w:rPr>
      <w:instrText xml:space="preserve"> PAGE   \* MERGEFORMAT </w:instrText>
    </w:r>
    <w:r w:rsidR="009753DF">
      <w:rPr>
        <w:szCs w:val="24"/>
      </w:rPr>
      <w:fldChar w:fldCharType="separate"/>
    </w:r>
    <w:r w:rsidR="00C43006">
      <w:rPr>
        <w:noProof/>
        <w:szCs w:val="24"/>
      </w:rPr>
      <w:t>686</w:t>
    </w:r>
    <w:r w:rsidR="009753DF">
      <w:rPr>
        <w:szCs w:val="24"/>
      </w:rPr>
      <w:fldChar w:fldCharType="end"/>
    </w:r>
    <w:r w:rsidRPr="00954D22">
      <w:rPr>
        <w:szCs w:val="24"/>
      </w:rPr>
      <w:t xml:space="preserve"> -</w:t>
    </w:r>
  </w:p>
  <w:p w:rsidR="00E5400D" w:rsidRDefault="00E5400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rsidP="00A87207">
    <w:pPr>
      <w:pStyle w:val="Footer"/>
    </w:pPr>
    <w:r>
      <w:pict>
        <v:rect id="_x0000_i1038" style="width:480.95pt;height:1pt" o:hralign="center" o:hrstd="t" o:hrnoshade="t" o:hr="t" fillcolor="black [3213]" stroked="f"/>
      </w:pict>
    </w:r>
  </w:p>
  <w:p w:rsidR="00E5400D" w:rsidRPr="00B7374B" w:rsidRDefault="00E5400D" w:rsidP="00B7374B">
    <w:pPr>
      <w:tabs>
        <w:tab w:val="center" w:pos="4680"/>
      </w:tabs>
      <w:rPr>
        <w:szCs w:val="24"/>
      </w:rPr>
    </w:pPr>
    <w:r w:rsidRPr="00954D22">
      <w:rPr>
        <w:szCs w:val="24"/>
      </w:rPr>
      <w:tab/>
      <w:t xml:space="preserve">- </w:t>
    </w:r>
    <w:r w:rsidR="009753DF" w:rsidRPr="00954D22">
      <w:rPr>
        <w:szCs w:val="24"/>
      </w:rPr>
      <w:fldChar w:fldCharType="begin"/>
    </w:r>
    <w:r w:rsidRPr="00954D22">
      <w:rPr>
        <w:szCs w:val="24"/>
      </w:rPr>
      <w:instrText xml:space="preserve"> PAGE   \* MERGEFORMAT </w:instrText>
    </w:r>
    <w:r w:rsidR="009753DF" w:rsidRPr="00954D22">
      <w:rPr>
        <w:szCs w:val="24"/>
      </w:rPr>
      <w:fldChar w:fldCharType="separate"/>
    </w:r>
    <w:r>
      <w:rPr>
        <w:noProof/>
        <w:szCs w:val="24"/>
      </w:rPr>
      <w:t>689</w:t>
    </w:r>
    <w:r w:rsidR="009753DF"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E5400D" w:rsidRPr="00954D22" w:rsidRDefault="00E5400D" w:rsidP="00B7374B">
    <w:pPr>
      <w:tabs>
        <w:tab w:val="center" w:pos="4680"/>
      </w:tabs>
      <w:rPr>
        <w:szCs w:val="24"/>
      </w:rPr>
    </w:pPr>
    <w:r w:rsidRPr="00954D22">
      <w:rPr>
        <w:szCs w:val="24"/>
      </w:rPr>
      <w:tab/>
      <w:t xml:space="preserve">- </w:t>
    </w:r>
    <w:r w:rsidR="009753DF" w:rsidRPr="00954D22">
      <w:rPr>
        <w:szCs w:val="24"/>
      </w:rPr>
      <w:fldChar w:fldCharType="begin"/>
    </w:r>
    <w:r w:rsidRPr="00954D22">
      <w:rPr>
        <w:szCs w:val="24"/>
      </w:rPr>
      <w:instrText xml:space="preserve"> PAGE   \* MERGEFORMAT </w:instrText>
    </w:r>
    <w:r w:rsidR="009753DF" w:rsidRPr="00954D22">
      <w:rPr>
        <w:szCs w:val="24"/>
      </w:rPr>
      <w:fldChar w:fldCharType="separate"/>
    </w:r>
    <w:r w:rsidR="00C43006">
      <w:rPr>
        <w:noProof/>
        <w:szCs w:val="24"/>
      </w:rPr>
      <w:t>688</w:t>
    </w:r>
    <w:r w:rsidR="009753DF"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5400D"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00D" w:rsidRDefault="00E5400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975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753DF">
      <w:rPr>
        <w:lang w:val="fr-CA"/>
      </w:rPr>
      <w:pict>
        <v:rect id="_x0000_i1052" style="width:480.95pt;height:1pt" o:hralign="center" o:hrstd="t" o:hrnoshade="t" o:hr="t" fillcolor="black [3213]" stroked="f"/>
      </w:pict>
    </w:r>
  </w:p>
  <w:p w:rsidR="00E5400D" w:rsidRPr="0009648D" w:rsidRDefault="00E5400D" w:rsidP="00ED7E83">
    <w:pPr>
      <w:tabs>
        <w:tab w:val="center" w:pos="4680"/>
      </w:tabs>
    </w:pPr>
    <w:r>
      <w:tab/>
    </w:r>
    <w:r w:rsidRPr="0009648D">
      <w:t xml:space="preserve">- </w:t>
    </w:r>
    <w:fldSimple w:instr=" PAGE   \* MERGEFORMAT ">
      <w:r w:rsidR="00C43006">
        <w:rPr>
          <w:noProof/>
        </w:rPr>
        <w:t>699</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0D" w:rsidRDefault="00E5400D" w:rsidP="00A87207">
      <w:r>
        <w:separator/>
      </w:r>
    </w:p>
  </w:footnote>
  <w:footnote w:type="continuationSeparator" w:id="0">
    <w:p w:rsidR="00E5400D" w:rsidRDefault="00E5400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5400D">
      <w:tc>
        <w:tcPr>
          <w:tcW w:w="4230" w:type="dxa"/>
          <w:tcMar>
            <w:left w:w="0" w:type="dxa"/>
            <w:right w:w="0" w:type="dxa"/>
          </w:tcMar>
        </w:tcPr>
        <w:p w:rsidR="00E5400D" w:rsidRDefault="00E540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5400D" w:rsidRDefault="00E540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00D" w:rsidRDefault="00E540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5400D">
      <w:trPr>
        <w:gridAfter w:val="2"/>
        <w:wAfter w:w="5250" w:type="dxa"/>
      </w:trPr>
      <w:tc>
        <w:tcPr>
          <w:tcW w:w="4230" w:type="dxa"/>
          <w:tcMar>
            <w:left w:w="0" w:type="dxa"/>
            <w:right w:w="0" w:type="dxa"/>
          </w:tcMar>
        </w:tcPr>
        <w:p w:rsidR="00E5400D"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5400D"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5400D" w:rsidRPr="00755F22" w:rsidTr="00245129">
      <w:tc>
        <w:tcPr>
          <w:tcW w:w="4230" w:type="dxa"/>
          <w:tcMar>
            <w:left w:w="0" w:type="dxa"/>
            <w:right w:w="0" w:type="dxa"/>
          </w:tcMar>
        </w:tcPr>
        <w:p w:rsidR="00E5400D" w:rsidRPr="00755F22" w:rsidRDefault="00E5400D" w:rsidP="00831CA9">
          <w:pPr>
            <w:keepNext/>
            <w:keepLines/>
            <w:rPr>
              <w:sz w:val="20"/>
              <w:szCs w:val="20"/>
            </w:rPr>
          </w:pPr>
          <w:r w:rsidRPr="00755F22">
            <w:rPr>
              <w:sz w:val="20"/>
              <w:szCs w:val="20"/>
            </w:rPr>
            <w:t>MOTIONS</w:t>
          </w:r>
        </w:p>
      </w:tc>
      <w:tc>
        <w:tcPr>
          <w:tcW w:w="1170" w:type="dxa"/>
          <w:tcMar>
            <w:left w:w="0" w:type="dxa"/>
            <w:right w:w="0" w:type="dxa"/>
          </w:tcMar>
        </w:tcPr>
        <w:p w:rsidR="00E5400D" w:rsidRPr="00755F22" w:rsidRDefault="00E5400D" w:rsidP="00831CA9">
          <w:pPr>
            <w:keepLines/>
            <w:jc w:val="center"/>
            <w:rPr>
              <w:sz w:val="20"/>
              <w:szCs w:val="20"/>
            </w:rPr>
          </w:pPr>
        </w:p>
        <w:p w:rsidR="00E5400D" w:rsidRPr="00755F22" w:rsidRDefault="00E5400D" w:rsidP="00831CA9">
          <w:pPr>
            <w:keepLines/>
            <w:tabs>
              <w:tab w:val="left" w:pos="-1440"/>
              <w:tab w:val="left" w:pos="-720"/>
            </w:tabs>
            <w:jc w:val="center"/>
            <w:rPr>
              <w:sz w:val="20"/>
              <w:szCs w:val="20"/>
            </w:rPr>
          </w:pPr>
        </w:p>
      </w:tc>
      <w:tc>
        <w:tcPr>
          <w:tcW w:w="4080" w:type="dxa"/>
          <w:tcMar>
            <w:left w:w="0" w:type="dxa"/>
            <w:right w:w="0" w:type="dxa"/>
          </w:tcMar>
        </w:tcPr>
        <w:p w:rsidR="00E5400D" w:rsidRPr="00BA6468" w:rsidRDefault="00E5400D" w:rsidP="00BA6468">
          <w:pPr>
            <w:keepLines/>
            <w:rPr>
              <w:sz w:val="20"/>
              <w:szCs w:val="20"/>
              <w:lang w:val="fr-CA"/>
            </w:rPr>
          </w:pPr>
          <w:r w:rsidRPr="00BA6468">
            <w:rPr>
              <w:sz w:val="20"/>
              <w:szCs w:val="20"/>
              <w:lang w:val="fr-CA"/>
            </w:rPr>
            <w:t>REQUÊTES</w:t>
          </w:r>
        </w:p>
      </w:tc>
    </w:tr>
  </w:tbl>
  <w:p w:rsidR="00E5400D" w:rsidRDefault="00E5400D"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5400D" w:rsidRPr="008C68F8">
      <w:tc>
        <w:tcPr>
          <w:tcW w:w="4200" w:type="dxa"/>
          <w:tcMar>
            <w:left w:w="0" w:type="dxa"/>
            <w:right w:w="0" w:type="dxa"/>
          </w:tcMar>
        </w:tcPr>
        <w:p w:rsidR="00E5400D" w:rsidRDefault="00E540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5400D" w:rsidRDefault="00E540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00D" w:rsidRPr="00B01A03" w:rsidRDefault="00E540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5400D" w:rsidRPr="00B01A03"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5400D" w:rsidRPr="00B01A03"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E5400D" w:rsidRPr="008C68F8" w:rsidTr="00245129">
      <w:tc>
        <w:tcPr>
          <w:tcW w:w="4200" w:type="dxa"/>
          <w:tcMar>
            <w:left w:w="0" w:type="dxa"/>
            <w:right w:w="0" w:type="dxa"/>
          </w:tcMar>
        </w:tcPr>
        <w:p w:rsidR="00E5400D" w:rsidRPr="00F40249" w:rsidRDefault="00E5400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5400D" w:rsidRDefault="00E5400D" w:rsidP="00102926">
          <w:pPr>
            <w:keepNext/>
            <w:keepLines/>
            <w:tabs>
              <w:tab w:val="left" w:pos="-1440"/>
              <w:tab w:val="left" w:pos="-720"/>
            </w:tabs>
            <w:jc w:val="center"/>
            <w:rPr>
              <w:sz w:val="20"/>
              <w:szCs w:val="20"/>
            </w:rPr>
          </w:pPr>
        </w:p>
        <w:p w:rsidR="00E5400D" w:rsidRDefault="00E5400D" w:rsidP="00102926">
          <w:pPr>
            <w:keepNext/>
            <w:keepLines/>
            <w:tabs>
              <w:tab w:val="left" w:pos="-1440"/>
              <w:tab w:val="left" w:pos="-720"/>
            </w:tabs>
            <w:jc w:val="center"/>
            <w:rPr>
              <w:sz w:val="20"/>
              <w:szCs w:val="20"/>
            </w:rPr>
          </w:pPr>
        </w:p>
        <w:p w:rsidR="00E5400D" w:rsidRPr="00F40249" w:rsidRDefault="00E5400D" w:rsidP="00102926">
          <w:pPr>
            <w:keepNext/>
            <w:keepLines/>
            <w:tabs>
              <w:tab w:val="left" w:pos="-1440"/>
              <w:tab w:val="left" w:pos="-720"/>
            </w:tabs>
            <w:jc w:val="center"/>
            <w:rPr>
              <w:sz w:val="20"/>
              <w:szCs w:val="20"/>
            </w:rPr>
          </w:pPr>
        </w:p>
      </w:tc>
      <w:tc>
        <w:tcPr>
          <w:tcW w:w="4230" w:type="dxa"/>
          <w:tcMar>
            <w:left w:w="0" w:type="dxa"/>
            <w:right w:w="0" w:type="dxa"/>
          </w:tcMar>
        </w:tcPr>
        <w:p w:rsidR="00E5400D" w:rsidRPr="00F40249" w:rsidRDefault="00E5400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5400D" w:rsidRPr="00B01A03" w:rsidRDefault="00E5400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E5400D" w:rsidRPr="0044776A" w:rsidTr="00245129">
      <w:tc>
        <w:tcPr>
          <w:tcW w:w="4290" w:type="dxa"/>
          <w:tcMar>
            <w:left w:w="0" w:type="dxa"/>
            <w:right w:w="0" w:type="dxa"/>
          </w:tcMar>
        </w:tcPr>
        <w:p w:rsidR="00E5400D" w:rsidRPr="0044776A" w:rsidRDefault="00E5400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5400D" w:rsidRPr="0044776A" w:rsidRDefault="00E5400D" w:rsidP="002E2327">
          <w:pPr>
            <w:keepNext/>
            <w:keepLines/>
            <w:tabs>
              <w:tab w:val="left" w:pos="-1440"/>
              <w:tab w:val="left" w:pos="-720"/>
            </w:tabs>
            <w:jc w:val="center"/>
            <w:rPr>
              <w:sz w:val="20"/>
              <w:szCs w:val="20"/>
            </w:rPr>
          </w:pPr>
        </w:p>
        <w:p w:rsidR="00E5400D" w:rsidRPr="0044776A" w:rsidRDefault="00E5400D" w:rsidP="002E2327">
          <w:pPr>
            <w:keepNext/>
            <w:keepLines/>
            <w:tabs>
              <w:tab w:val="left" w:pos="-1440"/>
              <w:tab w:val="left" w:pos="-720"/>
            </w:tabs>
            <w:jc w:val="center"/>
            <w:rPr>
              <w:sz w:val="20"/>
              <w:szCs w:val="20"/>
            </w:rPr>
          </w:pPr>
        </w:p>
        <w:p w:rsidR="00E5400D" w:rsidRPr="0044776A" w:rsidRDefault="00E5400D" w:rsidP="002E2327">
          <w:pPr>
            <w:keepNext/>
            <w:keepLines/>
            <w:tabs>
              <w:tab w:val="left" w:pos="-1440"/>
              <w:tab w:val="left" w:pos="-720"/>
            </w:tabs>
            <w:jc w:val="center"/>
            <w:rPr>
              <w:sz w:val="20"/>
              <w:szCs w:val="20"/>
            </w:rPr>
          </w:pPr>
        </w:p>
      </w:tc>
      <w:tc>
        <w:tcPr>
          <w:tcW w:w="4320" w:type="dxa"/>
          <w:tcMar>
            <w:left w:w="0" w:type="dxa"/>
            <w:right w:w="0" w:type="dxa"/>
          </w:tcMar>
        </w:tcPr>
        <w:p w:rsidR="00E5400D" w:rsidRPr="0044776A" w:rsidRDefault="00E5400D" w:rsidP="002E2327">
          <w:pPr>
            <w:keepLines/>
            <w:rPr>
              <w:sz w:val="20"/>
              <w:szCs w:val="20"/>
              <w:lang w:val="fr-CA"/>
            </w:rPr>
          </w:pPr>
          <w:r w:rsidRPr="0044776A">
            <w:rPr>
              <w:sz w:val="20"/>
              <w:szCs w:val="20"/>
              <w:lang w:val="fr-CA"/>
            </w:rPr>
            <w:t>DEMANDES D'AUTORISATION D'APPEL DÉPOSÉES</w:t>
          </w:r>
        </w:p>
      </w:tc>
    </w:tr>
  </w:tbl>
  <w:p w:rsidR="00E5400D" w:rsidRDefault="00E5400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5400D" w:rsidRPr="008C68F8" w:rsidTr="00245129">
      <w:tc>
        <w:tcPr>
          <w:tcW w:w="4200" w:type="dxa"/>
          <w:tcMar>
            <w:left w:w="0" w:type="dxa"/>
            <w:right w:w="0" w:type="dxa"/>
          </w:tcMar>
        </w:tcPr>
        <w:p w:rsidR="00E5400D" w:rsidRPr="0044776A" w:rsidRDefault="00E5400D" w:rsidP="0044776A">
          <w:pPr>
            <w:keepNext/>
            <w:keepLines/>
            <w:widowControl w:val="0"/>
            <w:rPr>
              <w:sz w:val="20"/>
              <w:szCs w:val="20"/>
            </w:rPr>
          </w:pPr>
          <w:r>
            <w:rPr>
              <w:sz w:val="20"/>
              <w:szCs w:val="20"/>
            </w:rPr>
            <w:t>APPLICATIONS FOR LEAVE</w:t>
          </w:r>
        </w:p>
        <w:p w:rsidR="00E5400D" w:rsidRPr="0044776A" w:rsidRDefault="00E5400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5400D" w:rsidRPr="0044776A" w:rsidRDefault="00E5400D" w:rsidP="0044776A">
          <w:pPr>
            <w:keepNext/>
            <w:keepLines/>
            <w:widowControl w:val="0"/>
            <w:jc w:val="center"/>
            <w:rPr>
              <w:sz w:val="20"/>
              <w:szCs w:val="20"/>
            </w:rPr>
          </w:pPr>
        </w:p>
        <w:p w:rsidR="00E5400D" w:rsidRPr="0044776A" w:rsidRDefault="00E5400D" w:rsidP="0044776A">
          <w:pPr>
            <w:keepNext/>
            <w:keepLines/>
            <w:widowControl w:val="0"/>
            <w:jc w:val="center"/>
            <w:rPr>
              <w:sz w:val="20"/>
              <w:szCs w:val="20"/>
            </w:rPr>
          </w:pPr>
        </w:p>
        <w:p w:rsidR="00E5400D" w:rsidRPr="0044776A" w:rsidRDefault="00E5400D" w:rsidP="0044776A">
          <w:pPr>
            <w:keepNext/>
            <w:keepLines/>
            <w:widowControl w:val="0"/>
            <w:jc w:val="center"/>
            <w:rPr>
              <w:sz w:val="20"/>
              <w:szCs w:val="20"/>
            </w:rPr>
          </w:pPr>
        </w:p>
      </w:tc>
      <w:tc>
        <w:tcPr>
          <w:tcW w:w="4080" w:type="dxa"/>
          <w:tcMar>
            <w:left w:w="0" w:type="dxa"/>
            <w:right w:w="0" w:type="dxa"/>
          </w:tcMar>
        </w:tcPr>
        <w:p w:rsidR="00E5400D" w:rsidRPr="0044776A" w:rsidRDefault="00E5400D" w:rsidP="0044776A">
          <w:pPr>
            <w:keepLines/>
            <w:widowControl w:val="0"/>
            <w:rPr>
              <w:sz w:val="20"/>
              <w:szCs w:val="20"/>
              <w:lang w:val="fr-CA"/>
            </w:rPr>
          </w:pPr>
          <w:r w:rsidRPr="0044776A">
            <w:rPr>
              <w:sz w:val="20"/>
              <w:szCs w:val="20"/>
              <w:lang w:val="fr-CA"/>
            </w:rPr>
            <w:t>DEMANDES SOUMISES À LA COUR DEPUIS LA DERNIÈRE PARUTION</w:t>
          </w:r>
        </w:p>
        <w:p w:rsidR="00E5400D" w:rsidRPr="0044776A" w:rsidRDefault="00E5400D" w:rsidP="0044776A">
          <w:pPr>
            <w:widowControl w:val="0"/>
            <w:rPr>
              <w:sz w:val="20"/>
              <w:szCs w:val="20"/>
              <w:lang w:val="fr-CA"/>
            </w:rPr>
          </w:pPr>
        </w:p>
      </w:tc>
    </w:tr>
  </w:tbl>
  <w:p w:rsidR="00E5400D" w:rsidRPr="002E2327" w:rsidRDefault="00E5400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0D" w:rsidRDefault="00E5400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5400D" w:rsidRPr="008C68F8">
      <w:tc>
        <w:tcPr>
          <w:tcW w:w="4200" w:type="dxa"/>
          <w:tcMar>
            <w:left w:w="0" w:type="dxa"/>
            <w:right w:w="0" w:type="dxa"/>
          </w:tcMar>
        </w:tcPr>
        <w:p w:rsidR="00E5400D" w:rsidRDefault="00E540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5400D" w:rsidRDefault="00E540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5400D" w:rsidRDefault="00E540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00D" w:rsidRPr="00FF6BA5" w:rsidRDefault="00E540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5400D" w:rsidRPr="00FF6BA5"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5400D" w:rsidRPr="00FF6BA5"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5400D" w:rsidRPr="00FF6BA5" w:rsidRDefault="00E540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5400D" w:rsidRPr="008C68F8" w:rsidTr="00245129">
      <w:tc>
        <w:tcPr>
          <w:tcW w:w="4200" w:type="dxa"/>
          <w:tcMar>
            <w:left w:w="0" w:type="dxa"/>
            <w:right w:w="0" w:type="dxa"/>
          </w:tcMar>
        </w:tcPr>
        <w:p w:rsidR="00E5400D" w:rsidRPr="00755F22" w:rsidRDefault="00E540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5400D" w:rsidRPr="00755F22" w:rsidRDefault="00E540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5400D" w:rsidRPr="00755F22" w:rsidRDefault="00E5400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5400D" w:rsidRPr="00755F22" w:rsidRDefault="00E5400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5400D" w:rsidRPr="00755F22" w:rsidRDefault="00E5400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5400D" w:rsidRPr="00755F22" w:rsidRDefault="00E540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5400D" w:rsidRPr="00FF6BA5" w:rsidRDefault="00E5400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28683"/>
  </w:hdrShapeDefaults>
  <w:footnotePr>
    <w:footnote w:id="-1"/>
    <w:footnote w:id="0"/>
  </w:footnotePr>
  <w:endnotePr>
    <w:endnote w:id="-1"/>
    <w:endnote w:id="0"/>
  </w:endnotePr>
  <w:compat/>
  <w:rsids>
    <w:rsidRoot w:val="00507270"/>
    <w:rsid w:val="0003223B"/>
    <w:rsid w:val="000327B2"/>
    <w:rsid w:val="0005374F"/>
    <w:rsid w:val="00067CAF"/>
    <w:rsid w:val="00096BD9"/>
    <w:rsid w:val="000B3C9A"/>
    <w:rsid w:val="000B40A2"/>
    <w:rsid w:val="000B4624"/>
    <w:rsid w:val="000C0ACD"/>
    <w:rsid w:val="000C6A2A"/>
    <w:rsid w:val="00102926"/>
    <w:rsid w:val="0010587F"/>
    <w:rsid w:val="00111C6B"/>
    <w:rsid w:val="0012102B"/>
    <w:rsid w:val="0013369E"/>
    <w:rsid w:val="001463D7"/>
    <w:rsid w:val="00164E6D"/>
    <w:rsid w:val="001A454A"/>
    <w:rsid w:val="001B157C"/>
    <w:rsid w:val="001B5C23"/>
    <w:rsid w:val="001D0D5F"/>
    <w:rsid w:val="001D6B8C"/>
    <w:rsid w:val="001F1F83"/>
    <w:rsid w:val="002021A9"/>
    <w:rsid w:val="002139A7"/>
    <w:rsid w:val="00215F7C"/>
    <w:rsid w:val="0022323B"/>
    <w:rsid w:val="002410B8"/>
    <w:rsid w:val="00242AEE"/>
    <w:rsid w:val="00245129"/>
    <w:rsid w:val="00245879"/>
    <w:rsid w:val="00267FD5"/>
    <w:rsid w:val="002868D0"/>
    <w:rsid w:val="002A27D1"/>
    <w:rsid w:val="002A4AFA"/>
    <w:rsid w:val="002B516C"/>
    <w:rsid w:val="002B596F"/>
    <w:rsid w:val="002D72EB"/>
    <w:rsid w:val="002E2327"/>
    <w:rsid w:val="002E3583"/>
    <w:rsid w:val="002E5576"/>
    <w:rsid w:val="003079D5"/>
    <w:rsid w:val="00331B52"/>
    <w:rsid w:val="003359D3"/>
    <w:rsid w:val="00355967"/>
    <w:rsid w:val="00374E3E"/>
    <w:rsid w:val="00382C47"/>
    <w:rsid w:val="00384384"/>
    <w:rsid w:val="003866AE"/>
    <w:rsid w:val="003B3977"/>
    <w:rsid w:val="003B4F7A"/>
    <w:rsid w:val="003F509E"/>
    <w:rsid w:val="00432989"/>
    <w:rsid w:val="00440E24"/>
    <w:rsid w:val="0044776A"/>
    <w:rsid w:val="00460AFC"/>
    <w:rsid w:val="0047471F"/>
    <w:rsid w:val="00474B6C"/>
    <w:rsid w:val="00486A5F"/>
    <w:rsid w:val="004B195E"/>
    <w:rsid w:val="004B66B4"/>
    <w:rsid w:val="004B7F60"/>
    <w:rsid w:val="004C1AAC"/>
    <w:rsid w:val="004F090E"/>
    <w:rsid w:val="00507270"/>
    <w:rsid w:val="00527CC7"/>
    <w:rsid w:val="00571CA4"/>
    <w:rsid w:val="00582136"/>
    <w:rsid w:val="005C2F82"/>
    <w:rsid w:val="005C47BD"/>
    <w:rsid w:val="005C6840"/>
    <w:rsid w:val="005F263E"/>
    <w:rsid w:val="00600252"/>
    <w:rsid w:val="00604498"/>
    <w:rsid w:val="00612A40"/>
    <w:rsid w:val="00650B05"/>
    <w:rsid w:val="00675479"/>
    <w:rsid w:val="00696BF9"/>
    <w:rsid w:val="00697C62"/>
    <w:rsid w:val="00697D06"/>
    <w:rsid w:val="006A329B"/>
    <w:rsid w:val="006A7EB8"/>
    <w:rsid w:val="006B6926"/>
    <w:rsid w:val="006C3F47"/>
    <w:rsid w:val="006C5F7A"/>
    <w:rsid w:val="006D6276"/>
    <w:rsid w:val="006E06AF"/>
    <w:rsid w:val="006F0894"/>
    <w:rsid w:val="006F350F"/>
    <w:rsid w:val="00732DB7"/>
    <w:rsid w:val="0074238B"/>
    <w:rsid w:val="00745EF7"/>
    <w:rsid w:val="00755F22"/>
    <w:rsid w:val="00766E4A"/>
    <w:rsid w:val="007820CE"/>
    <w:rsid w:val="00782AE4"/>
    <w:rsid w:val="00794295"/>
    <w:rsid w:val="0079724F"/>
    <w:rsid w:val="007A3EAE"/>
    <w:rsid w:val="007C04FC"/>
    <w:rsid w:val="007D3E0F"/>
    <w:rsid w:val="007F387B"/>
    <w:rsid w:val="00802863"/>
    <w:rsid w:val="00815B3C"/>
    <w:rsid w:val="0082783A"/>
    <w:rsid w:val="00831CA9"/>
    <w:rsid w:val="00837483"/>
    <w:rsid w:val="00850E1F"/>
    <w:rsid w:val="0085476B"/>
    <w:rsid w:val="00890FEB"/>
    <w:rsid w:val="008C68F8"/>
    <w:rsid w:val="008D292F"/>
    <w:rsid w:val="008E03DC"/>
    <w:rsid w:val="00924065"/>
    <w:rsid w:val="00930D68"/>
    <w:rsid w:val="00932DB4"/>
    <w:rsid w:val="00941A4B"/>
    <w:rsid w:val="00946242"/>
    <w:rsid w:val="0095096B"/>
    <w:rsid w:val="00970CD3"/>
    <w:rsid w:val="009723FA"/>
    <w:rsid w:val="009753DF"/>
    <w:rsid w:val="00984546"/>
    <w:rsid w:val="00996510"/>
    <w:rsid w:val="009C7230"/>
    <w:rsid w:val="009D1F15"/>
    <w:rsid w:val="009D555E"/>
    <w:rsid w:val="009F3024"/>
    <w:rsid w:val="009F6372"/>
    <w:rsid w:val="00A0355E"/>
    <w:rsid w:val="00A05C77"/>
    <w:rsid w:val="00A23882"/>
    <w:rsid w:val="00A375D1"/>
    <w:rsid w:val="00A51D10"/>
    <w:rsid w:val="00A52A83"/>
    <w:rsid w:val="00A6552C"/>
    <w:rsid w:val="00A75998"/>
    <w:rsid w:val="00A801A1"/>
    <w:rsid w:val="00A87207"/>
    <w:rsid w:val="00A935AA"/>
    <w:rsid w:val="00A93E8E"/>
    <w:rsid w:val="00AA41FD"/>
    <w:rsid w:val="00AB2201"/>
    <w:rsid w:val="00AD3259"/>
    <w:rsid w:val="00AF1715"/>
    <w:rsid w:val="00AF3904"/>
    <w:rsid w:val="00B010C0"/>
    <w:rsid w:val="00B15DE3"/>
    <w:rsid w:val="00B4740D"/>
    <w:rsid w:val="00B61629"/>
    <w:rsid w:val="00B7374B"/>
    <w:rsid w:val="00B90DC0"/>
    <w:rsid w:val="00BA116A"/>
    <w:rsid w:val="00BA5582"/>
    <w:rsid w:val="00BA6468"/>
    <w:rsid w:val="00BA701D"/>
    <w:rsid w:val="00BD06DA"/>
    <w:rsid w:val="00BD4217"/>
    <w:rsid w:val="00BF25F3"/>
    <w:rsid w:val="00C1697B"/>
    <w:rsid w:val="00C21CB5"/>
    <w:rsid w:val="00C43006"/>
    <w:rsid w:val="00C50A5C"/>
    <w:rsid w:val="00C50FDF"/>
    <w:rsid w:val="00C63381"/>
    <w:rsid w:val="00C65B32"/>
    <w:rsid w:val="00C73D06"/>
    <w:rsid w:val="00C73E1B"/>
    <w:rsid w:val="00C759B4"/>
    <w:rsid w:val="00C77713"/>
    <w:rsid w:val="00C868AD"/>
    <w:rsid w:val="00C90C17"/>
    <w:rsid w:val="00CB43D5"/>
    <w:rsid w:val="00CC4D84"/>
    <w:rsid w:val="00CE198A"/>
    <w:rsid w:val="00D036E2"/>
    <w:rsid w:val="00D64901"/>
    <w:rsid w:val="00D76BDF"/>
    <w:rsid w:val="00D862C1"/>
    <w:rsid w:val="00D93B50"/>
    <w:rsid w:val="00D94670"/>
    <w:rsid w:val="00DA46F6"/>
    <w:rsid w:val="00DD0B49"/>
    <w:rsid w:val="00DF26BB"/>
    <w:rsid w:val="00E06DFA"/>
    <w:rsid w:val="00E07DF7"/>
    <w:rsid w:val="00E20A0A"/>
    <w:rsid w:val="00E33BE6"/>
    <w:rsid w:val="00E356C7"/>
    <w:rsid w:val="00E45FE4"/>
    <w:rsid w:val="00E5400D"/>
    <w:rsid w:val="00E64FA7"/>
    <w:rsid w:val="00E770CB"/>
    <w:rsid w:val="00E903A1"/>
    <w:rsid w:val="00E940EB"/>
    <w:rsid w:val="00EB2B90"/>
    <w:rsid w:val="00ED7E83"/>
    <w:rsid w:val="00EF2CF8"/>
    <w:rsid w:val="00EF4B63"/>
    <w:rsid w:val="00F0068D"/>
    <w:rsid w:val="00F0576D"/>
    <w:rsid w:val="00F14E6D"/>
    <w:rsid w:val="00F15EA8"/>
    <w:rsid w:val="00F16C8D"/>
    <w:rsid w:val="00F235D5"/>
    <w:rsid w:val="00F26838"/>
    <w:rsid w:val="00F26C61"/>
    <w:rsid w:val="00F33CCE"/>
    <w:rsid w:val="00F40249"/>
    <w:rsid w:val="00F414C4"/>
    <w:rsid w:val="00F47035"/>
    <w:rsid w:val="00F526C8"/>
    <w:rsid w:val="00F6422E"/>
    <w:rsid w:val="00F65962"/>
    <w:rsid w:val="00F9272D"/>
    <w:rsid w:val="00F9518C"/>
    <w:rsid w:val="00F95E51"/>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F142-A499-4C34-9B3F-B339CD7B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7051</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2012-05-04T18:44:00Z</dcterms:created>
  <dcterms:modified xsi:type="dcterms:W3CDTF">2012-05-04T18:44:00Z</dcterms:modified>
</cp:coreProperties>
</file>