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A42A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A42A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A42A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A42A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A42A2" w:rsidTr="002E5576">
        <w:tc>
          <w:tcPr>
            <w:tcW w:w="4518" w:type="dxa"/>
          </w:tcPr>
          <w:p w:rsidR="00BF25F3" w:rsidRPr="002E2327" w:rsidRDefault="00B4483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4483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A42A2" w:rsidTr="002E5576">
        <w:tc>
          <w:tcPr>
            <w:tcW w:w="4518" w:type="dxa"/>
          </w:tcPr>
          <w:p w:rsidR="009F3024" w:rsidRPr="0031047B" w:rsidRDefault="009F3024" w:rsidP="009F3024">
            <w:pPr>
              <w:tabs>
                <w:tab w:val="left" w:pos="6075"/>
              </w:tabs>
              <w:rPr>
                <w:rFonts w:cs="Times New Roman"/>
                <w:szCs w:val="24"/>
                <w:lang w:val="fr-CA"/>
              </w:rPr>
            </w:pPr>
          </w:p>
          <w:p w:rsidR="009F3024" w:rsidRPr="0031047B" w:rsidRDefault="009F3024" w:rsidP="009F3024">
            <w:pPr>
              <w:tabs>
                <w:tab w:val="left" w:pos="6075"/>
              </w:tabs>
              <w:rPr>
                <w:rFonts w:cs="Times New Roman"/>
                <w:szCs w:val="24"/>
                <w:lang w:val="fr-CA"/>
              </w:rPr>
            </w:pPr>
          </w:p>
        </w:tc>
        <w:tc>
          <w:tcPr>
            <w:tcW w:w="630" w:type="dxa"/>
          </w:tcPr>
          <w:p w:rsidR="009F3024" w:rsidRPr="0031047B"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90737"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1047B"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sidR="003359D3">
        <w:rPr>
          <w:lang w:val="fr-CA"/>
        </w:rPr>
        <w:t>1</w:t>
      </w:r>
      <w:r>
        <w:rPr>
          <w:lang w:val="fr-CA"/>
        </w:rPr>
        <w:t>1</w:t>
      </w:r>
      <w:r w:rsidR="00440E24" w:rsidRPr="00675479">
        <w:rPr>
          <w:lang w:val="fr-CA"/>
        </w:rPr>
        <w:t>, 201</w:t>
      </w:r>
      <w:r w:rsidR="00C73D06">
        <w:rPr>
          <w:lang w:val="fr-CA"/>
        </w:rPr>
        <w:t>2</w:t>
      </w:r>
      <w:r w:rsidR="00F0068D" w:rsidRPr="00675479">
        <w:rPr>
          <w:lang w:val="fr-CA"/>
        </w:rPr>
        <w:tab/>
      </w:r>
      <w:r>
        <w:rPr>
          <w:lang w:val="fr-CA"/>
        </w:rPr>
        <w:t xml:space="preserve">705 </w:t>
      </w:r>
      <w:r w:rsidR="00F0068D" w:rsidRPr="00675479">
        <w:rPr>
          <w:lang w:val="fr-CA"/>
        </w:rPr>
        <w:t xml:space="preserve">- </w:t>
      </w:r>
      <w:r w:rsidR="004B554E">
        <w:rPr>
          <w:lang w:val="fr-CA"/>
        </w:rPr>
        <w:t>752</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1 m</w:t>
      </w:r>
      <w:r w:rsidR="00440E24" w:rsidRPr="002E2327">
        <w:rPr>
          <w:lang w:val="fr-CA"/>
        </w:rPr>
        <w:t>ai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Default="0095096B" w:rsidP="0095096B">
            <w:pPr>
              <w:tabs>
                <w:tab w:val="right" w:pos="9360"/>
              </w:tabs>
              <w:rPr>
                <w:rFonts w:cs="Times New Roman"/>
                <w:sz w:val="20"/>
                <w:szCs w:val="20"/>
              </w:rPr>
            </w:pPr>
            <w:r w:rsidRPr="002E2327">
              <w:rPr>
                <w:rFonts w:cs="Times New Roman"/>
                <w:sz w:val="20"/>
                <w:szCs w:val="20"/>
              </w:rPr>
              <w:t>Motions</w:t>
            </w:r>
          </w:p>
          <w:p w:rsidR="00B61A22" w:rsidRPr="002E2327" w:rsidRDefault="00B61A22"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76366">
            <w:pPr>
              <w:tabs>
                <w:tab w:val="right" w:pos="9360"/>
              </w:tabs>
              <w:rPr>
                <w:rFonts w:cs="Times New Roman"/>
                <w:sz w:val="20"/>
                <w:szCs w:val="20"/>
              </w:rPr>
            </w:pPr>
          </w:p>
        </w:tc>
        <w:tc>
          <w:tcPr>
            <w:tcW w:w="1980" w:type="dxa"/>
          </w:tcPr>
          <w:p w:rsidR="0095096B" w:rsidRPr="002E2327" w:rsidRDefault="0031047B" w:rsidP="0095096B">
            <w:pPr>
              <w:jc w:val="center"/>
              <w:rPr>
                <w:rFonts w:cs="Times New Roman"/>
                <w:sz w:val="20"/>
                <w:szCs w:val="20"/>
              </w:rPr>
            </w:pPr>
            <w:r>
              <w:rPr>
                <w:rFonts w:cs="Times New Roman"/>
                <w:sz w:val="20"/>
                <w:szCs w:val="20"/>
              </w:rPr>
              <w:t xml:space="preserve">705 </w:t>
            </w:r>
            <w:r w:rsidR="00B44839" w:rsidRPr="002E2327">
              <w:rPr>
                <w:rFonts w:cs="Times New Roman"/>
                <w:sz w:val="20"/>
                <w:szCs w:val="20"/>
              </w:rPr>
              <w:fldChar w:fldCharType="begin"/>
            </w:r>
            <w:r w:rsidR="0095096B" w:rsidRPr="002E2327">
              <w:rPr>
                <w:rFonts w:cs="Times New Roman"/>
                <w:sz w:val="20"/>
                <w:szCs w:val="20"/>
              </w:rPr>
              <w:instrText xml:space="preserve"> SEQ CHAPTER \h \r 1</w:instrText>
            </w:r>
            <w:r w:rsidR="00B44839" w:rsidRPr="002E2327">
              <w:rPr>
                <w:rFonts w:cs="Times New Roman"/>
                <w:sz w:val="20"/>
                <w:szCs w:val="20"/>
              </w:rPr>
              <w:fldChar w:fldCharType="end"/>
            </w:r>
            <w:r w:rsidR="0095096B" w:rsidRPr="002E2327">
              <w:rPr>
                <w:rFonts w:cs="Times New Roman"/>
                <w:sz w:val="20"/>
                <w:szCs w:val="20"/>
              </w:rPr>
              <w:t>-</w:t>
            </w:r>
            <w:r w:rsidR="00B61A22">
              <w:rPr>
                <w:rFonts w:cs="Times New Roman"/>
                <w:sz w:val="20"/>
                <w:szCs w:val="20"/>
              </w:rPr>
              <w:t xml:space="preserve"> 706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61A22" w:rsidP="0095096B">
            <w:pPr>
              <w:jc w:val="center"/>
              <w:rPr>
                <w:rFonts w:cs="Times New Roman"/>
                <w:sz w:val="20"/>
                <w:szCs w:val="20"/>
              </w:rPr>
            </w:pPr>
            <w:r>
              <w:rPr>
                <w:rFonts w:cs="Times New Roman"/>
                <w:sz w:val="20"/>
                <w:szCs w:val="20"/>
              </w:rPr>
              <w:t>707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76366" w:rsidP="0095096B">
            <w:pPr>
              <w:jc w:val="center"/>
              <w:rPr>
                <w:rFonts w:cs="Times New Roman"/>
                <w:sz w:val="20"/>
                <w:szCs w:val="20"/>
              </w:rPr>
            </w:pPr>
            <w:r>
              <w:rPr>
                <w:rFonts w:cs="Times New Roman"/>
                <w:sz w:val="20"/>
                <w:szCs w:val="20"/>
              </w:rPr>
              <w:t>708</w:t>
            </w:r>
          </w:p>
          <w:p w:rsidR="0095096B" w:rsidRPr="002E2327" w:rsidRDefault="0095096B" w:rsidP="0095096B">
            <w:pPr>
              <w:jc w:val="center"/>
              <w:rPr>
                <w:rFonts w:cs="Times New Roman"/>
                <w:sz w:val="20"/>
                <w:szCs w:val="20"/>
              </w:rPr>
            </w:pPr>
          </w:p>
          <w:p w:rsidR="000733DF" w:rsidRDefault="000733DF" w:rsidP="0095096B">
            <w:pPr>
              <w:jc w:val="center"/>
              <w:rPr>
                <w:rFonts w:cs="Times New Roman"/>
                <w:sz w:val="20"/>
                <w:szCs w:val="20"/>
              </w:rPr>
            </w:pPr>
          </w:p>
          <w:p w:rsidR="0095096B" w:rsidRPr="002E2327" w:rsidRDefault="000733DF" w:rsidP="0095096B">
            <w:pPr>
              <w:jc w:val="center"/>
              <w:rPr>
                <w:rFonts w:cs="Times New Roman"/>
                <w:sz w:val="20"/>
                <w:szCs w:val="20"/>
              </w:rPr>
            </w:pPr>
            <w:r>
              <w:rPr>
                <w:rFonts w:cs="Times New Roman"/>
                <w:sz w:val="20"/>
                <w:szCs w:val="20"/>
              </w:rPr>
              <w:t xml:space="preserve">709 </w:t>
            </w:r>
            <w:r w:rsidR="0095096B" w:rsidRPr="002E2327">
              <w:rPr>
                <w:rFonts w:cs="Times New Roman"/>
                <w:sz w:val="20"/>
                <w:szCs w:val="20"/>
              </w:rPr>
              <w:t>-</w:t>
            </w:r>
            <w:r>
              <w:rPr>
                <w:rFonts w:cs="Times New Roman"/>
                <w:sz w:val="20"/>
                <w:szCs w:val="20"/>
              </w:rPr>
              <w:t xml:space="preserve"> 73</w:t>
            </w:r>
            <w:r w:rsidR="00015FAC">
              <w:rPr>
                <w:rFonts w:cs="Times New Roman"/>
                <w:sz w:val="20"/>
                <w:szCs w:val="20"/>
              </w:rPr>
              <w:t>9</w:t>
            </w:r>
          </w:p>
          <w:p w:rsidR="0095096B" w:rsidRPr="002E2327" w:rsidRDefault="0095096B" w:rsidP="0095096B">
            <w:pPr>
              <w:jc w:val="center"/>
              <w:rPr>
                <w:rFonts w:cs="Times New Roman"/>
                <w:sz w:val="20"/>
                <w:szCs w:val="20"/>
              </w:rPr>
            </w:pPr>
          </w:p>
          <w:p w:rsidR="00015FAC" w:rsidRDefault="00015FAC" w:rsidP="0095096B">
            <w:pPr>
              <w:jc w:val="center"/>
              <w:rPr>
                <w:rFonts w:cs="Times New Roman"/>
                <w:sz w:val="20"/>
                <w:szCs w:val="20"/>
              </w:rPr>
            </w:pPr>
          </w:p>
          <w:p w:rsidR="0095096B" w:rsidRPr="002E2327" w:rsidRDefault="00015FAC" w:rsidP="0095096B">
            <w:pPr>
              <w:jc w:val="center"/>
              <w:rPr>
                <w:rFonts w:cs="Times New Roman"/>
                <w:sz w:val="20"/>
                <w:szCs w:val="20"/>
              </w:rPr>
            </w:pPr>
            <w:r>
              <w:rPr>
                <w:rFonts w:cs="Times New Roman"/>
                <w:sz w:val="20"/>
                <w:szCs w:val="20"/>
              </w:rPr>
              <w:t xml:space="preserve">740 </w:t>
            </w:r>
            <w:r w:rsidR="0095096B" w:rsidRPr="002E2327">
              <w:rPr>
                <w:rFonts w:cs="Times New Roman"/>
                <w:sz w:val="20"/>
                <w:szCs w:val="20"/>
              </w:rPr>
              <w:t>-</w:t>
            </w:r>
            <w:r>
              <w:rPr>
                <w:rFonts w:cs="Times New Roman"/>
                <w:sz w:val="20"/>
                <w:szCs w:val="20"/>
              </w:rPr>
              <w:t xml:space="preserve"> 744</w:t>
            </w:r>
          </w:p>
          <w:p w:rsidR="0095096B" w:rsidRPr="002E2327" w:rsidRDefault="0095096B" w:rsidP="0095096B">
            <w:pPr>
              <w:jc w:val="center"/>
              <w:rPr>
                <w:rFonts w:cs="Times New Roman"/>
                <w:sz w:val="20"/>
                <w:szCs w:val="20"/>
              </w:rPr>
            </w:pPr>
          </w:p>
          <w:p w:rsidR="0095096B" w:rsidRPr="002E2327" w:rsidRDefault="00015FAC" w:rsidP="0095096B">
            <w:pPr>
              <w:jc w:val="center"/>
              <w:rPr>
                <w:rFonts w:cs="Times New Roman"/>
                <w:sz w:val="20"/>
                <w:szCs w:val="20"/>
              </w:rPr>
            </w:pPr>
            <w:r>
              <w:rPr>
                <w:rFonts w:cs="Times New Roman"/>
                <w:sz w:val="20"/>
                <w:szCs w:val="20"/>
              </w:rPr>
              <w:t>745</w:t>
            </w:r>
          </w:p>
          <w:p w:rsidR="0095096B" w:rsidRPr="002E2327" w:rsidRDefault="0095096B" w:rsidP="0095096B">
            <w:pPr>
              <w:jc w:val="center"/>
              <w:rPr>
                <w:rFonts w:cs="Times New Roman"/>
                <w:sz w:val="20"/>
                <w:szCs w:val="20"/>
              </w:rPr>
            </w:pPr>
          </w:p>
          <w:p w:rsidR="00015FAC" w:rsidRDefault="00015FAC" w:rsidP="0095096B">
            <w:pPr>
              <w:jc w:val="center"/>
              <w:rPr>
                <w:rFonts w:cs="Times New Roman"/>
                <w:sz w:val="20"/>
                <w:szCs w:val="20"/>
              </w:rPr>
            </w:pPr>
          </w:p>
          <w:p w:rsidR="0095096B" w:rsidRPr="002E2327" w:rsidRDefault="00015FAC" w:rsidP="0095096B">
            <w:pPr>
              <w:jc w:val="center"/>
              <w:rPr>
                <w:rFonts w:cs="Times New Roman"/>
                <w:sz w:val="20"/>
                <w:szCs w:val="20"/>
              </w:rPr>
            </w:pPr>
            <w:r>
              <w:rPr>
                <w:rFonts w:cs="Times New Roman"/>
                <w:sz w:val="20"/>
                <w:szCs w:val="20"/>
              </w:rPr>
              <w:t xml:space="preserve">746 </w:t>
            </w:r>
            <w:r w:rsidR="0095096B" w:rsidRPr="002E2327">
              <w:rPr>
                <w:rFonts w:cs="Times New Roman"/>
                <w:sz w:val="20"/>
                <w:szCs w:val="20"/>
              </w:rPr>
              <w:t>-</w:t>
            </w:r>
            <w:r w:rsidR="006C2F03">
              <w:rPr>
                <w:rFonts w:cs="Times New Roman"/>
                <w:sz w:val="20"/>
                <w:szCs w:val="20"/>
              </w:rPr>
              <w:t xml:space="preserve"> 748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C2F03" w:rsidP="0095096B">
            <w:pPr>
              <w:jc w:val="center"/>
              <w:rPr>
                <w:rFonts w:cs="Times New Roman"/>
                <w:sz w:val="20"/>
                <w:szCs w:val="20"/>
              </w:rPr>
            </w:pPr>
            <w:r>
              <w:rPr>
                <w:rFonts w:cs="Times New Roman"/>
                <w:sz w:val="20"/>
                <w:szCs w:val="20"/>
              </w:rPr>
              <w:t>749</w:t>
            </w:r>
          </w:p>
          <w:p w:rsidR="0095096B" w:rsidRDefault="0095096B" w:rsidP="0095096B">
            <w:pPr>
              <w:jc w:val="center"/>
              <w:rPr>
                <w:rFonts w:cs="Times New Roman"/>
                <w:sz w:val="20"/>
                <w:szCs w:val="20"/>
              </w:rPr>
            </w:pPr>
          </w:p>
          <w:p w:rsidR="006C2F03" w:rsidRPr="002E2327" w:rsidRDefault="006C2F03" w:rsidP="0095096B">
            <w:pPr>
              <w:jc w:val="center"/>
              <w:rPr>
                <w:rFonts w:cs="Times New Roman"/>
                <w:sz w:val="20"/>
                <w:szCs w:val="20"/>
              </w:rPr>
            </w:pPr>
          </w:p>
          <w:p w:rsidR="0095096B" w:rsidRPr="002E2327" w:rsidRDefault="006C2F03" w:rsidP="0095096B">
            <w:pPr>
              <w:jc w:val="center"/>
              <w:rPr>
                <w:rFonts w:cs="Times New Roman"/>
                <w:sz w:val="20"/>
                <w:szCs w:val="20"/>
              </w:rPr>
            </w:pPr>
            <w:r>
              <w:rPr>
                <w:rFonts w:cs="Times New Roman"/>
                <w:sz w:val="20"/>
                <w:szCs w:val="20"/>
              </w:rPr>
              <w:t xml:space="preserve">750 </w:t>
            </w:r>
            <w:r w:rsidR="0095096B" w:rsidRPr="002E2327">
              <w:rPr>
                <w:rFonts w:cs="Times New Roman"/>
                <w:sz w:val="20"/>
                <w:szCs w:val="20"/>
              </w:rPr>
              <w:t>-</w:t>
            </w:r>
            <w:r>
              <w:rPr>
                <w:rFonts w:cs="Times New Roman"/>
                <w:sz w:val="20"/>
                <w:szCs w:val="20"/>
              </w:rPr>
              <w:t xml:space="preserve"> </w:t>
            </w:r>
            <w:r w:rsidR="004B554E">
              <w:rPr>
                <w:rFonts w:cs="Times New Roman"/>
                <w:sz w:val="20"/>
                <w:szCs w:val="20"/>
              </w:rPr>
              <w:t>752</w:t>
            </w:r>
          </w:p>
          <w:p w:rsidR="00A87207" w:rsidRPr="002E2327" w:rsidRDefault="00A87207" w:rsidP="007525CF">
            <w:pPr>
              <w:jc w:val="center"/>
              <w:rPr>
                <w:rFonts w:cs="Times New Roman"/>
                <w:sz w:val="20"/>
                <w:szCs w:val="20"/>
              </w:rPr>
            </w:pPr>
          </w:p>
        </w:tc>
        <w:tc>
          <w:tcPr>
            <w:tcW w:w="3888" w:type="dxa"/>
          </w:tcPr>
          <w:p w:rsidR="0095096B" w:rsidRPr="002E2327" w:rsidRDefault="00B4483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76366">
            <w:pPr>
              <w:rPr>
                <w:rFonts w:cs="Times New Roman"/>
                <w:sz w:val="20"/>
                <w:szCs w:val="20"/>
                <w:lang w:val="fr-CA"/>
              </w:rPr>
            </w:pPr>
          </w:p>
        </w:tc>
      </w:tr>
    </w:tbl>
    <w:p w:rsidR="0095096B" w:rsidRDefault="0095096B" w:rsidP="0095096B">
      <w:pPr>
        <w:tabs>
          <w:tab w:val="right" w:pos="9360"/>
        </w:tabs>
      </w:pPr>
    </w:p>
    <w:p w:rsidR="00B61A22" w:rsidRDefault="00B61A22" w:rsidP="0095096B">
      <w:pPr>
        <w:tabs>
          <w:tab w:val="right" w:pos="9360"/>
        </w:tabs>
      </w:pPr>
    </w:p>
    <w:p w:rsidR="00693F13" w:rsidRDefault="00693F13" w:rsidP="0095096B">
      <w:pPr>
        <w:tabs>
          <w:tab w:val="right" w:pos="9360"/>
        </w:tabs>
      </w:pPr>
    </w:p>
    <w:p w:rsidR="00B61A22" w:rsidRDefault="00B61A22" w:rsidP="0095096B">
      <w:pPr>
        <w:tabs>
          <w:tab w:val="right" w:pos="9360"/>
        </w:tabs>
      </w:pPr>
    </w:p>
    <w:p w:rsidR="00B61A22" w:rsidRDefault="00B61A22" w:rsidP="0095096B">
      <w:pPr>
        <w:tabs>
          <w:tab w:val="right" w:pos="9360"/>
        </w:tabs>
      </w:pPr>
    </w:p>
    <w:p w:rsidR="00B61A22" w:rsidRPr="002E2327" w:rsidRDefault="00B61A22" w:rsidP="0095096B">
      <w:pPr>
        <w:tabs>
          <w:tab w:val="right" w:pos="9360"/>
        </w:tabs>
      </w:pPr>
    </w:p>
    <w:tbl>
      <w:tblPr>
        <w:tblStyle w:val="TableGrid"/>
        <w:tblW w:w="0" w:type="auto"/>
        <w:tblLook w:val="04A0"/>
      </w:tblPr>
      <w:tblGrid>
        <w:gridCol w:w="9576"/>
      </w:tblGrid>
      <w:tr w:rsidR="0079724F" w:rsidRPr="004A42A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F067EA" w:rsidP="003B3977">
            <w:pPr>
              <w:rPr>
                <w:b/>
                <w:sz w:val="20"/>
                <w:szCs w:val="20"/>
              </w:rPr>
            </w:pPr>
            <w:r>
              <w:rPr>
                <w:b/>
                <w:sz w:val="20"/>
                <w:szCs w:val="20"/>
              </w:rPr>
              <w:t>N.P. et al.</w:t>
            </w:r>
          </w:p>
          <w:p w:rsidR="00242AEE" w:rsidRPr="00A935AA" w:rsidRDefault="00242AEE" w:rsidP="003B3977">
            <w:pPr>
              <w:tabs>
                <w:tab w:val="left" w:pos="-1440"/>
                <w:tab w:val="left" w:pos="-720"/>
              </w:tabs>
              <w:rPr>
                <w:sz w:val="20"/>
                <w:szCs w:val="20"/>
              </w:rPr>
            </w:pPr>
            <w:r w:rsidRPr="00A935AA">
              <w:rPr>
                <w:sz w:val="20"/>
                <w:szCs w:val="20"/>
              </w:rPr>
              <w:tab/>
            </w:r>
            <w:r w:rsidR="00F067EA">
              <w:rPr>
                <w:sz w:val="20"/>
                <w:szCs w:val="20"/>
              </w:rPr>
              <w:t>N.P.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31047B">
              <w:rPr>
                <w:sz w:val="20"/>
                <w:szCs w:val="20"/>
              </w:rPr>
              <w:t>4</w:t>
            </w:r>
            <w:r w:rsidRPr="00A935AA">
              <w:rPr>
                <w:sz w:val="20"/>
                <w:szCs w:val="20"/>
              </w:rPr>
              <w:t>7</w:t>
            </w:r>
            <w:r w:rsidR="00F067EA">
              <w:rPr>
                <w:sz w:val="20"/>
                <w:szCs w:val="20"/>
              </w:rPr>
              <w:t>77</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067EA" w:rsidP="003B3977">
            <w:pPr>
              <w:tabs>
                <w:tab w:val="left" w:pos="-1440"/>
                <w:tab w:val="left" w:pos="-720"/>
              </w:tabs>
              <w:rPr>
                <w:b/>
                <w:sz w:val="20"/>
                <w:szCs w:val="20"/>
              </w:rPr>
            </w:pPr>
            <w:r>
              <w:rPr>
                <w:b/>
                <w:sz w:val="20"/>
                <w:szCs w:val="20"/>
              </w:rPr>
              <w:t xml:space="preserve">Director of the Child, Youth and Family Enhancement Act </w:t>
            </w:r>
            <w:r w:rsidR="00242AEE" w:rsidRPr="00A935AA">
              <w:rPr>
                <w:b/>
                <w:sz w:val="20"/>
                <w:szCs w:val="20"/>
              </w:rPr>
              <w:t>(</w:t>
            </w:r>
            <w:r w:rsidR="00D104D1">
              <w:rPr>
                <w:b/>
                <w:sz w:val="20"/>
                <w:szCs w:val="20"/>
              </w:rPr>
              <w:t>Alta</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F067EA">
              <w:rPr>
                <w:sz w:val="20"/>
                <w:szCs w:val="20"/>
              </w:rPr>
              <w:t>Brian J. Kash</w:t>
            </w:r>
          </w:p>
          <w:p w:rsidR="00242AEE" w:rsidRPr="00A935AA" w:rsidRDefault="00242AEE" w:rsidP="003B3977">
            <w:pPr>
              <w:tabs>
                <w:tab w:val="left" w:pos="-1440"/>
                <w:tab w:val="left" w:pos="-720"/>
              </w:tabs>
              <w:rPr>
                <w:sz w:val="20"/>
                <w:szCs w:val="20"/>
              </w:rPr>
            </w:pPr>
            <w:r w:rsidRPr="00A935AA">
              <w:rPr>
                <w:sz w:val="20"/>
                <w:szCs w:val="20"/>
              </w:rPr>
              <w:tab/>
            </w:r>
            <w:r w:rsidR="00F067EA">
              <w:rPr>
                <w:sz w:val="20"/>
                <w:szCs w:val="20"/>
              </w:rPr>
              <w:t>A.G. of Alberta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F067EA">
              <w:rPr>
                <w:sz w:val="20"/>
                <w:szCs w:val="20"/>
              </w:rPr>
              <w:t>3</w:t>
            </w:r>
            <w:r w:rsidRPr="00A935AA">
              <w:rPr>
                <w:sz w:val="20"/>
                <w:szCs w:val="20"/>
              </w:rPr>
              <w:t>.0</w:t>
            </w:r>
            <w:r w:rsidR="00F067EA">
              <w:rPr>
                <w:sz w:val="20"/>
                <w:szCs w:val="20"/>
              </w:rPr>
              <w:t>2</w:t>
            </w:r>
            <w:r w:rsidRPr="00A935AA">
              <w:rPr>
                <w:sz w:val="20"/>
                <w:szCs w:val="20"/>
              </w:rPr>
              <w:t>.201</w:t>
            </w:r>
            <w:r w:rsidR="0031047B">
              <w:rPr>
                <w:sz w:val="20"/>
                <w:szCs w:val="20"/>
              </w:rPr>
              <w:t>2</w:t>
            </w:r>
          </w:p>
          <w:p w:rsidR="00242AEE" w:rsidRPr="00A935AA" w:rsidRDefault="00B44839" w:rsidP="003B3977">
            <w:pPr>
              <w:rPr>
                <w:sz w:val="20"/>
                <w:szCs w:val="20"/>
              </w:rPr>
            </w:pPr>
            <w:r w:rsidRPr="00B4483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067EA" w:rsidP="003B3977">
            <w:pPr>
              <w:keepNext/>
              <w:keepLines/>
              <w:tabs>
                <w:tab w:val="left" w:pos="-1440"/>
                <w:tab w:val="left" w:pos="-720"/>
              </w:tabs>
              <w:rPr>
                <w:b/>
                <w:sz w:val="20"/>
                <w:szCs w:val="20"/>
              </w:rPr>
            </w:pPr>
            <w:r>
              <w:rPr>
                <w:b/>
                <w:sz w:val="20"/>
                <w:szCs w:val="20"/>
              </w:rPr>
              <w:t>Hagop Artinian et al.</w:t>
            </w:r>
          </w:p>
          <w:p w:rsidR="00242AEE" w:rsidRPr="00A935AA" w:rsidRDefault="00242AEE" w:rsidP="003B3977">
            <w:pPr>
              <w:keepNext/>
              <w:keepLines/>
              <w:tabs>
                <w:tab w:val="left" w:pos="-1440"/>
                <w:tab w:val="left" w:pos="-720"/>
              </w:tabs>
              <w:rPr>
                <w:sz w:val="20"/>
                <w:szCs w:val="20"/>
              </w:rPr>
            </w:pPr>
            <w:r w:rsidRPr="00A935AA">
              <w:rPr>
                <w:sz w:val="20"/>
                <w:szCs w:val="20"/>
              </w:rPr>
              <w:tab/>
            </w:r>
            <w:r w:rsidR="00F067EA">
              <w:rPr>
                <w:sz w:val="20"/>
                <w:szCs w:val="20"/>
              </w:rPr>
              <w:t>Julius H. Grey</w:t>
            </w:r>
          </w:p>
          <w:p w:rsidR="00242AEE" w:rsidRPr="00A935AA" w:rsidRDefault="00242AEE" w:rsidP="003B3977">
            <w:pPr>
              <w:keepNext/>
              <w:keepLines/>
              <w:tabs>
                <w:tab w:val="left" w:pos="-1440"/>
                <w:tab w:val="left" w:pos="-720"/>
              </w:tabs>
              <w:rPr>
                <w:sz w:val="20"/>
                <w:szCs w:val="20"/>
              </w:rPr>
            </w:pPr>
            <w:r w:rsidRPr="00A935AA">
              <w:rPr>
                <w:sz w:val="20"/>
                <w:szCs w:val="20"/>
              </w:rPr>
              <w:tab/>
            </w:r>
            <w:r w:rsidR="00F067EA">
              <w:rPr>
                <w:sz w:val="20"/>
                <w:szCs w:val="20"/>
              </w:rPr>
              <w:t>Grey Casgrain</w:t>
            </w:r>
          </w:p>
          <w:p w:rsidR="00242AEE" w:rsidRPr="00A935AA" w:rsidRDefault="00242AEE" w:rsidP="003B3977">
            <w:pPr>
              <w:keepNext/>
              <w:keepLines/>
              <w:tabs>
                <w:tab w:val="left" w:pos="-1440"/>
                <w:tab w:val="left" w:pos="-720"/>
              </w:tabs>
              <w:rPr>
                <w:sz w:val="20"/>
                <w:szCs w:val="20"/>
              </w:rPr>
            </w:pPr>
          </w:p>
          <w:p w:rsidR="00242AEE" w:rsidRPr="00870DD7" w:rsidRDefault="00242AEE" w:rsidP="003B3977">
            <w:pPr>
              <w:keepNext/>
              <w:keepLines/>
              <w:tabs>
                <w:tab w:val="left" w:pos="-1440"/>
                <w:tab w:val="left" w:pos="-720"/>
              </w:tabs>
              <w:rPr>
                <w:sz w:val="20"/>
                <w:szCs w:val="20"/>
                <w:lang w:val="fr-CA"/>
              </w:rPr>
            </w:pPr>
            <w:r w:rsidRPr="00A935AA">
              <w:rPr>
                <w:sz w:val="20"/>
                <w:szCs w:val="20"/>
              </w:rPr>
              <w:tab/>
            </w:r>
            <w:r w:rsidRPr="00870DD7">
              <w:rPr>
                <w:sz w:val="20"/>
                <w:szCs w:val="20"/>
                <w:lang w:val="fr-CA"/>
              </w:rPr>
              <w:t>v. (3</w:t>
            </w:r>
            <w:r w:rsidR="0031047B" w:rsidRPr="00870DD7">
              <w:rPr>
                <w:sz w:val="20"/>
                <w:szCs w:val="20"/>
                <w:lang w:val="fr-CA"/>
              </w:rPr>
              <w:t>47</w:t>
            </w:r>
            <w:r w:rsidR="00F067EA" w:rsidRPr="00870DD7">
              <w:rPr>
                <w:sz w:val="20"/>
                <w:szCs w:val="20"/>
                <w:lang w:val="fr-CA"/>
              </w:rPr>
              <w:t>19</w:t>
            </w:r>
            <w:r w:rsidRPr="00870DD7">
              <w:rPr>
                <w:sz w:val="20"/>
                <w:szCs w:val="20"/>
                <w:lang w:val="fr-CA"/>
              </w:rPr>
              <w:t>)</w:t>
            </w:r>
          </w:p>
          <w:p w:rsidR="00242AEE" w:rsidRPr="00870DD7" w:rsidRDefault="00242AEE" w:rsidP="003B3977">
            <w:pPr>
              <w:keepNext/>
              <w:keepLines/>
              <w:tabs>
                <w:tab w:val="left" w:pos="-1440"/>
                <w:tab w:val="left" w:pos="-720"/>
              </w:tabs>
              <w:rPr>
                <w:sz w:val="20"/>
                <w:szCs w:val="20"/>
                <w:lang w:val="fr-CA"/>
              </w:rPr>
            </w:pPr>
          </w:p>
          <w:p w:rsidR="00242AEE" w:rsidRPr="00870DD7" w:rsidRDefault="00F067EA" w:rsidP="003B3977">
            <w:pPr>
              <w:keepNext/>
              <w:keepLines/>
              <w:tabs>
                <w:tab w:val="left" w:pos="-1440"/>
                <w:tab w:val="left" w:pos="-720"/>
              </w:tabs>
              <w:rPr>
                <w:b/>
                <w:sz w:val="20"/>
                <w:szCs w:val="20"/>
                <w:lang w:val="fr-CA"/>
              </w:rPr>
            </w:pPr>
            <w:r w:rsidRPr="00870DD7">
              <w:rPr>
                <w:b/>
                <w:sz w:val="20"/>
                <w:szCs w:val="20"/>
                <w:lang w:val="fr-CA"/>
              </w:rPr>
              <w:t xml:space="preserve">Mary Kanavaros </w:t>
            </w:r>
            <w:r w:rsidR="00242AEE" w:rsidRPr="00870DD7">
              <w:rPr>
                <w:b/>
                <w:sz w:val="20"/>
                <w:szCs w:val="20"/>
                <w:lang w:val="fr-CA"/>
              </w:rPr>
              <w:t>(</w:t>
            </w:r>
            <w:r w:rsidRPr="00870DD7">
              <w:rPr>
                <w:b/>
                <w:sz w:val="20"/>
                <w:szCs w:val="20"/>
                <w:lang w:val="fr-CA"/>
              </w:rPr>
              <w:t>Que</w:t>
            </w:r>
            <w:r w:rsidR="00242AEE" w:rsidRPr="00870DD7">
              <w:rPr>
                <w:b/>
                <w:sz w:val="20"/>
                <w:szCs w:val="20"/>
                <w:lang w:val="fr-CA"/>
              </w:rPr>
              <w:t>.)</w:t>
            </w:r>
          </w:p>
          <w:p w:rsidR="00242AEE" w:rsidRPr="00870DD7" w:rsidRDefault="00242AEE" w:rsidP="003B3977">
            <w:pPr>
              <w:keepNext/>
              <w:keepLines/>
              <w:tabs>
                <w:tab w:val="left" w:pos="-1440"/>
                <w:tab w:val="left" w:pos="-720"/>
              </w:tabs>
              <w:rPr>
                <w:sz w:val="20"/>
                <w:szCs w:val="20"/>
                <w:lang w:val="fr-CA"/>
              </w:rPr>
            </w:pPr>
            <w:r w:rsidRPr="00870DD7">
              <w:rPr>
                <w:sz w:val="20"/>
                <w:szCs w:val="20"/>
                <w:lang w:val="fr-CA"/>
              </w:rPr>
              <w:tab/>
            </w:r>
            <w:r w:rsidR="00F067EA" w:rsidRPr="00870DD7">
              <w:rPr>
                <w:sz w:val="20"/>
                <w:szCs w:val="20"/>
                <w:lang w:val="fr-CA"/>
              </w:rPr>
              <w:t>Martine L. Tremblay</w:t>
            </w:r>
          </w:p>
          <w:p w:rsidR="00242AEE" w:rsidRPr="00870DD7" w:rsidRDefault="00242AEE" w:rsidP="003B3977">
            <w:pPr>
              <w:keepNext/>
              <w:keepLines/>
              <w:tabs>
                <w:tab w:val="left" w:pos="-1440"/>
                <w:tab w:val="left" w:pos="-720"/>
              </w:tabs>
              <w:rPr>
                <w:sz w:val="20"/>
                <w:szCs w:val="20"/>
                <w:lang w:val="fr-CA"/>
              </w:rPr>
            </w:pPr>
            <w:r w:rsidRPr="00870DD7">
              <w:rPr>
                <w:sz w:val="20"/>
                <w:szCs w:val="20"/>
                <w:lang w:val="fr-CA"/>
              </w:rPr>
              <w:tab/>
            </w:r>
            <w:r w:rsidR="00F067EA" w:rsidRPr="00870DD7">
              <w:rPr>
                <w:sz w:val="20"/>
                <w:szCs w:val="20"/>
                <w:lang w:val="fr-CA"/>
              </w:rPr>
              <w:t>Kugler Kandestin s.e.n.c.r.l.</w:t>
            </w:r>
          </w:p>
          <w:p w:rsidR="00242AEE" w:rsidRPr="00870DD7" w:rsidRDefault="00242AEE" w:rsidP="003B3977">
            <w:pPr>
              <w:keepNext/>
              <w:keepLines/>
              <w:tabs>
                <w:tab w:val="left" w:pos="-1440"/>
                <w:tab w:val="left" w:pos="-720"/>
              </w:tabs>
              <w:rPr>
                <w:sz w:val="20"/>
                <w:szCs w:val="20"/>
                <w:lang w:val="fr-CA"/>
              </w:rPr>
            </w:pPr>
          </w:p>
          <w:p w:rsidR="00242AEE" w:rsidRPr="00A935AA" w:rsidRDefault="00242AEE" w:rsidP="00F067EA">
            <w:pPr>
              <w:rPr>
                <w:sz w:val="20"/>
                <w:szCs w:val="20"/>
              </w:rPr>
            </w:pPr>
            <w:r w:rsidRPr="00A935AA">
              <w:rPr>
                <w:sz w:val="20"/>
                <w:szCs w:val="20"/>
              </w:rPr>
              <w:t xml:space="preserve">FILING DATE: </w:t>
            </w:r>
            <w:r w:rsidR="00F067EA">
              <w:rPr>
                <w:sz w:val="20"/>
                <w:szCs w:val="20"/>
              </w:rPr>
              <w:t>15</w:t>
            </w:r>
            <w:r w:rsidRPr="00A935AA">
              <w:rPr>
                <w:sz w:val="20"/>
                <w:szCs w:val="20"/>
              </w:rPr>
              <w:t>.0</w:t>
            </w:r>
            <w:r w:rsidR="00F067EA">
              <w:rPr>
                <w:sz w:val="20"/>
                <w:szCs w:val="20"/>
              </w:rPr>
              <w:t>3</w:t>
            </w:r>
            <w:r w:rsidRPr="00A935AA">
              <w:rPr>
                <w:sz w:val="20"/>
                <w:szCs w:val="20"/>
              </w:rPr>
              <w:t>.201</w:t>
            </w:r>
            <w:r w:rsidR="0031047B">
              <w:rPr>
                <w:sz w:val="20"/>
                <w:szCs w:val="20"/>
              </w:rPr>
              <w:t>2</w:t>
            </w:r>
            <w:r w:rsidR="00B44839" w:rsidRPr="00B44839">
              <w:rPr>
                <w:sz w:val="20"/>
                <w:szCs w:val="20"/>
                <w:lang w:val="fr-CA"/>
              </w:rPr>
              <w:pict>
                <v:rect id="_x0000_i1026" style="width:108pt;height:1pt" o:hrpct="0" o:hralign="center" o:hrstd="t" o:hrnoshade="t" o:hr="t" fillcolor="black [3213]" stroked="f"/>
              </w:pict>
            </w:r>
          </w:p>
        </w:tc>
      </w:tr>
      <w:tr w:rsidR="0031047B" w:rsidRPr="00A935AA" w:rsidTr="003B3977">
        <w:tc>
          <w:tcPr>
            <w:tcW w:w="4320" w:type="dxa"/>
            <w:shd w:val="clear" w:color="auto" w:fill="auto"/>
          </w:tcPr>
          <w:p w:rsidR="0031047B" w:rsidRPr="00870DD7" w:rsidRDefault="00F067EA" w:rsidP="009B2448">
            <w:pPr>
              <w:rPr>
                <w:b/>
                <w:sz w:val="20"/>
                <w:szCs w:val="20"/>
                <w:lang w:val="fr-CA"/>
              </w:rPr>
            </w:pPr>
            <w:r w:rsidRPr="00870DD7">
              <w:rPr>
                <w:b/>
                <w:sz w:val="20"/>
                <w:szCs w:val="20"/>
                <w:lang w:val="fr-CA"/>
              </w:rPr>
              <w:t>Éric Bédard</w:t>
            </w:r>
          </w:p>
          <w:p w:rsidR="0031047B" w:rsidRPr="00870DD7" w:rsidRDefault="0031047B" w:rsidP="009B2448">
            <w:pPr>
              <w:tabs>
                <w:tab w:val="left" w:pos="-1440"/>
                <w:tab w:val="left" w:pos="-720"/>
              </w:tabs>
              <w:rPr>
                <w:sz w:val="20"/>
                <w:szCs w:val="20"/>
                <w:lang w:val="fr-CA"/>
              </w:rPr>
            </w:pPr>
            <w:r w:rsidRPr="00870DD7">
              <w:rPr>
                <w:sz w:val="20"/>
                <w:szCs w:val="20"/>
                <w:lang w:val="fr-CA"/>
              </w:rPr>
              <w:tab/>
            </w:r>
            <w:r w:rsidR="00F067EA" w:rsidRPr="00870DD7">
              <w:rPr>
                <w:sz w:val="20"/>
                <w:szCs w:val="20"/>
                <w:lang w:val="fr-CA"/>
              </w:rPr>
              <w:t>Alexandre Bergevin</w:t>
            </w:r>
          </w:p>
          <w:p w:rsidR="0031047B" w:rsidRPr="00870DD7" w:rsidRDefault="0031047B" w:rsidP="009B2448">
            <w:pPr>
              <w:tabs>
                <w:tab w:val="left" w:pos="-1440"/>
                <w:tab w:val="left" w:pos="-720"/>
              </w:tabs>
              <w:rPr>
                <w:sz w:val="20"/>
                <w:szCs w:val="20"/>
                <w:lang w:val="fr-CA"/>
              </w:rPr>
            </w:pPr>
          </w:p>
          <w:p w:rsidR="0031047B" w:rsidRPr="00F067EA" w:rsidRDefault="0031047B" w:rsidP="009B2448">
            <w:pPr>
              <w:tabs>
                <w:tab w:val="left" w:pos="-1440"/>
                <w:tab w:val="left" w:pos="-720"/>
              </w:tabs>
              <w:rPr>
                <w:sz w:val="20"/>
                <w:szCs w:val="20"/>
                <w:lang w:val="fr-CA"/>
              </w:rPr>
            </w:pPr>
            <w:r w:rsidRPr="00870DD7">
              <w:rPr>
                <w:sz w:val="20"/>
                <w:szCs w:val="20"/>
                <w:lang w:val="fr-CA"/>
              </w:rPr>
              <w:tab/>
            </w:r>
            <w:r w:rsidR="00F067EA" w:rsidRPr="00F067EA">
              <w:rPr>
                <w:sz w:val="20"/>
                <w:szCs w:val="20"/>
                <w:lang w:val="fr-CA"/>
              </w:rPr>
              <w:t>c</w:t>
            </w:r>
            <w:r w:rsidRPr="00F067EA">
              <w:rPr>
                <w:sz w:val="20"/>
                <w:szCs w:val="20"/>
                <w:lang w:val="fr-CA"/>
              </w:rPr>
              <w:t>. (347</w:t>
            </w:r>
            <w:r w:rsidR="00F067EA" w:rsidRPr="00F067EA">
              <w:rPr>
                <w:sz w:val="20"/>
                <w:szCs w:val="20"/>
                <w:lang w:val="fr-CA"/>
              </w:rPr>
              <w:t>37</w:t>
            </w:r>
            <w:r w:rsidRPr="00F067EA">
              <w:rPr>
                <w:sz w:val="20"/>
                <w:szCs w:val="20"/>
                <w:lang w:val="fr-CA"/>
              </w:rPr>
              <w:t>)</w:t>
            </w:r>
          </w:p>
          <w:p w:rsidR="0031047B" w:rsidRPr="00F067EA" w:rsidRDefault="0031047B" w:rsidP="009B2448">
            <w:pPr>
              <w:tabs>
                <w:tab w:val="left" w:pos="-1440"/>
                <w:tab w:val="left" w:pos="-720"/>
              </w:tabs>
              <w:rPr>
                <w:sz w:val="20"/>
                <w:szCs w:val="20"/>
                <w:lang w:val="fr-CA"/>
              </w:rPr>
            </w:pPr>
          </w:p>
          <w:p w:rsidR="0031047B" w:rsidRPr="00F067EA" w:rsidRDefault="00F067EA" w:rsidP="009B2448">
            <w:pPr>
              <w:tabs>
                <w:tab w:val="left" w:pos="-1440"/>
                <w:tab w:val="left" w:pos="-720"/>
              </w:tabs>
              <w:rPr>
                <w:b/>
                <w:sz w:val="20"/>
                <w:szCs w:val="20"/>
                <w:lang w:val="fr-CA"/>
              </w:rPr>
            </w:pPr>
            <w:r w:rsidRPr="00F067EA">
              <w:rPr>
                <w:b/>
                <w:sz w:val="20"/>
                <w:szCs w:val="20"/>
                <w:lang w:val="fr-CA"/>
              </w:rPr>
              <w:t>Ministre de la Justice du Canada</w:t>
            </w:r>
            <w:r w:rsidR="00040C51">
              <w:rPr>
                <w:b/>
                <w:sz w:val="20"/>
                <w:szCs w:val="20"/>
                <w:lang w:val="fr-CA"/>
              </w:rPr>
              <w:t xml:space="preserve"> </w:t>
            </w:r>
            <w:r w:rsidR="0031047B" w:rsidRPr="00F067EA">
              <w:rPr>
                <w:b/>
                <w:sz w:val="20"/>
                <w:szCs w:val="20"/>
                <w:lang w:val="fr-CA"/>
              </w:rPr>
              <w:t>(</w:t>
            </w:r>
            <w:r w:rsidR="00500DA8">
              <w:rPr>
                <w:b/>
                <w:sz w:val="20"/>
                <w:szCs w:val="20"/>
                <w:lang w:val="fr-CA"/>
              </w:rPr>
              <w:t>Qc</w:t>
            </w:r>
            <w:r w:rsidR="0031047B" w:rsidRPr="00F067EA">
              <w:rPr>
                <w:b/>
                <w:sz w:val="20"/>
                <w:szCs w:val="20"/>
                <w:lang w:val="fr-CA"/>
              </w:rPr>
              <w:t>)</w:t>
            </w:r>
          </w:p>
          <w:p w:rsidR="0031047B" w:rsidRPr="00F067EA" w:rsidRDefault="0031047B" w:rsidP="009B2448">
            <w:pPr>
              <w:tabs>
                <w:tab w:val="left" w:pos="-1440"/>
                <w:tab w:val="left" w:pos="-720"/>
              </w:tabs>
              <w:rPr>
                <w:sz w:val="20"/>
                <w:szCs w:val="20"/>
                <w:lang w:val="fr-CA"/>
              </w:rPr>
            </w:pPr>
            <w:r w:rsidRPr="00F067EA">
              <w:rPr>
                <w:sz w:val="20"/>
                <w:szCs w:val="20"/>
                <w:lang w:val="fr-CA"/>
              </w:rPr>
              <w:tab/>
            </w:r>
            <w:r w:rsidR="00F067EA">
              <w:rPr>
                <w:sz w:val="20"/>
                <w:szCs w:val="20"/>
                <w:lang w:val="fr-CA"/>
              </w:rPr>
              <w:t>Constantina Antonopoulos</w:t>
            </w:r>
          </w:p>
          <w:p w:rsidR="0031047B" w:rsidRPr="00F067EA" w:rsidRDefault="0031047B" w:rsidP="009B2448">
            <w:pPr>
              <w:tabs>
                <w:tab w:val="left" w:pos="-1440"/>
                <w:tab w:val="left" w:pos="-720"/>
              </w:tabs>
              <w:rPr>
                <w:sz w:val="20"/>
                <w:szCs w:val="20"/>
                <w:lang w:val="fr-CA"/>
              </w:rPr>
            </w:pPr>
            <w:r w:rsidRPr="00F067EA">
              <w:rPr>
                <w:sz w:val="20"/>
                <w:szCs w:val="20"/>
                <w:lang w:val="fr-CA"/>
              </w:rPr>
              <w:tab/>
            </w:r>
            <w:r w:rsidR="00500DA8">
              <w:rPr>
                <w:sz w:val="20"/>
                <w:szCs w:val="20"/>
                <w:lang w:val="fr-CA"/>
              </w:rPr>
              <w:t>Ministère de la Justice du Canada</w:t>
            </w:r>
          </w:p>
          <w:p w:rsidR="0031047B" w:rsidRPr="00F067EA" w:rsidRDefault="0031047B" w:rsidP="009B2448">
            <w:pPr>
              <w:tabs>
                <w:tab w:val="left" w:pos="-1440"/>
                <w:tab w:val="left" w:pos="-720"/>
              </w:tabs>
              <w:rPr>
                <w:sz w:val="20"/>
                <w:szCs w:val="20"/>
                <w:lang w:val="fr-CA"/>
              </w:rPr>
            </w:pPr>
          </w:p>
          <w:p w:rsidR="0031047B" w:rsidRPr="00A935AA" w:rsidRDefault="0031047B" w:rsidP="009B2448">
            <w:pPr>
              <w:rPr>
                <w:sz w:val="20"/>
                <w:szCs w:val="20"/>
              </w:rPr>
            </w:pPr>
            <w:r w:rsidRPr="00A935AA">
              <w:rPr>
                <w:sz w:val="20"/>
                <w:szCs w:val="20"/>
              </w:rPr>
              <w:t>DATE</w:t>
            </w:r>
            <w:r w:rsidR="00500DA8">
              <w:rPr>
                <w:sz w:val="20"/>
                <w:szCs w:val="20"/>
              </w:rPr>
              <w:t xml:space="preserve"> DE PRODUCTION </w:t>
            </w:r>
            <w:r w:rsidRPr="00A935AA">
              <w:rPr>
                <w:sz w:val="20"/>
                <w:szCs w:val="20"/>
              </w:rPr>
              <w:t>: 2</w:t>
            </w:r>
            <w:r w:rsidR="00500DA8">
              <w:rPr>
                <w:sz w:val="20"/>
                <w:szCs w:val="20"/>
              </w:rPr>
              <w:t>8</w:t>
            </w:r>
            <w:r w:rsidRPr="00A935AA">
              <w:rPr>
                <w:sz w:val="20"/>
                <w:szCs w:val="20"/>
              </w:rPr>
              <w:t>.0</w:t>
            </w:r>
            <w:r w:rsidR="00500DA8">
              <w:rPr>
                <w:sz w:val="20"/>
                <w:szCs w:val="20"/>
              </w:rPr>
              <w:t>3</w:t>
            </w:r>
            <w:r w:rsidRPr="00A935AA">
              <w:rPr>
                <w:sz w:val="20"/>
                <w:szCs w:val="20"/>
              </w:rPr>
              <w:t>.201</w:t>
            </w:r>
            <w:r>
              <w:rPr>
                <w:sz w:val="20"/>
                <w:szCs w:val="20"/>
              </w:rPr>
              <w:t>2</w:t>
            </w:r>
          </w:p>
          <w:p w:rsidR="0031047B" w:rsidRPr="00A935AA" w:rsidRDefault="00B44839" w:rsidP="009B2448">
            <w:pPr>
              <w:rPr>
                <w:sz w:val="20"/>
                <w:szCs w:val="20"/>
              </w:rPr>
            </w:pPr>
            <w:r w:rsidRPr="00B4483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tc>
        <w:tc>
          <w:tcPr>
            <w:tcW w:w="4320" w:type="dxa"/>
            <w:shd w:val="clear" w:color="auto" w:fill="auto"/>
          </w:tcPr>
          <w:p w:rsidR="0031047B" w:rsidRPr="00A935AA" w:rsidRDefault="00500DA8" w:rsidP="009B2448">
            <w:pPr>
              <w:keepNext/>
              <w:keepLines/>
              <w:tabs>
                <w:tab w:val="left" w:pos="-1440"/>
                <w:tab w:val="left" w:pos="-720"/>
              </w:tabs>
              <w:rPr>
                <w:b/>
                <w:sz w:val="20"/>
                <w:szCs w:val="20"/>
              </w:rPr>
            </w:pPr>
            <w:r>
              <w:rPr>
                <w:b/>
                <w:sz w:val="20"/>
                <w:szCs w:val="20"/>
              </w:rPr>
              <w:t>Bradley Francis Gray</w:t>
            </w:r>
          </w:p>
          <w:p w:rsidR="0031047B" w:rsidRPr="00A935AA" w:rsidRDefault="0031047B" w:rsidP="009B2448">
            <w:pPr>
              <w:keepNext/>
              <w:keepLines/>
              <w:tabs>
                <w:tab w:val="left" w:pos="-1440"/>
                <w:tab w:val="left" w:pos="-720"/>
              </w:tabs>
              <w:rPr>
                <w:sz w:val="20"/>
                <w:szCs w:val="20"/>
              </w:rPr>
            </w:pPr>
            <w:r w:rsidRPr="00A935AA">
              <w:rPr>
                <w:sz w:val="20"/>
                <w:szCs w:val="20"/>
              </w:rPr>
              <w:tab/>
            </w:r>
            <w:r w:rsidR="00500DA8">
              <w:rPr>
                <w:sz w:val="20"/>
                <w:szCs w:val="20"/>
              </w:rPr>
              <w:t>Karen B. Molle</w:t>
            </w:r>
          </w:p>
          <w:p w:rsidR="0031047B" w:rsidRPr="00A935AA" w:rsidRDefault="0031047B" w:rsidP="009B2448">
            <w:pPr>
              <w:keepNext/>
              <w:keepLines/>
              <w:tabs>
                <w:tab w:val="left" w:pos="-1440"/>
                <w:tab w:val="left" w:pos="-720"/>
              </w:tabs>
              <w:rPr>
                <w:sz w:val="20"/>
                <w:szCs w:val="20"/>
              </w:rPr>
            </w:pPr>
          </w:p>
          <w:p w:rsidR="0031047B" w:rsidRPr="00500DA8" w:rsidRDefault="0031047B" w:rsidP="009B2448">
            <w:pPr>
              <w:keepNext/>
              <w:keepLines/>
              <w:tabs>
                <w:tab w:val="left" w:pos="-1440"/>
                <w:tab w:val="left" w:pos="-720"/>
              </w:tabs>
              <w:rPr>
                <w:sz w:val="20"/>
                <w:szCs w:val="20"/>
              </w:rPr>
            </w:pPr>
            <w:r w:rsidRPr="00A935AA">
              <w:rPr>
                <w:sz w:val="20"/>
                <w:szCs w:val="20"/>
              </w:rPr>
              <w:tab/>
            </w:r>
            <w:r w:rsidRPr="00500DA8">
              <w:rPr>
                <w:sz w:val="20"/>
                <w:szCs w:val="20"/>
              </w:rPr>
              <w:t>v. (347</w:t>
            </w:r>
            <w:r w:rsidR="00500DA8">
              <w:rPr>
                <w:sz w:val="20"/>
                <w:szCs w:val="20"/>
              </w:rPr>
              <w:t>72</w:t>
            </w:r>
            <w:r w:rsidRPr="00500DA8">
              <w:rPr>
                <w:sz w:val="20"/>
                <w:szCs w:val="20"/>
              </w:rPr>
              <w:t>)</w:t>
            </w:r>
          </w:p>
          <w:p w:rsidR="0031047B" w:rsidRPr="00500DA8" w:rsidRDefault="0031047B" w:rsidP="009B2448">
            <w:pPr>
              <w:keepNext/>
              <w:keepLines/>
              <w:tabs>
                <w:tab w:val="left" w:pos="-1440"/>
                <w:tab w:val="left" w:pos="-720"/>
              </w:tabs>
              <w:rPr>
                <w:sz w:val="20"/>
                <w:szCs w:val="20"/>
              </w:rPr>
            </w:pPr>
          </w:p>
          <w:p w:rsidR="0031047B" w:rsidRPr="00500DA8" w:rsidRDefault="00500DA8" w:rsidP="009B2448">
            <w:pPr>
              <w:keepNext/>
              <w:keepLines/>
              <w:tabs>
                <w:tab w:val="left" w:pos="-1440"/>
                <w:tab w:val="left" w:pos="-720"/>
              </w:tabs>
              <w:rPr>
                <w:b/>
                <w:sz w:val="20"/>
                <w:szCs w:val="20"/>
              </w:rPr>
            </w:pPr>
            <w:r>
              <w:rPr>
                <w:b/>
                <w:sz w:val="20"/>
                <w:szCs w:val="20"/>
              </w:rPr>
              <w:t xml:space="preserve">Her Majesty the Queen </w:t>
            </w:r>
            <w:r w:rsidR="0031047B" w:rsidRPr="00500DA8">
              <w:rPr>
                <w:b/>
                <w:sz w:val="20"/>
                <w:szCs w:val="20"/>
              </w:rPr>
              <w:t>(</w:t>
            </w:r>
            <w:r>
              <w:rPr>
                <w:b/>
                <w:sz w:val="20"/>
                <w:szCs w:val="20"/>
              </w:rPr>
              <w:t>Al</w:t>
            </w:r>
            <w:r w:rsidR="0031047B" w:rsidRPr="00500DA8">
              <w:rPr>
                <w:b/>
                <w:sz w:val="20"/>
                <w:szCs w:val="20"/>
              </w:rPr>
              <w:t>t</w:t>
            </w:r>
            <w:r>
              <w:rPr>
                <w:b/>
                <w:sz w:val="20"/>
                <w:szCs w:val="20"/>
              </w:rPr>
              <w:t>a</w:t>
            </w:r>
            <w:r w:rsidR="0031047B" w:rsidRPr="00500DA8">
              <w:rPr>
                <w:b/>
                <w:sz w:val="20"/>
                <w:szCs w:val="20"/>
              </w:rPr>
              <w:t>.)</w:t>
            </w:r>
          </w:p>
          <w:p w:rsidR="0031047B" w:rsidRPr="00500DA8" w:rsidRDefault="0031047B" w:rsidP="009B2448">
            <w:pPr>
              <w:keepNext/>
              <w:keepLines/>
              <w:tabs>
                <w:tab w:val="left" w:pos="-1440"/>
                <w:tab w:val="left" w:pos="-720"/>
              </w:tabs>
              <w:rPr>
                <w:sz w:val="20"/>
                <w:szCs w:val="20"/>
              </w:rPr>
            </w:pPr>
            <w:r w:rsidRPr="00500DA8">
              <w:rPr>
                <w:sz w:val="20"/>
                <w:szCs w:val="20"/>
              </w:rPr>
              <w:tab/>
            </w:r>
            <w:r w:rsidR="00500DA8">
              <w:rPr>
                <w:sz w:val="20"/>
                <w:szCs w:val="20"/>
              </w:rPr>
              <w:t>Jolaine Antonio</w:t>
            </w:r>
          </w:p>
          <w:p w:rsidR="0031047B" w:rsidRPr="00500DA8" w:rsidRDefault="0031047B" w:rsidP="009B2448">
            <w:pPr>
              <w:keepNext/>
              <w:keepLines/>
              <w:tabs>
                <w:tab w:val="left" w:pos="-1440"/>
                <w:tab w:val="left" w:pos="-720"/>
              </w:tabs>
              <w:rPr>
                <w:sz w:val="20"/>
                <w:szCs w:val="20"/>
              </w:rPr>
            </w:pPr>
            <w:r w:rsidRPr="00500DA8">
              <w:rPr>
                <w:sz w:val="20"/>
                <w:szCs w:val="20"/>
              </w:rPr>
              <w:tab/>
            </w:r>
            <w:r w:rsidR="00500DA8">
              <w:rPr>
                <w:sz w:val="20"/>
                <w:szCs w:val="20"/>
              </w:rPr>
              <w:t>A.G. of Alberta</w:t>
            </w:r>
          </w:p>
          <w:p w:rsidR="0031047B" w:rsidRPr="00500DA8" w:rsidRDefault="0031047B" w:rsidP="009B2448">
            <w:pPr>
              <w:keepNext/>
              <w:keepLines/>
              <w:tabs>
                <w:tab w:val="left" w:pos="-1440"/>
                <w:tab w:val="left" w:pos="-720"/>
              </w:tabs>
              <w:rPr>
                <w:sz w:val="20"/>
                <w:szCs w:val="20"/>
              </w:rPr>
            </w:pPr>
          </w:p>
          <w:p w:rsidR="0031047B" w:rsidRPr="00A935AA" w:rsidRDefault="0031047B" w:rsidP="00500DA8">
            <w:pPr>
              <w:rPr>
                <w:sz w:val="20"/>
                <w:szCs w:val="20"/>
              </w:rPr>
            </w:pPr>
            <w:r w:rsidRPr="00A935AA">
              <w:rPr>
                <w:sz w:val="20"/>
                <w:szCs w:val="20"/>
              </w:rPr>
              <w:t xml:space="preserve">FILING DATE: </w:t>
            </w:r>
            <w:r w:rsidR="00500DA8">
              <w:rPr>
                <w:sz w:val="20"/>
                <w:szCs w:val="20"/>
              </w:rPr>
              <w:t>16</w:t>
            </w:r>
            <w:r w:rsidRPr="00A935AA">
              <w:rPr>
                <w:sz w:val="20"/>
                <w:szCs w:val="20"/>
              </w:rPr>
              <w:t>.0</w:t>
            </w:r>
            <w:r>
              <w:rPr>
                <w:sz w:val="20"/>
                <w:szCs w:val="20"/>
              </w:rPr>
              <w:t>4</w:t>
            </w:r>
            <w:r w:rsidRPr="00A935AA">
              <w:rPr>
                <w:sz w:val="20"/>
                <w:szCs w:val="20"/>
              </w:rPr>
              <w:t>.201</w:t>
            </w:r>
            <w:r>
              <w:rPr>
                <w:sz w:val="20"/>
                <w:szCs w:val="20"/>
              </w:rPr>
              <w:t>2</w:t>
            </w:r>
            <w:r w:rsidR="00B44839" w:rsidRPr="00B44839">
              <w:rPr>
                <w:sz w:val="20"/>
                <w:szCs w:val="20"/>
                <w:lang w:val="fr-CA"/>
              </w:rPr>
              <w:pict>
                <v:rect id="_x0000_i1028" style="width:108pt;height:1pt" o:hrpct="0" o:hralign="center" o:hrstd="t" o:hrnoshade="t" o:hr="t" fillcolor="black [3213]" stroked="f"/>
              </w:pict>
            </w:r>
          </w:p>
        </w:tc>
      </w:tr>
      <w:tr w:rsidR="0031047B" w:rsidRPr="004A42A2" w:rsidTr="003B3977">
        <w:tc>
          <w:tcPr>
            <w:tcW w:w="4320" w:type="dxa"/>
            <w:shd w:val="clear" w:color="auto" w:fill="auto"/>
          </w:tcPr>
          <w:p w:rsidR="0031047B" w:rsidRPr="00870DD7" w:rsidRDefault="00500DA8" w:rsidP="009B2448">
            <w:pPr>
              <w:rPr>
                <w:b/>
                <w:sz w:val="20"/>
                <w:szCs w:val="20"/>
                <w:lang w:val="fr-CA"/>
              </w:rPr>
            </w:pPr>
            <w:r w:rsidRPr="00870DD7">
              <w:rPr>
                <w:b/>
                <w:sz w:val="20"/>
                <w:szCs w:val="20"/>
                <w:lang w:val="fr-CA"/>
              </w:rPr>
              <w:t>Alain Painchaud</w:t>
            </w:r>
          </w:p>
          <w:p w:rsidR="0031047B" w:rsidRPr="00870DD7" w:rsidRDefault="0031047B" w:rsidP="009B2448">
            <w:pPr>
              <w:tabs>
                <w:tab w:val="left" w:pos="-1440"/>
                <w:tab w:val="left" w:pos="-720"/>
              </w:tabs>
              <w:rPr>
                <w:sz w:val="20"/>
                <w:szCs w:val="20"/>
                <w:lang w:val="fr-CA"/>
              </w:rPr>
            </w:pPr>
            <w:r w:rsidRPr="00870DD7">
              <w:rPr>
                <w:sz w:val="20"/>
                <w:szCs w:val="20"/>
                <w:lang w:val="fr-CA"/>
              </w:rPr>
              <w:tab/>
            </w:r>
            <w:r w:rsidR="00500DA8" w:rsidRPr="00870DD7">
              <w:rPr>
                <w:sz w:val="20"/>
                <w:szCs w:val="20"/>
                <w:lang w:val="fr-CA"/>
              </w:rPr>
              <w:t>Alain Painchaud</w:t>
            </w:r>
          </w:p>
          <w:p w:rsidR="0031047B" w:rsidRPr="00870DD7" w:rsidRDefault="0031047B" w:rsidP="009B2448">
            <w:pPr>
              <w:tabs>
                <w:tab w:val="left" w:pos="-1440"/>
                <w:tab w:val="left" w:pos="-720"/>
              </w:tabs>
              <w:rPr>
                <w:sz w:val="20"/>
                <w:szCs w:val="20"/>
                <w:lang w:val="fr-CA"/>
              </w:rPr>
            </w:pPr>
          </w:p>
          <w:p w:rsidR="0031047B" w:rsidRPr="00500DA8" w:rsidRDefault="0031047B" w:rsidP="009B2448">
            <w:pPr>
              <w:tabs>
                <w:tab w:val="left" w:pos="-1440"/>
                <w:tab w:val="left" w:pos="-720"/>
              </w:tabs>
              <w:rPr>
                <w:sz w:val="20"/>
                <w:szCs w:val="20"/>
                <w:lang w:val="fr-CA"/>
              </w:rPr>
            </w:pPr>
            <w:r w:rsidRPr="00870DD7">
              <w:rPr>
                <w:sz w:val="20"/>
                <w:szCs w:val="20"/>
                <w:lang w:val="fr-CA"/>
              </w:rPr>
              <w:tab/>
            </w:r>
            <w:r w:rsidR="00500DA8" w:rsidRPr="00500DA8">
              <w:rPr>
                <w:sz w:val="20"/>
                <w:szCs w:val="20"/>
                <w:lang w:val="fr-CA"/>
              </w:rPr>
              <w:t>c</w:t>
            </w:r>
            <w:r w:rsidRPr="00500DA8">
              <w:rPr>
                <w:sz w:val="20"/>
                <w:szCs w:val="20"/>
                <w:lang w:val="fr-CA"/>
              </w:rPr>
              <w:t>. (347</w:t>
            </w:r>
            <w:r w:rsidR="00500DA8" w:rsidRPr="00500DA8">
              <w:rPr>
                <w:sz w:val="20"/>
                <w:szCs w:val="20"/>
                <w:lang w:val="fr-CA"/>
              </w:rPr>
              <w:t>78</w:t>
            </w:r>
            <w:r w:rsidRPr="00500DA8">
              <w:rPr>
                <w:sz w:val="20"/>
                <w:szCs w:val="20"/>
                <w:lang w:val="fr-CA"/>
              </w:rPr>
              <w:t>)</w:t>
            </w:r>
          </w:p>
          <w:p w:rsidR="0031047B" w:rsidRPr="00500DA8" w:rsidRDefault="0031047B" w:rsidP="009B2448">
            <w:pPr>
              <w:tabs>
                <w:tab w:val="left" w:pos="-1440"/>
                <w:tab w:val="left" w:pos="-720"/>
              </w:tabs>
              <w:rPr>
                <w:sz w:val="20"/>
                <w:szCs w:val="20"/>
                <w:lang w:val="fr-CA"/>
              </w:rPr>
            </w:pPr>
          </w:p>
          <w:p w:rsidR="0031047B" w:rsidRPr="00500DA8" w:rsidRDefault="002A323F" w:rsidP="009B2448">
            <w:pPr>
              <w:tabs>
                <w:tab w:val="left" w:pos="-1440"/>
                <w:tab w:val="left" w:pos="-720"/>
              </w:tabs>
              <w:rPr>
                <w:b/>
                <w:sz w:val="20"/>
                <w:szCs w:val="20"/>
                <w:lang w:val="fr-CA"/>
              </w:rPr>
            </w:pPr>
            <w:r>
              <w:rPr>
                <w:b/>
                <w:sz w:val="20"/>
                <w:szCs w:val="20"/>
                <w:lang w:val="fr-CA"/>
              </w:rPr>
              <w:t xml:space="preserve">Usinage </w:t>
            </w:r>
            <w:r w:rsidR="00500DA8" w:rsidRPr="00500DA8">
              <w:rPr>
                <w:b/>
                <w:sz w:val="20"/>
                <w:szCs w:val="20"/>
                <w:lang w:val="fr-CA"/>
              </w:rPr>
              <w:t xml:space="preserve">M.D. (2006) Inc. et autres </w:t>
            </w:r>
            <w:r w:rsidR="0031047B" w:rsidRPr="00500DA8">
              <w:rPr>
                <w:b/>
                <w:sz w:val="20"/>
                <w:szCs w:val="20"/>
                <w:lang w:val="fr-CA"/>
              </w:rPr>
              <w:t>(</w:t>
            </w:r>
            <w:r w:rsidR="00500DA8" w:rsidRPr="00500DA8">
              <w:rPr>
                <w:b/>
                <w:sz w:val="20"/>
                <w:szCs w:val="20"/>
                <w:lang w:val="fr-CA"/>
              </w:rPr>
              <w:t>Qc</w:t>
            </w:r>
            <w:r w:rsidR="0031047B" w:rsidRPr="00500DA8">
              <w:rPr>
                <w:b/>
                <w:sz w:val="20"/>
                <w:szCs w:val="20"/>
                <w:lang w:val="fr-CA"/>
              </w:rPr>
              <w:t>)</w:t>
            </w:r>
          </w:p>
          <w:p w:rsidR="0031047B" w:rsidRPr="00500DA8" w:rsidRDefault="0031047B" w:rsidP="009B2448">
            <w:pPr>
              <w:tabs>
                <w:tab w:val="left" w:pos="-1440"/>
                <w:tab w:val="left" w:pos="-720"/>
              </w:tabs>
              <w:rPr>
                <w:sz w:val="20"/>
                <w:szCs w:val="20"/>
                <w:lang w:val="fr-CA"/>
              </w:rPr>
            </w:pPr>
            <w:r w:rsidRPr="00500DA8">
              <w:rPr>
                <w:sz w:val="20"/>
                <w:szCs w:val="20"/>
                <w:lang w:val="fr-CA"/>
              </w:rPr>
              <w:tab/>
            </w:r>
            <w:r w:rsidR="00500DA8">
              <w:rPr>
                <w:sz w:val="20"/>
                <w:szCs w:val="20"/>
                <w:lang w:val="fr-CA"/>
              </w:rPr>
              <w:t>Fernand Moisan</w:t>
            </w:r>
          </w:p>
          <w:p w:rsidR="0031047B" w:rsidRPr="00500DA8" w:rsidRDefault="0031047B" w:rsidP="009B2448">
            <w:pPr>
              <w:tabs>
                <w:tab w:val="left" w:pos="-1440"/>
                <w:tab w:val="left" w:pos="-720"/>
              </w:tabs>
              <w:rPr>
                <w:sz w:val="20"/>
                <w:szCs w:val="20"/>
                <w:lang w:val="fr-CA"/>
              </w:rPr>
            </w:pPr>
            <w:r w:rsidRPr="00500DA8">
              <w:rPr>
                <w:sz w:val="20"/>
                <w:szCs w:val="20"/>
                <w:lang w:val="fr-CA"/>
              </w:rPr>
              <w:tab/>
            </w:r>
            <w:r w:rsidR="00500DA8">
              <w:rPr>
                <w:sz w:val="20"/>
                <w:szCs w:val="20"/>
                <w:lang w:val="fr-CA"/>
              </w:rPr>
              <w:t>Barakatt, Harvey</w:t>
            </w:r>
          </w:p>
          <w:p w:rsidR="0031047B" w:rsidRPr="00500DA8" w:rsidRDefault="0031047B" w:rsidP="009B2448">
            <w:pPr>
              <w:tabs>
                <w:tab w:val="left" w:pos="-1440"/>
                <w:tab w:val="left" w:pos="-720"/>
              </w:tabs>
              <w:rPr>
                <w:sz w:val="20"/>
                <w:szCs w:val="20"/>
                <w:lang w:val="fr-CA"/>
              </w:rPr>
            </w:pPr>
          </w:p>
          <w:p w:rsidR="0031047B" w:rsidRPr="00500DA8" w:rsidRDefault="0031047B" w:rsidP="009B2448">
            <w:pPr>
              <w:rPr>
                <w:sz w:val="20"/>
                <w:szCs w:val="20"/>
                <w:lang w:val="fr-CA"/>
              </w:rPr>
            </w:pPr>
            <w:r w:rsidRPr="00500DA8">
              <w:rPr>
                <w:sz w:val="20"/>
                <w:szCs w:val="20"/>
                <w:lang w:val="fr-CA"/>
              </w:rPr>
              <w:t>DATE</w:t>
            </w:r>
            <w:r w:rsidR="00500DA8" w:rsidRPr="00500DA8">
              <w:rPr>
                <w:sz w:val="20"/>
                <w:szCs w:val="20"/>
                <w:lang w:val="fr-CA"/>
              </w:rPr>
              <w:t xml:space="preserve"> DE PRODUCTION </w:t>
            </w:r>
            <w:r w:rsidRPr="00500DA8">
              <w:rPr>
                <w:sz w:val="20"/>
                <w:szCs w:val="20"/>
                <w:lang w:val="fr-CA"/>
              </w:rPr>
              <w:t xml:space="preserve">: </w:t>
            </w:r>
            <w:r w:rsidR="00500DA8">
              <w:rPr>
                <w:sz w:val="20"/>
                <w:szCs w:val="20"/>
                <w:lang w:val="fr-CA"/>
              </w:rPr>
              <w:t>16</w:t>
            </w:r>
            <w:r w:rsidRPr="00500DA8">
              <w:rPr>
                <w:sz w:val="20"/>
                <w:szCs w:val="20"/>
                <w:lang w:val="fr-CA"/>
              </w:rPr>
              <w:t>.04.2012</w:t>
            </w:r>
          </w:p>
          <w:p w:rsidR="0031047B" w:rsidRPr="00500DA8" w:rsidRDefault="00B44839" w:rsidP="009B2448">
            <w:pPr>
              <w:rPr>
                <w:sz w:val="20"/>
                <w:szCs w:val="20"/>
                <w:lang w:val="fr-CA"/>
              </w:rPr>
            </w:pPr>
            <w:r w:rsidRPr="00B44839">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p w:rsidR="0031047B" w:rsidRPr="00500DA8" w:rsidRDefault="0031047B" w:rsidP="00242AEE">
            <w:pPr>
              <w:jc w:val="center"/>
              <w:rPr>
                <w:sz w:val="20"/>
                <w:szCs w:val="20"/>
                <w:lang w:val="fr-CA"/>
              </w:rPr>
            </w:pPr>
          </w:p>
        </w:tc>
        <w:tc>
          <w:tcPr>
            <w:tcW w:w="4320" w:type="dxa"/>
            <w:shd w:val="clear" w:color="auto" w:fill="auto"/>
          </w:tcPr>
          <w:p w:rsidR="0031047B" w:rsidRPr="00500DA8" w:rsidRDefault="00870DD7" w:rsidP="009B2448">
            <w:pPr>
              <w:keepNext/>
              <w:keepLines/>
              <w:tabs>
                <w:tab w:val="left" w:pos="-1440"/>
                <w:tab w:val="left" w:pos="-720"/>
              </w:tabs>
              <w:rPr>
                <w:b/>
                <w:sz w:val="20"/>
                <w:szCs w:val="20"/>
                <w:lang w:val="fr-CA"/>
              </w:rPr>
            </w:pPr>
            <w:r>
              <w:rPr>
                <w:b/>
                <w:sz w:val="20"/>
                <w:szCs w:val="20"/>
                <w:lang w:val="fr-CA"/>
              </w:rPr>
              <w:t>Guy Patenaude</w:t>
            </w:r>
          </w:p>
          <w:p w:rsidR="0031047B" w:rsidRPr="00500DA8" w:rsidRDefault="0031047B" w:rsidP="009B2448">
            <w:pPr>
              <w:keepNext/>
              <w:keepLines/>
              <w:tabs>
                <w:tab w:val="left" w:pos="-1440"/>
                <w:tab w:val="left" w:pos="-720"/>
              </w:tabs>
              <w:rPr>
                <w:sz w:val="20"/>
                <w:szCs w:val="20"/>
                <w:lang w:val="fr-CA"/>
              </w:rPr>
            </w:pPr>
            <w:r w:rsidRPr="00500DA8">
              <w:rPr>
                <w:sz w:val="20"/>
                <w:szCs w:val="20"/>
                <w:lang w:val="fr-CA"/>
              </w:rPr>
              <w:tab/>
            </w:r>
            <w:r w:rsidR="00870DD7">
              <w:rPr>
                <w:sz w:val="20"/>
                <w:szCs w:val="20"/>
                <w:lang w:val="fr-CA"/>
              </w:rPr>
              <w:t>Guy Patenaude</w:t>
            </w:r>
          </w:p>
          <w:p w:rsidR="0031047B" w:rsidRPr="00500DA8" w:rsidRDefault="0031047B" w:rsidP="009B2448">
            <w:pPr>
              <w:keepNext/>
              <w:keepLines/>
              <w:tabs>
                <w:tab w:val="left" w:pos="-1440"/>
                <w:tab w:val="left" w:pos="-720"/>
              </w:tabs>
              <w:rPr>
                <w:sz w:val="20"/>
                <w:szCs w:val="20"/>
                <w:lang w:val="fr-CA"/>
              </w:rPr>
            </w:pPr>
          </w:p>
          <w:p w:rsidR="0031047B" w:rsidRPr="00870DD7" w:rsidRDefault="0031047B" w:rsidP="009B2448">
            <w:pPr>
              <w:keepNext/>
              <w:keepLines/>
              <w:tabs>
                <w:tab w:val="left" w:pos="-1440"/>
                <w:tab w:val="left" w:pos="-720"/>
              </w:tabs>
              <w:rPr>
                <w:sz w:val="20"/>
                <w:szCs w:val="20"/>
                <w:lang w:val="fr-CA"/>
              </w:rPr>
            </w:pPr>
            <w:r w:rsidRPr="00500DA8">
              <w:rPr>
                <w:sz w:val="20"/>
                <w:szCs w:val="20"/>
                <w:lang w:val="fr-CA"/>
              </w:rPr>
              <w:tab/>
            </w:r>
            <w:r w:rsidR="00870DD7">
              <w:rPr>
                <w:sz w:val="20"/>
                <w:szCs w:val="20"/>
                <w:lang w:val="fr-CA"/>
              </w:rPr>
              <w:t>c</w:t>
            </w:r>
            <w:r w:rsidRPr="00870DD7">
              <w:rPr>
                <w:sz w:val="20"/>
                <w:szCs w:val="20"/>
                <w:lang w:val="fr-CA"/>
              </w:rPr>
              <w:t>. (347</w:t>
            </w:r>
            <w:r w:rsidR="00870DD7">
              <w:rPr>
                <w:sz w:val="20"/>
                <w:szCs w:val="20"/>
                <w:lang w:val="fr-CA"/>
              </w:rPr>
              <w:t>76</w:t>
            </w:r>
            <w:r w:rsidRPr="00870DD7">
              <w:rPr>
                <w:sz w:val="20"/>
                <w:szCs w:val="20"/>
                <w:lang w:val="fr-CA"/>
              </w:rPr>
              <w:t>)</w:t>
            </w:r>
          </w:p>
          <w:p w:rsidR="0031047B" w:rsidRPr="00870DD7" w:rsidRDefault="0031047B" w:rsidP="009B2448">
            <w:pPr>
              <w:keepNext/>
              <w:keepLines/>
              <w:tabs>
                <w:tab w:val="left" w:pos="-1440"/>
                <w:tab w:val="left" w:pos="-720"/>
              </w:tabs>
              <w:rPr>
                <w:sz w:val="20"/>
                <w:szCs w:val="20"/>
                <w:lang w:val="fr-CA"/>
              </w:rPr>
            </w:pPr>
          </w:p>
          <w:p w:rsidR="0031047B" w:rsidRPr="00870DD7" w:rsidRDefault="00870DD7" w:rsidP="009B2448">
            <w:pPr>
              <w:keepNext/>
              <w:keepLines/>
              <w:tabs>
                <w:tab w:val="left" w:pos="-1440"/>
                <w:tab w:val="left" w:pos="-720"/>
              </w:tabs>
              <w:rPr>
                <w:b/>
                <w:sz w:val="20"/>
                <w:szCs w:val="20"/>
                <w:lang w:val="fr-CA"/>
              </w:rPr>
            </w:pPr>
            <w:r>
              <w:rPr>
                <w:b/>
                <w:sz w:val="20"/>
                <w:szCs w:val="20"/>
                <w:lang w:val="fr-CA"/>
              </w:rPr>
              <w:t xml:space="preserve">Cynthia Garnier </w:t>
            </w:r>
            <w:r w:rsidR="0031047B" w:rsidRPr="00870DD7">
              <w:rPr>
                <w:b/>
                <w:sz w:val="20"/>
                <w:szCs w:val="20"/>
                <w:lang w:val="fr-CA"/>
              </w:rPr>
              <w:t>(</w:t>
            </w:r>
            <w:r>
              <w:rPr>
                <w:b/>
                <w:sz w:val="20"/>
                <w:szCs w:val="20"/>
                <w:lang w:val="fr-CA"/>
              </w:rPr>
              <w:t>Qc</w:t>
            </w:r>
            <w:r w:rsidR="0031047B" w:rsidRPr="00870DD7">
              <w:rPr>
                <w:b/>
                <w:sz w:val="20"/>
                <w:szCs w:val="20"/>
                <w:lang w:val="fr-CA"/>
              </w:rPr>
              <w:t>)</w:t>
            </w:r>
          </w:p>
          <w:p w:rsidR="0031047B" w:rsidRPr="00870DD7" w:rsidRDefault="0031047B" w:rsidP="009B2448">
            <w:pPr>
              <w:keepNext/>
              <w:keepLines/>
              <w:tabs>
                <w:tab w:val="left" w:pos="-1440"/>
                <w:tab w:val="left" w:pos="-720"/>
              </w:tabs>
              <w:rPr>
                <w:sz w:val="20"/>
                <w:szCs w:val="20"/>
                <w:lang w:val="fr-CA"/>
              </w:rPr>
            </w:pPr>
            <w:r w:rsidRPr="00870DD7">
              <w:rPr>
                <w:sz w:val="20"/>
                <w:szCs w:val="20"/>
                <w:lang w:val="fr-CA"/>
              </w:rPr>
              <w:tab/>
            </w:r>
            <w:r w:rsidR="00870DD7">
              <w:rPr>
                <w:sz w:val="20"/>
                <w:szCs w:val="20"/>
                <w:lang w:val="fr-CA"/>
              </w:rPr>
              <w:t>Cynthia Garnier</w:t>
            </w:r>
          </w:p>
          <w:p w:rsidR="0031047B" w:rsidRPr="00870DD7" w:rsidRDefault="0031047B" w:rsidP="009B2448">
            <w:pPr>
              <w:keepNext/>
              <w:keepLines/>
              <w:tabs>
                <w:tab w:val="left" w:pos="-1440"/>
                <w:tab w:val="left" w:pos="-720"/>
              </w:tabs>
              <w:rPr>
                <w:sz w:val="20"/>
                <w:szCs w:val="20"/>
                <w:lang w:val="fr-CA"/>
              </w:rPr>
            </w:pPr>
            <w:r w:rsidRPr="00870DD7">
              <w:rPr>
                <w:sz w:val="20"/>
                <w:szCs w:val="20"/>
                <w:lang w:val="fr-CA"/>
              </w:rPr>
              <w:tab/>
            </w:r>
            <w:r w:rsidR="00870DD7">
              <w:rPr>
                <w:sz w:val="20"/>
                <w:szCs w:val="20"/>
                <w:lang w:val="fr-CA"/>
              </w:rPr>
              <w:t>Belzile Auger Garnier</w:t>
            </w:r>
          </w:p>
          <w:p w:rsidR="0031047B" w:rsidRPr="00870DD7" w:rsidRDefault="0031047B" w:rsidP="009B2448">
            <w:pPr>
              <w:keepNext/>
              <w:keepLines/>
              <w:tabs>
                <w:tab w:val="left" w:pos="-1440"/>
                <w:tab w:val="left" w:pos="-720"/>
              </w:tabs>
              <w:rPr>
                <w:sz w:val="20"/>
                <w:szCs w:val="20"/>
                <w:lang w:val="fr-CA"/>
              </w:rPr>
            </w:pPr>
          </w:p>
          <w:p w:rsidR="0031047B" w:rsidRPr="00870DD7" w:rsidRDefault="0031047B" w:rsidP="00870DD7">
            <w:pPr>
              <w:rPr>
                <w:sz w:val="20"/>
                <w:szCs w:val="20"/>
                <w:lang w:val="fr-CA"/>
              </w:rPr>
            </w:pPr>
            <w:r w:rsidRPr="00870DD7">
              <w:rPr>
                <w:sz w:val="20"/>
                <w:szCs w:val="20"/>
                <w:lang w:val="fr-CA"/>
              </w:rPr>
              <w:t>DATE</w:t>
            </w:r>
            <w:r w:rsidR="00870DD7" w:rsidRPr="00870DD7">
              <w:rPr>
                <w:sz w:val="20"/>
                <w:szCs w:val="20"/>
                <w:lang w:val="fr-CA"/>
              </w:rPr>
              <w:t xml:space="preserve"> DE PRODUCTION </w:t>
            </w:r>
            <w:r w:rsidRPr="00870DD7">
              <w:rPr>
                <w:sz w:val="20"/>
                <w:szCs w:val="20"/>
                <w:lang w:val="fr-CA"/>
              </w:rPr>
              <w:t xml:space="preserve">: </w:t>
            </w:r>
            <w:r w:rsidR="00870DD7" w:rsidRPr="00870DD7">
              <w:rPr>
                <w:sz w:val="20"/>
                <w:szCs w:val="20"/>
                <w:lang w:val="fr-CA"/>
              </w:rPr>
              <w:t>1</w:t>
            </w:r>
            <w:r w:rsidRPr="00870DD7">
              <w:rPr>
                <w:sz w:val="20"/>
                <w:szCs w:val="20"/>
                <w:lang w:val="fr-CA"/>
              </w:rPr>
              <w:t>8.04.2012</w:t>
            </w:r>
            <w:r w:rsidR="00B44839" w:rsidRPr="00B44839">
              <w:rPr>
                <w:sz w:val="20"/>
                <w:szCs w:val="20"/>
                <w:lang w:val="fr-CA"/>
              </w:rPr>
              <w:pict>
                <v:rect id="_x0000_i1030" style="width:108pt;height:1pt" o:hrpct="0" o:hralign="center" o:hrstd="t" o:hrnoshade="t" o:hr="t" fillcolor="black [3213]" stroked="f"/>
              </w:pict>
            </w:r>
          </w:p>
        </w:tc>
      </w:tr>
      <w:tr w:rsidR="0031047B" w:rsidRPr="004A42A2" w:rsidTr="003B3977">
        <w:trPr>
          <w:cantSplit/>
        </w:trPr>
        <w:tc>
          <w:tcPr>
            <w:tcW w:w="4320" w:type="dxa"/>
            <w:shd w:val="clear" w:color="auto" w:fill="auto"/>
          </w:tcPr>
          <w:p w:rsidR="0031047B" w:rsidRPr="00870DD7" w:rsidRDefault="00870DD7" w:rsidP="009B2448">
            <w:pPr>
              <w:rPr>
                <w:b/>
                <w:sz w:val="20"/>
                <w:szCs w:val="20"/>
              </w:rPr>
            </w:pPr>
            <w:r w:rsidRPr="00870DD7">
              <w:rPr>
                <w:b/>
                <w:sz w:val="20"/>
                <w:szCs w:val="20"/>
              </w:rPr>
              <w:t>Everald Davis</w:t>
            </w:r>
          </w:p>
          <w:p w:rsidR="0031047B" w:rsidRPr="00870DD7" w:rsidRDefault="0031047B" w:rsidP="009B2448">
            <w:pPr>
              <w:tabs>
                <w:tab w:val="left" w:pos="-1440"/>
                <w:tab w:val="left" w:pos="-720"/>
              </w:tabs>
              <w:rPr>
                <w:sz w:val="20"/>
                <w:szCs w:val="20"/>
              </w:rPr>
            </w:pPr>
            <w:r w:rsidRPr="00870DD7">
              <w:rPr>
                <w:sz w:val="20"/>
                <w:szCs w:val="20"/>
              </w:rPr>
              <w:tab/>
            </w:r>
            <w:r w:rsidR="00870DD7" w:rsidRPr="00870DD7">
              <w:rPr>
                <w:sz w:val="20"/>
                <w:szCs w:val="20"/>
              </w:rPr>
              <w:t>Joseph Di Luca</w:t>
            </w:r>
          </w:p>
          <w:p w:rsidR="0031047B" w:rsidRPr="00870DD7" w:rsidRDefault="0031047B" w:rsidP="009B2448">
            <w:pPr>
              <w:tabs>
                <w:tab w:val="left" w:pos="-1440"/>
                <w:tab w:val="left" w:pos="-720"/>
              </w:tabs>
              <w:rPr>
                <w:sz w:val="20"/>
                <w:szCs w:val="20"/>
              </w:rPr>
            </w:pPr>
            <w:r w:rsidRPr="00870DD7">
              <w:rPr>
                <w:sz w:val="20"/>
                <w:szCs w:val="20"/>
              </w:rPr>
              <w:tab/>
            </w:r>
            <w:r w:rsidR="00870DD7" w:rsidRPr="00870DD7">
              <w:rPr>
                <w:sz w:val="20"/>
                <w:szCs w:val="20"/>
              </w:rPr>
              <w:t>Di Luca Copeland Davies LLP</w:t>
            </w:r>
          </w:p>
          <w:p w:rsidR="0031047B" w:rsidRPr="00870DD7" w:rsidRDefault="0031047B" w:rsidP="009B2448">
            <w:pPr>
              <w:tabs>
                <w:tab w:val="left" w:pos="-1440"/>
                <w:tab w:val="left" w:pos="-720"/>
              </w:tabs>
              <w:rPr>
                <w:sz w:val="20"/>
                <w:szCs w:val="20"/>
              </w:rPr>
            </w:pPr>
          </w:p>
          <w:p w:rsidR="0031047B" w:rsidRPr="00A935AA" w:rsidRDefault="0031047B" w:rsidP="009B2448">
            <w:pPr>
              <w:tabs>
                <w:tab w:val="left" w:pos="-1440"/>
                <w:tab w:val="left" w:pos="-720"/>
              </w:tabs>
              <w:rPr>
                <w:sz w:val="20"/>
                <w:szCs w:val="20"/>
              </w:rPr>
            </w:pPr>
            <w:r w:rsidRPr="00870DD7">
              <w:rPr>
                <w:sz w:val="20"/>
                <w:szCs w:val="20"/>
              </w:rPr>
              <w:tab/>
            </w:r>
            <w:r w:rsidRPr="00A935AA">
              <w:rPr>
                <w:sz w:val="20"/>
                <w:szCs w:val="20"/>
              </w:rPr>
              <w:t>v. (3</w:t>
            </w:r>
            <w:r>
              <w:rPr>
                <w:sz w:val="20"/>
                <w:szCs w:val="20"/>
              </w:rPr>
              <w:t>4</w:t>
            </w:r>
            <w:r w:rsidRPr="00A935AA">
              <w:rPr>
                <w:sz w:val="20"/>
                <w:szCs w:val="20"/>
              </w:rPr>
              <w:t>7</w:t>
            </w:r>
            <w:r w:rsidR="00870DD7">
              <w:rPr>
                <w:sz w:val="20"/>
                <w:szCs w:val="20"/>
              </w:rPr>
              <w:t>82</w:t>
            </w:r>
            <w:r w:rsidRPr="00A935AA">
              <w:rPr>
                <w:sz w:val="20"/>
                <w:szCs w:val="20"/>
              </w:rPr>
              <w:t>)</w:t>
            </w:r>
          </w:p>
          <w:p w:rsidR="0031047B" w:rsidRPr="00A935AA" w:rsidRDefault="0031047B" w:rsidP="009B2448">
            <w:pPr>
              <w:tabs>
                <w:tab w:val="left" w:pos="-1440"/>
                <w:tab w:val="left" w:pos="-720"/>
              </w:tabs>
              <w:rPr>
                <w:sz w:val="20"/>
                <w:szCs w:val="20"/>
              </w:rPr>
            </w:pPr>
          </w:p>
          <w:p w:rsidR="0031047B" w:rsidRPr="00A935AA" w:rsidRDefault="00870DD7" w:rsidP="009B2448">
            <w:pPr>
              <w:tabs>
                <w:tab w:val="left" w:pos="-1440"/>
                <w:tab w:val="left" w:pos="-720"/>
              </w:tabs>
              <w:rPr>
                <w:b/>
                <w:sz w:val="20"/>
                <w:szCs w:val="20"/>
              </w:rPr>
            </w:pPr>
            <w:r>
              <w:rPr>
                <w:b/>
                <w:sz w:val="20"/>
                <w:szCs w:val="20"/>
              </w:rPr>
              <w:t xml:space="preserve">Her Majesty the Queen </w:t>
            </w:r>
            <w:r w:rsidR="0031047B" w:rsidRPr="00A935AA">
              <w:rPr>
                <w:b/>
                <w:sz w:val="20"/>
                <w:szCs w:val="20"/>
              </w:rPr>
              <w:t>(</w:t>
            </w:r>
            <w:r>
              <w:rPr>
                <w:b/>
                <w:sz w:val="20"/>
                <w:szCs w:val="20"/>
              </w:rPr>
              <w:t>Ont.</w:t>
            </w:r>
            <w:r w:rsidR="0031047B" w:rsidRPr="00A935AA">
              <w:rPr>
                <w:b/>
                <w:sz w:val="20"/>
                <w:szCs w:val="20"/>
              </w:rPr>
              <w:t>)</w:t>
            </w:r>
          </w:p>
          <w:p w:rsidR="0031047B" w:rsidRPr="00A935AA" w:rsidRDefault="0031047B" w:rsidP="009B2448">
            <w:pPr>
              <w:tabs>
                <w:tab w:val="left" w:pos="-1440"/>
                <w:tab w:val="left" w:pos="-720"/>
              </w:tabs>
              <w:rPr>
                <w:sz w:val="20"/>
                <w:szCs w:val="20"/>
              </w:rPr>
            </w:pPr>
            <w:r w:rsidRPr="00A935AA">
              <w:rPr>
                <w:sz w:val="20"/>
                <w:szCs w:val="20"/>
              </w:rPr>
              <w:tab/>
            </w:r>
            <w:r w:rsidR="00870DD7">
              <w:rPr>
                <w:sz w:val="20"/>
                <w:szCs w:val="20"/>
              </w:rPr>
              <w:t>Michal Fairburn</w:t>
            </w:r>
          </w:p>
          <w:p w:rsidR="0031047B" w:rsidRPr="00A935AA" w:rsidRDefault="0031047B" w:rsidP="009B2448">
            <w:pPr>
              <w:tabs>
                <w:tab w:val="left" w:pos="-1440"/>
                <w:tab w:val="left" w:pos="-720"/>
              </w:tabs>
              <w:rPr>
                <w:sz w:val="20"/>
                <w:szCs w:val="20"/>
              </w:rPr>
            </w:pPr>
            <w:r w:rsidRPr="00A935AA">
              <w:rPr>
                <w:sz w:val="20"/>
                <w:szCs w:val="20"/>
              </w:rPr>
              <w:tab/>
            </w:r>
            <w:r w:rsidR="00870DD7">
              <w:rPr>
                <w:sz w:val="20"/>
                <w:szCs w:val="20"/>
              </w:rPr>
              <w:t>A.G. of Ontario</w:t>
            </w:r>
          </w:p>
          <w:p w:rsidR="0031047B" w:rsidRPr="00A935AA" w:rsidRDefault="0031047B" w:rsidP="009B2448">
            <w:pPr>
              <w:tabs>
                <w:tab w:val="left" w:pos="-1440"/>
                <w:tab w:val="left" w:pos="-720"/>
              </w:tabs>
              <w:rPr>
                <w:sz w:val="20"/>
                <w:szCs w:val="20"/>
              </w:rPr>
            </w:pPr>
          </w:p>
          <w:p w:rsidR="0031047B" w:rsidRPr="00A935AA" w:rsidRDefault="0031047B" w:rsidP="009B2448">
            <w:pPr>
              <w:rPr>
                <w:sz w:val="20"/>
                <w:szCs w:val="20"/>
              </w:rPr>
            </w:pPr>
            <w:r w:rsidRPr="00A935AA">
              <w:rPr>
                <w:sz w:val="20"/>
                <w:szCs w:val="20"/>
              </w:rPr>
              <w:t>FILING DATE: 2</w:t>
            </w:r>
            <w:r w:rsidR="00870DD7">
              <w:rPr>
                <w:sz w:val="20"/>
                <w:szCs w:val="20"/>
              </w:rPr>
              <w:t>0</w:t>
            </w:r>
            <w:r w:rsidRPr="00A935AA">
              <w:rPr>
                <w:sz w:val="20"/>
                <w:szCs w:val="20"/>
              </w:rPr>
              <w:t>.0</w:t>
            </w:r>
            <w:r>
              <w:rPr>
                <w:sz w:val="20"/>
                <w:szCs w:val="20"/>
              </w:rPr>
              <w:t>4</w:t>
            </w:r>
            <w:r w:rsidRPr="00A935AA">
              <w:rPr>
                <w:sz w:val="20"/>
                <w:szCs w:val="20"/>
              </w:rPr>
              <w:t>.201</w:t>
            </w:r>
            <w:r>
              <w:rPr>
                <w:sz w:val="20"/>
                <w:szCs w:val="20"/>
              </w:rPr>
              <w:t>2</w:t>
            </w:r>
          </w:p>
          <w:p w:rsidR="0031047B" w:rsidRPr="00A935AA" w:rsidRDefault="00B44839" w:rsidP="009B2448">
            <w:pPr>
              <w:rPr>
                <w:sz w:val="20"/>
                <w:szCs w:val="20"/>
              </w:rPr>
            </w:pPr>
            <w:r w:rsidRPr="00B44839">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tc>
        <w:tc>
          <w:tcPr>
            <w:tcW w:w="4320" w:type="dxa"/>
            <w:shd w:val="clear" w:color="auto" w:fill="auto"/>
          </w:tcPr>
          <w:p w:rsidR="0031047B" w:rsidRPr="00A935AA" w:rsidRDefault="00870DD7" w:rsidP="009B2448">
            <w:pPr>
              <w:keepNext/>
              <w:keepLines/>
              <w:tabs>
                <w:tab w:val="left" w:pos="-1440"/>
                <w:tab w:val="left" w:pos="-720"/>
              </w:tabs>
              <w:rPr>
                <w:b/>
                <w:sz w:val="20"/>
                <w:szCs w:val="20"/>
              </w:rPr>
            </w:pPr>
            <w:r>
              <w:rPr>
                <w:b/>
                <w:sz w:val="20"/>
                <w:szCs w:val="20"/>
              </w:rPr>
              <w:t>Jessy Domond</w:t>
            </w:r>
          </w:p>
          <w:p w:rsidR="0031047B" w:rsidRPr="00A935AA" w:rsidRDefault="0031047B" w:rsidP="009B2448">
            <w:pPr>
              <w:keepNext/>
              <w:keepLines/>
              <w:tabs>
                <w:tab w:val="left" w:pos="-1440"/>
                <w:tab w:val="left" w:pos="-720"/>
              </w:tabs>
              <w:rPr>
                <w:sz w:val="20"/>
                <w:szCs w:val="20"/>
              </w:rPr>
            </w:pPr>
            <w:r w:rsidRPr="00A935AA">
              <w:rPr>
                <w:sz w:val="20"/>
                <w:szCs w:val="20"/>
              </w:rPr>
              <w:tab/>
            </w:r>
            <w:r w:rsidR="00870DD7">
              <w:rPr>
                <w:sz w:val="20"/>
                <w:szCs w:val="20"/>
              </w:rPr>
              <w:t>Jessy Domond</w:t>
            </w:r>
          </w:p>
          <w:p w:rsidR="0031047B" w:rsidRPr="00A935AA" w:rsidRDefault="0031047B" w:rsidP="009B2448">
            <w:pPr>
              <w:keepNext/>
              <w:keepLines/>
              <w:tabs>
                <w:tab w:val="left" w:pos="-1440"/>
                <w:tab w:val="left" w:pos="-720"/>
              </w:tabs>
              <w:rPr>
                <w:sz w:val="20"/>
                <w:szCs w:val="20"/>
              </w:rPr>
            </w:pPr>
          </w:p>
          <w:p w:rsidR="0031047B" w:rsidRPr="000733DF" w:rsidRDefault="0031047B" w:rsidP="009B2448">
            <w:pPr>
              <w:keepNext/>
              <w:keepLines/>
              <w:tabs>
                <w:tab w:val="left" w:pos="-1440"/>
                <w:tab w:val="left" w:pos="-720"/>
              </w:tabs>
              <w:rPr>
                <w:sz w:val="20"/>
                <w:szCs w:val="20"/>
              </w:rPr>
            </w:pPr>
            <w:r w:rsidRPr="00A935AA">
              <w:rPr>
                <w:sz w:val="20"/>
                <w:szCs w:val="20"/>
              </w:rPr>
              <w:tab/>
            </w:r>
            <w:r w:rsidR="00870DD7" w:rsidRPr="000733DF">
              <w:rPr>
                <w:sz w:val="20"/>
                <w:szCs w:val="20"/>
              </w:rPr>
              <w:t>c</w:t>
            </w:r>
            <w:r w:rsidRPr="000733DF">
              <w:rPr>
                <w:sz w:val="20"/>
                <w:szCs w:val="20"/>
              </w:rPr>
              <w:t>. (347</w:t>
            </w:r>
            <w:r w:rsidR="00870DD7" w:rsidRPr="000733DF">
              <w:rPr>
                <w:sz w:val="20"/>
                <w:szCs w:val="20"/>
              </w:rPr>
              <w:t>83</w:t>
            </w:r>
            <w:r w:rsidRPr="000733DF">
              <w:rPr>
                <w:sz w:val="20"/>
                <w:szCs w:val="20"/>
              </w:rPr>
              <w:t>)</w:t>
            </w:r>
          </w:p>
          <w:p w:rsidR="0031047B" w:rsidRPr="000733DF" w:rsidRDefault="0031047B" w:rsidP="009B2448">
            <w:pPr>
              <w:keepNext/>
              <w:keepLines/>
              <w:tabs>
                <w:tab w:val="left" w:pos="-1440"/>
                <w:tab w:val="left" w:pos="-720"/>
              </w:tabs>
              <w:rPr>
                <w:sz w:val="20"/>
                <w:szCs w:val="20"/>
              </w:rPr>
            </w:pPr>
          </w:p>
          <w:p w:rsidR="0031047B" w:rsidRPr="00A935AA" w:rsidRDefault="00870DD7" w:rsidP="009B2448">
            <w:pPr>
              <w:keepNext/>
              <w:keepLines/>
              <w:tabs>
                <w:tab w:val="left" w:pos="-1440"/>
                <w:tab w:val="left" w:pos="-720"/>
              </w:tabs>
              <w:rPr>
                <w:b/>
                <w:sz w:val="20"/>
                <w:szCs w:val="20"/>
                <w:lang w:val="fr-CA"/>
              </w:rPr>
            </w:pPr>
            <w:r>
              <w:rPr>
                <w:b/>
                <w:sz w:val="20"/>
                <w:szCs w:val="20"/>
                <w:lang w:val="fr-CA"/>
              </w:rPr>
              <w:t xml:space="preserve">Fonds d’assurance responsabilité professionnelle du barreau du Québec </w:t>
            </w:r>
            <w:r w:rsidR="0031047B" w:rsidRPr="00A935AA">
              <w:rPr>
                <w:b/>
                <w:sz w:val="20"/>
                <w:szCs w:val="20"/>
                <w:lang w:val="fr-CA"/>
              </w:rPr>
              <w:t>(</w:t>
            </w:r>
            <w:r>
              <w:rPr>
                <w:b/>
                <w:sz w:val="20"/>
                <w:szCs w:val="20"/>
                <w:lang w:val="fr-CA"/>
              </w:rPr>
              <w:t>Qc</w:t>
            </w:r>
            <w:r w:rsidR="0031047B" w:rsidRPr="00A935AA">
              <w:rPr>
                <w:b/>
                <w:sz w:val="20"/>
                <w:szCs w:val="20"/>
                <w:lang w:val="fr-CA"/>
              </w:rPr>
              <w:t>)</w:t>
            </w:r>
          </w:p>
          <w:p w:rsidR="0031047B" w:rsidRDefault="0031047B" w:rsidP="009B2448">
            <w:pPr>
              <w:keepNext/>
              <w:keepLines/>
              <w:tabs>
                <w:tab w:val="left" w:pos="-1440"/>
                <w:tab w:val="left" w:pos="-720"/>
              </w:tabs>
              <w:rPr>
                <w:sz w:val="20"/>
                <w:szCs w:val="20"/>
                <w:lang w:val="fr-CA"/>
              </w:rPr>
            </w:pPr>
            <w:r w:rsidRPr="00A935AA">
              <w:rPr>
                <w:sz w:val="20"/>
                <w:szCs w:val="20"/>
                <w:lang w:val="fr-CA"/>
              </w:rPr>
              <w:tab/>
            </w:r>
            <w:r w:rsidR="00870DD7">
              <w:rPr>
                <w:sz w:val="20"/>
                <w:szCs w:val="20"/>
                <w:lang w:val="fr-CA"/>
              </w:rPr>
              <w:t>Patricia Timmons</w:t>
            </w:r>
          </w:p>
          <w:p w:rsidR="00870DD7" w:rsidRPr="00A935AA" w:rsidRDefault="00870DD7" w:rsidP="009B2448">
            <w:pPr>
              <w:keepNext/>
              <w:keepLines/>
              <w:tabs>
                <w:tab w:val="left" w:pos="-1440"/>
                <w:tab w:val="left" w:pos="-720"/>
              </w:tabs>
              <w:rPr>
                <w:sz w:val="20"/>
                <w:szCs w:val="20"/>
                <w:lang w:val="fr-CA"/>
              </w:rPr>
            </w:pPr>
            <w:r>
              <w:rPr>
                <w:sz w:val="20"/>
                <w:szCs w:val="20"/>
                <w:lang w:val="fr-CA"/>
              </w:rPr>
              <w:tab/>
              <w:t>Barreau du Québec</w:t>
            </w:r>
          </w:p>
          <w:p w:rsidR="0031047B" w:rsidRPr="00A935AA" w:rsidRDefault="0031047B" w:rsidP="009B2448">
            <w:pPr>
              <w:keepNext/>
              <w:keepLines/>
              <w:tabs>
                <w:tab w:val="left" w:pos="-1440"/>
                <w:tab w:val="left" w:pos="-720"/>
              </w:tabs>
              <w:rPr>
                <w:sz w:val="20"/>
                <w:szCs w:val="20"/>
                <w:lang w:val="fr-CA"/>
              </w:rPr>
            </w:pPr>
          </w:p>
          <w:p w:rsidR="0031047B" w:rsidRPr="00870DD7" w:rsidRDefault="0031047B" w:rsidP="00870DD7">
            <w:pPr>
              <w:rPr>
                <w:sz w:val="20"/>
                <w:szCs w:val="20"/>
                <w:lang w:val="fr-CA"/>
              </w:rPr>
            </w:pPr>
            <w:r w:rsidRPr="00870DD7">
              <w:rPr>
                <w:sz w:val="20"/>
                <w:szCs w:val="20"/>
                <w:lang w:val="fr-CA"/>
              </w:rPr>
              <w:t>DATE</w:t>
            </w:r>
            <w:r w:rsidR="00870DD7">
              <w:rPr>
                <w:sz w:val="20"/>
                <w:szCs w:val="20"/>
                <w:lang w:val="fr-CA"/>
              </w:rPr>
              <w:t xml:space="preserve"> DE PRODUCTION </w:t>
            </w:r>
            <w:r w:rsidRPr="00870DD7">
              <w:rPr>
                <w:sz w:val="20"/>
                <w:szCs w:val="20"/>
                <w:lang w:val="fr-CA"/>
              </w:rPr>
              <w:t>: 2</w:t>
            </w:r>
            <w:r w:rsidR="00870DD7">
              <w:rPr>
                <w:sz w:val="20"/>
                <w:szCs w:val="20"/>
                <w:lang w:val="fr-CA"/>
              </w:rPr>
              <w:t>0</w:t>
            </w:r>
            <w:r w:rsidRPr="00870DD7">
              <w:rPr>
                <w:sz w:val="20"/>
                <w:szCs w:val="20"/>
                <w:lang w:val="fr-CA"/>
              </w:rPr>
              <w:t>.04.2012</w:t>
            </w:r>
            <w:r w:rsidR="00B44839" w:rsidRPr="00B44839">
              <w:rPr>
                <w:sz w:val="20"/>
                <w:szCs w:val="20"/>
                <w:lang w:val="fr-CA"/>
              </w:rPr>
              <w:pict>
                <v:rect id="_x0000_i1032" style="width:108pt;height:1pt" o:hrpct="0" o:hralign="center" o:hrstd="t" o:hrnoshade="t" o:hr="t" fillcolor="black [3213]" stroked="f"/>
              </w:pict>
            </w:r>
          </w:p>
        </w:tc>
      </w:tr>
      <w:tr w:rsidR="0031047B" w:rsidRPr="00465302" w:rsidTr="003B3977">
        <w:trPr>
          <w:cantSplit/>
        </w:trPr>
        <w:tc>
          <w:tcPr>
            <w:tcW w:w="4320" w:type="dxa"/>
            <w:shd w:val="clear" w:color="auto" w:fill="auto"/>
          </w:tcPr>
          <w:p w:rsidR="0031047B" w:rsidRPr="000733DF" w:rsidRDefault="00870DD7" w:rsidP="009B2448">
            <w:pPr>
              <w:rPr>
                <w:b/>
                <w:sz w:val="20"/>
                <w:szCs w:val="20"/>
              </w:rPr>
            </w:pPr>
            <w:r w:rsidRPr="000733DF">
              <w:rPr>
                <w:b/>
                <w:sz w:val="20"/>
                <w:szCs w:val="20"/>
              </w:rPr>
              <w:lastRenderedPageBreak/>
              <w:t>Jessy Domond</w:t>
            </w:r>
          </w:p>
          <w:p w:rsidR="00870DD7" w:rsidRPr="000733DF" w:rsidRDefault="00870DD7" w:rsidP="00870DD7">
            <w:pPr>
              <w:keepNext/>
              <w:keepLines/>
              <w:tabs>
                <w:tab w:val="left" w:pos="-1440"/>
                <w:tab w:val="left" w:pos="-720"/>
              </w:tabs>
              <w:rPr>
                <w:sz w:val="20"/>
                <w:szCs w:val="20"/>
              </w:rPr>
            </w:pPr>
            <w:r w:rsidRPr="00A935AA">
              <w:rPr>
                <w:sz w:val="20"/>
                <w:szCs w:val="20"/>
              </w:rPr>
              <w:tab/>
            </w:r>
            <w:r w:rsidRPr="000733DF">
              <w:rPr>
                <w:sz w:val="20"/>
                <w:szCs w:val="20"/>
              </w:rPr>
              <w:t>Jessy Domond</w:t>
            </w:r>
          </w:p>
          <w:p w:rsidR="00870DD7" w:rsidRPr="000733DF" w:rsidRDefault="00870DD7" w:rsidP="00870DD7">
            <w:pPr>
              <w:keepNext/>
              <w:keepLines/>
              <w:tabs>
                <w:tab w:val="left" w:pos="-1440"/>
                <w:tab w:val="left" w:pos="-720"/>
              </w:tabs>
              <w:rPr>
                <w:sz w:val="20"/>
                <w:szCs w:val="20"/>
              </w:rPr>
            </w:pPr>
          </w:p>
          <w:p w:rsidR="00870DD7" w:rsidRPr="000733DF" w:rsidRDefault="00870DD7" w:rsidP="00870DD7">
            <w:pPr>
              <w:keepNext/>
              <w:keepLines/>
              <w:tabs>
                <w:tab w:val="left" w:pos="-1440"/>
                <w:tab w:val="left" w:pos="-720"/>
              </w:tabs>
              <w:rPr>
                <w:sz w:val="20"/>
                <w:szCs w:val="20"/>
              </w:rPr>
            </w:pPr>
            <w:r w:rsidRPr="000733DF">
              <w:rPr>
                <w:sz w:val="20"/>
                <w:szCs w:val="20"/>
              </w:rPr>
              <w:tab/>
              <w:t>c. (34785)</w:t>
            </w:r>
          </w:p>
          <w:p w:rsidR="00870DD7" w:rsidRPr="000733DF" w:rsidRDefault="00870DD7" w:rsidP="00870DD7">
            <w:pPr>
              <w:keepNext/>
              <w:keepLines/>
              <w:tabs>
                <w:tab w:val="left" w:pos="-1440"/>
                <w:tab w:val="left" w:pos="-720"/>
              </w:tabs>
              <w:rPr>
                <w:sz w:val="20"/>
                <w:szCs w:val="20"/>
              </w:rPr>
            </w:pPr>
          </w:p>
          <w:p w:rsidR="00870DD7" w:rsidRPr="00A935AA" w:rsidRDefault="00870DD7" w:rsidP="00870DD7">
            <w:pPr>
              <w:keepNext/>
              <w:keepLines/>
              <w:tabs>
                <w:tab w:val="left" w:pos="-1440"/>
                <w:tab w:val="left" w:pos="-720"/>
              </w:tabs>
              <w:rPr>
                <w:b/>
                <w:sz w:val="20"/>
                <w:szCs w:val="20"/>
                <w:lang w:val="fr-CA"/>
              </w:rPr>
            </w:pPr>
            <w:r>
              <w:rPr>
                <w:b/>
                <w:sz w:val="20"/>
                <w:szCs w:val="20"/>
                <w:lang w:val="fr-CA"/>
              </w:rPr>
              <w:t xml:space="preserve">Fonds d’assurance responsabilité du collège des médecins du Québec </w:t>
            </w:r>
            <w:r w:rsidRPr="00A935AA">
              <w:rPr>
                <w:b/>
                <w:sz w:val="20"/>
                <w:szCs w:val="20"/>
                <w:lang w:val="fr-CA"/>
              </w:rPr>
              <w:t>(</w:t>
            </w:r>
            <w:r>
              <w:rPr>
                <w:b/>
                <w:sz w:val="20"/>
                <w:szCs w:val="20"/>
                <w:lang w:val="fr-CA"/>
              </w:rPr>
              <w:t>Qc</w:t>
            </w:r>
            <w:r w:rsidRPr="00A935AA">
              <w:rPr>
                <w:b/>
                <w:sz w:val="20"/>
                <w:szCs w:val="20"/>
                <w:lang w:val="fr-CA"/>
              </w:rPr>
              <w:t>)</w:t>
            </w:r>
          </w:p>
          <w:p w:rsidR="00870DD7" w:rsidRDefault="00870DD7" w:rsidP="00870DD7">
            <w:pPr>
              <w:keepNext/>
              <w:keepLines/>
              <w:tabs>
                <w:tab w:val="left" w:pos="-1440"/>
                <w:tab w:val="left" w:pos="-720"/>
              </w:tabs>
              <w:rPr>
                <w:sz w:val="20"/>
                <w:szCs w:val="20"/>
                <w:lang w:val="fr-CA"/>
              </w:rPr>
            </w:pPr>
            <w:r w:rsidRPr="00A935AA">
              <w:rPr>
                <w:sz w:val="20"/>
                <w:szCs w:val="20"/>
                <w:lang w:val="fr-CA"/>
              </w:rPr>
              <w:tab/>
            </w:r>
            <w:r>
              <w:rPr>
                <w:sz w:val="20"/>
                <w:szCs w:val="20"/>
                <w:lang w:val="fr-CA"/>
              </w:rPr>
              <w:t>André-Philippe Mallette</w:t>
            </w:r>
          </w:p>
          <w:p w:rsidR="00870DD7" w:rsidRPr="00A935AA" w:rsidRDefault="00870DD7" w:rsidP="00870DD7">
            <w:pPr>
              <w:keepNext/>
              <w:keepLines/>
              <w:tabs>
                <w:tab w:val="left" w:pos="-1440"/>
                <w:tab w:val="left" w:pos="-720"/>
              </w:tabs>
              <w:rPr>
                <w:sz w:val="20"/>
                <w:szCs w:val="20"/>
                <w:lang w:val="fr-CA"/>
              </w:rPr>
            </w:pPr>
            <w:r>
              <w:rPr>
                <w:sz w:val="20"/>
                <w:szCs w:val="20"/>
                <w:lang w:val="fr-CA"/>
              </w:rPr>
              <w:tab/>
              <w:t>Clyde &amp; Cie Canada s.e.n.c.r.l.</w:t>
            </w:r>
          </w:p>
          <w:p w:rsidR="00870DD7" w:rsidRPr="00A935AA" w:rsidRDefault="00870DD7" w:rsidP="00870DD7">
            <w:pPr>
              <w:keepNext/>
              <w:keepLines/>
              <w:tabs>
                <w:tab w:val="left" w:pos="-1440"/>
                <w:tab w:val="left" w:pos="-720"/>
              </w:tabs>
              <w:rPr>
                <w:sz w:val="20"/>
                <w:szCs w:val="20"/>
                <w:lang w:val="fr-CA"/>
              </w:rPr>
            </w:pPr>
          </w:p>
          <w:p w:rsidR="0031047B" w:rsidRPr="00870DD7" w:rsidRDefault="00870DD7" w:rsidP="00870DD7">
            <w:pPr>
              <w:tabs>
                <w:tab w:val="left" w:pos="-1440"/>
                <w:tab w:val="left" w:pos="-720"/>
              </w:tabs>
              <w:rPr>
                <w:sz w:val="20"/>
                <w:szCs w:val="20"/>
                <w:lang w:val="fr-CA"/>
              </w:rPr>
            </w:pPr>
            <w:r w:rsidRPr="00870DD7">
              <w:rPr>
                <w:sz w:val="20"/>
                <w:szCs w:val="20"/>
                <w:lang w:val="fr-CA"/>
              </w:rPr>
              <w:t>DATE</w:t>
            </w:r>
            <w:r>
              <w:rPr>
                <w:sz w:val="20"/>
                <w:szCs w:val="20"/>
                <w:lang w:val="fr-CA"/>
              </w:rPr>
              <w:t xml:space="preserve"> DE PRODUCTION </w:t>
            </w:r>
            <w:r w:rsidRPr="00870DD7">
              <w:rPr>
                <w:sz w:val="20"/>
                <w:szCs w:val="20"/>
                <w:lang w:val="fr-CA"/>
              </w:rPr>
              <w:t>: 2</w:t>
            </w:r>
            <w:r>
              <w:rPr>
                <w:sz w:val="20"/>
                <w:szCs w:val="20"/>
                <w:lang w:val="fr-CA"/>
              </w:rPr>
              <w:t>0</w:t>
            </w:r>
            <w:r w:rsidRPr="00870DD7">
              <w:rPr>
                <w:sz w:val="20"/>
                <w:szCs w:val="20"/>
                <w:lang w:val="fr-CA"/>
              </w:rPr>
              <w:t>.04.2012</w:t>
            </w:r>
          </w:p>
          <w:p w:rsidR="0031047B" w:rsidRPr="00A935AA" w:rsidRDefault="00B44839" w:rsidP="009B2448">
            <w:pPr>
              <w:rPr>
                <w:sz w:val="20"/>
                <w:szCs w:val="20"/>
              </w:rPr>
            </w:pPr>
            <w:r w:rsidRPr="00B44839">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p w:rsidR="0031047B" w:rsidRPr="00A935AA" w:rsidRDefault="0031047B" w:rsidP="00242AEE">
            <w:pPr>
              <w:jc w:val="center"/>
              <w:rPr>
                <w:sz w:val="20"/>
                <w:szCs w:val="20"/>
              </w:rPr>
            </w:pPr>
          </w:p>
        </w:tc>
        <w:tc>
          <w:tcPr>
            <w:tcW w:w="4320" w:type="dxa"/>
            <w:shd w:val="clear" w:color="auto" w:fill="auto"/>
          </w:tcPr>
          <w:p w:rsidR="0031047B" w:rsidRPr="0049718C" w:rsidRDefault="0049718C" w:rsidP="009B2448">
            <w:pPr>
              <w:keepNext/>
              <w:keepLines/>
              <w:tabs>
                <w:tab w:val="left" w:pos="-1440"/>
                <w:tab w:val="left" w:pos="-720"/>
              </w:tabs>
              <w:rPr>
                <w:b/>
                <w:sz w:val="20"/>
                <w:szCs w:val="20"/>
                <w:lang w:val="fr-CA"/>
              </w:rPr>
            </w:pPr>
            <w:r w:rsidRPr="0049718C">
              <w:rPr>
                <w:b/>
                <w:sz w:val="20"/>
                <w:szCs w:val="20"/>
                <w:lang w:val="fr-CA"/>
              </w:rPr>
              <w:t>Nicole (Nora) Hérold</w:t>
            </w:r>
          </w:p>
          <w:p w:rsidR="0031047B" w:rsidRPr="0049718C" w:rsidRDefault="0031047B" w:rsidP="009B2448">
            <w:pPr>
              <w:keepNext/>
              <w:keepLines/>
              <w:tabs>
                <w:tab w:val="left" w:pos="-1440"/>
                <w:tab w:val="left" w:pos="-720"/>
              </w:tabs>
              <w:rPr>
                <w:sz w:val="20"/>
                <w:szCs w:val="20"/>
                <w:lang w:val="fr-CA"/>
              </w:rPr>
            </w:pPr>
            <w:r w:rsidRPr="0049718C">
              <w:rPr>
                <w:sz w:val="20"/>
                <w:szCs w:val="20"/>
                <w:lang w:val="fr-CA"/>
              </w:rPr>
              <w:tab/>
            </w:r>
            <w:r w:rsidR="0049718C">
              <w:rPr>
                <w:sz w:val="20"/>
                <w:szCs w:val="20"/>
                <w:lang w:val="fr-CA"/>
              </w:rPr>
              <w:t>Nicole (Nora) Hérold</w:t>
            </w:r>
          </w:p>
          <w:p w:rsidR="0031047B" w:rsidRPr="0049718C" w:rsidRDefault="0031047B" w:rsidP="009B2448">
            <w:pPr>
              <w:keepNext/>
              <w:keepLines/>
              <w:tabs>
                <w:tab w:val="left" w:pos="-1440"/>
                <w:tab w:val="left" w:pos="-720"/>
              </w:tabs>
              <w:rPr>
                <w:sz w:val="20"/>
                <w:szCs w:val="20"/>
                <w:lang w:val="fr-CA"/>
              </w:rPr>
            </w:pPr>
          </w:p>
          <w:p w:rsidR="0031047B" w:rsidRPr="004A42A2" w:rsidRDefault="0031047B" w:rsidP="009B2448">
            <w:pPr>
              <w:keepNext/>
              <w:keepLines/>
              <w:tabs>
                <w:tab w:val="left" w:pos="-1440"/>
                <w:tab w:val="left" w:pos="-720"/>
              </w:tabs>
              <w:rPr>
                <w:sz w:val="20"/>
                <w:szCs w:val="20"/>
              </w:rPr>
            </w:pPr>
            <w:r w:rsidRPr="0049718C">
              <w:rPr>
                <w:sz w:val="20"/>
                <w:szCs w:val="20"/>
                <w:lang w:val="fr-CA"/>
              </w:rPr>
              <w:tab/>
            </w:r>
            <w:r w:rsidR="0049718C" w:rsidRPr="004A42A2">
              <w:rPr>
                <w:sz w:val="20"/>
                <w:szCs w:val="20"/>
              </w:rPr>
              <w:t>c</w:t>
            </w:r>
            <w:r w:rsidRPr="004A42A2">
              <w:rPr>
                <w:sz w:val="20"/>
                <w:szCs w:val="20"/>
              </w:rPr>
              <w:t>. (347</w:t>
            </w:r>
            <w:r w:rsidR="0049718C" w:rsidRPr="004A42A2">
              <w:rPr>
                <w:sz w:val="20"/>
                <w:szCs w:val="20"/>
              </w:rPr>
              <w:t>87</w:t>
            </w:r>
            <w:r w:rsidRPr="004A42A2">
              <w:rPr>
                <w:sz w:val="20"/>
                <w:szCs w:val="20"/>
              </w:rPr>
              <w:t>)</w:t>
            </w:r>
          </w:p>
          <w:p w:rsidR="0031047B" w:rsidRPr="004A42A2" w:rsidRDefault="0031047B" w:rsidP="009B2448">
            <w:pPr>
              <w:keepNext/>
              <w:keepLines/>
              <w:tabs>
                <w:tab w:val="left" w:pos="-1440"/>
                <w:tab w:val="left" w:pos="-720"/>
              </w:tabs>
              <w:rPr>
                <w:sz w:val="20"/>
                <w:szCs w:val="20"/>
              </w:rPr>
            </w:pPr>
          </w:p>
          <w:p w:rsidR="0031047B" w:rsidRPr="004A42A2" w:rsidRDefault="0049718C" w:rsidP="009B2448">
            <w:pPr>
              <w:keepNext/>
              <w:keepLines/>
              <w:tabs>
                <w:tab w:val="left" w:pos="-1440"/>
                <w:tab w:val="left" w:pos="-720"/>
              </w:tabs>
              <w:rPr>
                <w:b/>
                <w:sz w:val="20"/>
                <w:szCs w:val="20"/>
              </w:rPr>
            </w:pPr>
            <w:r w:rsidRPr="004A42A2">
              <w:rPr>
                <w:b/>
                <w:sz w:val="20"/>
                <w:szCs w:val="20"/>
              </w:rPr>
              <w:t>Ban</w:t>
            </w:r>
            <w:r w:rsidR="00214967" w:rsidRPr="004A42A2">
              <w:rPr>
                <w:b/>
                <w:sz w:val="20"/>
                <w:szCs w:val="20"/>
              </w:rPr>
              <w:t xml:space="preserve">k of Nova Scotia </w:t>
            </w:r>
            <w:r w:rsidR="0031047B" w:rsidRPr="004A42A2">
              <w:rPr>
                <w:b/>
                <w:sz w:val="20"/>
                <w:szCs w:val="20"/>
              </w:rPr>
              <w:t>(Ont.)</w:t>
            </w:r>
          </w:p>
          <w:p w:rsidR="0031047B" w:rsidRPr="00465302" w:rsidRDefault="0031047B" w:rsidP="009B2448">
            <w:pPr>
              <w:keepNext/>
              <w:keepLines/>
              <w:tabs>
                <w:tab w:val="left" w:pos="-1440"/>
                <w:tab w:val="left" w:pos="-720"/>
              </w:tabs>
              <w:rPr>
                <w:sz w:val="20"/>
                <w:szCs w:val="20"/>
              </w:rPr>
            </w:pPr>
            <w:r w:rsidRPr="004A42A2">
              <w:rPr>
                <w:sz w:val="20"/>
                <w:szCs w:val="20"/>
              </w:rPr>
              <w:tab/>
            </w:r>
            <w:r w:rsidR="0049718C" w:rsidRPr="00465302">
              <w:rPr>
                <w:sz w:val="20"/>
                <w:szCs w:val="20"/>
              </w:rPr>
              <w:t>Evan L. Cappe</w:t>
            </w:r>
          </w:p>
          <w:p w:rsidR="0031047B" w:rsidRPr="00465302" w:rsidRDefault="0031047B" w:rsidP="009B2448">
            <w:pPr>
              <w:keepNext/>
              <w:keepLines/>
              <w:tabs>
                <w:tab w:val="left" w:pos="-1440"/>
                <w:tab w:val="left" w:pos="-720"/>
              </w:tabs>
              <w:rPr>
                <w:sz w:val="20"/>
                <w:szCs w:val="20"/>
              </w:rPr>
            </w:pPr>
            <w:r w:rsidRPr="00465302">
              <w:rPr>
                <w:sz w:val="20"/>
                <w:szCs w:val="20"/>
              </w:rPr>
              <w:tab/>
            </w:r>
            <w:r w:rsidR="0049718C" w:rsidRPr="00465302">
              <w:rPr>
                <w:sz w:val="20"/>
                <w:szCs w:val="20"/>
              </w:rPr>
              <w:t>Kronis, Rotsztain, Margles Ca</w:t>
            </w:r>
            <w:r w:rsidR="00465302" w:rsidRPr="00465302">
              <w:rPr>
                <w:sz w:val="20"/>
                <w:szCs w:val="20"/>
              </w:rPr>
              <w:t>ppell LLP</w:t>
            </w:r>
          </w:p>
          <w:p w:rsidR="0031047B" w:rsidRPr="00465302" w:rsidRDefault="0031047B" w:rsidP="009B2448">
            <w:pPr>
              <w:keepNext/>
              <w:keepLines/>
              <w:tabs>
                <w:tab w:val="left" w:pos="-1440"/>
                <w:tab w:val="left" w:pos="-720"/>
              </w:tabs>
              <w:rPr>
                <w:sz w:val="20"/>
                <w:szCs w:val="20"/>
              </w:rPr>
            </w:pPr>
          </w:p>
          <w:p w:rsidR="0031047B" w:rsidRPr="00465302" w:rsidRDefault="0031047B" w:rsidP="00465302">
            <w:pPr>
              <w:rPr>
                <w:sz w:val="20"/>
                <w:szCs w:val="20"/>
              </w:rPr>
            </w:pPr>
            <w:r w:rsidRPr="00465302">
              <w:rPr>
                <w:sz w:val="20"/>
                <w:szCs w:val="20"/>
              </w:rPr>
              <w:t>FILING DATE: 2</w:t>
            </w:r>
            <w:r w:rsidR="00465302" w:rsidRPr="00465302">
              <w:rPr>
                <w:sz w:val="20"/>
                <w:szCs w:val="20"/>
              </w:rPr>
              <w:t>3</w:t>
            </w:r>
            <w:r w:rsidRPr="00465302">
              <w:rPr>
                <w:sz w:val="20"/>
                <w:szCs w:val="20"/>
              </w:rPr>
              <w:t>.04.2012</w:t>
            </w:r>
            <w:r w:rsidR="00B44839" w:rsidRPr="00B44839">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1047B">
          <w:headerReference w:type="default" r:id="rId16"/>
          <w:footerReference w:type="default" r:id="rId17"/>
          <w:headerReference w:type="first" r:id="rId18"/>
          <w:footerReference w:type="first" r:id="rId19"/>
          <w:pgSz w:w="12240" w:h="15840"/>
          <w:pgMar w:top="720" w:right="965" w:bottom="1080" w:left="1656" w:header="706" w:footer="706" w:gutter="0"/>
          <w:pgNumType w:start="70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A42A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31047B" w:rsidP="004B7F60">
      <w:pPr>
        <w:widowControl w:val="0"/>
        <w:rPr>
          <w:b/>
          <w:sz w:val="20"/>
          <w:szCs w:val="20"/>
        </w:rPr>
      </w:pPr>
      <w:r>
        <w:rPr>
          <w:b/>
          <w:sz w:val="20"/>
          <w:szCs w:val="20"/>
        </w:rPr>
        <w:t xml:space="preserve">MAY </w:t>
      </w:r>
      <w:r w:rsidR="004B7F60">
        <w:rPr>
          <w:b/>
          <w:sz w:val="20"/>
          <w:szCs w:val="20"/>
        </w:rPr>
        <w:t>7</w:t>
      </w:r>
      <w:r w:rsidR="004B7F60" w:rsidRPr="00C50A5C">
        <w:rPr>
          <w:b/>
          <w:sz w:val="20"/>
          <w:szCs w:val="20"/>
        </w:rPr>
        <w:t>, 201</w:t>
      </w:r>
      <w:r>
        <w:rPr>
          <w:b/>
          <w:sz w:val="20"/>
          <w:szCs w:val="20"/>
        </w:rPr>
        <w:t>2</w:t>
      </w:r>
      <w:r w:rsidR="004B7F60" w:rsidRPr="00C50A5C">
        <w:rPr>
          <w:b/>
          <w:sz w:val="20"/>
          <w:szCs w:val="20"/>
        </w:rPr>
        <w:t xml:space="preserve"> / LE </w:t>
      </w:r>
      <w:r w:rsidR="004B7F60">
        <w:rPr>
          <w:b/>
          <w:sz w:val="20"/>
          <w:szCs w:val="20"/>
        </w:rPr>
        <w:t>7 M</w:t>
      </w:r>
      <w:r>
        <w:rPr>
          <w:b/>
          <w:sz w:val="20"/>
          <w:szCs w:val="20"/>
        </w:rPr>
        <w:t>AI</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43585F" w:rsidP="004B7F60">
      <w:pPr>
        <w:pStyle w:val="ListParagraph"/>
        <w:widowControl w:val="0"/>
        <w:numPr>
          <w:ilvl w:val="0"/>
          <w:numId w:val="1"/>
        </w:numPr>
        <w:ind w:hanging="720"/>
        <w:jc w:val="both"/>
        <w:rPr>
          <w:sz w:val="20"/>
          <w:szCs w:val="20"/>
        </w:rPr>
      </w:pPr>
      <w:r w:rsidRPr="0043585F">
        <w:rPr>
          <w:i/>
          <w:sz w:val="20"/>
          <w:szCs w:val="20"/>
        </w:rPr>
        <w:t>Wilfred Doyle v. Terrance McAleer</w:t>
      </w:r>
      <w:r w:rsidRPr="0043585F">
        <w:rPr>
          <w:sz w:val="20"/>
          <w:szCs w:val="20"/>
        </w:rPr>
        <w:t xml:space="preserve"> (P.E.I.) (Civil) (By Leave)</w:t>
      </w:r>
      <w:r w:rsidRPr="00C50A5C">
        <w:rPr>
          <w:sz w:val="20"/>
          <w:szCs w:val="20"/>
        </w:rPr>
        <w:t xml:space="preserve"> </w:t>
      </w:r>
      <w:r w:rsidR="004B7F60" w:rsidRPr="00C50A5C">
        <w:rPr>
          <w:sz w:val="20"/>
          <w:szCs w:val="20"/>
        </w:rPr>
        <w:t>(3</w:t>
      </w:r>
      <w:r w:rsidR="004B7F60">
        <w:rPr>
          <w:sz w:val="20"/>
          <w:szCs w:val="20"/>
        </w:rPr>
        <w:t>4</w:t>
      </w:r>
      <w:r>
        <w:rPr>
          <w:sz w:val="20"/>
          <w:szCs w:val="20"/>
        </w:rPr>
        <w:t>728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3585F" w:rsidP="004B7F60">
      <w:pPr>
        <w:pStyle w:val="ListParagraph"/>
        <w:widowControl w:val="0"/>
        <w:numPr>
          <w:ilvl w:val="0"/>
          <w:numId w:val="1"/>
        </w:numPr>
        <w:ind w:hanging="720"/>
        <w:jc w:val="both"/>
        <w:rPr>
          <w:sz w:val="20"/>
          <w:szCs w:val="20"/>
        </w:rPr>
      </w:pPr>
      <w:r w:rsidRPr="0043585F">
        <w:rPr>
          <w:i/>
          <w:sz w:val="20"/>
          <w:szCs w:val="20"/>
        </w:rPr>
        <w:t xml:space="preserve">Melvin Sumner </w:t>
      </w:r>
      <w:r w:rsidRPr="000733DF">
        <w:rPr>
          <w:i/>
          <w:sz w:val="20"/>
          <w:szCs w:val="20"/>
        </w:rPr>
        <w:t>v. PCL Constructors Inc. et al.</w:t>
      </w:r>
      <w:r w:rsidRPr="0043585F">
        <w:rPr>
          <w:sz w:val="20"/>
          <w:szCs w:val="20"/>
        </w:rPr>
        <w:t xml:space="preserve"> (Alta.) (Civil) (By Leave)</w:t>
      </w:r>
      <w:r w:rsidRPr="00C612D0">
        <w:rPr>
          <w:sz w:val="20"/>
          <w:szCs w:val="20"/>
        </w:rPr>
        <w:t xml:space="preserve"> </w:t>
      </w:r>
      <w:r w:rsidR="004B7F60" w:rsidRPr="00C612D0">
        <w:rPr>
          <w:sz w:val="20"/>
          <w:szCs w:val="20"/>
        </w:rPr>
        <w:t>(34</w:t>
      </w:r>
      <w:r>
        <w:rPr>
          <w:sz w:val="20"/>
          <w:szCs w:val="20"/>
        </w:rPr>
        <w:t>6</w:t>
      </w:r>
      <w:r w:rsidR="004B7F60" w:rsidRPr="00C612D0">
        <w:rPr>
          <w:sz w:val="20"/>
          <w:szCs w:val="20"/>
        </w:rPr>
        <w:t>3</w:t>
      </w:r>
      <w:r>
        <w:rPr>
          <w:sz w:val="20"/>
          <w:szCs w:val="20"/>
        </w:rPr>
        <w:t>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3585F" w:rsidP="004B7F60">
      <w:pPr>
        <w:pStyle w:val="ListParagraph"/>
        <w:widowControl w:val="0"/>
        <w:numPr>
          <w:ilvl w:val="0"/>
          <w:numId w:val="1"/>
        </w:numPr>
        <w:ind w:hanging="720"/>
        <w:jc w:val="both"/>
        <w:rPr>
          <w:sz w:val="20"/>
          <w:szCs w:val="20"/>
        </w:rPr>
      </w:pPr>
      <w:r w:rsidRPr="0043585F">
        <w:rPr>
          <w:i/>
          <w:sz w:val="20"/>
          <w:szCs w:val="20"/>
        </w:rPr>
        <w:t>Don Reid Stewart, Executor of the Estate of Rene Vallette, Deceased v. Appeals Commission for the Alberta Workers' Compensation et al.</w:t>
      </w:r>
      <w:r w:rsidRPr="0043585F">
        <w:rPr>
          <w:sz w:val="20"/>
          <w:szCs w:val="20"/>
        </w:rPr>
        <w:t xml:space="preserve"> (Alta.) (Civil) (By Leave)</w:t>
      </w:r>
      <w:r w:rsidRPr="00940CAD">
        <w:rPr>
          <w:sz w:val="20"/>
          <w:szCs w:val="20"/>
        </w:rPr>
        <w:t xml:space="preserve"> </w:t>
      </w:r>
      <w:r w:rsidR="004B7F60" w:rsidRPr="00940CAD">
        <w:rPr>
          <w:sz w:val="20"/>
          <w:szCs w:val="20"/>
        </w:rPr>
        <w:t>(34</w:t>
      </w:r>
      <w:r>
        <w:rPr>
          <w:sz w:val="20"/>
          <w:szCs w:val="20"/>
        </w:rPr>
        <w:t>709</w:t>
      </w:r>
      <w:r w:rsidR="004B7F60" w:rsidRPr="00940CAD">
        <w:rPr>
          <w:sz w:val="20"/>
          <w:szCs w:val="20"/>
        </w:rPr>
        <w:t>)</w:t>
      </w:r>
    </w:p>
    <w:p w:rsidR="004B7F60" w:rsidRDefault="004B7F60" w:rsidP="004B7F60">
      <w:pPr>
        <w:widowControl w:val="0"/>
        <w:rPr>
          <w:sz w:val="20"/>
          <w:szCs w:val="20"/>
        </w:rPr>
      </w:pPr>
    </w:p>
    <w:p w:rsidR="0043585F" w:rsidRDefault="0043585F" w:rsidP="004B7F60">
      <w:pPr>
        <w:widowControl w:val="0"/>
        <w:rPr>
          <w:sz w:val="20"/>
          <w:szCs w:val="20"/>
        </w:rPr>
      </w:pPr>
    </w:p>
    <w:p w:rsidR="0043585F" w:rsidRPr="00C50A5C" w:rsidRDefault="0043585F" w:rsidP="0043585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3585F" w:rsidRPr="00C50A5C" w:rsidRDefault="0043585F" w:rsidP="0043585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3585F" w:rsidRPr="0043585F" w:rsidRDefault="0043585F" w:rsidP="004B7F60">
      <w:pPr>
        <w:widowControl w:val="0"/>
        <w:rPr>
          <w:sz w:val="20"/>
          <w:szCs w:val="20"/>
          <w:lang w:val="fr-CA"/>
        </w:rPr>
      </w:pPr>
    </w:p>
    <w:p w:rsidR="004B7F60" w:rsidRPr="00C50A5C" w:rsidRDefault="0043585F" w:rsidP="004B7F60">
      <w:pPr>
        <w:pStyle w:val="ListParagraph"/>
        <w:widowControl w:val="0"/>
        <w:numPr>
          <w:ilvl w:val="0"/>
          <w:numId w:val="1"/>
        </w:numPr>
        <w:ind w:hanging="720"/>
        <w:jc w:val="both"/>
        <w:rPr>
          <w:sz w:val="20"/>
          <w:szCs w:val="20"/>
        </w:rPr>
      </w:pPr>
      <w:r w:rsidRPr="0043585F">
        <w:rPr>
          <w:i/>
          <w:sz w:val="20"/>
          <w:szCs w:val="20"/>
        </w:rPr>
        <w:t>Thanh Long Vu v. Her Majesty the Queen</w:t>
      </w:r>
      <w:r w:rsidRPr="0043585F">
        <w:rPr>
          <w:sz w:val="20"/>
          <w:szCs w:val="20"/>
        </w:rPr>
        <w:t xml:space="preserve"> (B.C.) (Crim</w:t>
      </w:r>
      <w:r>
        <w:rPr>
          <w:sz w:val="20"/>
          <w:szCs w:val="20"/>
        </w:rPr>
        <w:t>.</w:t>
      </w:r>
      <w:r w:rsidRPr="0043585F">
        <w:rPr>
          <w:sz w:val="20"/>
          <w:szCs w:val="20"/>
        </w:rPr>
        <w:t>) (By Leave)</w:t>
      </w:r>
      <w:r w:rsidRPr="00C50A5C">
        <w:rPr>
          <w:sz w:val="20"/>
          <w:szCs w:val="20"/>
        </w:rPr>
        <w:t xml:space="preserve"> </w:t>
      </w:r>
      <w:r w:rsidR="004B7F60" w:rsidRPr="00C50A5C">
        <w:rPr>
          <w:sz w:val="20"/>
          <w:szCs w:val="20"/>
        </w:rPr>
        <w:t>(3</w:t>
      </w:r>
      <w:r w:rsidR="004B7F60">
        <w:rPr>
          <w:sz w:val="20"/>
          <w:szCs w:val="20"/>
        </w:rPr>
        <w:t>46</w:t>
      </w:r>
      <w:r>
        <w:rPr>
          <w:sz w:val="20"/>
          <w:szCs w:val="20"/>
        </w:rPr>
        <w:t>87</w:t>
      </w:r>
      <w:r w:rsidR="004B7F60" w:rsidRPr="00C50A5C">
        <w:rPr>
          <w:sz w:val="20"/>
          <w:szCs w:val="20"/>
        </w:rPr>
        <w:t>)</w:t>
      </w:r>
    </w:p>
    <w:p w:rsidR="004B7F60" w:rsidRDefault="004B7F60" w:rsidP="004B7F60">
      <w:pPr>
        <w:widowControl w:val="0"/>
        <w:jc w:val="both"/>
        <w:rPr>
          <w:sz w:val="20"/>
          <w:szCs w:val="20"/>
        </w:rPr>
      </w:pPr>
    </w:p>
    <w:p w:rsidR="004B7F60" w:rsidRPr="0043585F" w:rsidRDefault="0043585F" w:rsidP="004B7F60">
      <w:pPr>
        <w:pStyle w:val="ListParagraph"/>
        <w:widowControl w:val="0"/>
        <w:numPr>
          <w:ilvl w:val="0"/>
          <w:numId w:val="1"/>
        </w:numPr>
        <w:ind w:hanging="720"/>
        <w:jc w:val="both"/>
        <w:rPr>
          <w:sz w:val="20"/>
          <w:szCs w:val="20"/>
        </w:rPr>
      </w:pPr>
      <w:r w:rsidRPr="0043585F">
        <w:rPr>
          <w:i/>
          <w:sz w:val="20"/>
          <w:szCs w:val="20"/>
          <w:lang w:val="fr-CA"/>
        </w:rPr>
        <w:t>Merck &amp; Co. Inc. et al. v. Apotex Inc. et al.</w:t>
      </w:r>
      <w:r w:rsidRPr="0043585F">
        <w:rPr>
          <w:sz w:val="20"/>
          <w:szCs w:val="20"/>
          <w:lang w:val="fr-CA"/>
        </w:rPr>
        <w:t xml:space="preserve"> </w:t>
      </w:r>
      <w:r w:rsidRPr="0043585F">
        <w:rPr>
          <w:sz w:val="20"/>
          <w:szCs w:val="20"/>
        </w:rPr>
        <w:t>(F</w:t>
      </w:r>
      <w:r>
        <w:rPr>
          <w:sz w:val="20"/>
          <w:szCs w:val="20"/>
        </w:rPr>
        <w:t>.</w:t>
      </w:r>
      <w:r w:rsidRPr="0043585F">
        <w:rPr>
          <w:sz w:val="20"/>
          <w:szCs w:val="20"/>
        </w:rPr>
        <w:t>C</w:t>
      </w:r>
      <w:r>
        <w:rPr>
          <w:sz w:val="20"/>
          <w:szCs w:val="20"/>
        </w:rPr>
        <w:t>.</w:t>
      </w:r>
      <w:r w:rsidRPr="0043585F">
        <w:rPr>
          <w:sz w:val="20"/>
          <w:szCs w:val="20"/>
        </w:rPr>
        <w:t xml:space="preserve">) (Civil) (By Leave) </w:t>
      </w:r>
      <w:r w:rsidR="004B7F60" w:rsidRPr="0043585F">
        <w:rPr>
          <w:sz w:val="20"/>
          <w:szCs w:val="20"/>
        </w:rPr>
        <w:t>(346</w:t>
      </w:r>
      <w:r w:rsidRPr="0043585F">
        <w:rPr>
          <w:sz w:val="20"/>
          <w:szCs w:val="20"/>
        </w:rPr>
        <w:t>81</w:t>
      </w:r>
      <w:r w:rsidR="004B7F60" w:rsidRPr="0043585F">
        <w:rPr>
          <w:sz w:val="20"/>
          <w:szCs w:val="20"/>
        </w:rPr>
        <w:t>)</w:t>
      </w:r>
    </w:p>
    <w:p w:rsidR="004B7F60" w:rsidRPr="0043585F" w:rsidRDefault="004B7F60" w:rsidP="004B7F60">
      <w:pPr>
        <w:widowControl w:val="0"/>
        <w:rPr>
          <w:sz w:val="20"/>
          <w:szCs w:val="20"/>
        </w:rPr>
      </w:pPr>
    </w:p>
    <w:p w:rsidR="0043585F" w:rsidRPr="0043585F" w:rsidRDefault="0043585F" w:rsidP="004B7F60">
      <w:pPr>
        <w:widowControl w:val="0"/>
        <w:rPr>
          <w:sz w:val="20"/>
          <w:szCs w:val="20"/>
        </w:rPr>
      </w:pPr>
    </w:p>
    <w:p w:rsidR="0043585F" w:rsidRPr="00C50A5C" w:rsidRDefault="0043585F" w:rsidP="0043585F">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43585F" w:rsidRPr="00C50A5C" w:rsidRDefault="0043585F" w:rsidP="0043585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3585F" w:rsidRPr="00C50A5C" w:rsidRDefault="0043585F" w:rsidP="0043585F">
      <w:pPr>
        <w:widowControl w:val="0"/>
        <w:rPr>
          <w:sz w:val="20"/>
          <w:szCs w:val="20"/>
          <w:lang w:val="fr-CA"/>
        </w:rPr>
      </w:pPr>
    </w:p>
    <w:p w:rsidR="004B7F60" w:rsidRPr="00115C9E" w:rsidRDefault="0043585F" w:rsidP="004B7F60">
      <w:pPr>
        <w:pStyle w:val="ListParagraph"/>
        <w:widowControl w:val="0"/>
        <w:numPr>
          <w:ilvl w:val="0"/>
          <w:numId w:val="1"/>
        </w:numPr>
        <w:ind w:hanging="720"/>
        <w:jc w:val="both"/>
        <w:rPr>
          <w:sz w:val="20"/>
          <w:szCs w:val="20"/>
          <w:lang w:val="fr-CA"/>
        </w:rPr>
      </w:pPr>
      <w:r w:rsidRPr="0043585F">
        <w:rPr>
          <w:i/>
          <w:sz w:val="20"/>
          <w:szCs w:val="20"/>
        </w:rPr>
        <w:t>Marty David O'Brien v. Her Majesty the Queen</w:t>
      </w:r>
      <w:r w:rsidRPr="0043585F">
        <w:rPr>
          <w:sz w:val="20"/>
          <w:szCs w:val="20"/>
        </w:rPr>
        <w:t xml:space="preserve"> (N.S.) (Crim</w:t>
      </w:r>
      <w:r>
        <w:rPr>
          <w:sz w:val="20"/>
          <w:szCs w:val="20"/>
        </w:rPr>
        <w:t>.</w:t>
      </w:r>
      <w:r w:rsidRPr="0043585F">
        <w:rPr>
          <w:sz w:val="20"/>
          <w:szCs w:val="20"/>
        </w:rPr>
        <w:t>) (By Leave)</w:t>
      </w:r>
      <w:r w:rsidRPr="00115C9E">
        <w:rPr>
          <w:sz w:val="20"/>
          <w:szCs w:val="20"/>
          <w:lang w:val="fr-CA"/>
        </w:rPr>
        <w:t xml:space="preserve"> </w:t>
      </w:r>
      <w:r w:rsidR="004B7F60" w:rsidRPr="00115C9E">
        <w:rPr>
          <w:sz w:val="20"/>
          <w:szCs w:val="20"/>
          <w:lang w:val="fr-CA"/>
        </w:rPr>
        <w:t>(34</w:t>
      </w:r>
      <w:r>
        <w:rPr>
          <w:sz w:val="20"/>
          <w:szCs w:val="20"/>
          <w:lang w:val="fr-CA"/>
        </w:rPr>
        <w:t>6</w:t>
      </w:r>
      <w:r w:rsidR="004B7F60" w:rsidRPr="00115C9E">
        <w:rPr>
          <w:sz w:val="20"/>
          <w:szCs w:val="20"/>
          <w:lang w:val="fr-CA"/>
        </w:rPr>
        <w:t>3</w:t>
      </w:r>
      <w:r>
        <w:rPr>
          <w:sz w:val="20"/>
          <w:szCs w:val="20"/>
          <w:lang w:val="fr-CA"/>
        </w:rPr>
        <w:t>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43585F" w:rsidRDefault="0043585F" w:rsidP="004B7F60">
      <w:pPr>
        <w:pStyle w:val="ListParagraph"/>
        <w:widowControl w:val="0"/>
        <w:numPr>
          <w:ilvl w:val="0"/>
          <w:numId w:val="1"/>
        </w:numPr>
        <w:ind w:hanging="720"/>
        <w:jc w:val="both"/>
        <w:rPr>
          <w:sz w:val="20"/>
          <w:szCs w:val="20"/>
        </w:rPr>
      </w:pPr>
      <w:r w:rsidRPr="0043585F">
        <w:rPr>
          <w:i/>
          <w:sz w:val="20"/>
          <w:szCs w:val="20"/>
        </w:rPr>
        <w:t xml:space="preserve">C.S. et al. v. Children's Aid Society of the Regional Municipality of Waterloo et al. </w:t>
      </w:r>
      <w:r w:rsidRPr="0043585F">
        <w:rPr>
          <w:sz w:val="20"/>
          <w:szCs w:val="20"/>
        </w:rPr>
        <w:t xml:space="preserve">(Ont.) (Civil) (By Leave) </w:t>
      </w:r>
      <w:r w:rsidR="004B7F60" w:rsidRPr="0043585F">
        <w:rPr>
          <w:sz w:val="20"/>
          <w:szCs w:val="20"/>
        </w:rPr>
        <w:t>(34</w:t>
      </w:r>
      <w:r w:rsidRPr="0043585F">
        <w:rPr>
          <w:sz w:val="20"/>
          <w:szCs w:val="20"/>
        </w:rPr>
        <w:t>721</w:t>
      </w:r>
      <w:r w:rsidR="004B7F60" w:rsidRPr="0043585F">
        <w:rPr>
          <w:sz w:val="20"/>
          <w:szCs w:val="20"/>
        </w:rPr>
        <w:t>)</w:t>
      </w:r>
    </w:p>
    <w:p w:rsidR="002E2327" w:rsidRPr="0043585F" w:rsidRDefault="002E2327" w:rsidP="002E2327">
      <w:pPr>
        <w:widowControl w:val="0"/>
        <w:rPr>
          <w:sz w:val="20"/>
          <w:szCs w:val="20"/>
        </w:rPr>
      </w:pPr>
    </w:p>
    <w:p w:rsidR="002E2327" w:rsidRPr="00C50A5C" w:rsidRDefault="00B44839" w:rsidP="002E2327">
      <w:pPr>
        <w:widowControl w:val="0"/>
        <w:rPr>
          <w:sz w:val="20"/>
          <w:szCs w:val="20"/>
        </w:rPr>
      </w:pPr>
      <w:r w:rsidRPr="00B44839">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4A42A2"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432989" w:rsidRPr="00870DD7" w:rsidRDefault="00AF08F3" w:rsidP="00432989">
      <w:pPr>
        <w:rPr>
          <w:sz w:val="20"/>
          <w:szCs w:val="20"/>
        </w:rPr>
      </w:pPr>
      <w:r w:rsidRPr="00870DD7">
        <w:rPr>
          <w:b/>
          <w:sz w:val="20"/>
          <w:szCs w:val="20"/>
        </w:rPr>
        <w:t>M</w:t>
      </w:r>
      <w:r w:rsidR="00432989" w:rsidRPr="00870DD7">
        <w:rPr>
          <w:b/>
          <w:sz w:val="20"/>
          <w:szCs w:val="20"/>
        </w:rPr>
        <w:t xml:space="preserve">AY </w:t>
      </w:r>
      <w:r w:rsidR="002043D5" w:rsidRPr="00870DD7">
        <w:rPr>
          <w:b/>
          <w:sz w:val="20"/>
          <w:szCs w:val="20"/>
        </w:rPr>
        <w:t>7</w:t>
      </w:r>
      <w:r w:rsidR="00432989" w:rsidRPr="00870DD7">
        <w:rPr>
          <w:b/>
          <w:sz w:val="20"/>
          <w:szCs w:val="20"/>
        </w:rPr>
        <w:t>, 20</w:t>
      </w:r>
      <w:r w:rsidR="002043D5" w:rsidRPr="00870DD7">
        <w:rPr>
          <w:b/>
          <w:sz w:val="20"/>
          <w:szCs w:val="20"/>
        </w:rPr>
        <w:t>12</w:t>
      </w:r>
      <w:r w:rsidR="00432989" w:rsidRPr="00870DD7">
        <w:rPr>
          <w:b/>
          <w:sz w:val="20"/>
          <w:szCs w:val="20"/>
        </w:rPr>
        <w:t xml:space="preserve"> / LE </w:t>
      </w:r>
      <w:r w:rsidR="002043D5" w:rsidRPr="00870DD7">
        <w:rPr>
          <w:b/>
          <w:sz w:val="20"/>
          <w:szCs w:val="20"/>
        </w:rPr>
        <w:t>7</w:t>
      </w:r>
      <w:r w:rsidR="00432989" w:rsidRPr="00870DD7">
        <w:rPr>
          <w:b/>
          <w:sz w:val="20"/>
          <w:szCs w:val="20"/>
        </w:rPr>
        <w:t xml:space="preserve"> </w:t>
      </w:r>
      <w:r w:rsidR="002043D5" w:rsidRPr="00870DD7">
        <w:rPr>
          <w:b/>
          <w:sz w:val="20"/>
          <w:szCs w:val="20"/>
        </w:rPr>
        <w:t>M</w:t>
      </w:r>
      <w:r w:rsidR="00432989" w:rsidRPr="00870DD7">
        <w:rPr>
          <w:b/>
          <w:sz w:val="20"/>
          <w:szCs w:val="20"/>
        </w:rPr>
        <w:t>AI 20</w:t>
      </w:r>
      <w:r w:rsidR="002043D5" w:rsidRPr="00870DD7">
        <w:rPr>
          <w:b/>
          <w:sz w:val="20"/>
          <w:szCs w:val="20"/>
        </w:rPr>
        <w:t>12</w:t>
      </w:r>
    </w:p>
    <w:p w:rsidR="00432989" w:rsidRPr="00870DD7" w:rsidRDefault="00432989" w:rsidP="00432989">
      <w:pPr>
        <w:rPr>
          <w:sz w:val="20"/>
          <w:szCs w:val="20"/>
        </w:rPr>
      </w:pPr>
    </w:p>
    <w:p w:rsidR="002043D5" w:rsidRPr="007A5753" w:rsidRDefault="002043D5" w:rsidP="002043D5">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7A5753">
        <w:rPr>
          <w:rFonts w:eastAsia="Calibri" w:cs="Times New Roman"/>
          <w:sz w:val="20"/>
          <w:szCs w:val="20"/>
        </w:rPr>
        <w:t xml:space="preserve">Coram: </w:t>
      </w:r>
      <w:r w:rsidRPr="007A5753">
        <w:rPr>
          <w:rFonts w:eastAsia="Calibri" w:cs="Times New Roman"/>
          <w:sz w:val="20"/>
          <w:szCs w:val="20"/>
        </w:rPr>
        <w:tab/>
      </w:r>
      <w:r w:rsidRPr="007A5753">
        <w:rPr>
          <w:rFonts w:eastAsia="Calibri" w:cs="Times New Roman"/>
          <w:sz w:val="20"/>
          <w:szCs w:val="20"/>
          <w:u w:val="single"/>
        </w:rPr>
        <w:t>McLachlin C.J. and Deschamps and Cromwell JJ.</w:t>
      </w:r>
    </w:p>
    <w:p w:rsidR="00432989" w:rsidRPr="00C50A5C" w:rsidRDefault="00432989" w:rsidP="00432989">
      <w:pPr>
        <w:rPr>
          <w:sz w:val="20"/>
          <w:szCs w:val="20"/>
          <w:u w:val="single"/>
        </w:rPr>
      </w:pPr>
    </w:p>
    <w:tbl>
      <w:tblPr>
        <w:tblW w:w="0" w:type="auto"/>
        <w:tblLayout w:type="fixed"/>
        <w:tblCellMar>
          <w:left w:w="0" w:type="dxa"/>
          <w:right w:w="0" w:type="dxa"/>
        </w:tblCellMar>
        <w:tblLook w:val="0000"/>
      </w:tblPr>
      <w:tblGrid>
        <w:gridCol w:w="4380"/>
        <w:gridCol w:w="720"/>
        <w:gridCol w:w="4380"/>
      </w:tblGrid>
      <w:tr w:rsidR="00432989" w:rsidRPr="00C50A5C" w:rsidTr="00432989">
        <w:tc>
          <w:tcPr>
            <w:tcW w:w="4380" w:type="dxa"/>
            <w:tcMar>
              <w:left w:w="0" w:type="dxa"/>
              <w:right w:w="0" w:type="dxa"/>
            </w:tcMar>
          </w:tcPr>
          <w:p w:rsidR="00432989" w:rsidRPr="002043D5" w:rsidRDefault="00432989" w:rsidP="00432989">
            <w:pPr>
              <w:rPr>
                <w:b/>
                <w:sz w:val="20"/>
                <w:szCs w:val="20"/>
              </w:rPr>
            </w:pPr>
            <w:r w:rsidRPr="002043D5">
              <w:rPr>
                <w:b/>
                <w:sz w:val="20"/>
                <w:szCs w:val="20"/>
              </w:rPr>
              <w:t>Motion heard</w:t>
            </w:r>
          </w:p>
          <w:p w:rsidR="00432989" w:rsidRPr="002043D5" w:rsidRDefault="00432989" w:rsidP="00432989">
            <w:pPr>
              <w:rPr>
                <w:b/>
                <w:sz w:val="20"/>
                <w:szCs w:val="20"/>
              </w:rPr>
            </w:pPr>
          </w:p>
          <w:p w:rsidR="002043D5" w:rsidRPr="002043D5" w:rsidRDefault="002043D5" w:rsidP="00432989">
            <w:pPr>
              <w:rPr>
                <w:rStyle w:val="SCCSsocChar"/>
                <w:b/>
                <w:i w:val="0"/>
              </w:rPr>
            </w:pPr>
            <w:r w:rsidRPr="002043D5">
              <w:rPr>
                <w:rStyle w:val="SCCSsocChar"/>
                <w:b/>
                <w:i w:val="0"/>
              </w:rPr>
              <w:t xml:space="preserve">Mandeep Singh Chehil </w:t>
            </w:r>
          </w:p>
          <w:p w:rsidR="002043D5" w:rsidRPr="002043D5" w:rsidRDefault="002043D5" w:rsidP="00432989">
            <w:pPr>
              <w:rPr>
                <w:rStyle w:val="SCCSsocChar"/>
                <w:b/>
                <w:i w:val="0"/>
              </w:rPr>
            </w:pPr>
          </w:p>
          <w:p w:rsidR="002043D5" w:rsidRPr="002043D5" w:rsidRDefault="002043D5" w:rsidP="00432989">
            <w:pPr>
              <w:rPr>
                <w:rStyle w:val="SCCSsocChar"/>
                <w:b/>
                <w:i w:val="0"/>
              </w:rPr>
            </w:pPr>
            <w:r w:rsidRPr="002043D5">
              <w:rPr>
                <w:rStyle w:val="SCCSsocChar"/>
                <w:b/>
                <w:i w:val="0"/>
              </w:rPr>
              <w:tab/>
              <w:t>v. (34524)</w:t>
            </w:r>
          </w:p>
          <w:p w:rsidR="002043D5" w:rsidRPr="002043D5" w:rsidRDefault="002043D5" w:rsidP="00432989">
            <w:pPr>
              <w:rPr>
                <w:rStyle w:val="SCCSsocChar"/>
                <w:b/>
                <w:i w:val="0"/>
              </w:rPr>
            </w:pPr>
          </w:p>
          <w:p w:rsidR="002043D5" w:rsidRDefault="002043D5" w:rsidP="002043D5">
            <w:pPr>
              <w:rPr>
                <w:b/>
                <w:sz w:val="20"/>
                <w:szCs w:val="20"/>
              </w:rPr>
            </w:pPr>
            <w:r w:rsidRPr="002043D5">
              <w:rPr>
                <w:rStyle w:val="SCCSsocChar"/>
                <w:b/>
                <w:i w:val="0"/>
              </w:rPr>
              <w:t>Her Majesty the Queen</w:t>
            </w:r>
            <w:r w:rsidRPr="002043D5">
              <w:rPr>
                <w:rFonts w:eastAsia="Calibri" w:cs="Times New Roman"/>
                <w:b/>
                <w:sz w:val="20"/>
                <w:szCs w:val="20"/>
              </w:rPr>
              <w:t xml:space="preserve"> (N.S.) (Criminal) </w:t>
            </w:r>
          </w:p>
          <w:p w:rsidR="00432989" w:rsidRPr="00BA6468" w:rsidRDefault="002043D5" w:rsidP="002043D5">
            <w:pPr>
              <w:rPr>
                <w:sz w:val="20"/>
                <w:szCs w:val="20"/>
              </w:rPr>
            </w:pPr>
            <w:r w:rsidRPr="002043D5">
              <w:rPr>
                <w:rFonts w:eastAsia="Calibri" w:cs="Times New Roman"/>
                <w:b/>
                <w:sz w:val="20"/>
                <w:szCs w:val="20"/>
              </w:rPr>
              <w:t>(By Leave</w:t>
            </w:r>
            <w:r w:rsidRPr="002043D5">
              <w:rPr>
                <w:b/>
                <w:sz w:val="20"/>
                <w:szCs w:val="20"/>
              </w:rPr>
              <w:t>)</w:t>
            </w:r>
          </w:p>
        </w:tc>
        <w:tc>
          <w:tcPr>
            <w:tcW w:w="720" w:type="dxa"/>
            <w:tcMar>
              <w:left w:w="0" w:type="dxa"/>
              <w:right w:w="0" w:type="dxa"/>
            </w:tcMar>
          </w:tcPr>
          <w:p w:rsidR="00432989" w:rsidRPr="00BA6468" w:rsidRDefault="00432989" w:rsidP="00432989">
            <w:pPr>
              <w:rPr>
                <w:sz w:val="20"/>
                <w:szCs w:val="20"/>
              </w:rPr>
            </w:pPr>
          </w:p>
        </w:tc>
        <w:tc>
          <w:tcPr>
            <w:tcW w:w="4380" w:type="dxa"/>
            <w:tcMar>
              <w:left w:w="0" w:type="dxa"/>
              <w:right w:w="0" w:type="dxa"/>
            </w:tcMar>
          </w:tcPr>
          <w:p w:rsidR="00432989" w:rsidRPr="00C50A5C" w:rsidRDefault="00432989" w:rsidP="00432989">
            <w:pPr>
              <w:rPr>
                <w:b/>
                <w:sz w:val="20"/>
                <w:szCs w:val="20"/>
              </w:rPr>
            </w:pPr>
            <w:r w:rsidRPr="00C50A5C">
              <w:rPr>
                <w:b/>
                <w:sz w:val="20"/>
                <w:szCs w:val="20"/>
              </w:rPr>
              <w:t>Requête entendue</w:t>
            </w:r>
          </w:p>
          <w:p w:rsidR="00432989" w:rsidRPr="00C50A5C" w:rsidRDefault="00432989" w:rsidP="00432989">
            <w:pPr>
              <w:rPr>
                <w:b/>
                <w:sz w:val="20"/>
                <w:szCs w:val="20"/>
              </w:rPr>
            </w:pPr>
          </w:p>
          <w:p w:rsidR="002043D5" w:rsidRPr="00525400" w:rsidRDefault="002043D5" w:rsidP="002043D5">
            <w:pPr>
              <w:jc w:val="both"/>
              <w:rPr>
                <w:sz w:val="20"/>
                <w:szCs w:val="20"/>
              </w:rPr>
            </w:pPr>
            <w:r w:rsidRPr="00525400">
              <w:rPr>
                <w:sz w:val="20"/>
                <w:szCs w:val="20"/>
              </w:rPr>
              <w:t>Stanley W. MacDonald, Q.C.</w:t>
            </w:r>
            <w:r>
              <w:rPr>
                <w:sz w:val="20"/>
                <w:szCs w:val="20"/>
              </w:rPr>
              <w:t xml:space="preserve"> f</w:t>
            </w:r>
            <w:r w:rsidRPr="00525400">
              <w:rPr>
                <w:sz w:val="20"/>
                <w:szCs w:val="20"/>
              </w:rPr>
              <w:t xml:space="preserve">or the </w:t>
            </w:r>
            <w:r>
              <w:rPr>
                <w:sz w:val="20"/>
                <w:szCs w:val="20"/>
              </w:rPr>
              <w:t>a</w:t>
            </w:r>
            <w:r w:rsidRPr="00525400">
              <w:rPr>
                <w:sz w:val="20"/>
                <w:szCs w:val="20"/>
              </w:rPr>
              <w:t>pplicant.</w:t>
            </w:r>
          </w:p>
          <w:p w:rsidR="002043D5" w:rsidRPr="00525400" w:rsidRDefault="002043D5" w:rsidP="002043D5">
            <w:pPr>
              <w:jc w:val="both"/>
              <w:rPr>
                <w:sz w:val="20"/>
                <w:szCs w:val="20"/>
              </w:rPr>
            </w:pPr>
          </w:p>
          <w:p w:rsidR="00432989" w:rsidRDefault="002043D5" w:rsidP="002043D5">
            <w:pPr>
              <w:jc w:val="both"/>
              <w:rPr>
                <w:sz w:val="20"/>
                <w:szCs w:val="20"/>
              </w:rPr>
            </w:pPr>
            <w:r w:rsidRPr="00525400">
              <w:rPr>
                <w:sz w:val="20"/>
                <w:szCs w:val="20"/>
              </w:rPr>
              <w:t>Mark J. Covan</w:t>
            </w:r>
            <w:r>
              <w:rPr>
                <w:sz w:val="20"/>
                <w:szCs w:val="20"/>
              </w:rPr>
              <w:t xml:space="preserve"> f</w:t>
            </w:r>
            <w:r w:rsidRPr="00525400">
              <w:rPr>
                <w:sz w:val="20"/>
                <w:szCs w:val="20"/>
              </w:rPr>
              <w:t xml:space="preserve">or the </w:t>
            </w:r>
            <w:r>
              <w:rPr>
                <w:sz w:val="20"/>
                <w:szCs w:val="20"/>
              </w:rPr>
              <w:t>r</w:t>
            </w:r>
            <w:r w:rsidRPr="00525400">
              <w:rPr>
                <w:sz w:val="20"/>
                <w:szCs w:val="20"/>
              </w:rPr>
              <w:t>espondent.</w:t>
            </w:r>
          </w:p>
          <w:p w:rsidR="002043D5" w:rsidRPr="002043D5" w:rsidRDefault="002043D5" w:rsidP="00037A63">
            <w:pPr>
              <w:jc w:val="both"/>
              <w:rPr>
                <w:sz w:val="20"/>
                <w:szCs w:val="20"/>
              </w:rPr>
            </w:pPr>
            <w:r w:rsidRPr="00525400">
              <w:rPr>
                <w:sz w:val="20"/>
                <w:szCs w:val="20"/>
              </w:rPr>
              <w:t>(</w:t>
            </w:r>
            <w:r>
              <w:rPr>
                <w:sz w:val="20"/>
                <w:szCs w:val="20"/>
              </w:rPr>
              <w:t>B</w:t>
            </w:r>
            <w:r w:rsidRPr="00525400">
              <w:rPr>
                <w:sz w:val="20"/>
                <w:szCs w:val="20"/>
              </w:rPr>
              <w:t>y videoconference)</w:t>
            </w:r>
          </w:p>
        </w:tc>
      </w:tr>
    </w:tbl>
    <w:p w:rsidR="002043D5" w:rsidRPr="002043D5" w:rsidRDefault="002043D5" w:rsidP="00432989">
      <w:pPr>
        <w:rPr>
          <w:sz w:val="20"/>
          <w:szCs w:val="20"/>
        </w:rPr>
      </w:pPr>
    </w:p>
    <w:p w:rsidR="002043D5" w:rsidRDefault="002043D5" w:rsidP="00432989">
      <w:pPr>
        <w:rPr>
          <w:sz w:val="20"/>
          <w:szCs w:val="20"/>
          <w:lang w:val="fr-CA"/>
        </w:rPr>
      </w:pPr>
      <w:r w:rsidRPr="007A5753">
        <w:rPr>
          <w:rFonts w:eastAsia="Calibri" w:cs="Times New Roman"/>
          <w:b/>
          <w:bCs/>
          <w:sz w:val="20"/>
          <w:szCs w:val="20"/>
          <w:lang w:val="fr-CA"/>
        </w:rPr>
        <w:t>GRANTED, Deschamps J. dissenting / ACCORDÉE, la juge Deschamps est dissidente</w:t>
      </w:r>
    </w:p>
    <w:p w:rsidR="00432989" w:rsidRPr="00C50A5C" w:rsidRDefault="00432989" w:rsidP="00432989">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432989" w:rsidRPr="004A42A2" w:rsidTr="00C50A5C">
        <w:tc>
          <w:tcPr>
            <w:tcW w:w="4380" w:type="dxa"/>
            <w:tcMar>
              <w:left w:w="0" w:type="dxa"/>
              <w:right w:w="0" w:type="dxa"/>
            </w:tcMar>
          </w:tcPr>
          <w:p w:rsidR="00432989" w:rsidRPr="00C50A5C" w:rsidRDefault="00432989" w:rsidP="00C50A5C">
            <w:pPr>
              <w:keepNext/>
              <w:keepLines/>
              <w:jc w:val="both"/>
              <w:rPr>
                <w:sz w:val="20"/>
                <w:szCs w:val="20"/>
              </w:rPr>
            </w:pPr>
            <w:r w:rsidRPr="00C50A5C">
              <w:rPr>
                <w:b/>
                <w:sz w:val="20"/>
                <w:szCs w:val="20"/>
                <w:u w:val="single"/>
              </w:rPr>
              <w:t>Nature of the case:</w:t>
            </w:r>
          </w:p>
          <w:p w:rsidR="00432989" w:rsidRPr="00C50A5C" w:rsidRDefault="00432989" w:rsidP="00C50A5C">
            <w:pPr>
              <w:keepNext/>
              <w:keepLines/>
              <w:jc w:val="both"/>
              <w:rPr>
                <w:sz w:val="20"/>
                <w:szCs w:val="20"/>
              </w:rPr>
            </w:pPr>
          </w:p>
          <w:p w:rsidR="00432989" w:rsidRPr="00C50A5C" w:rsidRDefault="002043D5" w:rsidP="002043D5">
            <w:pPr>
              <w:jc w:val="both"/>
              <w:rPr>
                <w:sz w:val="20"/>
                <w:szCs w:val="20"/>
              </w:rPr>
            </w:pPr>
            <w:r w:rsidRPr="0098174D">
              <w:rPr>
                <w:i/>
                <w:sz w:val="20"/>
                <w:szCs w:val="20"/>
              </w:rPr>
              <w:t xml:space="preserve">Charter of Rights and Freedoms </w:t>
            </w:r>
            <w:r w:rsidRPr="0098174D">
              <w:rPr>
                <w:sz w:val="20"/>
                <w:szCs w:val="20"/>
              </w:rPr>
              <w:t xml:space="preserve">– Search and seizure – Freedom from unreasonable search and seizure – Sniff search of suitcase by sniffer-dog led to discovery of drugs - Whether the jurisprudence is inconsistent regarding the meaning of “objectively reasonable suspicion” – What factors should be considered when deciding if there is a “reasonable suspicion” of criminal activity that justifies the use of a sniffer dog - What standards should be applied by the courts when considering the reliability of a police sniffer-dog - Whether there are issues of public importance raised – ss. 7, 8 and 9 of the </w:t>
            </w:r>
            <w:r w:rsidRPr="0098174D">
              <w:rPr>
                <w:i/>
                <w:sz w:val="20"/>
                <w:szCs w:val="20"/>
              </w:rPr>
              <w:t>Charter</w:t>
            </w:r>
            <w:r w:rsidRPr="0098174D">
              <w:rPr>
                <w:sz w:val="20"/>
                <w:szCs w:val="20"/>
              </w:rPr>
              <w:t xml:space="preserve">. </w:t>
            </w:r>
          </w:p>
        </w:tc>
        <w:tc>
          <w:tcPr>
            <w:tcW w:w="720" w:type="dxa"/>
            <w:tcMar>
              <w:left w:w="0" w:type="dxa"/>
              <w:right w:w="0" w:type="dxa"/>
            </w:tcMar>
          </w:tcPr>
          <w:p w:rsidR="00432989" w:rsidRPr="00C50A5C" w:rsidRDefault="00432989" w:rsidP="00C50A5C">
            <w:pPr>
              <w:keepNext/>
              <w:keepLines/>
              <w:jc w:val="center"/>
              <w:rPr>
                <w:sz w:val="20"/>
                <w:szCs w:val="20"/>
              </w:rPr>
            </w:pPr>
          </w:p>
        </w:tc>
        <w:tc>
          <w:tcPr>
            <w:tcW w:w="4380" w:type="dxa"/>
            <w:tcMar>
              <w:left w:w="0" w:type="dxa"/>
              <w:right w:w="0" w:type="dxa"/>
            </w:tcMar>
          </w:tcPr>
          <w:p w:rsidR="00432989" w:rsidRPr="00C50A5C" w:rsidRDefault="00432989" w:rsidP="00C50A5C">
            <w:pPr>
              <w:keepNext/>
              <w:keepLines/>
              <w:jc w:val="both"/>
              <w:rPr>
                <w:sz w:val="20"/>
                <w:szCs w:val="20"/>
                <w:lang w:val="fr-CA"/>
              </w:rPr>
            </w:pPr>
            <w:r w:rsidRPr="00C50A5C">
              <w:rPr>
                <w:b/>
                <w:sz w:val="20"/>
                <w:szCs w:val="20"/>
                <w:u w:val="single"/>
                <w:lang w:val="fr-CA"/>
              </w:rPr>
              <w:t>Nature de la cause :</w:t>
            </w:r>
          </w:p>
          <w:p w:rsidR="00432989" w:rsidRPr="00C50A5C" w:rsidRDefault="00432989" w:rsidP="00C50A5C">
            <w:pPr>
              <w:keepNext/>
              <w:keepLines/>
              <w:jc w:val="both"/>
              <w:rPr>
                <w:sz w:val="20"/>
                <w:szCs w:val="20"/>
                <w:lang w:val="fr-CA"/>
              </w:rPr>
            </w:pPr>
          </w:p>
          <w:p w:rsidR="00432989" w:rsidRPr="00C50A5C" w:rsidRDefault="002043D5" w:rsidP="002043D5">
            <w:pPr>
              <w:jc w:val="both"/>
              <w:rPr>
                <w:sz w:val="20"/>
                <w:szCs w:val="20"/>
                <w:lang w:val="fr-CA"/>
              </w:rPr>
            </w:pPr>
            <w:r w:rsidRPr="004C45C4">
              <w:rPr>
                <w:i/>
                <w:sz w:val="20"/>
                <w:szCs w:val="20"/>
                <w:lang w:val="fr-CA"/>
              </w:rPr>
              <w:t xml:space="preserve">Charte des droits et libertés </w:t>
            </w:r>
            <w:r w:rsidRPr="004C45C4">
              <w:rPr>
                <w:sz w:val="20"/>
                <w:szCs w:val="20"/>
                <w:lang w:val="fr-CA"/>
              </w:rPr>
              <w:t>– Fouilles et perquisitions – Protection contre fouilles, les perquisitions et les saisies abusives – La fouille d'une valise au moyen d’un chien renifleur a mené à la découverte de drogue – La jurisprudence est</w:t>
            </w:r>
            <w:r w:rsidRPr="004C45C4">
              <w:rPr>
                <w:sz w:val="20"/>
                <w:szCs w:val="20"/>
                <w:lang w:val="fr-CA"/>
              </w:rPr>
              <w:noBreakHyphen/>
              <w:t>elle contradictoire quant au sens de l'expression « soupçon objectivement raisonnable »? – Quels facteurs doivent être pris en compte lorsqu'il s'agit de décider s'il existe un « soupçon raisonnable » d'activité criminelle qui justifie l'utilisation d'un chien renifleur? – Quelles normes les tribunaux doivent</w:t>
            </w:r>
            <w:r w:rsidRPr="004C45C4">
              <w:rPr>
                <w:sz w:val="20"/>
                <w:szCs w:val="20"/>
                <w:lang w:val="fr-CA"/>
              </w:rPr>
              <w:noBreakHyphen/>
              <w:t>ils appliquer lorsqu'ils considèrent la fiabilité d'un chien policier renifleur? – L'affaire soulève</w:t>
            </w:r>
            <w:r w:rsidRPr="004C45C4">
              <w:rPr>
                <w:sz w:val="20"/>
                <w:szCs w:val="20"/>
                <w:lang w:val="fr-CA"/>
              </w:rPr>
              <w:noBreakHyphen/>
              <w:t>t</w:t>
            </w:r>
            <w:r w:rsidRPr="004C45C4">
              <w:rPr>
                <w:sz w:val="20"/>
                <w:szCs w:val="20"/>
                <w:lang w:val="fr-CA"/>
              </w:rPr>
              <w:noBreakHyphen/>
              <w:t xml:space="preserve">elle des questions d'importance pour le public? – Art. 7, 8 et 9 de la </w:t>
            </w:r>
            <w:r w:rsidRPr="004C45C4">
              <w:rPr>
                <w:i/>
                <w:sz w:val="20"/>
                <w:szCs w:val="20"/>
                <w:lang w:val="fr-CA"/>
              </w:rPr>
              <w:t>Charte</w:t>
            </w:r>
            <w:r w:rsidRPr="004C45C4">
              <w:rPr>
                <w:sz w:val="20"/>
                <w:szCs w:val="20"/>
                <w:lang w:val="fr-CA"/>
              </w:rPr>
              <w:t xml:space="preserve">. </w:t>
            </w:r>
          </w:p>
        </w:tc>
      </w:tr>
    </w:tbl>
    <w:p w:rsidR="00432989" w:rsidRDefault="00432989" w:rsidP="00432989">
      <w:pPr>
        <w:spacing w:line="0" w:lineRule="atLeast"/>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A42A2"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31047B" w:rsidP="008D292F">
      <w:pPr>
        <w:rPr>
          <w:b/>
          <w:sz w:val="20"/>
          <w:szCs w:val="20"/>
        </w:rPr>
      </w:pPr>
      <w:r>
        <w:rPr>
          <w:b/>
          <w:sz w:val="20"/>
          <w:szCs w:val="20"/>
        </w:rPr>
        <w:t>M</w:t>
      </w:r>
      <w:r w:rsidR="008D292F" w:rsidRPr="00C50A5C">
        <w:rPr>
          <w:b/>
          <w:sz w:val="20"/>
          <w:szCs w:val="20"/>
        </w:rPr>
        <w:t>A</w:t>
      </w:r>
      <w:r>
        <w:rPr>
          <w:b/>
          <w:sz w:val="20"/>
          <w:szCs w:val="20"/>
        </w:rPr>
        <w:t>Y</w:t>
      </w:r>
      <w:r w:rsidR="008D292F" w:rsidRPr="00C50A5C">
        <w:rPr>
          <w:b/>
          <w:sz w:val="20"/>
          <w:szCs w:val="20"/>
        </w:rPr>
        <w:t xml:space="preserve"> </w:t>
      </w:r>
      <w:r>
        <w:rPr>
          <w:b/>
          <w:sz w:val="20"/>
          <w:szCs w:val="20"/>
        </w:rPr>
        <w:t>10</w:t>
      </w:r>
      <w:r w:rsidR="008D292F" w:rsidRPr="00C50A5C">
        <w:rPr>
          <w:b/>
          <w:sz w:val="20"/>
          <w:szCs w:val="20"/>
        </w:rPr>
        <w:t>, 201</w:t>
      </w:r>
      <w:r>
        <w:rPr>
          <w:b/>
          <w:sz w:val="20"/>
          <w:szCs w:val="20"/>
        </w:rPr>
        <w:t>2</w:t>
      </w:r>
      <w:r w:rsidR="008D292F" w:rsidRPr="00C50A5C">
        <w:rPr>
          <w:b/>
          <w:sz w:val="20"/>
          <w:szCs w:val="20"/>
        </w:rPr>
        <w:t xml:space="preserve"> / LE</w:t>
      </w:r>
      <w:r>
        <w:rPr>
          <w:b/>
          <w:sz w:val="20"/>
          <w:szCs w:val="20"/>
        </w:rPr>
        <w:t xml:space="preserve"> 10</w:t>
      </w:r>
      <w:r w:rsidR="008D292F" w:rsidRPr="00C50A5C">
        <w:rPr>
          <w:b/>
          <w:sz w:val="20"/>
          <w:szCs w:val="20"/>
        </w:rPr>
        <w:t xml:space="preserve"> </w:t>
      </w:r>
      <w:r>
        <w:rPr>
          <w:b/>
          <w:sz w:val="20"/>
          <w:szCs w:val="20"/>
        </w:rPr>
        <w:t>M</w:t>
      </w:r>
      <w:r w:rsidR="008D292F" w:rsidRPr="00C50A5C">
        <w:rPr>
          <w:b/>
          <w:sz w:val="20"/>
          <w:szCs w:val="20"/>
        </w:rPr>
        <w:t>AI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77844" w:rsidRPr="00825F67" w:rsidTr="00E77844">
        <w:trPr>
          <w:cantSplit/>
        </w:trPr>
        <w:tc>
          <w:tcPr>
            <w:tcW w:w="1458" w:type="dxa"/>
          </w:tcPr>
          <w:p w:rsidR="00E77844" w:rsidRPr="00825F67" w:rsidRDefault="00E77844" w:rsidP="00E77844">
            <w:pPr>
              <w:rPr>
                <w:sz w:val="20"/>
                <w:szCs w:val="20"/>
              </w:rPr>
            </w:pPr>
            <w:r w:rsidRPr="00825F67">
              <w:rPr>
                <w:rStyle w:val="SCCFileNumberChar"/>
                <w:sz w:val="20"/>
                <w:szCs w:val="20"/>
              </w:rPr>
              <w:t>34397</w:t>
            </w:r>
          </w:p>
          <w:p w:rsidR="00E77844" w:rsidRPr="00825F67" w:rsidRDefault="00E77844" w:rsidP="00E77844">
            <w:pPr>
              <w:rPr>
                <w:b/>
                <w:sz w:val="20"/>
                <w:szCs w:val="20"/>
                <w:lang w:val="fr-CA"/>
              </w:rPr>
            </w:pPr>
          </w:p>
        </w:tc>
        <w:tc>
          <w:tcPr>
            <w:tcW w:w="8118" w:type="dxa"/>
          </w:tcPr>
          <w:p w:rsidR="00E77844" w:rsidRPr="00825F67" w:rsidRDefault="00E77844" w:rsidP="00E77844">
            <w:pPr>
              <w:rPr>
                <w:sz w:val="20"/>
                <w:szCs w:val="20"/>
              </w:rPr>
            </w:pPr>
            <w:r w:rsidRPr="00825F67">
              <w:rPr>
                <w:rStyle w:val="SCCLsocChar"/>
                <w:sz w:val="20"/>
                <w:szCs w:val="20"/>
                <w:lang w:val="en-CA"/>
              </w:rPr>
              <w:t>Benjamin Cain MacKenzie v. Her Majesty the Queen</w:t>
            </w:r>
            <w:r w:rsidRPr="00825F67">
              <w:rPr>
                <w:sz w:val="20"/>
                <w:szCs w:val="20"/>
              </w:rPr>
              <w:t xml:space="preserve"> (Sask.) (Criminal) (By Leave)</w:t>
            </w:r>
          </w:p>
          <w:p w:rsidR="00E77844" w:rsidRPr="00825F67" w:rsidRDefault="00E77844" w:rsidP="00E77844">
            <w:pPr>
              <w:rPr>
                <w:sz w:val="20"/>
                <w:szCs w:val="20"/>
              </w:rPr>
            </w:pPr>
          </w:p>
        </w:tc>
      </w:tr>
      <w:tr w:rsidR="00E77844" w:rsidRPr="00825F67" w:rsidTr="00E77844">
        <w:trPr>
          <w:cantSplit/>
        </w:trPr>
        <w:tc>
          <w:tcPr>
            <w:tcW w:w="1458" w:type="dxa"/>
          </w:tcPr>
          <w:p w:rsidR="00E77844" w:rsidRPr="00825F67" w:rsidRDefault="00E77844" w:rsidP="00E77844">
            <w:pPr>
              <w:rPr>
                <w:sz w:val="20"/>
                <w:szCs w:val="20"/>
              </w:rPr>
            </w:pPr>
            <w:r w:rsidRPr="00825F67">
              <w:rPr>
                <w:sz w:val="20"/>
                <w:szCs w:val="20"/>
              </w:rPr>
              <w:t>Coram :</w:t>
            </w:r>
          </w:p>
        </w:tc>
        <w:tc>
          <w:tcPr>
            <w:tcW w:w="8118" w:type="dxa"/>
          </w:tcPr>
          <w:p w:rsidR="00E77844" w:rsidRPr="00825F67" w:rsidRDefault="00E77844" w:rsidP="00E77844">
            <w:pPr>
              <w:rPr>
                <w:sz w:val="20"/>
                <w:szCs w:val="20"/>
              </w:rPr>
            </w:pPr>
            <w:r w:rsidRPr="00825F67">
              <w:rPr>
                <w:rStyle w:val="SCCCoramChar"/>
                <w:sz w:val="20"/>
                <w:szCs w:val="20"/>
                <w:lang w:val="en-CA"/>
              </w:rPr>
              <w:t>McLachlin C.J. and Deschamps and Cromwell JJ.</w:t>
            </w:r>
          </w:p>
          <w:p w:rsidR="00E77844" w:rsidRPr="00825F67" w:rsidRDefault="00E77844" w:rsidP="00E77844">
            <w:pPr>
              <w:rPr>
                <w:sz w:val="20"/>
                <w:szCs w:val="20"/>
                <w:u w:val="single"/>
              </w:rPr>
            </w:pPr>
          </w:p>
        </w:tc>
      </w:tr>
      <w:tr w:rsidR="00E77844" w:rsidRPr="004A42A2" w:rsidTr="00E77844">
        <w:trPr>
          <w:cantSplit/>
        </w:trPr>
        <w:tc>
          <w:tcPr>
            <w:tcW w:w="9576" w:type="dxa"/>
            <w:gridSpan w:val="2"/>
          </w:tcPr>
          <w:p w:rsidR="00E77844" w:rsidRPr="00825F67" w:rsidRDefault="00E77844" w:rsidP="00E77844">
            <w:pPr>
              <w:pStyle w:val="SCCShortJudgment"/>
              <w:rPr>
                <w:szCs w:val="20"/>
              </w:rPr>
            </w:pPr>
            <w:r w:rsidRPr="00825F67">
              <w:rPr>
                <w:szCs w:val="20"/>
              </w:rPr>
              <w:t xml:space="preserve">After hearing the parties on the leave application on January 9, 2012, the application for leave to appeal from the judgment of the Court of Appeal for Saskatchewan, Number 1765, 2011 SKCA 64, dated May 25, 2011, is granted without costs.  This appeal is to be heard with </w:t>
            </w:r>
            <w:r w:rsidRPr="00E77844">
              <w:rPr>
                <w:i/>
                <w:szCs w:val="20"/>
              </w:rPr>
              <w:t>Mandeep Singh Chehil v. Her Majesty the Queen</w:t>
            </w:r>
            <w:r w:rsidRPr="00825F67">
              <w:rPr>
                <w:szCs w:val="20"/>
              </w:rPr>
              <w:t xml:space="preserve"> (34524).</w:t>
            </w:r>
          </w:p>
          <w:p w:rsidR="00E77844" w:rsidRPr="00825F67" w:rsidRDefault="00E77844" w:rsidP="00E77844">
            <w:pPr>
              <w:pStyle w:val="SCCShortJudgment"/>
              <w:ind w:firstLine="0"/>
              <w:rPr>
                <w:szCs w:val="20"/>
              </w:rPr>
            </w:pPr>
          </w:p>
          <w:p w:rsidR="00E77844" w:rsidRPr="00825F67" w:rsidRDefault="00E77844" w:rsidP="00E77844">
            <w:pPr>
              <w:pStyle w:val="SCCShortJudgment"/>
              <w:rPr>
                <w:szCs w:val="20"/>
                <w:lang w:val="fr-CA"/>
              </w:rPr>
            </w:pPr>
            <w:r w:rsidRPr="00825F67">
              <w:rPr>
                <w:szCs w:val="20"/>
                <w:lang w:val="fr-CA"/>
              </w:rPr>
              <w:t xml:space="preserve">Après audition des parties sur la demande d’autorisation d’appel le 9 janvier 2012, la demande d’autorisation d’appel de l’arrêt de la Cour d’appel de la Saskatchewan, numéro  1765, 2011 SKCA 64, daté du 25 mai 2011, est accueillie sans dépens.  Cet appel sera entendu avec </w:t>
            </w:r>
            <w:r w:rsidRPr="00E77844">
              <w:rPr>
                <w:i/>
                <w:szCs w:val="20"/>
                <w:lang w:val="fr-CA"/>
              </w:rPr>
              <w:t>Mandeep Singh Chehil c. Sa Majesté la Reine</w:t>
            </w:r>
            <w:r w:rsidRPr="00825F67">
              <w:rPr>
                <w:szCs w:val="20"/>
                <w:lang w:val="fr-CA"/>
              </w:rPr>
              <w:t xml:space="preserve"> (34524).</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31047B" w:rsidRDefault="0031047B"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53652" w:rsidRPr="00E34660" w:rsidTr="004F1F89">
        <w:tc>
          <w:tcPr>
            <w:tcW w:w="5000" w:type="pct"/>
            <w:gridSpan w:val="3"/>
          </w:tcPr>
          <w:p w:rsidR="00F53652" w:rsidRPr="00E34660" w:rsidRDefault="00F53652" w:rsidP="004F1F89">
            <w:pPr>
              <w:jc w:val="both"/>
              <w:rPr>
                <w:sz w:val="20"/>
                <w:szCs w:val="20"/>
              </w:rPr>
            </w:pPr>
            <w:r w:rsidRPr="00E34660">
              <w:rPr>
                <w:i/>
                <w:sz w:val="20"/>
                <w:szCs w:val="20"/>
              </w:rPr>
              <w:t xml:space="preserve">Charter of Rights and Freedoms </w:t>
            </w:r>
            <w:r w:rsidRPr="00E34660">
              <w:rPr>
                <w:sz w:val="20"/>
                <w:szCs w:val="20"/>
              </w:rPr>
              <w:t>— Search and seizure — Freedom from unreasonable search and seizure — Sniff</w:t>
            </w:r>
            <w:r w:rsidRPr="00E34660">
              <w:rPr>
                <w:sz w:val="20"/>
                <w:szCs w:val="20"/>
              </w:rPr>
              <w:noBreakHyphen/>
              <w:t xml:space="preserve">search of vehicle by sniffer dog led to discovery of drugs — Whether the jurisprudence is inconsistent regarding “reasonable suspicion” and a clear test is needed — Whether the Court of Appeal misapplied the standard for appellate review and applied an incorrect evidentiary standard — Whether there are issues of public importance raised — S. 8 of the </w:t>
            </w:r>
            <w:r w:rsidRPr="00E34660">
              <w:rPr>
                <w:i/>
                <w:sz w:val="20"/>
                <w:szCs w:val="20"/>
              </w:rPr>
              <w:t>Charter</w:t>
            </w:r>
            <w:r w:rsidRPr="00E34660">
              <w:rPr>
                <w:sz w:val="20"/>
                <w:szCs w:val="20"/>
              </w:rPr>
              <w:t>.</w:t>
            </w:r>
          </w:p>
        </w:tc>
      </w:tr>
      <w:tr w:rsidR="00F53652" w:rsidRPr="00E34660" w:rsidTr="004F1F89">
        <w:tc>
          <w:tcPr>
            <w:tcW w:w="5000" w:type="pct"/>
            <w:gridSpan w:val="3"/>
          </w:tcPr>
          <w:p w:rsidR="00F53652" w:rsidRPr="00E34660" w:rsidRDefault="00F53652" w:rsidP="004F1F89">
            <w:pPr>
              <w:jc w:val="both"/>
              <w:rPr>
                <w:sz w:val="20"/>
                <w:szCs w:val="20"/>
              </w:rPr>
            </w:pPr>
          </w:p>
        </w:tc>
      </w:tr>
      <w:tr w:rsidR="00F53652" w:rsidRPr="00E34660" w:rsidTr="004F1F89">
        <w:tc>
          <w:tcPr>
            <w:tcW w:w="5000" w:type="pct"/>
            <w:gridSpan w:val="3"/>
          </w:tcPr>
          <w:p w:rsidR="00F53652" w:rsidRPr="00E34660" w:rsidRDefault="00F53652" w:rsidP="004F1F89">
            <w:pPr>
              <w:jc w:val="both"/>
              <w:rPr>
                <w:sz w:val="20"/>
                <w:szCs w:val="20"/>
              </w:rPr>
            </w:pPr>
            <w:r w:rsidRPr="00E34660">
              <w:rPr>
                <w:sz w:val="20"/>
                <w:szCs w:val="20"/>
              </w:rPr>
              <w:t xml:space="preserve">The officers were on traffic patrol.  The officers testified that they intended to issue the accused a warning ticket for speeding.  The officers then became suspicious that the accused was in possession of a controlled substance. They conducted a sniff search with a sniffer dog.  The officers found a large quantity of marijuana in the trunk of the applicant’s vehicle.  Were there sufficient objective grounds to reasonably suspect the accused was in possession of a controlled substance?  On the </w:t>
            </w:r>
            <w:r w:rsidRPr="00E34660">
              <w:rPr>
                <w:i/>
                <w:sz w:val="20"/>
                <w:szCs w:val="20"/>
              </w:rPr>
              <w:t>voir dire</w:t>
            </w:r>
            <w:r w:rsidRPr="00E34660">
              <w:rPr>
                <w:sz w:val="20"/>
                <w:szCs w:val="20"/>
              </w:rPr>
              <w:t xml:space="preserve"> ruling, the judge held the officer’s conduct had not been grounded in a reasonable suspicion; therefore, the search was unreasonable and the evidence was excluded. The Court of Appeal held that the reasonable suspicion standard was met.  The Court of Appeal allowed the Crown appeal and remitted the matter to a judge of the Court of Queen’s Bench for a trial on the evidence.</w:t>
            </w:r>
          </w:p>
          <w:p w:rsidR="00F53652" w:rsidRPr="00E34660" w:rsidRDefault="00F53652" w:rsidP="004F1F89">
            <w:pPr>
              <w:jc w:val="both"/>
              <w:rPr>
                <w:sz w:val="20"/>
                <w:szCs w:val="20"/>
              </w:rPr>
            </w:pPr>
          </w:p>
        </w:tc>
      </w:tr>
      <w:tr w:rsidR="00F53652" w:rsidRPr="00E34660" w:rsidTr="004F1F89">
        <w:tc>
          <w:tcPr>
            <w:tcW w:w="2427" w:type="pct"/>
          </w:tcPr>
          <w:p w:rsidR="00F53652" w:rsidRPr="00E34660" w:rsidRDefault="00F53652" w:rsidP="004F1F89">
            <w:pPr>
              <w:jc w:val="both"/>
              <w:rPr>
                <w:sz w:val="20"/>
                <w:szCs w:val="20"/>
              </w:rPr>
            </w:pPr>
            <w:r w:rsidRPr="00E34660">
              <w:rPr>
                <w:sz w:val="20"/>
                <w:szCs w:val="20"/>
              </w:rPr>
              <w:t>October 20, 2009</w:t>
            </w:r>
          </w:p>
          <w:p w:rsidR="00F53652" w:rsidRPr="00E34660" w:rsidRDefault="00F53652" w:rsidP="004F1F89">
            <w:pPr>
              <w:jc w:val="both"/>
              <w:rPr>
                <w:sz w:val="20"/>
                <w:szCs w:val="20"/>
              </w:rPr>
            </w:pPr>
            <w:r w:rsidRPr="00E34660">
              <w:rPr>
                <w:sz w:val="20"/>
                <w:szCs w:val="20"/>
              </w:rPr>
              <w:t>Court of Queen’s Bench of Saskatchewan</w:t>
            </w:r>
          </w:p>
          <w:p w:rsidR="00F53652" w:rsidRPr="00E34660" w:rsidRDefault="00F53652" w:rsidP="004F1F89">
            <w:pPr>
              <w:jc w:val="both"/>
              <w:rPr>
                <w:sz w:val="20"/>
                <w:szCs w:val="20"/>
              </w:rPr>
            </w:pPr>
            <w:r w:rsidRPr="00E34660">
              <w:rPr>
                <w:sz w:val="20"/>
                <w:szCs w:val="20"/>
              </w:rPr>
              <w:t>(McLellan J.)</w:t>
            </w:r>
          </w:p>
          <w:p w:rsidR="00F53652" w:rsidRPr="00E34660" w:rsidRDefault="00F53652" w:rsidP="004F1F89">
            <w:pPr>
              <w:jc w:val="both"/>
              <w:rPr>
                <w:sz w:val="20"/>
                <w:szCs w:val="20"/>
              </w:rPr>
            </w:pPr>
            <w:r w:rsidRPr="00E34660">
              <w:rPr>
                <w:sz w:val="20"/>
                <w:szCs w:val="20"/>
              </w:rPr>
              <w:t>2009 SKQB 415</w:t>
            </w:r>
          </w:p>
          <w:p w:rsidR="00F53652" w:rsidRPr="00E34660" w:rsidRDefault="00F53652" w:rsidP="004F1F89">
            <w:pPr>
              <w:jc w:val="both"/>
              <w:rPr>
                <w:sz w:val="20"/>
                <w:szCs w:val="20"/>
              </w:rPr>
            </w:pPr>
          </w:p>
        </w:tc>
        <w:tc>
          <w:tcPr>
            <w:tcW w:w="243" w:type="pct"/>
          </w:tcPr>
          <w:p w:rsidR="00F53652" w:rsidRPr="00E34660" w:rsidRDefault="00F53652" w:rsidP="004F1F89">
            <w:pPr>
              <w:jc w:val="both"/>
              <w:rPr>
                <w:sz w:val="20"/>
                <w:szCs w:val="20"/>
              </w:rPr>
            </w:pPr>
          </w:p>
        </w:tc>
        <w:tc>
          <w:tcPr>
            <w:tcW w:w="2330" w:type="pct"/>
          </w:tcPr>
          <w:p w:rsidR="00F53652" w:rsidRPr="00E34660" w:rsidRDefault="00F53652" w:rsidP="004F1F89">
            <w:pPr>
              <w:jc w:val="both"/>
              <w:rPr>
                <w:sz w:val="20"/>
                <w:szCs w:val="20"/>
              </w:rPr>
            </w:pPr>
            <w:r w:rsidRPr="00E34660">
              <w:rPr>
                <w:i/>
                <w:sz w:val="20"/>
                <w:szCs w:val="20"/>
              </w:rPr>
              <w:t>Voir dire</w:t>
            </w:r>
            <w:r w:rsidRPr="00E34660">
              <w:rPr>
                <w:sz w:val="20"/>
                <w:szCs w:val="20"/>
              </w:rPr>
              <w:t xml:space="preserve"> ruling: search violated s. 8 of the </w:t>
            </w:r>
            <w:r w:rsidRPr="00E34660">
              <w:rPr>
                <w:i/>
                <w:sz w:val="20"/>
                <w:szCs w:val="20"/>
              </w:rPr>
              <w:t>Charter</w:t>
            </w:r>
            <w:r w:rsidRPr="00E34660">
              <w:rPr>
                <w:sz w:val="20"/>
                <w:szCs w:val="20"/>
              </w:rPr>
              <w:t>; evidence excluded pursuant to s. 24(2)</w:t>
            </w:r>
          </w:p>
          <w:p w:rsidR="00F53652" w:rsidRPr="00E34660" w:rsidRDefault="00F53652" w:rsidP="004F1F89">
            <w:pPr>
              <w:jc w:val="both"/>
              <w:rPr>
                <w:sz w:val="20"/>
                <w:szCs w:val="20"/>
              </w:rPr>
            </w:pPr>
          </w:p>
          <w:p w:rsidR="00F53652" w:rsidRPr="00E34660" w:rsidRDefault="00F53652" w:rsidP="004F1F89">
            <w:pPr>
              <w:jc w:val="both"/>
              <w:rPr>
                <w:sz w:val="20"/>
                <w:szCs w:val="20"/>
              </w:rPr>
            </w:pPr>
          </w:p>
        </w:tc>
      </w:tr>
      <w:tr w:rsidR="00F53652" w:rsidRPr="00E34660" w:rsidTr="004F1F89">
        <w:tc>
          <w:tcPr>
            <w:tcW w:w="2427" w:type="pct"/>
          </w:tcPr>
          <w:p w:rsidR="00F53652" w:rsidRPr="00E34660" w:rsidRDefault="00F53652" w:rsidP="004F1F89">
            <w:pPr>
              <w:jc w:val="both"/>
              <w:rPr>
                <w:sz w:val="20"/>
                <w:szCs w:val="20"/>
              </w:rPr>
            </w:pPr>
            <w:r w:rsidRPr="00E34660">
              <w:rPr>
                <w:sz w:val="20"/>
                <w:szCs w:val="20"/>
              </w:rPr>
              <w:t>May 25, 2011</w:t>
            </w:r>
          </w:p>
          <w:p w:rsidR="00F53652" w:rsidRPr="00E34660" w:rsidRDefault="00F53652" w:rsidP="004F1F89">
            <w:pPr>
              <w:jc w:val="both"/>
              <w:rPr>
                <w:sz w:val="20"/>
                <w:szCs w:val="20"/>
              </w:rPr>
            </w:pPr>
            <w:r w:rsidRPr="00E34660">
              <w:rPr>
                <w:sz w:val="20"/>
                <w:szCs w:val="20"/>
              </w:rPr>
              <w:t>Court of Appeal for Saskatchewan</w:t>
            </w:r>
          </w:p>
          <w:p w:rsidR="00F53652" w:rsidRPr="00E34660" w:rsidRDefault="00F53652" w:rsidP="004F1F89">
            <w:pPr>
              <w:jc w:val="both"/>
              <w:rPr>
                <w:sz w:val="20"/>
                <w:szCs w:val="20"/>
              </w:rPr>
            </w:pPr>
            <w:r w:rsidRPr="00E34660">
              <w:rPr>
                <w:sz w:val="20"/>
                <w:szCs w:val="20"/>
              </w:rPr>
              <w:t>(Klebuc C.J., Richards and Caldwell JJ.A.)</w:t>
            </w:r>
          </w:p>
          <w:p w:rsidR="00F53652" w:rsidRPr="00E34660" w:rsidRDefault="00F53652" w:rsidP="004F1F89">
            <w:pPr>
              <w:jc w:val="both"/>
              <w:rPr>
                <w:sz w:val="20"/>
                <w:szCs w:val="20"/>
              </w:rPr>
            </w:pPr>
            <w:r w:rsidRPr="00E34660">
              <w:rPr>
                <w:sz w:val="20"/>
                <w:szCs w:val="20"/>
              </w:rPr>
              <w:t>2011 SKCA 64</w:t>
            </w:r>
          </w:p>
          <w:p w:rsidR="00F53652" w:rsidRPr="00E34660" w:rsidRDefault="00F53652" w:rsidP="004F1F89">
            <w:pPr>
              <w:jc w:val="both"/>
              <w:rPr>
                <w:sz w:val="20"/>
                <w:szCs w:val="20"/>
              </w:rPr>
            </w:pPr>
          </w:p>
        </w:tc>
        <w:tc>
          <w:tcPr>
            <w:tcW w:w="243" w:type="pct"/>
          </w:tcPr>
          <w:p w:rsidR="00F53652" w:rsidRPr="00E34660" w:rsidRDefault="00F53652" w:rsidP="004F1F89">
            <w:pPr>
              <w:jc w:val="both"/>
              <w:rPr>
                <w:sz w:val="20"/>
                <w:szCs w:val="20"/>
              </w:rPr>
            </w:pPr>
          </w:p>
        </w:tc>
        <w:tc>
          <w:tcPr>
            <w:tcW w:w="2330" w:type="pct"/>
          </w:tcPr>
          <w:p w:rsidR="00F53652" w:rsidRPr="00E34660" w:rsidRDefault="00F53652" w:rsidP="004F1F89">
            <w:pPr>
              <w:jc w:val="both"/>
              <w:rPr>
                <w:sz w:val="20"/>
                <w:szCs w:val="20"/>
              </w:rPr>
            </w:pPr>
            <w:r w:rsidRPr="00E34660">
              <w:rPr>
                <w:sz w:val="20"/>
                <w:szCs w:val="20"/>
              </w:rPr>
              <w:t>Crown appeal allowed: matter remitted to a judge of the Court of Queen’s Bench for a trial on the evidence</w:t>
            </w:r>
          </w:p>
          <w:p w:rsidR="00F53652" w:rsidRPr="00E34660" w:rsidRDefault="00F53652" w:rsidP="004F1F89">
            <w:pPr>
              <w:jc w:val="both"/>
              <w:rPr>
                <w:sz w:val="20"/>
                <w:szCs w:val="20"/>
              </w:rPr>
            </w:pPr>
          </w:p>
        </w:tc>
      </w:tr>
      <w:tr w:rsidR="00F53652" w:rsidRPr="00E34660" w:rsidTr="004F1F89">
        <w:tc>
          <w:tcPr>
            <w:tcW w:w="2427" w:type="pct"/>
          </w:tcPr>
          <w:p w:rsidR="00F53652" w:rsidRPr="00E34660" w:rsidRDefault="00F53652" w:rsidP="004F1F89">
            <w:pPr>
              <w:jc w:val="both"/>
              <w:rPr>
                <w:sz w:val="20"/>
                <w:szCs w:val="20"/>
              </w:rPr>
            </w:pPr>
            <w:r w:rsidRPr="00E34660">
              <w:rPr>
                <w:sz w:val="20"/>
                <w:szCs w:val="20"/>
              </w:rPr>
              <w:t>August 23, 2011</w:t>
            </w:r>
          </w:p>
          <w:p w:rsidR="00F53652" w:rsidRPr="00E34660" w:rsidRDefault="00F53652" w:rsidP="004F1F89">
            <w:pPr>
              <w:jc w:val="both"/>
              <w:rPr>
                <w:sz w:val="20"/>
                <w:szCs w:val="20"/>
              </w:rPr>
            </w:pPr>
            <w:r w:rsidRPr="00E34660">
              <w:rPr>
                <w:sz w:val="20"/>
                <w:szCs w:val="20"/>
              </w:rPr>
              <w:t>Supreme Court of Canada</w:t>
            </w:r>
          </w:p>
        </w:tc>
        <w:tc>
          <w:tcPr>
            <w:tcW w:w="243" w:type="pct"/>
          </w:tcPr>
          <w:p w:rsidR="00F53652" w:rsidRPr="00E34660" w:rsidRDefault="00F53652" w:rsidP="004F1F89">
            <w:pPr>
              <w:jc w:val="both"/>
              <w:rPr>
                <w:sz w:val="20"/>
                <w:szCs w:val="20"/>
              </w:rPr>
            </w:pPr>
          </w:p>
        </w:tc>
        <w:tc>
          <w:tcPr>
            <w:tcW w:w="2330" w:type="pct"/>
          </w:tcPr>
          <w:p w:rsidR="00F53652" w:rsidRPr="00E34660" w:rsidRDefault="00F53652" w:rsidP="004F1F89">
            <w:pPr>
              <w:jc w:val="both"/>
              <w:rPr>
                <w:sz w:val="20"/>
                <w:szCs w:val="20"/>
              </w:rPr>
            </w:pPr>
            <w:r w:rsidRPr="00E34660">
              <w:rPr>
                <w:sz w:val="20"/>
                <w:szCs w:val="20"/>
              </w:rPr>
              <w:t>Oral hearing of leave application and application for leave to appeal filed</w:t>
            </w:r>
          </w:p>
        </w:tc>
      </w:tr>
    </w:tbl>
    <w:p w:rsidR="009B2448" w:rsidRDefault="009B2448" w:rsidP="008D292F">
      <w:pPr>
        <w:rPr>
          <w:sz w:val="20"/>
          <w:szCs w:val="20"/>
        </w:rPr>
      </w:pPr>
    </w:p>
    <w:p w:rsidR="009B2448" w:rsidRPr="00C50A5C" w:rsidRDefault="00B44839" w:rsidP="009B2448">
      <w:pPr>
        <w:rPr>
          <w:sz w:val="20"/>
          <w:szCs w:val="20"/>
        </w:rPr>
      </w:pPr>
      <w:r w:rsidRPr="00B44839">
        <w:rPr>
          <w:sz w:val="20"/>
          <w:szCs w:val="20"/>
          <w:lang w:val="fr-CA"/>
        </w:rPr>
        <w:pict>
          <v:rect id="_x0000_i1042" style="width:2in;height:1pt" o:hrpct="0" o:hralign="center" o:hrstd="t" o:hrnoshade="t" o:hr="t" fillcolor="black [3213]" stroked="f"/>
        </w:pict>
      </w:r>
    </w:p>
    <w:p w:rsidR="009B2448" w:rsidRDefault="009B2448" w:rsidP="009B2448">
      <w:pPr>
        <w:rPr>
          <w:sz w:val="20"/>
          <w:szCs w:val="20"/>
        </w:rPr>
      </w:pPr>
    </w:p>
    <w:p w:rsidR="00E77844" w:rsidRDefault="00E77844">
      <w:pPr>
        <w:rPr>
          <w:sz w:val="20"/>
          <w:szCs w:val="20"/>
          <w:u w:val="single"/>
          <w:lang w:val="fr-CA"/>
        </w:rPr>
      </w:pPr>
      <w:r>
        <w:rPr>
          <w:sz w:val="20"/>
          <w:szCs w:val="20"/>
          <w:u w:val="single"/>
          <w:lang w:val="fr-CA"/>
        </w:rPr>
        <w:br w:type="page"/>
      </w:r>
    </w:p>
    <w:p w:rsidR="009B2448" w:rsidRPr="001B157C" w:rsidRDefault="009B2448" w:rsidP="009B2448">
      <w:pPr>
        <w:rPr>
          <w:sz w:val="20"/>
          <w:szCs w:val="20"/>
          <w:u w:val="single"/>
          <w:lang w:val="fr-CA"/>
        </w:rPr>
      </w:pPr>
      <w:r w:rsidRPr="001B157C">
        <w:rPr>
          <w:sz w:val="20"/>
          <w:szCs w:val="20"/>
          <w:u w:val="single"/>
          <w:lang w:val="fr-CA"/>
        </w:rPr>
        <w:lastRenderedPageBreak/>
        <w:t>RÉSUMÉ DE L’AFFAIRE</w:t>
      </w:r>
    </w:p>
    <w:p w:rsidR="0031047B" w:rsidRDefault="0031047B"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53652" w:rsidRPr="004A42A2" w:rsidTr="004F1F89">
        <w:tc>
          <w:tcPr>
            <w:tcW w:w="5000" w:type="pct"/>
            <w:gridSpan w:val="3"/>
          </w:tcPr>
          <w:p w:rsidR="00F53652" w:rsidRPr="00E34660" w:rsidRDefault="00F53652" w:rsidP="004F1F89">
            <w:pPr>
              <w:jc w:val="both"/>
              <w:rPr>
                <w:sz w:val="20"/>
                <w:szCs w:val="20"/>
                <w:lang w:val="fr-CA"/>
              </w:rPr>
            </w:pPr>
            <w:r w:rsidRPr="00E34660">
              <w:rPr>
                <w:i/>
                <w:sz w:val="20"/>
                <w:szCs w:val="20"/>
                <w:lang w:val="fr-CA"/>
              </w:rPr>
              <w:t xml:space="preserve">Charte des droits et libertés </w:t>
            </w:r>
            <w:r w:rsidRPr="00E34660">
              <w:rPr>
                <w:sz w:val="20"/>
                <w:szCs w:val="20"/>
                <w:lang w:val="fr-CA"/>
              </w:rPr>
              <w:t>— Fouilles et perquisitions — Protection contre les fouilles, les saisies et les perquisitions abusives — La fouille d’un véhicule au moyen d’un chien renifleur a mené à la découverte de drogue — La jurisprudence est</w:t>
            </w:r>
            <w:r w:rsidRPr="00E34660">
              <w:rPr>
                <w:sz w:val="20"/>
                <w:szCs w:val="20"/>
                <w:lang w:val="fr-CA"/>
              </w:rPr>
              <w:noBreakHyphen/>
              <w:t>elle contradictoire relativement au critère des « soupçons raisonnables » et un critère clair est</w:t>
            </w:r>
            <w:r w:rsidRPr="00E34660">
              <w:rPr>
                <w:sz w:val="20"/>
                <w:szCs w:val="20"/>
                <w:lang w:val="fr-CA"/>
              </w:rPr>
              <w:noBreakHyphen/>
              <w:t>il nécessaire? — La Cour d'appel a</w:t>
            </w:r>
            <w:r w:rsidRPr="00E34660">
              <w:rPr>
                <w:sz w:val="20"/>
                <w:szCs w:val="20"/>
                <w:lang w:val="fr-CA"/>
              </w:rPr>
              <w:noBreakHyphen/>
              <w:t>t</w:t>
            </w:r>
            <w:r w:rsidRPr="00E34660">
              <w:rPr>
                <w:sz w:val="20"/>
                <w:szCs w:val="20"/>
                <w:lang w:val="fr-CA"/>
              </w:rPr>
              <w:noBreakHyphen/>
              <w:t>elle mal appliqué la norme de révision en appel et appliqué une norme de preuve erronée? — L'affaire soulève</w:t>
            </w:r>
            <w:r w:rsidRPr="00E34660">
              <w:rPr>
                <w:sz w:val="20"/>
                <w:szCs w:val="20"/>
                <w:lang w:val="fr-CA"/>
              </w:rPr>
              <w:noBreakHyphen/>
              <w:t>t</w:t>
            </w:r>
            <w:r w:rsidRPr="00E34660">
              <w:rPr>
                <w:sz w:val="20"/>
                <w:szCs w:val="20"/>
                <w:lang w:val="fr-CA"/>
              </w:rPr>
              <w:noBreakHyphen/>
              <w:t xml:space="preserve">elle des questions d'importance pour le public? — Art. 8 de la </w:t>
            </w:r>
            <w:r w:rsidRPr="00E34660">
              <w:rPr>
                <w:i/>
                <w:sz w:val="20"/>
                <w:szCs w:val="20"/>
                <w:lang w:val="fr-CA"/>
              </w:rPr>
              <w:t>Charte</w:t>
            </w:r>
            <w:r w:rsidRPr="00E34660">
              <w:rPr>
                <w:sz w:val="20"/>
                <w:szCs w:val="20"/>
                <w:lang w:val="fr-CA"/>
              </w:rPr>
              <w:t>.</w:t>
            </w:r>
          </w:p>
        </w:tc>
      </w:tr>
      <w:tr w:rsidR="00F53652" w:rsidRPr="004A42A2" w:rsidTr="004F1F89">
        <w:tc>
          <w:tcPr>
            <w:tcW w:w="5000" w:type="pct"/>
            <w:gridSpan w:val="3"/>
          </w:tcPr>
          <w:p w:rsidR="00F53652" w:rsidRPr="00E34660" w:rsidRDefault="00F53652" w:rsidP="004F1F89">
            <w:pPr>
              <w:jc w:val="both"/>
              <w:rPr>
                <w:sz w:val="20"/>
                <w:szCs w:val="20"/>
                <w:lang w:val="fr-CA"/>
              </w:rPr>
            </w:pPr>
          </w:p>
        </w:tc>
      </w:tr>
      <w:tr w:rsidR="00F53652" w:rsidRPr="004A42A2" w:rsidTr="004F1F89">
        <w:tc>
          <w:tcPr>
            <w:tcW w:w="5000" w:type="pct"/>
            <w:gridSpan w:val="3"/>
          </w:tcPr>
          <w:p w:rsidR="00F53652" w:rsidRPr="00E34660" w:rsidRDefault="00F53652" w:rsidP="004F1F89">
            <w:pPr>
              <w:jc w:val="both"/>
              <w:rPr>
                <w:sz w:val="20"/>
                <w:szCs w:val="20"/>
                <w:lang w:val="fr-CA"/>
              </w:rPr>
            </w:pPr>
            <w:r w:rsidRPr="00E34660">
              <w:rPr>
                <w:sz w:val="20"/>
                <w:szCs w:val="20"/>
                <w:lang w:val="fr-CA"/>
              </w:rPr>
              <w:t>Les agents en cause étaient en patrouille de la circulation.  Dans leurs témoignages, ils ont affirmé avoir eu l’intention de remettre à l'accusé un avertissement pour excès de vitesse.  Les agents ont ensuite commencé à soupçonner que l'accusé était en possession d'une substance réglementée.  Ils ont effectué une fouille à l'aide d’un chien renifleur. Les agents ont trouvé une importante quantité de marijuana dans le coffre du véhicule du demandeur.  Y avait</w:t>
            </w:r>
            <w:r w:rsidRPr="00E34660">
              <w:rPr>
                <w:sz w:val="20"/>
                <w:szCs w:val="20"/>
                <w:lang w:val="fr-CA"/>
              </w:rPr>
              <w:noBreakHyphen/>
              <w:t>il des motifs objectifs suffisants pour soupçonner raisonnablement que l'accusé était en possession d'une substance réglementée?  Dans une décision lors d’un voir</w:t>
            </w:r>
            <w:r w:rsidRPr="00E34660">
              <w:rPr>
                <w:sz w:val="20"/>
                <w:szCs w:val="20"/>
                <w:lang w:val="fr-CA"/>
              </w:rPr>
              <w:noBreakHyphen/>
              <w:t>dire, le juge a statué que l'agent n'avait pas agi sur le fondement de soupçons raisonnables, si bien que la preuve était déraisonnable et la preuve a été exclue.  La Cour d'appel a statué que le critère des soupçons raisonnables avait été rempli.  La Cour d'appel a accueilli l'appel du ministère public et renvoyé l'affaire à un juge de la Cour du Banc de la Reine pour la tenue d'un procès sur la preuve.</w:t>
            </w:r>
          </w:p>
          <w:p w:rsidR="00F53652" w:rsidRPr="00E34660" w:rsidRDefault="00F53652" w:rsidP="004F1F89">
            <w:pPr>
              <w:jc w:val="both"/>
              <w:rPr>
                <w:sz w:val="20"/>
                <w:szCs w:val="20"/>
                <w:lang w:val="fr-CA"/>
              </w:rPr>
            </w:pPr>
          </w:p>
        </w:tc>
      </w:tr>
      <w:tr w:rsidR="00F53652" w:rsidRPr="004A42A2" w:rsidTr="004F1F89">
        <w:tc>
          <w:tcPr>
            <w:tcW w:w="2427" w:type="pct"/>
          </w:tcPr>
          <w:p w:rsidR="00F53652" w:rsidRPr="00E34660" w:rsidRDefault="00F53652" w:rsidP="004F1F89">
            <w:pPr>
              <w:jc w:val="both"/>
              <w:rPr>
                <w:sz w:val="20"/>
                <w:szCs w:val="20"/>
                <w:lang w:val="fr-CA"/>
              </w:rPr>
            </w:pPr>
            <w:r w:rsidRPr="00E34660">
              <w:rPr>
                <w:sz w:val="20"/>
                <w:szCs w:val="20"/>
                <w:lang w:val="fr-CA"/>
              </w:rPr>
              <w:t>20 octobre 2009</w:t>
            </w:r>
          </w:p>
          <w:p w:rsidR="00F53652" w:rsidRPr="00E34660" w:rsidRDefault="00F53652" w:rsidP="004F1F89">
            <w:pPr>
              <w:jc w:val="both"/>
              <w:rPr>
                <w:sz w:val="20"/>
                <w:szCs w:val="20"/>
                <w:lang w:val="fr-CA"/>
              </w:rPr>
            </w:pPr>
            <w:r w:rsidRPr="00E34660">
              <w:rPr>
                <w:sz w:val="20"/>
                <w:szCs w:val="20"/>
                <w:lang w:val="fr-CA"/>
              </w:rPr>
              <w:t>Cour du Banc de la Reine de la Saskatchewan</w:t>
            </w:r>
          </w:p>
          <w:p w:rsidR="00F53652" w:rsidRPr="00E34660" w:rsidRDefault="00F53652" w:rsidP="004F1F89">
            <w:pPr>
              <w:jc w:val="both"/>
              <w:rPr>
                <w:sz w:val="20"/>
                <w:szCs w:val="20"/>
                <w:lang w:val="fr-CA"/>
              </w:rPr>
            </w:pPr>
            <w:r w:rsidRPr="00E34660">
              <w:rPr>
                <w:sz w:val="20"/>
                <w:szCs w:val="20"/>
                <w:lang w:val="fr-CA"/>
              </w:rPr>
              <w:t>(Juge McLellan)</w:t>
            </w:r>
          </w:p>
          <w:p w:rsidR="00F53652" w:rsidRPr="00E34660" w:rsidRDefault="00F53652" w:rsidP="004F1F89">
            <w:pPr>
              <w:jc w:val="both"/>
              <w:rPr>
                <w:sz w:val="20"/>
                <w:szCs w:val="20"/>
                <w:lang w:val="fr-CA"/>
              </w:rPr>
            </w:pPr>
            <w:r w:rsidRPr="00E34660">
              <w:rPr>
                <w:sz w:val="20"/>
                <w:szCs w:val="20"/>
                <w:lang w:val="fr-CA"/>
              </w:rPr>
              <w:t>2009 SKQB 415</w:t>
            </w:r>
          </w:p>
          <w:p w:rsidR="00F53652" w:rsidRPr="00E34660" w:rsidRDefault="00F53652" w:rsidP="004F1F89">
            <w:pPr>
              <w:jc w:val="both"/>
              <w:rPr>
                <w:sz w:val="20"/>
                <w:szCs w:val="20"/>
                <w:lang w:val="fr-CA"/>
              </w:rPr>
            </w:pPr>
          </w:p>
        </w:tc>
        <w:tc>
          <w:tcPr>
            <w:tcW w:w="243" w:type="pct"/>
          </w:tcPr>
          <w:p w:rsidR="00F53652" w:rsidRPr="00E34660" w:rsidRDefault="00F53652" w:rsidP="004F1F89">
            <w:pPr>
              <w:jc w:val="both"/>
              <w:rPr>
                <w:sz w:val="20"/>
                <w:szCs w:val="20"/>
                <w:lang w:val="fr-CA"/>
              </w:rPr>
            </w:pPr>
          </w:p>
        </w:tc>
        <w:tc>
          <w:tcPr>
            <w:tcW w:w="2330" w:type="pct"/>
          </w:tcPr>
          <w:p w:rsidR="00F53652" w:rsidRPr="00E34660" w:rsidRDefault="00F53652" w:rsidP="004F1F89">
            <w:pPr>
              <w:jc w:val="both"/>
              <w:rPr>
                <w:sz w:val="20"/>
                <w:szCs w:val="20"/>
                <w:lang w:val="fr-CA"/>
              </w:rPr>
            </w:pPr>
            <w:r w:rsidRPr="00E34660">
              <w:rPr>
                <w:sz w:val="20"/>
                <w:szCs w:val="20"/>
                <w:lang w:val="fr-CA"/>
              </w:rPr>
              <w:t>Décision lors d'un voir</w:t>
            </w:r>
            <w:r w:rsidRPr="00E34660">
              <w:rPr>
                <w:sz w:val="20"/>
                <w:szCs w:val="20"/>
                <w:lang w:val="fr-CA"/>
              </w:rPr>
              <w:noBreakHyphen/>
              <w:t xml:space="preserve">dire : la fouille a violé l'art. 8 de la </w:t>
            </w:r>
            <w:r w:rsidRPr="00E34660">
              <w:rPr>
                <w:i/>
                <w:sz w:val="20"/>
                <w:szCs w:val="20"/>
                <w:lang w:val="fr-CA"/>
              </w:rPr>
              <w:t>Charte</w:t>
            </w:r>
            <w:r w:rsidRPr="00E34660">
              <w:rPr>
                <w:sz w:val="20"/>
                <w:szCs w:val="20"/>
                <w:lang w:val="fr-CA"/>
              </w:rPr>
              <w:t>; la preuve est exclue en vertu du par. 24(2)</w:t>
            </w:r>
          </w:p>
          <w:p w:rsidR="00F53652" w:rsidRPr="00E34660" w:rsidRDefault="00F53652" w:rsidP="004F1F89">
            <w:pPr>
              <w:jc w:val="both"/>
              <w:rPr>
                <w:sz w:val="20"/>
                <w:szCs w:val="20"/>
                <w:lang w:val="fr-CA"/>
              </w:rPr>
            </w:pPr>
          </w:p>
        </w:tc>
      </w:tr>
      <w:tr w:rsidR="00F53652" w:rsidRPr="004A42A2" w:rsidTr="004F1F89">
        <w:tc>
          <w:tcPr>
            <w:tcW w:w="2427" w:type="pct"/>
          </w:tcPr>
          <w:p w:rsidR="00F53652" w:rsidRPr="00E34660" w:rsidRDefault="00F53652" w:rsidP="004F1F89">
            <w:pPr>
              <w:jc w:val="both"/>
              <w:rPr>
                <w:sz w:val="20"/>
                <w:szCs w:val="20"/>
                <w:lang w:val="fr-CA"/>
              </w:rPr>
            </w:pPr>
            <w:r w:rsidRPr="00E34660">
              <w:rPr>
                <w:sz w:val="20"/>
                <w:szCs w:val="20"/>
                <w:lang w:val="fr-CA"/>
              </w:rPr>
              <w:t>25 mai 2011</w:t>
            </w:r>
          </w:p>
          <w:p w:rsidR="00F53652" w:rsidRPr="00E34660" w:rsidRDefault="00F53652" w:rsidP="004F1F89">
            <w:pPr>
              <w:jc w:val="both"/>
              <w:rPr>
                <w:sz w:val="20"/>
                <w:szCs w:val="20"/>
                <w:lang w:val="fr-CA"/>
              </w:rPr>
            </w:pPr>
            <w:r w:rsidRPr="00E34660">
              <w:rPr>
                <w:sz w:val="20"/>
                <w:szCs w:val="20"/>
                <w:lang w:val="fr-CA"/>
              </w:rPr>
              <w:t>Cour d'appel de la Saskatchewan</w:t>
            </w:r>
          </w:p>
          <w:p w:rsidR="00F53652" w:rsidRPr="00E34660" w:rsidRDefault="00F53652" w:rsidP="004F1F89">
            <w:pPr>
              <w:jc w:val="both"/>
              <w:rPr>
                <w:sz w:val="20"/>
                <w:szCs w:val="20"/>
                <w:lang w:val="fr-CA"/>
              </w:rPr>
            </w:pPr>
            <w:r w:rsidRPr="00E34660">
              <w:rPr>
                <w:sz w:val="20"/>
                <w:szCs w:val="20"/>
                <w:lang w:val="fr-CA"/>
              </w:rPr>
              <w:t>(Juge en chef Klebuc, juges Richards et Caldwell)</w:t>
            </w:r>
          </w:p>
          <w:p w:rsidR="00F53652" w:rsidRPr="00E34660" w:rsidRDefault="00F53652" w:rsidP="004F1F89">
            <w:pPr>
              <w:jc w:val="both"/>
              <w:rPr>
                <w:sz w:val="20"/>
                <w:szCs w:val="20"/>
                <w:lang w:val="fr-CA"/>
              </w:rPr>
            </w:pPr>
            <w:r w:rsidRPr="00E34660">
              <w:rPr>
                <w:sz w:val="20"/>
                <w:szCs w:val="20"/>
                <w:lang w:val="fr-CA"/>
              </w:rPr>
              <w:t>2011 SKCA 64</w:t>
            </w:r>
          </w:p>
          <w:p w:rsidR="00F53652" w:rsidRPr="00E34660" w:rsidRDefault="00F53652" w:rsidP="004F1F89">
            <w:pPr>
              <w:jc w:val="both"/>
              <w:rPr>
                <w:sz w:val="20"/>
                <w:szCs w:val="20"/>
                <w:lang w:val="fr-CA"/>
              </w:rPr>
            </w:pPr>
          </w:p>
        </w:tc>
        <w:tc>
          <w:tcPr>
            <w:tcW w:w="243" w:type="pct"/>
          </w:tcPr>
          <w:p w:rsidR="00F53652" w:rsidRPr="00E34660" w:rsidRDefault="00F53652" w:rsidP="004F1F89">
            <w:pPr>
              <w:jc w:val="both"/>
              <w:rPr>
                <w:sz w:val="20"/>
                <w:szCs w:val="20"/>
                <w:lang w:val="fr-CA"/>
              </w:rPr>
            </w:pPr>
          </w:p>
        </w:tc>
        <w:tc>
          <w:tcPr>
            <w:tcW w:w="2330" w:type="pct"/>
          </w:tcPr>
          <w:p w:rsidR="00F53652" w:rsidRPr="00E34660" w:rsidRDefault="00F53652" w:rsidP="004F1F89">
            <w:pPr>
              <w:jc w:val="both"/>
              <w:rPr>
                <w:sz w:val="20"/>
                <w:szCs w:val="20"/>
                <w:lang w:val="fr-CA"/>
              </w:rPr>
            </w:pPr>
            <w:r w:rsidRPr="00E34660">
              <w:rPr>
                <w:sz w:val="20"/>
                <w:szCs w:val="20"/>
                <w:lang w:val="fr-CA"/>
              </w:rPr>
              <w:t>Appel du ministère public accueilli : affaire renvoyée à un juge de la Cour du Banc de la Reine pour la tenue d'un procès sur la preuve</w:t>
            </w:r>
          </w:p>
          <w:p w:rsidR="00F53652" w:rsidRPr="00E34660" w:rsidRDefault="00F53652" w:rsidP="004F1F89">
            <w:pPr>
              <w:jc w:val="both"/>
              <w:rPr>
                <w:sz w:val="20"/>
                <w:szCs w:val="20"/>
                <w:lang w:val="fr-CA"/>
              </w:rPr>
            </w:pPr>
          </w:p>
        </w:tc>
      </w:tr>
      <w:tr w:rsidR="00F53652" w:rsidRPr="004A42A2" w:rsidTr="004F1F89">
        <w:tc>
          <w:tcPr>
            <w:tcW w:w="2427" w:type="pct"/>
          </w:tcPr>
          <w:p w:rsidR="00F53652" w:rsidRPr="00E34660" w:rsidRDefault="00F53652" w:rsidP="004F1F89">
            <w:pPr>
              <w:jc w:val="both"/>
              <w:rPr>
                <w:sz w:val="20"/>
                <w:szCs w:val="20"/>
                <w:lang w:val="fr-CA"/>
              </w:rPr>
            </w:pPr>
            <w:r w:rsidRPr="00E34660">
              <w:rPr>
                <w:sz w:val="20"/>
                <w:szCs w:val="20"/>
                <w:lang w:val="fr-CA"/>
              </w:rPr>
              <w:t>23 août 2011</w:t>
            </w:r>
          </w:p>
          <w:p w:rsidR="00F53652" w:rsidRPr="00E34660" w:rsidRDefault="00F53652" w:rsidP="00F53652">
            <w:pPr>
              <w:jc w:val="both"/>
              <w:rPr>
                <w:sz w:val="20"/>
                <w:szCs w:val="20"/>
                <w:lang w:val="fr-CA"/>
              </w:rPr>
            </w:pPr>
            <w:r w:rsidRPr="00E34660">
              <w:rPr>
                <w:sz w:val="20"/>
                <w:szCs w:val="20"/>
                <w:lang w:val="fr-CA"/>
              </w:rPr>
              <w:t>Cour suprême du Canada</w:t>
            </w:r>
          </w:p>
        </w:tc>
        <w:tc>
          <w:tcPr>
            <w:tcW w:w="243" w:type="pct"/>
          </w:tcPr>
          <w:p w:rsidR="00F53652" w:rsidRPr="00E34660" w:rsidRDefault="00F53652" w:rsidP="004F1F89">
            <w:pPr>
              <w:jc w:val="both"/>
              <w:rPr>
                <w:sz w:val="20"/>
                <w:szCs w:val="20"/>
                <w:lang w:val="fr-CA"/>
              </w:rPr>
            </w:pPr>
          </w:p>
        </w:tc>
        <w:tc>
          <w:tcPr>
            <w:tcW w:w="2330" w:type="pct"/>
          </w:tcPr>
          <w:p w:rsidR="00F53652" w:rsidRPr="00E34660" w:rsidRDefault="00F53652" w:rsidP="00F53652">
            <w:pPr>
              <w:jc w:val="both"/>
              <w:rPr>
                <w:sz w:val="20"/>
                <w:szCs w:val="20"/>
                <w:lang w:val="fr-CA"/>
              </w:rPr>
            </w:pPr>
            <w:r w:rsidRPr="00E34660">
              <w:rPr>
                <w:sz w:val="20"/>
                <w:szCs w:val="20"/>
                <w:lang w:val="fr-CA"/>
              </w:rPr>
              <w:t>Audience de la demande d'autorisation et demande d'autorisation d'appel, déposée</w:t>
            </w:r>
          </w:p>
        </w:tc>
      </w:tr>
    </w:tbl>
    <w:p w:rsidR="0031047B" w:rsidRPr="00F53652" w:rsidRDefault="0031047B" w:rsidP="008D292F">
      <w:pPr>
        <w:rPr>
          <w:sz w:val="20"/>
          <w:szCs w:val="20"/>
          <w:lang w:val="fr-CA"/>
        </w:rPr>
      </w:pPr>
    </w:p>
    <w:p w:rsidR="009B2448" w:rsidRDefault="00B44839" w:rsidP="008D292F">
      <w:pPr>
        <w:rPr>
          <w:sz w:val="20"/>
          <w:szCs w:val="20"/>
          <w:lang w:val="fr-CA"/>
        </w:rPr>
      </w:pPr>
      <w:r w:rsidRPr="00B44839">
        <w:rPr>
          <w:sz w:val="20"/>
          <w:szCs w:val="20"/>
          <w:lang w:val="fr-CA"/>
        </w:rPr>
        <w:pict>
          <v:rect id="_x0000_i1043" style="width:2in;height:1pt" o:hrpct="0" o:hralign="center" o:hrstd="t" o:hrnoshade="t" o:hr="t" fillcolor="black [3213]" stroked="f"/>
        </w:pict>
      </w:r>
    </w:p>
    <w:p w:rsidR="009B2448" w:rsidRDefault="009B2448"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77844" w:rsidRPr="004A42A2" w:rsidTr="00E77844">
        <w:trPr>
          <w:cantSplit/>
        </w:trPr>
        <w:tc>
          <w:tcPr>
            <w:tcW w:w="1458" w:type="dxa"/>
          </w:tcPr>
          <w:p w:rsidR="00E77844" w:rsidRPr="00825F67" w:rsidRDefault="00E77844" w:rsidP="00E77844">
            <w:pPr>
              <w:rPr>
                <w:sz w:val="20"/>
                <w:szCs w:val="20"/>
              </w:rPr>
            </w:pPr>
            <w:r w:rsidRPr="00825F67">
              <w:rPr>
                <w:rStyle w:val="SCCFileNumberChar"/>
                <w:sz w:val="20"/>
                <w:szCs w:val="20"/>
              </w:rPr>
              <w:lastRenderedPageBreak/>
              <w:t>34479</w:t>
            </w:r>
          </w:p>
          <w:p w:rsidR="00E77844" w:rsidRPr="00825F67" w:rsidRDefault="00E77844" w:rsidP="00E77844">
            <w:pPr>
              <w:rPr>
                <w:b/>
                <w:sz w:val="20"/>
                <w:szCs w:val="20"/>
                <w:lang w:val="fr-CA"/>
              </w:rPr>
            </w:pPr>
          </w:p>
        </w:tc>
        <w:tc>
          <w:tcPr>
            <w:tcW w:w="8118" w:type="dxa"/>
          </w:tcPr>
          <w:p w:rsidR="00E77844" w:rsidRPr="00825F67" w:rsidRDefault="00E77844" w:rsidP="00E77844">
            <w:pPr>
              <w:jc w:val="both"/>
              <w:rPr>
                <w:sz w:val="20"/>
                <w:szCs w:val="20"/>
                <w:lang w:val="fr-CA"/>
              </w:rPr>
            </w:pPr>
            <w:r w:rsidRPr="00825F67">
              <w:rPr>
                <w:rStyle w:val="SCCLsocChar"/>
                <w:sz w:val="20"/>
                <w:szCs w:val="20"/>
              </w:rPr>
              <w:t>Confédération des syndicats nationaux (CSN) et al., Centrale des syndicats du Québec (CSQ) et al., Fédération des travailleurs et travailleuses du Québec (FTQ) et al., Syndicat québécois des employés de service, section locale 298 (FTQ), Centrale des professionnelles et professionnels de la santé (CPS) et al., Association professionnelle des technologistes médicaux du Québec (APTMQ), Syndicat canadien de la fonction publique et al., Fédération interprofessionnelle de la santé du Québec (FIQ) successeure de Fédération des infirmières et infirmiers du Québec (FIIQ), Association des techniciens en diététique du Québec (ATDQ), Syndicat des ergothérapeutes du Québec (SEQ), Syndicat des professionnelles et des professionnels du gouvernement du Québec</w:t>
            </w:r>
            <w:r>
              <w:rPr>
                <w:rStyle w:val="SCCLsocChar"/>
                <w:sz w:val="20"/>
                <w:szCs w:val="20"/>
              </w:rPr>
              <w:t xml:space="preserve"> et</w:t>
            </w:r>
            <w:r w:rsidRPr="00825F67">
              <w:rPr>
                <w:rStyle w:val="SCCLsocChar"/>
                <w:sz w:val="20"/>
                <w:szCs w:val="20"/>
              </w:rPr>
              <w:t xml:space="preserve"> Syndicat professionnel des diététistes et nutritionnistes du Québec (SPDNQ) c. Procureur général du Québec ET ENTRE Confédération des syndicats nationaux (CSN) et al., Centrale des syndicats du Québec (CSQ) et al., Fédération des travailleurs et travailleuses du Québec (FTQ) et al., Syndicat québécois des employés de service, section locale 298 (FTQ), Association professionnelle des technologistes médicaux du Québec (APTMQ), Alliance du personnel professionnel et technique de la santé et des services sociaux-apts (CPS-APTMQ) et Centrale des professionnelles et professionnels de la santé (CPS) et al., Fédération interprofessionnelle de la santé du Québec (FIQ) successeure de Fédération des infirmières et infirmiers du Québec (FIIQ), Syndicat canadien de la fonction publique et al.</w:t>
            </w:r>
            <w:r>
              <w:rPr>
                <w:rStyle w:val="SCCLsocChar"/>
                <w:sz w:val="20"/>
                <w:szCs w:val="20"/>
              </w:rPr>
              <w:t xml:space="preserve"> et</w:t>
            </w:r>
            <w:r w:rsidRPr="00825F67">
              <w:rPr>
                <w:rStyle w:val="SCCLsocChar"/>
                <w:sz w:val="20"/>
                <w:szCs w:val="20"/>
              </w:rPr>
              <w:t xml:space="preserve"> Syndicat professionnel des diététistes et nutritionnistes du Québec (SPDNQ) c. Procureur général du Québec</w:t>
            </w:r>
            <w:r w:rsidRPr="00825F67">
              <w:rPr>
                <w:sz w:val="20"/>
                <w:szCs w:val="20"/>
                <w:lang w:val="fr-CA"/>
              </w:rPr>
              <w:t xml:space="preserve"> (Qc) (Civile) (Autorisation)</w:t>
            </w:r>
          </w:p>
          <w:p w:rsidR="00E77844" w:rsidRPr="00825F67" w:rsidRDefault="00E77844" w:rsidP="00E77844">
            <w:pPr>
              <w:rPr>
                <w:sz w:val="20"/>
                <w:szCs w:val="20"/>
                <w:lang w:val="fr-CA"/>
              </w:rPr>
            </w:pPr>
          </w:p>
        </w:tc>
      </w:tr>
      <w:tr w:rsidR="00E77844" w:rsidRPr="004A42A2" w:rsidTr="00E77844">
        <w:trPr>
          <w:cantSplit/>
        </w:trPr>
        <w:tc>
          <w:tcPr>
            <w:tcW w:w="1458" w:type="dxa"/>
          </w:tcPr>
          <w:p w:rsidR="00E77844" w:rsidRPr="00E77844" w:rsidRDefault="00E77844" w:rsidP="00E77844">
            <w:pPr>
              <w:rPr>
                <w:sz w:val="20"/>
                <w:szCs w:val="20"/>
                <w:lang w:val="fr-CA"/>
              </w:rPr>
            </w:pPr>
            <w:r w:rsidRPr="00E77844">
              <w:rPr>
                <w:sz w:val="20"/>
                <w:szCs w:val="20"/>
                <w:lang w:val="fr-CA"/>
              </w:rPr>
              <w:t>Coram :</w:t>
            </w:r>
          </w:p>
        </w:tc>
        <w:tc>
          <w:tcPr>
            <w:tcW w:w="8118" w:type="dxa"/>
          </w:tcPr>
          <w:p w:rsidR="00E77844" w:rsidRPr="00825F67" w:rsidRDefault="00E77844" w:rsidP="00E77844">
            <w:pPr>
              <w:rPr>
                <w:sz w:val="20"/>
                <w:szCs w:val="20"/>
                <w:lang w:val="fr-CA"/>
              </w:rPr>
            </w:pPr>
            <w:r w:rsidRPr="00825F67">
              <w:rPr>
                <w:rStyle w:val="SCCCoramChar"/>
                <w:sz w:val="20"/>
                <w:szCs w:val="20"/>
              </w:rPr>
              <w:t>Les juges LeBel, Abella et Cromwell</w:t>
            </w:r>
          </w:p>
          <w:p w:rsidR="00E77844" w:rsidRPr="00825F67" w:rsidRDefault="00E77844" w:rsidP="00E77844">
            <w:pPr>
              <w:rPr>
                <w:sz w:val="20"/>
                <w:szCs w:val="20"/>
                <w:u w:val="single"/>
                <w:lang w:val="fr-CA"/>
              </w:rPr>
            </w:pPr>
          </w:p>
        </w:tc>
      </w:tr>
      <w:tr w:rsidR="00E77844" w:rsidRPr="00825F67" w:rsidTr="00E77844">
        <w:trPr>
          <w:cantSplit/>
        </w:trPr>
        <w:tc>
          <w:tcPr>
            <w:tcW w:w="9576" w:type="dxa"/>
            <w:gridSpan w:val="2"/>
          </w:tcPr>
          <w:p w:rsidR="00E77844" w:rsidRPr="00825F67" w:rsidRDefault="00E77844" w:rsidP="00E77844">
            <w:pPr>
              <w:pStyle w:val="SCCShortJudgment"/>
              <w:rPr>
                <w:szCs w:val="20"/>
                <w:lang w:val="fr-CA"/>
              </w:rPr>
            </w:pPr>
            <w:r w:rsidRPr="00825F67">
              <w:rPr>
                <w:szCs w:val="20"/>
                <w:lang w:val="fr-CA"/>
              </w:rPr>
              <w:t>La demande d’autorisation d’appel de l’arrêt de la Cour d’appel du Québec (Montréal), numéros 500-09-018310-078 et 500-09-018313-072, 2011 QCCA 1247, daté du 6 juillet 2011, est rejetée avec dépens.</w:t>
            </w:r>
          </w:p>
          <w:p w:rsidR="00E77844" w:rsidRPr="00825F67" w:rsidRDefault="00E77844" w:rsidP="00E77844">
            <w:pPr>
              <w:pStyle w:val="SCCShortJudgment"/>
              <w:ind w:firstLine="0"/>
              <w:rPr>
                <w:szCs w:val="20"/>
                <w:lang w:val="fr-CA"/>
              </w:rPr>
            </w:pPr>
          </w:p>
          <w:p w:rsidR="00E77844" w:rsidRPr="00825F67" w:rsidRDefault="00E77844" w:rsidP="00E77844">
            <w:pPr>
              <w:pStyle w:val="SCCShortJudgment"/>
              <w:rPr>
                <w:szCs w:val="20"/>
              </w:rPr>
            </w:pPr>
            <w:r w:rsidRPr="00825F67">
              <w:rPr>
                <w:szCs w:val="20"/>
              </w:rPr>
              <w:t>The application for leave to appeal from the judgment of the Court of Appeal of Quebec (Montréal), Numbers 500-09-018310-078 and 500-09-018313-072, 2011 QCCA 1247, dated July 6, 2011, is dismissed with costs.</w:t>
            </w:r>
          </w:p>
        </w:tc>
      </w:tr>
    </w:tbl>
    <w:p w:rsidR="009B2448" w:rsidRPr="00E77844" w:rsidRDefault="009B2448" w:rsidP="009B2448">
      <w:pPr>
        <w:rPr>
          <w:sz w:val="20"/>
          <w:szCs w:val="20"/>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321C" w:rsidRPr="006A318F" w:rsidTr="004F1F89">
        <w:tc>
          <w:tcPr>
            <w:tcW w:w="5000" w:type="pct"/>
            <w:gridSpan w:val="3"/>
          </w:tcPr>
          <w:p w:rsidR="0045321C" w:rsidRPr="006A318F" w:rsidRDefault="0045321C" w:rsidP="004F1F89">
            <w:pPr>
              <w:jc w:val="both"/>
              <w:rPr>
                <w:rFonts w:eastAsia="Calibri"/>
                <w:sz w:val="20"/>
              </w:rPr>
            </w:pPr>
            <w:r w:rsidRPr="006A318F">
              <w:rPr>
                <w:rFonts w:eastAsia="Calibri"/>
                <w:sz w:val="20"/>
              </w:rPr>
              <w:t xml:space="preserve">Canadian Charter – Freedom of association – Labour relations – Bargaining units determined by statute in Quebec social affairs sector – Whether this process of negotiation contrary to freedom of association – </w:t>
            </w:r>
            <w:r w:rsidRPr="006A318F">
              <w:rPr>
                <w:rFonts w:eastAsia="Calibri"/>
                <w:i/>
                <w:sz w:val="20"/>
              </w:rPr>
              <w:t>Constitution Act, 1982</w:t>
            </w:r>
            <w:r w:rsidRPr="006A318F">
              <w:rPr>
                <w:rFonts w:eastAsia="Calibri"/>
                <w:sz w:val="20"/>
              </w:rPr>
              <w:t>, s. 2(</w:t>
            </w:r>
            <w:r w:rsidRPr="006A318F">
              <w:rPr>
                <w:rFonts w:eastAsia="Calibri"/>
                <w:i/>
                <w:sz w:val="20"/>
              </w:rPr>
              <w:t>d</w:t>
            </w:r>
            <w:r w:rsidRPr="006A318F">
              <w:rPr>
                <w:rFonts w:eastAsia="Calibri"/>
                <w:sz w:val="20"/>
              </w:rPr>
              <w:t xml:space="preserve">) – </w:t>
            </w:r>
            <w:r w:rsidRPr="006A318F">
              <w:rPr>
                <w:rFonts w:eastAsia="Calibri"/>
                <w:i/>
                <w:sz w:val="20"/>
              </w:rPr>
              <w:t>Charter of human rights and freedoms</w:t>
            </w:r>
            <w:r w:rsidRPr="006A318F">
              <w:rPr>
                <w:rFonts w:eastAsia="Calibri"/>
                <w:sz w:val="20"/>
              </w:rPr>
              <w:t xml:space="preserve">, R.S.Q. c. C-12, s. 3 – </w:t>
            </w:r>
            <w:r w:rsidRPr="006A318F">
              <w:rPr>
                <w:rFonts w:eastAsia="Calibri"/>
                <w:i/>
                <w:sz w:val="20"/>
              </w:rPr>
              <w:t>An Act respecting bargaining units in the social affairs sector and amending the Act respecting the process of negotiation of the collective agreements in the public and parapublic sectors</w:t>
            </w:r>
            <w:r w:rsidRPr="006A318F">
              <w:rPr>
                <w:rFonts w:eastAsia="Calibri"/>
                <w:sz w:val="20"/>
              </w:rPr>
              <w:t>, R.S.Q. c. U</w:t>
            </w:r>
            <w:r w:rsidRPr="006A318F">
              <w:rPr>
                <w:rFonts w:eastAsia="Calibri"/>
                <w:sz w:val="20"/>
              </w:rPr>
              <w:noBreakHyphen/>
              <w:t>0.1.</w:t>
            </w:r>
          </w:p>
        </w:tc>
      </w:tr>
      <w:tr w:rsidR="0045321C" w:rsidRPr="006A318F" w:rsidTr="004F1F89">
        <w:tc>
          <w:tcPr>
            <w:tcW w:w="5000" w:type="pct"/>
            <w:gridSpan w:val="3"/>
          </w:tcPr>
          <w:p w:rsidR="0045321C" w:rsidRPr="006A318F" w:rsidRDefault="0045321C" w:rsidP="004F1F89">
            <w:pPr>
              <w:jc w:val="both"/>
              <w:rPr>
                <w:rFonts w:eastAsia="Calibri"/>
                <w:sz w:val="20"/>
              </w:rPr>
            </w:pPr>
          </w:p>
        </w:tc>
      </w:tr>
      <w:tr w:rsidR="0045321C" w:rsidRPr="006A318F" w:rsidTr="004F1F89">
        <w:tc>
          <w:tcPr>
            <w:tcW w:w="5000" w:type="pct"/>
            <w:gridSpan w:val="3"/>
          </w:tcPr>
          <w:p w:rsidR="0045321C" w:rsidRPr="006A318F" w:rsidRDefault="0045321C" w:rsidP="004F1F89">
            <w:pPr>
              <w:jc w:val="both"/>
              <w:rPr>
                <w:rFonts w:eastAsia="Calibri"/>
                <w:sz w:val="20"/>
              </w:rPr>
            </w:pPr>
            <w:r w:rsidRPr="006A318F">
              <w:rPr>
                <w:rFonts w:eastAsia="Calibri"/>
                <w:sz w:val="20"/>
              </w:rPr>
              <w:t>In December 2003, the Quebec National Assembly enacted a statute that changed the union system applicable to labour relations in the health and social affairs sector. The statute created merged bargaining units, decentralized the negotiation of several matters and provided for an arbitration process.  The affected unions challenged the statute’s constitutionality, particularly on the basis of freedom of association.  The Commission des relations de travail held that the statute was valid, but an application for judicial review was brought against that decision.</w:t>
            </w:r>
          </w:p>
          <w:p w:rsidR="0045321C" w:rsidRPr="006A318F" w:rsidRDefault="0045321C" w:rsidP="004F1F89">
            <w:pPr>
              <w:jc w:val="both"/>
              <w:rPr>
                <w:rFonts w:eastAsia="Calibri"/>
                <w:sz w:val="20"/>
              </w:rPr>
            </w:pPr>
          </w:p>
        </w:tc>
      </w:tr>
      <w:tr w:rsidR="0045321C" w:rsidRPr="006A318F" w:rsidTr="004F1F89">
        <w:tc>
          <w:tcPr>
            <w:tcW w:w="2427" w:type="pct"/>
          </w:tcPr>
          <w:p w:rsidR="0045321C" w:rsidRPr="006A318F" w:rsidRDefault="0045321C" w:rsidP="004F1F89">
            <w:pPr>
              <w:jc w:val="both"/>
              <w:rPr>
                <w:rFonts w:eastAsia="Calibri"/>
                <w:sz w:val="20"/>
              </w:rPr>
            </w:pPr>
            <w:r w:rsidRPr="006A318F">
              <w:rPr>
                <w:rFonts w:eastAsia="Calibri"/>
                <w:sz w:val="20"/>
              </w:rPr>
              <w:t>November 30, 2007</w:t>
            </w:r>
          </w:p>
          <w:p w:rsidR="0045321C" w:rsidRPr="006A318F" w:rsidRDefault="0045321C" w:rsidP="004F1F89">
            <w:pPr>
              <w:jc w:val="both"/>
              <w:rPr>
                <w:rFonts w:eastAsia="Calibri"/>
                <w:sz w:val="20"/>
              </w:rPr>
            </w:pPr>
            <w:r w:rsidRPr="006A318F">
              <w:rPr>
                <w:rFonts w:eastAsia="Calibri"/>
                <w:sz w:val="20"/>
              </w:rPr>
              <w:t>Quebec Superior Court</w:t>
            </w:r>
          </w:p>
          <w:p w:rsidR="0045321C" w:rsidRPr="006A318F" w:rsidRDefault="0045321C" w:rsidP="004F1F89">
            <w:pPr>
              <w:jc w:val="both"/>
              <w:rPr>
                <w:rFonts w:eastAsia="Calibri"/>
                <w:sz w:val="20"/>
              </w:rPr>
            </w:pPr>
            <w:r w:rsidRPr="006A318F">
              <w:rPr>
                <w:rFonts w:eastAsia="Calibri"/>
                <w:sz w:val="20"/>
              </w:rPr>
              <w:t>(Roy J.)</w:t>
            </w:r>
          </w:p>
          <w:p w:rsidR="0045321C" w:rsidRPr="006A318F" w:rsidRDefault="0045321C" w:rsidP="004F1F89">
            <w:pPr>
              <w:jc w:val="both"/>
              <w:rPr>
                <w:rFonts w:eastAsia="Calibri"/>
                <w:sz w:val="20"/>
              </w:rPr>
            </w:pPr>
            <w:r w:rsidRPr="006A318F">
              <w:rPr>
                <w:rFonts w:eastAsia="Calibri"/>
                <w:sz w:val="20"/>
              </w:rPr>
              <w:t>Neutral citation: 2007 QCCS 5513</w:t>
            </w:r>
          </w:p>
          <w:p w:rsidR="0045321C" w:rsidRPr="006A318F" w:rsidRDefault="0045321C" w:rsidP="004F1F89">
            <w:pPr>
              <w:jc w:val="both"/>
              <w:rPr>
                <w:rFonts w:eastAsia="Calibri"/>
                <w:sz w:val="20"/>
              </w:rPr>
            </w:pPr>
          </w:p>
        </w:tc>
        <w:tc>
          <w:tcPr>
            <w:tcW w:w="243" w:type="pct"/>
          </w:tcPr>
          <w:p w:rsidR="0045321C" w:rsidRPr="006A318F" w:rsidRDefault="0045321C" w:rsidP="004F1F89">
            <w:pPr>
              <w:jc w:val="both"/>
              <w:rPr>
                <w:rFonts w:eastAsia="Calibri"/>
                <w:sz w:val="20"/>
              </w:rPr>
            </w:pPr>
          </w:p>
        </w:tc>
        <w:tc>
          <w:tcPr>
            <w:tcW w:w="2330" w:type="pct"/>
          </w:tcPr>
          <w:p w:rsidR="0045321C" w:rsidRPr="006A318F" w:rsidRDefault="0045321C" w:rsidP="004F1F89">
            <w:pPr>
              <w:jc w:val="both"/>
              <w:rPr>
                <w:rFonts w:eastAsia="Calibri"/>
                <w:sz w:val="20"/>
              </w:rPr>
            </w:pPr>
            <w:r w:rsidRPr="006A318F">
              <w:rPr>
                <w:rFonts w:eastAsia="Calibri"/>
                <w:sz w:val="20"/>
              </w:rPr>
              <w:t>Impugned statute declared unconstitutional in entirety on ground that it infringed freedom of association protected by Charters without infringement being justified</w:t>
            </w:r>
          </w:p>
        </w:tc>
      </w:tr>
      <w:tr w:rsidR="0045321C" w:rsidRPr="006A318F" w:rsidTr="00E77844">
        <w:trPr>
          <w:cantSplit/>
        </w:trPr>
        <w:tc>
          <w:tcPr>
            <w:tcW w:w="2427" w:type="pct"/>
          </w:tcPr>
          <w:p w:rsidR="0045321C" w:rsidRPr="006A318F" w:rsidRDefault="0045321C" w:rsidP="004F1F89">
            <w:pPr>
              <w:jc w:val="both"/>
              <w:rPr>
                <w:rFonts w:eastAsia="Calibri"/>
                <w:sz w:val="20"/>
              </w:rPr>
            </w:pPr>
            <w:r w:rsidRPr="006A318F">
              <w:rPr>
                <w:rFonts w:eastAsia="Calibri"/>
                <w:sz w:val="20"/>
              </w:rPr>
              <w:lastRenderedPageBreak/>
              <w:t>July 6, 2011</w:t>
            </w:r>
          </w:p>
          <w:p w:rsidR="0045321C" w:rsidRPr="006A318F" w:rsidRDefault="0045321C" w:rsidP="004F1F89">
            <w:pPr>
              <w:jc w:val="both"/>
              <w:rPr>
                <w:rFonts w:eastAsia="Calibri"/>
                <w:sz w:val="20"/>
              </w:rPr>
            </w:pPr>
            <w:r w:rsidRPr="006A318F">
              <w:rPr>
                <w:rFonts w:eastAsia="Calibri"/>
                <w:sz w:val="20"/>
              </w:rPr>
              <w:t>Quebec Court of Appeal (Montréal)</w:t>
            </w:r>
          </w:p>
          <w:p w:rsidR="0045321C" w:rsidRPr="006A318F" w:rsidRDefault="0045321C" w:rsidP="004F1F89">
            <w:pPr>
              <w:jc w:val="both"/>
              <w:rPr>
                <w:rFonts w:eastAsia="Calibri"/>
                <w:sz w:val="20"/>
              </w:rPr>
            </w:pPr>
            <w:r w:rsidRPr="006A318F">
              <w:rPr>
                <w:rFonts w:eastAsia="Calibri"/>
                <w:sz w:val="20"/>
              </w:rPr>
              <w:t>(Robert, Morissette and Bich JJ.A.)</w:t>
            </w:r>
          </w:p>
          <w:p w:rsidR="0045321C" w:rsidRDefault="0045321C" w:rsidP="004F1F89">
            <w:pPr>
              <w:jc w:val="both"/>
              <w:rPr>
                <w:rFonts w:eastAsia="Calibri"/>
                <w:sz w:val="20"/>
              </w:rPr>
            </w:pPr>
            <w:r w:rsidRPr="006A318F">
              <w:rPr>
                <w:rFonts w:eastAsia="Calibri"/>
                <w:sz w:val="20"/>
              </w:rPr>
              <w:t>Neutral citation: 2011 QCCA 1247</w:t>
            </w:r>
          </w:p>
          <w:p w:rsidR="0045321C" w:rsidRPr="006A318F" w:rsidRDefault="0045321C" w:rsidP="004F1F89">
            <w:pPr>
              <w:jc w:val="both"/>
              <w:rPr>
                <w:rFonts w:eastAsia="Calibri"/>
                <w:sz w:val="20"/>
              </w:rPr>
            </w:pPr>
          </w:p>
        </w:tc>
        <w:tc>
          <w:tcPr>
            <w:tcW w:w="243" w:type="pct"/>
          </w:tcPr>
          <w:p w:rsidR="0045321C" w:rsidRPr="006A318F" w:rsidRDefault="0045321C" w:rsidP="004F1F89">
            <w:pPr>
              <w:jc w:val="both"/>
              <w:rPr>
                <w:rFonts w:eastAsia="Calibri"/>
                <w:sz w:val="20"/>
              </w:rPr>
            </w:pPr>
          </w:p>
        </w:tc>
        <w:tc>
          <w:tcPr>
            <w:tcW w:w="2330" w:type="pct"/>
          </w:tcPr>
          <w:p w:rsidR="0045321C" w:rsidRPr="006A318F" w:rsidRDefault="0045321C" w:rsidP="004F1F89">
            <w:pPr>
              <w:jc w:val="both"/>
              <w:rPr>
                <w:rFonts w:eastAsia="Calibri"/>
                <w:sz w:val="20"/>
              </w:rPr>
            </w:pPr>
            <w:r w:rsidRPr="006A318F">
              <w:rPr>
                <w:rFonts w:eastAsia="Calibri"/>
                <w:sz w:val="20"/>
              </w:rPr>
              <w:t>Appeal allowed to declare statute constitutionally valid; incidental appeal dismissed</w:t>
            </w:r>
          </w:p>
        </w:tc>
      </w:tr>
      <w:tr w:rsidR="0045321C" w:rsidRPr="006A318F" w:rsidTr="00E77844">
        <w:trPr>
          <w:cantSplit/>
        </w:trPr>
        <w:tc>
          <w:tcPr>
            <w:tcW w:w="2427" w:type="pct"/>
          </w:tcPr>
          <w:p w:rsidR="0045321C" w:rsidRPr="006A318F" w:rsidRDefault="0045321C" w:rsidP="004F1F89">
            <w:pPr>
              <w:jc w:val="both"/>
              <w:rPr>
                <w:rFonts w:eastAsia="Calibri"/>
                <w:sz w:val="20"/>
              </w:rPr>
            </w:pPr>
            <w:r w:rsidRPr="006A318F">
              <w:rPr>
                <w:rFonts w:eastAsia="Calibri"/>
                <w:sz w:val="20"/>
              </w:rPr>
              <w:t>September 29, 2011</w:t>
            </w:r>
          </w:p>
          <w:p w:rsidR="0045321C" w:rsidRPr="006A318F" w:rsidRDefault="0045321C" w:rsidP="004F1F89">
            <w:pPr>
              <w:jc w:val="both"/>
              <w:rPr>
                <w:rFonts w:eastAsia="Calibri"/>
                <w:sz w:val="20"/>
              </w:rPr>
            </w:pPr>
            <w:r w:rsidRPr="006A318F">
              <w:rPr>
                <w:rFonts w:eastAsia="Calibri"/>
                <w:sz w:val="20"/>
              </w:rPr>
              <w:t>Supreme Court of Canada</w:t>
            </w:r>
          </w:p>
        </w:tc>
        <w:tc>
          <w:tcPr>
            <w:tcW w:w="243" w:type="pct"/>
          </w:tcPr>
          <w:p w:rsidR="0045321C" w:rsidRPr="006A318F" w:rsidRDefault="0045321C" w:rsidP="004F1F89">
            <w:pPr>
              <w:jc w:val="both"/>
              <w:rPr>
                <w:rFonts w:eastAsia="Calibri"/>
                <w:sz w:val="20"/>
              </w:rPr>
            </w:pPr>
          </w:p>
        </w:tc>
        <w:tc>
          <w:tcPr>
            <w:tcW w:w="2330" w:type="pct"/>
          </w:tcPr>
          <w:p w:rsidR="0045321C" w:rsidRPr="006A318F" w:rsidRDefault="0045321C" w:rsidP="004F1F89">
            <w:pPr>
              <w:jc w:val="both"/>
              <w:rPr>
                <w:rFonts w:eastAsia="Calibri"/>
                <w:sz w:val="20"/>
              </w:rPr>
            </w:pPr>
            <w:r w:rsidRPr="006A318F">
              <w:rPr>
                <w:rFonts w:eastAsia="Calibri"/>
                <w:sz w:val="20"/>
              </w:rPr>
              <w:t>Application for leave to appeal filed</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44"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321C" w:rsidRPr="006A318F" w:rsidTr="004F1F89">
        <w:tc>
          <w:tcPr>
            <w:tcW w:w="5000" w:type="pct"/>
            <w:gridSpan w:val="3"/>
          </w:tcPr>
          <w:p w:rsidR="0045321C" w:rsidRPr="006A318F" w:rsidRDefault="0045321C" w:rsidP="004F1F89">
            <w:pPr>
              <w:jc w:val="both"/>
              <w:rPr>
                <w:rFonts w:eastAsia="Calibri"/>
                <w:sz w:val="20"/>
              </w:rPr>
            </w:pPr>
            <w:r w:rsidRPr="006A318F">
              <w:rPr>
                <w:rFonts w:eastAsia="Calibri"/>
                <w:sz w:val="20"/>
                <w:lang w:val="fr-CA"/>
              </w:rPr>
              <w:t>Charte canadienne – Liberté d’association – Relations de travail – Unités de négociation déterminées par loi dans le secteur québécois des affaires sociales – Ce régime de négociation enfreint</w:t>
            </w:r>
            <w:r w:rsidRPr="006A318F">
              <w:rPr>
                <w:rFonts w:eastAsia="Calibri"/>
                <w:sz w:val="20"/>
                <w:lang w:val="fr-CA"/>
              </w:rPr>
              <w:noBreakHyphen/>
              <w:t xml:space="preserve">il la liberté d’association? – </w:t>
            </w:r>
            <w:r w:rsidRPr="006A318F">
              <w:rPr>
                <w:rFonts w:eastAsia="Calibri"/>
                <w:i/>
                <w:sz w:val="20"/>
                <w:lang w:val="fr-CA"/>
              </w:rPr>
              <w:t>Loi constitutionnelle de 1982,</w:t>
            </w:r>
            <w:r w:rsidRPr="006A318F">
              <w:rPr>
                <w:rFonts w:eastAsia="Calibri"/>
                <w:sz w:val="20"/>
                <w:lang w:val="fr-CA"/>
              </w:rPr>
              <w:t xml:space="preserve"> al. 2 d) – </w:t>
            </w:r>
            <w:r w:rsidRPr="006A318F">
              <w:rPr>
                <w:rFonts w:eastAsia="Calibri"/>
                <w:i/>
                <w:sz w:val="20"/>
                <w:lang w:val="fr-CA"/>
              </w:rPr>
              <w:t>Charte des droits et libertés de la personne</w:t>
            </w:r>
            <w:r w:rsidRPr="006A318F">
              <w:rPr>
                <w:rFonts w:eastAsia="Calibri"/>
                <w:sz w:val="20"/>
                <w:lang w:val="fr-CA"/>
              </w:rPr>
              <w:t>, L.R.Q. ch. C</w:t>
            </w:r>
            <w:r w:rsidRPr="006A318F">
              <w:rPr>
                <w:rFonts w:eastAsia="Calibri"/>
                <w:sz w:val="20"/>
                <w:lang w:val="fr-CA"/>
              </w:rPr>
              <w:noBreakHyphen/>
              <w:t xml:space="preserve">12, art. 3 – </w:t>
            </w:r>
            <w:r w:rsidRPr="006A318F">
              <w:rPr>
                <w:rFonts w:eastAsia="Calibri"/>
                <w:i/>
                <w:sz w:val="20"/>
                <w:lang w:val="fr-CA"/>
              </w:rPr>
              <w:t>Loi concernant les unités de négociation dans le secteur des affaires sociales et modifiant la Loi sur le régime de négociation des conventions collectives dans les secteurs public et parapublic</w:t>
            </w:r>
            <w:r w:rsidRPr="006A318F">
              <w:rPr>
                <w:rFonts w:eastAsia="Calibri"/>
                <w:sz w:val="20"/>
                <w:lang w:val="fr-CA"/>
              </w:rPr>
              <w:t>, L.R.Q. ch. U</w:t>
            </w:r>
            <w:r w:rsidRPr="006A318F">
              <w:rPr>
                <w:rFonts w:eastAsia="Calibri"/>
                <w:sz w:val="20"/>
                <w:lang w:val="fr-CA"/>
              </w:rPr>
              <w:noBreakHyphen/>
              <w:t>0.1.</w:t>
            </w:r>
          </w:p>
        </w:tc>
      </w:tr>
      <w:tr w:rsidR="0045321C" w:rsidRPr="006A318F" w:rsidTr="004F1F89">
        <w:tc>
          <w:tcPr>
            <w:tcW w:w="5000" w:type="pct"/>
            <w:gridSpan w:val="3"/>
          </w:tcPr>
          <w:p w:rsidR="0045321C" w:rsidRPr="006A318F" w:rsidRDefault="0045321C" w:rsidP="004F1F89">
            <w:pPr>
              <w:jc w:val="both"/>
              <w:rPr>
                <w:rFonts w:eastAsia="Calibri"/>
                <w:sz w:val="20"/>
                <w:lang w:val="fr-CA"/>
              </w:rPr>
            </w:pPr>
          </w:p>
        </w:tc>
      </w:tr>
      <w:tr w:rsidR="0045321C" w:rsidRPr="004A42A2" w:rsidTr="004F1F89">
        <w:tc>
          <w:tcPr>
            <w:tcW w:w="5000" w:type="pct"/>
            <w:gridSpan w:val="3"/>
          </w:tcPr>
          <w:p w:rsidR="0045321C" w:rsidRPr="006A318F" w:rsidRDefault="0045321C" w:rsidP="004F1F89">
            <w:pPr>
              <w:jc w:val="both"/>
              <w:rPr>
                <w:rFonts w:eastAsia="Calibri"/>
                <w:sz w:val="20"/>
                <w:lang w:val="fr-CA"/>
              </w:rPr>
            </w:pPr>
            <w:r w:rsidRPr="006A318F">
              <w:rPr>
                <w:rFonts w:eastAsia="Calibri"/>
                <w:sz w:val="20"/>
                <w:lang w:val="fr-CA"/>
              </w:rPr>
              <w:t>En décembre 2003, l'Assemblée nationale du Québec adopte une loi qui modifie le régime syndical applicable aux relations de travail dans le secteur de la santé et des affaires sociales. Cette loi crée des unités de négociation regroupées, décentralise la négociation sur plusieurs sujets et prévoit un processus d’arbitrage. Les syndicats touchés contestent la constitutionnalité de la loi, en particulier au chapitre de la liberté d’association. La Commission des relations de travail juge la loi valide mais cette décision fait l’objet d’une demande de contrôle judiciaire.</w:t>
            </w:r>
          </w:p>
        </w:tc>
      </w:tr>
      <w:tr w:rsidR="0045321C" w:rsidRPr="004A42A2"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30 novembre 2007</w:t>
            </w:r>
          </w:p>
          <w:p w:rsidR="0045321C" w:rsidRPr="006A318F" w:rsidRDefault="0045321C" w:rsidP="004F1F89">
            <w:pPr>
              <w:jc w:val="both"/>
              <w:rPr>
                <w:rFonts w:eastAsia="Calibri"/>
                <w:sz w:val="20"/>
                <w:lang w:val="fr-CA"/>
              </w:rPr>
            </w:pPr>
            <w:r w:rsidRPr="006A318F">
              <w:rPr>
                <w:rFonts w:eastAsia="Calibri"/>
                <w:sz w:val="20"/>
                <w:lang w:val="fr-CA"/>
              </w:rPr>
              <w:t>Cour supérieure du Québec</w:t>
            </w:r>
          </w:p>
          <w:p w:rsidR="0045321C" w:rsidRPr="006A318F" w:rsidRDefault="0045321C" w:rsidP="004F1F89">
            <w:pPr>
              <w:jc w:val="both"/>
              <w:rPr>
                <w:rFonts w:eastAsia="Calibri"/>
                <w:sz w:val="20"/>
                <w:lang w:val="fr-CA"/>
              </w:rPr>
            </w:pPr>
            <w:r w:rsidRPr="006A318F">
              <w:rPr>
                <w:rFonts w:eastAsia="Calibri"/>
                <w:sz w:val="20"/>
                <w:lang w:val="fr-CA"/>
              </w:rPr>
              <w:t>(La juge Roy)</w:t>
            </w:r>
          </w:p>
          <w:p w:rsidR="0045321C" w:rsidRPr="006A318F" w:rsidRDefault="0045321C" w:rsidP="004F1F89">
            <w:pPr>
              <w:jc w:val="both"/>
              <w:rPr>
                <w:rFonts w:eastAsia="Calibri"/>
                <w:sz w:val="20"/>
                <w:lang w:val="fr-CA"/>
              </w:rPr>
            </w:pPr>
            <w:r w:rsidRPr="006A318F">
              <w:rPr>
                <w:rFonts w:eastAsia="Calibri"/>
                <w:sz w:val="20"/>
                <w:lang w:val="fr-CA"/>
              </w:rPr>
              <w:t>Référence neutre : 2007 QCCS 5513</w:t>
            </w:r>
          </w:p>
          <w:p w:rsidR="0045321C" w:rsidRPr="006A318F" w:rsidRDefault="0045321C" w:rsidP="004F1F89">
            <w:pPr>
              <w:jc w:val="both"/>
              <w:rPr>
                <w:rFonts w:eastAsia="Calibri"/>
                <w:sz w:val="20"/>
                <w:lang w:val="fr-CA"/>
              </w:rPr>
            </w:pPr>
          </w:p>
        </w:tc>
        <w:tc>
          <w:tcPr>
            <w:tcW w:w="243" w:type="pct"/>
          </w:tcPr>
          <w:p w:rsidR="0045321C" w:rsidRPr="006A318F" w:rsidRDefault="0045321C" w:rsidP="004F1F89">
            <w:pPr>
              <w:jc w:val="both"/>
              <w:rPr>
                <w:rFonts w:eastAsia="Calibri"/>
                <w:sz w:val="20"/>
                <w:lang w:val="fr-FR"/>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FR"/>
              </w:rPr>
              <w:t>L</w:t>
            </w:r>
            <w:r w:rsidRPr="006A318F">
              <w:rPr>
                <w:rFonts w:eastAsia="Calibri"/>
                <w:sz w:val="20"/>
                <w:lang w:val="fr-CA"/>
              </w:rPr>
              <w:t>oi en litige déclarée inconstitutionnelle dans son entier au motif qu’elle enfreint la liberté d’association protégée par les Chartes sans que cette atteinte soit justifiée.</w:t>
            </w:r>
          </w:p>
        </w:tc>
      </w:tr>
      <w:tr w:rsidR="0045321C" w:rsidRPr="004A42A2"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6 juillet 2011</w:t>
            </w:r>
          </w:p>
          <w:p w:rsidR="0045321C" w:rsidRPr="006A318F" w:rsidRDefault="0045321C" w:rsidP="004F1F89">
            <w:pPr>
              <w:jc w:val="both"/>
              <w:rPr>
                <w:rFonts w:eastAsia="Calibri"/>
                <w:sz w:val="20"/>
                <w:lang w:val="fr-CA"/>
              </w:rPr>
            </w:pPr>
            <w:r w:rsidRPr="006A318F">
              <w:rPr>
                <w:rFonts w:eastAsia="Calibri"/>
                <w:sz w:val="20"/>
                <w:lang w:val="fr-CA"/>
              </w:rPr>
              <w:t>Cour d’appel du Québec (Montréal)</w:t>
            </w:r>
          </w:p>
          <w:p w:rsidR="0045321C" w:rsidRPr="006A318F" w:rsidRDefault="0045321C" w:rsidP="004F1F89">
            <w:pPr>
              <w:jc w:val="both"/>
              <w:rPr>
                <w:rFonts w:eastAsia="Calibri"/>
                <w:sz w:val="20"/>
                <w:lang w:val="fr-CA"/>
              </w:rPr>
            </w:pPr>
            <w:r w:rsidRPr="006A318F">
              <w:rPr>
                <w:rFonts w:eastAsia="Calibri"/>
                <w:sz w:val="20"/>
                <w:lang w:val="fr-CA"/>
              </w:rPr>
              <w:t>(Les juges Robert, Morissette et Bich)</w:t>
            </w:r>
          </w:p>
          <w:p w:rsidR="0045321C" w:rsidRPr="006A318F" w:rsidRDefault="0045321C" w:rsidP="004F1F89">
            <w:pPr>
              <w:jc w:val="both"/>
              <w:rPr>
                <w:rFonts w:eastAsia="Calibri"/>
                <w:sz w:val="20"/>
                <w:lang w:val="fr-CA"/>
              </w:rPr>
            </w:pPr>
            <w:r w:rsidRPr="006A318F">
              <w:rPr>
                <w:rFonts w:eastAsia="Calibri"/>
                <w:sz w:val="20"/>
                <w:lang w:val="fr-CA"/>
              </w:rPr>
              <w:t>Référence neutre : 2011 QCCA 1247</w:t>
            </w:r>
          </w:p>
          <w:p w:rsidR="0045321C" w:rsidRPr="006A318F" w:rsidRDefault="0045321C" w:rsidP="004F1F89">
            <w:pPr>
              <w:jc w:val="both"/>
              <w:rPr>
                <w:rFonts w:eastAsia="Calibri"/>
                <w:sz w:val="20"/>
                <w:lang w:val="fr-CA"/>
              </w:rPr>
            </w:pPr>
          </w:p>
        </w:tc>
        <w:tc>
          <w:tcPr>
            <w:tcW w:w="243" w:type="pct"/>
          </w:tcPr>
          <w:p w:rsidR="0045321C" w:rsidRPr="006A318F" w:rsidRDefault="0045321C" w:rsidP="004F1F89">
            <w:pPr>
              <w:jc w:val="both"/>
              <w:rPr>
                <w:rFonts w:eastAsia="Calibri"/>
                <w:sz w:val="20"/>
                <w:lang w:val="fr-FR"/>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Appel accueilli aux fins de déclarer la validité constitutionnelle de la loi; appel incident rejeté.</w:t>
            </w:r>
          </w:p>
        </w:tc>
      </w:tr>
      <w:tr w:rsidR="0045321C" w:rsidRPr="006A318F"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29 septembre 2011</w:t>
            </w:r>
          </w:p>
          <w:p w:rsidR="0045321C" w:rsidRPr="006A318F" w:rsidRDefault="0045321C" w:rsidP="004F1F89">
            <w:pPr>
              <w:jc w:val="both"/>
              <w:rPr>
                <w:rFonts w:eastAsia="Calibri"/>
                <w:sz w:val="20"/>
                <w:lang w:val="fr-FR"/>
              </w:rPr>
            </w:pPr>
            <w:r w:rsidRPr="006A318F">
              <w:rPr>
                <w:rFonts w:eastAsia="Calibri"/>
                <w:sz w:val="20"/>
                <w:lang w:val="fr-CA"/>
              </w:rPr>
              <w:t>Cour suprême du Canada</w:t>
            </w:r>
          </w:p>
        </w:tc>
        <w:tc>
          <w:tcPr>
            <w:tcW w:w="243" w:type="pct"/>
          </w:tcPr>
          <w:p w:rsidR="0045321C" w:rsidRPr="006A318F" w:rsidRDefault="0045321C" w:rsidP="004F1F89">
            <w:pPr>
              <w:jc w:val="both"/>
              <w:rPr>
                <w:rFonts w:eastAsia="Calibri"/>
                <w:sz w:val="20"/>
                <w:lang w:val="fr-FR"/>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Demande d'autorisation d'appel déposée.</w:t>
            </w: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45"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77844" w:rsidRPr="004A42A2" w:rsidTr="00E77844">
        <w:trPr>
          <w:cantSplit/>
        </w:trPr>
        <w:tc>
          <w:tcPr>
            <w:tcW w:w="1458" w:type="dxa"/>
          </w:tcPr>
          <w:p w:rsidR="00E77844" w:rsidRPr="00825F67" w:rsidRDefault="00E77844" w:rsidP="00E77844">
            <w:pPr>
              <w:rPr>
                <w:sz w:val="20"/>
                <w:szCs w:val="20"/>
              </w:rPr>
            </w:pPr>
            <w:r w:rsidRPr="00825F67">
              <w:rPr>
                <w:rStyle w:val="SCCFileNumberChar"/>
                <w:sz w:val="20"/>
                <w:szCs w:val="20"/>
              </w:rPr>
              <w:t>34493</w:t>
            </w:r>
          </w:p>
          <w:p w:rsidR="00E77844" w:rsidRPr="00825F67" w:rsidRDefault="00E77844" w:rsidP="00E77844">
            <w:pPr>
              <w:rPr>
                <w:b/>
                <w:sz w:val="20"/>
                <w:szCs w:val="20"/>
                <w:lang w:val="fr-CA"/>
              </w:rPr>
            </w:pPr>
          </w:p>
        </w:tc>
        <w:tc>
          <w:tcPr>
            <w:tcW w:w="8118" w:type="dxa"/>
          </w:tcPr>
          <w:p w:rsidR="00E77844" w:rsidRPr="00825F67" w:rsidRDefault="00E77844" w:rsidP="00E77844">
            <w:pPr>
              <w:rPr>
                <w:sz w:val="20"/>
                <w:szCs w:val="20"/>
                <w:lang w:val="fr-CA"/>
              </w:rPr>
            </w:pPr>
            <w:r w:rsidRPr="00825F67">
              <w:rPr>
                <w:rStyle w:val="SCCLsocChar"/>
                <w:sz w:val="20"/>
                <w:szCs w:val="20"/>
              </w:rPr>
              <w:t>Laurent Laroche c. Sa Majesté la Reine</w:t>
            </w:r>
            <w:r w:rsidRPr="00825F67">
              <w:rPr>
                <w:sz w:val="20"/>
                <w:szCs w:val="20"/>
                <w:lang w:val="fr-CA"/>
              </w:rPr>
              <w:t xml:space="preserve"> (Qc) (Criminelle) (Autorisation)</w:t>
            </w:r>
          </w:p>
          <w:p w:rsidR="00E77844" w:rsidRPr="00825F67" w:rsidRDefault="00E77844" w:rsidP="00E77844">
            <w:pPr>
              <w:rPr>
                <w:sz w:val="20"/>
                <w:szCs w:val="20"/>
                <w:lang w:val="fr-CA"/>
              </w:rPr>
            </w:pPr>
          </w:p>
        </w:tc>
      </w:tr>
      <w:tr w:rsidR="00E77844" w:rsidRPr="004A42A2" w:rsidTr="00E77844">
        <w:trPr>
          <w:cantSplit/>
        </w:trPr>
        <w:tc>
          <w:tcPr>
            <w:tcW w:w="1458" w:type="dxa"/>
          </w:tcPr>
          <w:p w:rsidR="00E77844" w:rsidRPr="00825F67" w:rsidRDefault="00E77844" w:rsidP="00E77844">
            <w:pPr>
              <w:rPr>
                <w:sz w:val="20"/>
                <w:szCs w:val="20"/>
              </w:rPr>
            </w:pPr>
            <w:r w:rsidRPr="00825F67">
              <w:rPr>
                <w:sz w:val="20"/>
                <w:szCs w:val="20"/>
              </w:rPr>
              <w:t>Coram :</w:t>
            </w:r>
          </w:p>
        </w:tc>
        <w:tc>
          <w:tcPr>
            <w:tcW w:w="8118" w:type="dxa"/>
          </w:tcPr>
          <w:p w:rsidR="00E77844" w:rsidRPr="00825F67" w:rsidRDefault="00E77844" w:rsidP="00E77844">
            <w:pPr>
              <w:rPr>
                <w:sz w:val="20"/>
                <w:szCs w:val="20"/>
                <w:lang w:val="fr-CA"/>
              </w:rPr>
            </w:pPr>
            <w:r w:rsidRPr="00825F67">
              <w:rPr>
                <w:rStyle w:val="SCCCoramChar"/>
                <w:sz w:val="20"/>
                <w:szCs w:val="20"/>
              </w:rPr>
              <w:t>Les juges LeBel, Abella et Cromwell</w:t>
            </w:r>
          </w:p>
          <w:p w:rsidR="00E77844" w:rsidRPr="00825F67" w:rsidRDefault="00E77844" w:rsidP="00E77844">
            <w:pPr>
              <w:rPr>
                <w:sz w:val="20"/>
                <w:szCs w:val="20"/>
                <w:u w:val="single"/>
                <w:lang w:val="fr-CA"/>
              </w:rPr>
            </w:pPr>
          </w:p>
        </w:tc>
      </w:tr>
      <w:tr w:rsidR="00E77844" w:rsidRPr="00825F67" w:rsidTr="00E77844">
        <w:trPr>
          <w:cantSplit/>
        </w:trPr>
        <w:tc>
          <w:tcPr>
            <w:tcW w:w="9576" w:type="dxa"/>
            <w:gridSpan w:val="2"/>
          </w:tcPr>
          <w:p w:rsidR="00E77844" w:rsidRPr="00825F67" w:rsidRDefault="00E77844" w:rsidP="00E77844">
            <w:pPr>
              <w:pStyle w:val="SCCShortJudgment"/>
              <w:rPr>
                <w:szCs w:val="20"/>
                <w:lang w:val="fr-CA"/>
              </w:rPr>
            </w:pPr>
            <w:r w:rsidRPr="00825F67">
              <w:rPr>
                <w:szCs w:val="20"/>
                <w:lang w:val="fr-CA"/>
              </w:rPr>
              <w:t>La demande d’autorisation d’appel de l’arrêt de la Cour d’appel du Québec (Québec), numéro 200-10-001830-053, 2011 QCCA 1891, daté du 11 octobre 2011, est rejetée sans dépens.</w:t>
            </w:r>
          </w:p>
          <w:p w:rsidR="00E77844" w:rsidRPr="00825F67" w:rsidRDefault="00E77844" w:rsidP="00E77844">
            <w:pPr>
              <w:pStyle w:val="SCCShortJudgment"/>
              <w:ind w:firstLine="0"/>
              <w:rPr>
                <w:szCs w:val="20"/>
                <w:lang w:val="fr-CA"/>
              </w:rPr>
            </w:pPr>
          </w:p>
          <w:p w:rsidR="00E77844" w:rsidRPr="00825F67" w:rsidRDefault="00E77844" w:rsidP="00E77844">
            <w:pPr>
              <w:pStyle w:val="SCCShortJudgment"/>
              <w:rPr>
                <w:szCs w:val="20"/>
              </w:rPr>
            </w:pPr>
            <w:r w:rsidRPr="00825F67">
              <w:rPr>
                <w:szCs w:val="20"/>
              </w:rPr>
              <w:t>The application for leave to appeal from the judgment of the Court of Appeal of Quebec (Québec), Number 200-10-001830-053, 2011 QCCA 1891, dated October 11, 2011, is dismissed without costs.</w:t>
            </w:r>
          </w:p>
        </w:tc>
      </w:tr>
    </w:tbl>
    <w:p w:rsidR="009B2448" w:rsidRPr="00E77844" w:rsidRDefault="009B2448" w:rsidP="009B2448">
      <w:pPr>
        <w:rPr>
          <w:sz w:val="20"/>
          <w:szCs w:val="20"/>
        </w:rPr>
      </w:pPr>
    </w:p>
    <w:p w:rsidR="00E77844" w:rsidRDefault="00E77844">
      <w:pPr>
        <w:rPr>
          <w:sz w:val="20"/>
          <w:szCs w:val="20"/>
          <w:u w:val="single"/>
        </w:rPr>
      </w:pPr>
      <w:r>
        <w:rPr>
          <w:sz w:val="20"/>
          <w:szCs w:val="20"/>
          <w:u w:val="single"/>
        </w:rPr>
        <w:br w:type="page"/>
      </w:r>
    </w:p>
    <w:p w:rsidR="009B2448" w:rsidRPr="001B157C" w:rsidRDefault="009B2448" w:rsidP="009B2448">
      <w:pPr>
        <w:rPr>
          <w:sz w:val="20"/>
          <w:szCs w:val="20"/>
          <w:u w:val="single"/>
        </w:rPr>
      </w:pPr>
      <w:r w:rsidRPr="001B157C">
        <w:rPr>
          <w:sz w:val="20"/>
          <w:szCs w:val="20"/>
          <w:u w:val="single"/>
        </w:rPr>
        <w:lastRenderedPageBreak/>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321C" w:rsidRPr="006A318F" w:rsidTr="004F1F89">
        <w:tc>
          <w:tcPr>
            <w:tcW w:w="5000" w:type="pct"/>
            <w:gridSpan w:val="3"/>
          </w:tcPr>
          <w:p w:rsidR="0045321C" w:rsidRPr="006A318F" w:rsidRDefault="0045321C" w:rsidP="004F1F89">
            <w:pPr>
              <w:shd w:val="clear" w:color="auto" w:fill="FFFFFF"/>
              <w:jc w:val="both"/>
              <w:rPr>
                <w:rFonts w:eastAsia="Calibri"/>
                <w:sz w:val="20"/>
              </w:rPr>
            </w:pPr>
            <w:r w:rsidRPr="006A318F">
              <w:rPr>
                <w:rFonts w:eastAsia="Calibri"/>
                <w:sz w:val="20"/>
              </w:rPr>
              <w:t>Criminal law – Charge to jury – Procedure – Fraud – Evidence – Whether Court of Appeal erred in law in concluding that trial judge not required to conduct inquiry concerning discharge of juror –</w:t>
            </w:r>
            <w:r w:rsidRPr="006A318F">
              <w:rPr>
                <w:rFonts w:eastAsia="Calibri"/>
                <w:iCs/>
                <w:sz w:val="20"/>
                <w:lang w:eastAsia="fr-CA"/>
              </w:rPr>
              <w:t xml:space="preserve"> Whether Court of Appeal erred in law in concluding that there was no limit on number of counts prosecution could include in indictment</w:t>
            </w:r>
            <w:r w:rsidRPr="006A318F">
              <w:rPr>
                <w:rFonts w:eastAsia="Calibri"/>
                <w:sz w:val="20"/>
              </w:rPr>
              <w:t xml:space="preserve"> –</w:t>
            </w:r>
            <w:r w:rsidRPr="006A318F">
              <w:rPr>
                <w:rFonts w:eastAsia="Calibri"/>
                <w:iCs/>
                <w:sz w:val="20"/>
                <w:lang w:eastAsia="fr-CA"/>
              </w:rPr>
              <w:t xml:space="preserve"> Whether Court of Appeal erred in law in concluding that appearance of trial fairness not compromised when trial judge intervened to deal with various requests made to him by members of jury</w:t>
            </w:r>
            <w:r w:rsidRPr="006A318F">
              <w:rPr>
                <w:rFonts w:eastAsia="Calibri"/>
                <w:sz w:val="20"/>
              </w:rPr>
              <w:t xml:space="preserve"> –</w:t>
            </w:r>
            <w:r w:rsidRPr="006A318F">
              <w:rPr>
                <w:rFonts w:eastAsia="Calibri"/>
                <w:iCs/>
                <w:sz w:val="20"/>
                <w:lang w:eastAsia="fr-CA"/>
              </w:rPr>
              <w:t xml:space="preserve"> Whether Court of Appeal erred in law in concluding that fraud could be proved having regard to nature of risk of monetary deprivation and trial judge’s charge on this point</w:t>
            </w:r>
            <w:r w:rsidRPr="006A318F">
              <w:rPr>
                <w:rFonts w:eastAsia="Calibri"/>
                <w:sz w:val="20"/>
              </w:rPr>
              <w:t xml:space="preserve"> – Whether Court of Appeal erred in law in concluding that applicant could be convicted of using forged document without intent to defraud – Whether Court of Appeal erred in law in concluding that trial judge had adequately corrected statements made by counsel for respondent during closing argument – </w:t>
            </w:r>
            <w:r w:rsidRPr="006A318F">
              <w:rPr>
                <w:rFonts w:eastAsia="Calibri"/>
                <w:i/>
                <w:sz w:val="20"/>
              </w:rPr>
              <w:t>Criminal Code</w:t>
            </w:r>
            <w:r w:rsidRPr="006A318F">
              <w:rPr>
                <w:rFonts w:eastAsia="Calibri"/>
                <w:sz w:val="20"/>
              </w:rPr>
              <w:t>, R.S.C. 1985, c. C</w:t>
            </w:r>
            <w:r w:rsidRPr="006A318F">
              <w:rPr>
                <w:rFonts w:eastAsia="Calibri"/>
                <w:sz w:val="20"/>
              </w:rPr>
              <w:noBreakHyphen/>
              <w:t>46, ss. 321, 366(1), 368(1), 380(1), 591, 644(1).</w:t>
            </w:r>
          </w:p>
        </w:tc>
      </w:tr>
      <w:tr w:rsidR="0045321C" w:rsidRPr="006A318F" w:rsidTr="004F1F89">
        <w:tc>
          <w:tcPr>
            <w:tcW w:w="5000" w:type="pct"/>
            <w:gridSpan w:val="3"/>
          </w:tcPr>
          <w:p w:rsidR="0045321C" w:rsidRPr="006A318F" w:rsidRDefault="0045321C" w:rsidP="004F1F89">
            <w:pPr>
              <w:jc w:val="both"/>
              <w:rPr>
                <w:rFonts w:eastAsia="Calibri"/>
                <w:sz w:val="20"/>
              </w:rPr>
            </w:pPr>
          </w:p>
        </w:tc>
      </w:tr>
      <w:tr w:rsidR="0045321C" w:rsidRPr="006A318F" w:rsidTr="004F1F89">
        <w:tc>
          <w:tcPr>
            <w:tcW w:w="5000" w:type="pct"/>
            <w:gridSpan w:val="3"/>
          </w:tcPr>
          <w:p w:rsidR="0045321C" w:rsidRPr="006A318F" w:rsidRDefault="0045321C" w:rsidP="004F1F89">
            <w:pPr>
              <w:jc w:val="both"/>
              <w:rPr>
                <w:rFonts w:eastAsia="Calibri"/>
                <w:sz w:val="20"/>
              </w:rPr>
            </w:pPr>
            <w:r w:rsidRPr="006A318F">
              <w:rPr>
                <w:rFonts w:eastAsia="Calibri"/>
                <w:sz w:val="20"/>
              </w:rPr>
              <w:t>The applicant operated Garage Côté Laroche Inc., whose main activity was repairing seriously damaged road vehicles.  The lease of industrial condominiums was added to the business and was a significant source of income.  During an audit, an employee of the Société de l’assurance automobile du Québec (SAAQ) found serious irregularities in five records of rebuilding submitted by the Garage.  Convinced that the vehicles’ certificates of technical compliance had been obtained illegally, the government employee handed the files over to the police.  Following an investigation, a number of the vehicles in issue were seized and the Crown charged the applicant with forgery, use of a forged document and possession of stolen property.  The police investigation subsequently expanded to dozens of records of rebuilding and to purchases of immovable property.</w:t>
            </w:r>
          </w:p>
          <w:p w:rsidR="0045321C" w:rsidRPr="006A318F" w:rsidRDefault="0045321C" w:rsidP="004F1F89">
            <w:pPr>
              <w:jc w:val="both"/>
              <w:rPr>
                <w:rFonts w:eastAsia="Calibri"/>
                <w:sz w:val="20"/>
              </w:rPr>
            </w:pPr>
          </w:p>
          <w:p w:rsidR="0045321C" w:rsidRPr="006A318F" w:rsidRDefault="0045321C" w:rsidP="004F1F89">
            <w:pPr>
              <w:jc w:val="both"/>
              <w:rPr>
                <w:rFonts w:eastAsia="Calibri"/>
                <w:sz w:val="20"/>
              </w:rPr>
            </w:pPr>
            <w:r w:rsidRPr="006A318F">
              <w:rPr>
                <w:rFonts w:eastAsia="Calibri"/>
                <w:sz w:val="20"/>
              </w:rPr>
              <w:t xml:space="preserve">The applicant was ultimately charged with 342 counts and tried before a jury on 334 counts, including making a false document, s. 366(1) </w:t>
            </w:r>
            <w:r w:rsidRPr="006A318F">
              <w:rPr>
                <w:rFonts w:eastAsia="Calibri"/>
                <w:i/>
                <w:iCs/>
                <w:sz w:val="20"/>
              </w:rPr>
              <w:t>Cr.C.</w:t>
            </w:r>
            <w:r w:rsidRPr="006A318F">
              <w:rPr>
                <w:rFonts w:eastAsia="Calibri"/>
                <w:sz w:val="20"/>
              </w:rPr>
              <w:t xml:space="preserve"> (7 counts); use of a forged document, s. 368(1) </w:t>
            </w:r>
            <w:r w:rsidRPr="006A318F">
              <w:rPr>
                <w:rFonts w:eastAsia="Calibri"/>
                <w:i/>
                <w:iCs/>
                <w:sz w:val="20"/>
              </w:rPr>
              <w:t>Cr.C.</w:t>
            </w:r>
            <w:r w:rsidRPr="006A318F">
              <w:rPr>
                <w:rFonts w:eastAsia="Calibri"/>
                <w:sz w:val="20"/>
              </w:rPr>
              <w:t xml:space="preserve"> (134 counts); possession of stolen property, s. 354(1) </w:t>
            </w:r>
            <w:r w:rsidRPr="006A318F">
              <w:rPr>
                <w:rFonts w:eastAsia="Calibri"/>
                <w:i/>
                <w:iCs/>
                <w:sz w:val="20"/>
              </w:rPr>
              <w:t>Cr.C.</w:t>
            </w:r>
            <w:r w:rsidRPr="006A318F">
              <w:rPr>
                <w:rFonts w:eastAsia="Calibri"/>
                <w:sz w:val="20"/>
              </w:rPr>
              <w:t xml:space="preserve"> (49 counts); fraud, s. 380(1) </w:t>
            </w:r>
            <w:r w:rsidRPr="006A318F">
              <w:rPr>
                <w:rFonts w:eastAsia="Calibri"/>
                <w:i/>
                <w:iCs/>
                <w:sz w:val="20"/>
              </w:rPr>
              <w:t>Cr.C.</w:t>
            </w:r>
            <w:r w:rsidRPr="006A318F">
              <w:rPr>
                <w:rFonts w:eastAsia="Calibri"/>
                <w:sz w:val="20"/>
              </w:rPr>
              <w:t xml:space="preserve"> (140 counts); and possession of property obtained by crime, s. 354(1) </w:t>
            </w:r>
            <w:r w:rsidRPr="006A318F">
              <w:rPr>
                <w:rFonts w:eastAsia="Calibri"/>
                <w:i/>
                <w:iCs/>
                <w:sz w:val="20"/>
              </w:rPr>
              <w:t>Cr.C.</w:t>
            </w:r>
            <w:r w:rsidRPr="006A318F">
              <w:rPr>
                <w:rFonts w:eastAsia="Calibri"/>
                <w:sz w:val="20"/>
              </w:rPr>
              <w:t xml:space="preserve"> (4 counts).</w:t>
            </w:r>
          </w:p>
          <w:p w:rsidR="0045321C" w:rsidRPr="006A318F" w:rsidRDefault="0045321C" w:rsidP="004F1F89">
            <w:pPr>
              <w:spacing w:line="180" w:lineRule="auto"/>
              <w:jc w:val="both"/>
              <w:rPr>
                <w:rFonts w:eastAsia="Calibri"/>
                <w:sz w:val="20"/>
              </w:rPr>
            </w:pPr>
          </w:p>
        </w:tc>
      </w:tr>
      <w:tr w:rsidR="0045321C" w:rsidRPr="006A318F" w:rsidTr="004F1F89">
        <w:tc>
          <w:tcPr>
            <w:tcW w:w="2427" w:type="pct"/>
          </w:tcPr>
          <w:p w:rsidR="0045321C" w:rsidRPr="006A318F" w:rsidRDefault="0045321C" w:rsidP="004F1F89">
            <w:pPr>
              <w:jc w:val="both"/>
              <w:rPr>
                <w:rFonts w:eastAsia="Calibri"/>
                <w:sz w:val="20"/>
              </w:rPr>
            </w:pPr>
            <w:r w:rsidRPr="006A318F">
              <w:rPr>
                <w:rFonts w:eastAsia="Calibri"/>
                <w:sz w:val="20"/>
              </w:rPr>
              <w:t>November 3, 2005</w:t>
            </w:r>
          </w:p>
          <w:p w:rsidR="0045321C" w:rsidRPr="006A318F" w:rsidRDefault="0045321C" w:rsidP="004F1F89">
            <w:pPr>
              <w:jc w:val="both"/>
              <w:rPr>
                <w:rFonts w:eastAsia="Calibri"/>
                <w:sz w:val="20"/>
              </w:rPr>
            </w:pPr>
            <w:r w:rsidRPr="006A318F">
              <w:rPr>
                <w:rFonts w:eastAsia="Calibri"/>
                <w:sz w:val="20"/>
              </w:rPr>
              <w:t>Quebec Superior Court</w:t>
            </w:r>
          </w:p>
          <w:p w:rsidR="0045321C" w:rsidRPr="006A318F" w:rsidRDefault="0045321C" w:rsidP="004F1F89">
            <w:pPr>
              <w:jc w:val="both"/>
              <w:rPr>
                <w:rFonts w:eastAsia="Calibri"/>
                <w:sz w:val="20"/>
              </w:rPr>
            </w:pPr>
            <w:r w:rsidRPr="006A318F">
              <w:rPr>
                <w:rFonts w:eastAsia="Calibri"/>
                <w:sz w:val="20"/>
              </w:rPr>
              <w:t>(Lévesque J.)</w:t>
            </w:r>
          </w:p>
          <w:p w:rsidR="0045321C" w:rsidRPr="006A318F" w:rsidRDefault="0045321C" w:rsidP="004F1F89">
            <w:pPr>
              <w:jc w:val="both"/>
              <w:rPr>
                <w:rFonts w:eastAsia="Calibri"/>
                <w:sz w:val="20"/>
              </w:rPr>
            </w:pPr>
            <w:r w:rsidRPr="006A318F">
              <w:rPr>
                <w:rFonts w:eastAsia="Calibri"/>
                <w:sz w:val="20"/>
              </w:rPr>
              <w:t>C.S.Q. 200-01-092260-045</w:t>
            </w:r>
          </w:p>
        </w:tc>
        <w:tc>
          <w:tcPr>
            <w:tcW w:w="243" w:type="pct"/>
          </w:tcPr>
          <w:p w:rsidR="0045321C" w:rsidRPr="006A318F" w:rsidRDefault="0045321C" w:rsidP="004F1F89">
            <w:pPr>
              <w:jc w:val="both"/>
              <w:rPr>
                <w:rFonts w:eastAsia="Calibri"/>
                <w:sz w:val="20"/>
              </w:rPr>
            </w:pPr>
          </w:p>
        </w:tc>
        <w:tc>
          <w:tcPr>
            <w:tcW w:w="2330" w:type="pct"/>
          </w:tcPr>
          <w:p w:rsidR="0045321C" w:rsidRPr="006A318F" w:rsidRDefault="0045321C" w:rsidP="004F1F89">
            <w:pPr>
              <w:jc w:val="both"/>
              <w:rPr>
                <w:rFonts w:eastAsia="Calibri"/>
                <w:sz w:val="20"/>
              </w:rPr>
            </w:pPr>
            <w:r w:rsidRPr="006A318F">
              <w:rPr>
                <w:rFonts w:eastAsia="Calibri"/>
                <w:sz w:val="20"/>
              </w:rPr>
              <w:t xml:space="preserve">Guilty verdicts returned by jury on 31 counts of use of forged document (s. 368(1) </w:t>
            </w:r>
            <w:r w:rsidRPr="006A318F">
              <w:rPr>
                <w:rFonts w:eastAsia="Calibri"/>
                <w:i/>
                <w:sz w:val="20"/>
              </w:rPr>
              <w:t>Cr.C.</w:t>
            </w:r>
            <w:r w:rsidRPr="006A318F">
              <w:rPr>
                <w:rFonts w:eastAsia="Calibri"/>
                <w:sz w:val="20"/>
              </w:rPr>
              <w:t xml:space="preserve">), 38 counts of possession of stolen property (s. 354(1) </w:t>
            </w:r>
            <w:r w:rsidRPr="006A318F">
              <w:rPr>
                <w:rFonts w:eastAsia="Calibri"/>
                <w:i/>
                <w:sz w:val="20"/>
              </w:rPr>
              <w:t>Cr.C.</w:t>
            </w:r>
            <w:r w:rsidRPr="006A318F">
              <w:rPr>
                <w:rFonts w:eastAsia="Calibri"/>
                <w:sz w:val="20"/>
              </w:rPr>
              <w:t xml:space="preserve">) and 100 counts of fraud (s. 380(1) </w:t>
            </w:r>
            <w:r w:rsidRPr="006A318F">
              <w:rPr>
                <w:rFonts w:eastAsia="Calibri"/>
                <w:i/>
                <w:sz w:val="20"/>
              </w:rPr>
              <w:t>Cr.C.</w:t>
            </w:r>
            <w:r w:rsidRPr="006A318F">
              <w:rPr>
                <w:rFonts w:eastAsia="Calibri"/>
                <w:sz w:val="20"/>
              </w:rPr>
              <w:t>).</w:t>
            </w:r>
          </w:p>
          <w:p w:rsidR="0045321C" w:rsidRPr="006A318F" w:rsidRDefault="0045321C" w:rsidP="004F1F89">
            <w:pPr>
              <w:jc w:val="both"/>
              <w:rPr>
                <w:rFonts w:eastAsia="Calibri"/>
                <w:sz w:val="20"/>
              </w:rPr>
            </w:pPr>
          </w:p>
        </w:tc>
      </w:tr>
      <w:tr w:rsidR="0045321C" w:rsidRPr="006A318F" w:rsidTr="004F1F89">
        <w:tc>
          <w:tcPr>
            <w:tcW w:w="2427" w:type="pct"/>
          </w:tcPr>
          <w:p w:rsidR="0045321C" w:rsidRPr="006A318F" w:rsidRDefault="0045321C" w:rsidP="004F1F89">
            <w:pPr>
              <w:jc w:val="both"/>
              <w:rPr>
                <w:rFonts w:eastAsia="Calibri"/>
                <w:sz w:val="20"/>
              </w:rPr>
            </w:pPr>
            <w:r w:rsidRPr="006A318F">
              <w:rPr>
                <w:rFonts w:eastAsia="Calibri"/>
                <w:sz w:val="20"/>
              </w:rPr>
              <w:t>October 11, 2011</w:t>
            </w:r>
          </w:p>
          <w:p w:rsidR="0045321C" w:rsidRPr="006A318F" w:rsidRDefault="0045321C" w:rsidP="004F1F89">
            <w:pPr>
              <w:jc w:val="both"/>
              <w:rPr>
                <w:rFonts w:eastAsia="Calibri"/>
                <w:sz w:val="20"/>
              </w:rPr>
            </w:pPr>
            <w:r w:rsidRPr="006A318F">
              <w:rPr>
                <w:rFonts w:eastAsia="Calibri"/>
                <w:sz w:val="20"/>
              </w:rPr>
              <w:t>Quebec Court of Appeal (Québec)</w:t>
            </w:r>
          </w:p>
          <w:p w:rsidR="0045321C" w:rsidRPr="006A318F" w:rsidRDefault="0045321C" w:rsidP="004F1F89">
            <w:pPr>
              <w:jc w:val="both"/>
              <w:rPr>
                <w:rFonts w:eastAsia="Calibri"/>
                <w:sz w:val="20"/>
              </w:rPr>
            </w:pPr>
            <w:r w:rsidRPr="006A318F">
              <w:rPr>
                <w:rFonts w:eastAsia="Calibri"/>
                <w:sz w:val="20"/>
              </w:rPr>
              <w:t>(Rochette, Vézina and Wagner JJ.A.)</w:t>
            </w:r>
          </w:p>
          <w:p w:rsidR="0045321C" w:rsidRPr="006A318F" w:rsidRDefault="0045321C" w:rsidP="004F1F89">
            <w:pPr>
              <w:jc w:val="both"/>
              <w:rPr>
                <w:rFonts w:eastAsia="Calibri"/>
                <w:sz w:val="20"/>
              </w:rPr>
            </w:pPr>
            <w:r w:rsidRPr="006A318F">
              <w:rPr>
                <w:rFonts w:eastAsia="Calibri"/>
                <w:sz w:val="20"/>
              </w:rPr>
              <w:t>C.A.Q. 200-10-001830-053</w:t>
            </w:r>
          </w:p>
          <w:p w:rsidR="0045321C" w:rsidRPr="006A318F" w:rsidRDefault="0045321C" w:rsidP="004F1F89">
            <w:pPr>
              <w:jc w:val="both"/>
              <w:rPr>
                <w:rFonts w:eastAsia="Calibri"/>
                <w:sz w:val="20"/>
              </w:rPr>
            </w:pPr>
            <w:r w:rsidRPr="006A318F">
              <w:rPr>
                <w:rFonts w:eastAsia="Calibri"/>
                <w:sz w:val="20"/>
              </w:rPr>
              <w:t>Neutral citation: 2011 QCCA 1891</w:t>
            </w:r>
          </w:p>
          <w:p w:rsidR="0045321C" w:rsidRPr="006A318F" w:rsidRDefault="0045321C" w:rsidP="004F1F89">
            <w:pPr>
              <w:jc w:val="both"/>
              <w:rPr>
                <w:rFonts w:eastAsia="Calibri"/>
                <w:sz w:val="20"/>
              </w:rPr>
            </w:pPr>
          </w:p>
        </w:tc>
        <w:tc>
          <w:tcPr>
            <w:tcW w:w="243" w:type="pct"/>
          </w:tcPr>
          <w:p w:rsidR="0045321C" w:rsidRPr="006A318F" w:rsidRDefault="0045321C" w:rsidP="004F1F89">
            <w:pPr>
              <w:jc w:val="both"/>
              <w:rPr>
                <w:rFonts w:eastAsia="Calibri"/>
                <w:sz w:val="20"/>
              </w:rPr>
            </w:pPr>
          </w:p>
        </w:tc>
        <w:tc>
          <w:tcPr>
            <w:tcW w:w="2330" w:type="pct"/>
          </w:tcPr>
          <w:p w:rsidR="0045321C" w:rsidRPr="006A318F" w:rsidRDefault="0045321C" w:rsidP="004F1F89">
            <w:pPr>
              <w:jc w:val="both"/>
              <w:rPr>
                <w:rFonts w:eastAsia="Calibri"/>
                <w:sz w:val="20"/>
              </w:rPr>
            </w:pPr>
            <w:r w:rsidRPr="006A318F">
              <w:rPr>
                <w:rFonts w:eastAsia="Calibri"/>
                <w:sz w:val="20"/>
              </w:rPr>
              <w:t xml:space="preserve">Guilty verdicts upheld except on 6 counts of possession of stolen property (s. 354(1) </w:t>
            </w:r>
            <w:r w:rsidRPr="006A318F">
              <w:rPr>
                <w:rFonts w:eastAsia="Calibri"/>
                <w:i/>
                <w:sz w:val="20"/>
              </w:rPr>
              <w:t>Cr.C.</w:t>
            </w:r>
            <w:r w:rsidRPr="006A318F">
              <w:rPr>
                <w:rFonts w:eastAsia="Calibri"/>
                <w:sz w:val="20"/>
              </w:rPr>
              <w:t xml:space="preserve">) and 28 counts of fraud (s. 380(1) </w:t>
            </w:r>
            <w:r w:rsidRPr="006A318F">
              <w:rPr>
                <w:rFonts w:eastAsia="Calibri"/>
                <w:i/>
                <w:sz w:val="20"/>
              </w:rPr>
              <w:t>Cr.C.</w:t>
            </w:r>
            <w:r w:rsidRPr="006A318F">
              <w:rPr>
                <w:rFonts w:eastAsia="Calibri"/>
                <w:sz w:val="20"/>
              </w:rPr>
              <w:t>).</w:t>
            </w:r>
          </w:p>
          <w:p w:rsidR="0045321C" w:rsidRPr="006A318F" w:rsidRDefault="0045321C" w:rsidP="004F1F89">
            <w:pPr>
              <w:jc w:val="both"/>
              <w:rPr>
                <w:rFonts w:eastAsia="Calibri"/>
                <w:sz w:val="20"/>
              </w:rPr>
            </w:pPr>
          </w:p>
        </w:tc>
      </w:tr>
      <w:tr w:rsidR="0045321C" w:rsidRPr="006A318F" w:rsidTr="004F1F89">
        <w:tc>
          <w:tcPr>
            <w:tcW w:w="2427" w:type="pct"/>
          </w:tcPr>
          <w:p w:rsidR="0045321C" w:rsidRPr="006A318F" w:rsidRDefault="0045321C" w:rsidP="004F1F89">
            <w:pPr>
              <w:jc w:val="both"/>
              <w:rPr>
                <w:rFonts w:eastAsia="Calibri"/>
                <w:sz w:val="20"/>
              </w:rPr>
            </w:pPr>
            <w:r w:rsidRPr="006A318F">
              <w:rPr>
                <w:rFonts w:eastAsia="Calibri"/>
                <w:sz w:val="20"/>
              </w:rPr>
              <w:t>December 9, 2011</w:t>
            </w:r>
          </w:p>
          <w:p w:rsidR="0045321C" w:rsidRPr="006A318F" w:rsidRDefault="0045321C" w:rsidP="004F1F89">
            <w:pPr>
              <w:jc w:val="both"/>
              <w:rPr>
                <w:rFonts w:eastAsia="Calibri"/>
                <w:sz w:val="20"/>
              </w:rPr>
            </w:pPr>
            <w:r w:rsidRPr="006A318F">
              <w:rPr>
                <w:rFonts w:eastAsia="Calibri"/>
                <w:sz w:val="20"/>
              </w:rPr>
              <w:t>Supreme Court of Canada</w:t>
            </w:r>
          </w:p>
        </w:tc>
        <w:tc>
          <w:tcPr>
            <w:tcW w:w="243" w:type="pct"/>
          </w:tcPr>
          <w:p w:rsidR="0045321C" w:rsidRPr="006A318F" w:rsidRDefault="0045321C" w:rsidP="004F1F89">
            <w:pPr>
              <w:jc w:val="both"/>
              <w:rPr>
                <w:rFonts w:eastAsia="Calibri"/>
                <w:sz w:val="20"/>
              </w:rPr>
            </w:pPr>
          </w:p>
        </w:tc>
        <w:tc>
          <w:tcPr>
            <w:tcW w:w="2330" w:type="pct"/>
          </w:tcPr>
          <w:p w:rsidR="0045321C" w:rsidRPr="006A318F" w:rsidRDefault="0045321C" w:rsidP="004F1F89">
            <w:pPr>
              <w:jc w:val="both"/>
              <w:rPr>
                <w:rFonts w:eastAsia="Calibri"/>
                <w:sz w:val="20"/>
              </w:rPr>
            </w:pPr>
            <w:r w:rsidRPr="006A318F">
              <w:rPr>
                <w:rFonts w:eastAsia="Calibri"/>
                <w:sz w:val="20"/>
              </w:rPr>
              <w:t>Application for leave to appeal filed</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46"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321C" w:rsidRPr="0090187F" w:rsidTr="004F1F89">
        <w:tc>
          <w:tcPr>
            <w:tcW w:w="5000" w:type="pct"/>
            <w:gridSpan w:val="3"/>
          </w:tcPr>
          <w:p w:rsidR="0045321C" w:rsidRPr="006A318F" w:rsidRDefault="0045321C" w:rsidP="004F1F89">
            <w:pPr>
              <w:shd w:val="clear" w:color="auto" w:fill="FFFFFF"/>
              <w:jc w:val="both"/>
              <w:rPr>
                <w:rFonts w:eastAsia="Calibri"/>
                <w:sz w:val="20"/>
                <w:lang w:val="fr-CA"/>
              </w:rPr>
            </w:pPr>
            <w:r w:rsidRPr="006A318F">
              <w:rPr>
                <w:rFonts w:eastAsia="Calibri"/>
                <w:sz w:val="20"/>
                <w:lang w:val="fr-CA"/>
              </w:rPr>
              <w:t>Droit criminel – Directives au jury – Procédure –Fraude – Preuve – La Cour d’appel a</w:t>
            </w:r>
            <w:r w:rsidRPr="006A318F">
              <w:rPr>
                <w:rFonts w:eastAsia="Calibri"/>
                <w:sz w:val="20"/>
                <w:lang w:val="fr-CA"/>
              </w:rPr>
              <w:noBreakHyphen/>
              <w:t>t</w:t>
            </w:r>
            <w:r w:rsidRPr="006A318F">
              <w:rPr>
                <w:rFonts w:eastAsia="Calibri"/>
                <w:sz w:val="20"/>
                <w:lang w:val="fr-CA"/>
              </w:rPr>
              <w:noBreakHyphen/>
              <w:t>elle erré en droit en concluant qu’un juge d’instance n’était pas tenu de mener une enquête sur la libération d’un juré? –</w:t>
            </w:r>
            <w:r w:rsidRPr="006A318F">
              <w:rPr>
                <w:rFonts w:eastAsia="Calibri"/>
                <w:iCs/>
                <w:sz w:val="20"/>
                <w:lang w:val="fr-CA" w:eastAsia="fr-CA"/>
              </w:rPr>
              <w:t xml:space="preserve"> </w:t>
            </w:r>
            <w:r w:rsidRPr="006A318F">
              <w:rPr>
                <w:rFonts w:eastAsia="Calibri"/>
                <w:sz w:val="20"/>
                <w:lang w:val="fr-CA"/>
              </w:rPr>
              <w:t>La Cour d’appel a</w:t>
            </w:r>
            <w:r w:rsidRPr="006A318F">
              <w:rPr>
                <w:rFonts w:eastAsia="Calibri"/>
                <w:sz w:val="20"/>
                <w:lang w:val="fr-CA"/>
              </w:rPr>
              <w:noBreakHyphen/>
              <w:t>t</w:t>
            </w:r>
            <w:r w:rsidRPr="006A318F">
              <w:rPr>
                <w:rFonts w:eastAsia="Calibri"/>
                <w:sz w:val="20"/>
                <w:lang w:val="fr-CA"/>
              </w:rPr>
              <w:noBreakHyphen/>
              <w:t>elle erré en droit en concluant qu’il n’y avait pas de limite au nombre de chefs que la poursuite pouvait inclure dans un acte d’accusation? –</w:t>
            </w:r>
            <w:r w:rsidRPr="006A318F">
              <w:rPr>
                <w:rFonts w:eastAsia="Calibri"/>
                <w:iCs/>
                <w:sz w:val="20"/>
                <w:lang w:val="fr-CA" w:eastAsia="fr-CA"/>
              </w:rPr>
              <w:t xml:space="preserve"> </w:t>
            </w:r>
            <w:r w:rsidRPr="006A318F">
              <w:rPr>
                <w:rFonts w:eastAsia="Calibri"/>
                <w:sz w:val="20"/>
                <w:lang w:val="fr-CA"/>
              </w:rPr>
              <w:t>La Cour d’appel a</w:t>
            </w:r>
            <w:r w:rsidRPr="006A318F">
              <w:rPr>
                <w:rFonts w:eastAsia="Calibri"/>
                <w:sz w:val="20"/>
                <w:lang w:val="fr-CA"/>
              </w:rPr>
              <w:noBreakHyphen/>
              <w:t>t</w:t>
            </w:r>
            <w:r w:rsidRPr="006A318F">
              <w:rPr>
                <w:rFonts w:eastAsia="Calibri"/>
                <w:sz w:val="20"/>
                <w:lang w:val="fr-CA"/>
              </w:rPr>
              <w:noBreakHyphen/>
              <w:t>elle erré en droit en concluant que l’apparence d’un procès juste et équitable n’avait pas été rompue lorsque le juge du procès est intervenu pour régler diverses demandes qui lui ont été adressées par des membres du jury? –</w:t>
            </w:r>
            <w:r w:rsidRPr="006A318F">
              <w:rPr>
                <w:rFonts w:eastAsia="Calibri"/>
                <w:iCs/>
                <w:sz w:val="20"/>
                <w:lang w:val="fr-CA" w:eastAsia="fr-CA"/>
              </w:rPr>
              <w:t xml:space="preserve"> </w:t>
            </w:r>
            <w:r w:rsidRPr="006A318F">
              <w:rPr>
                <w:rFonts w:eastAsia="Calibri"/>
                <w:sz w:val="20"/>
                <w:lang w:val="fr-CA"/>
              </w:rPr>
              <w:t>La Cour d’appel a</w:t>
            </w:r>
            <w:r w:rsidRPr="006A318F">
              <w:rPr>
                <w:rFonts w:eastAsia="Calibri"/>
                <w:sz w:val="20"/>
                <w:lang w:val="fr-CA"/>
              </w:rPr>
              <w:noBreakHyphen/>
              <w:t>t</w:t>
            </w:r>
            <w:r w:rsidRPr="006A318F">
              <w:rPr>
                <w:rFonts w:eastAsia="Calibri"/>
                <w:sz w:val="20"/>
                <w:lang w:val="fr-CA"/>
              </w:rPr>
              <w:noBreakHyphen/>
              <w:t xml:space="preserve">elle erré en droit en concluant qu’une fraude pouvait être prouvée compte tenu de la nature du risque de privation monétaire et les directives du juge du procès à cet égard? – La Cour </w:t>
            </w:r>
            <w:r w:rsidRPr="006A318F">
              <w:rPr>
                <w:rFonts w:eastAsia="Calibri"/>
                <w:sz w:val="20"/>
                <w:lang w:val="fr-CA"/>
              </w:rPr>
              <w:lastRenderedPageBreak/>
              <w:t>d’appel a</w:t>
            </w:r>
            <w:r w:rsidRPr="006A318F">
              <w:rPr>
                <w:rFonts w:eastAsia="Calibri"/>
                <w:sz w:val="20"/>
                <w:lang w:val="fr-CA"/>
              </w:rPr>
              <w:noBreakHyphen/>
              <w:t>t</w:t>
            </w:r>
            <w:r w:rsidRPr="006A318F">
              <w:rPr>
                <w:rFonts w:eastAsia="Calibri"/>
                <w:sz w:val="20"/>
                <w:lang w:val="fr-CA"/>
              </w:rPr>
              <w:noBreakHyphen/>
              <w:t>elle erré en droit en concluant que le demandeur pouvait être condamné pour usage de faux en marge d’une intention de frauder? – La Cour d’appel a</w:t>
            </w:r>
            <w:r w:rsidRPr="006A318F">
              <w:rPr>
                <w:rFonts w:eastAsia="Calibri"/>
                <w:sz w:val="20"/>
                <w:lang w:val="fr-CA"/>
              </w:rPr>
              <w:noBreakHyphen/>
              <w:t>t</w:t>
            </w:r>
            <w:r w:rsidRPr="006A318F">
              <w:rPr>
                <w:rFonts w:eastAsia="Calibri"/>
                <w:sz w:val="20"/>
                <w:lang w:val="fr-CA"/>
              </w:rPr>
              <w:noBreakHyphen/>
              <w:t xml:space="preserve">elle erré en droit en concluant que le juge du procès avait adéquatement corrigé les propos du procureur de l’intimée lors de sa plaidoirie finale? – </w:t>
            </w:r>
            <w:r w:rsidRPr="006A318F">
              <w:rPr>
                <w:rFonts w:eastAsia="Calibri"/>
                <w:i/>
                <w:sz w:val="20"/>
                <w:lang w:val="fr-CA"/>
              </w:rPr>
              <w:t>Code criminel</w:t>
            </w:r>
            <w:r w:rsidRPr="006A318F">
              <w:rPr>
                <w:rFonts w:eastAsia="Calibri"/>
                <w:sz w:val="20"/>
                <w:lang w:val="fr-CA"/>
              </w:rPr>
              <w:t>, L.R.C. 1985, ch. C</w:t>
            </w:r>
            <w:r w:rsidRPr="006A318F">
              <w:rPr>
                <w:rFonts w:eastAsia="Calibri"/>
                <w:sz w:val="20"/>
                <w:lang w:val="fr-CA"/>
              </w:rPr>
              <w:noBreakHyphen/>
              <w:t>46, art. 321, 366(1), 368(1), 380(1), 591, 644(1).</w:t>
            </w:r>
          </w:p>
        </w:tc>
      </w:tr>
      <w:tr w:rsidR="0045321C" w:rsidRPr="0090187F" w:rsidTr="004F1F89">
        <w:tc>
          <w:tcPr>
            <w:tcW w:w="5000" w:type="pct"/>
            <w:gridSpan w:val="3"/>
          </w:tcPr>
          <w:p w:rsidR="0045321C" w:rsidRPr="006A318F" w:rsidRDefault="0045321C" w:rsidP="004F1F89">
            <w:pPr>
              <w:jc w:val="both"/>
              <w:rPr>
                <w:rFonts w:eastAsia="Calibri"/>
                <w:sz w:val="20"/>
                <w:lang w:val="fr-CA"/>
              </w:rPr>
            </w:pPr>
          </w:p>
        </w:tc>
      </w:tr>
      <w:tr w:rsidR="0045321C" w:rsidRPr="004A42A2" w:rsidTr="004F1F89">
        <w:tc>
          <w:tcPr>
            <w:tcW w:w="5000" w:type="pct"/>
            <w:gridSpan w:val="3"/>
          </w:tcPr>
          <w:p w:rsidR="0045321C" w:rsidRPr="006A318F" w:rsidRDefault="0045321C" w:rsidP="004F1F89">
            <w:pPr>
              <w:jc w:val="both"/>
              <w:rPr>
                <w:rFonts w:eastAsia="Calibri"/>
                <w:sz w:val="20"/>
                <w:lang w:val="fr-CA"/>
              </w:rPr>
            </w:pPr>
            <w:r w:rsidRPr="006A318F">
              <w:rPr>
                <w:rFonts w:eastAsia="Calibri"/>
                <w:sz w:val="20"/>
                <w:lang w:val="fr-CA"/>
              </w:rPr>
              <w:t>Le demandeur exploitait le Garage Côté Laroche Inc. dont la principale activité est la réparation de véhicules routiers gravement accidentés.  La location de condominiums industriels s’est ajoutée au commerce et représente une source importante de revenus.  Au cours d’une vérification, un employé de la Société de l’assurance automobile du Québec (SAAQ) constate que cinq dossiers de reconstruction présentés par le Garage comportent des irrégularités graves.  Convaincu que les certificats de conformité technique des véhicules ont été obtenus illégalement, le fonctionnaire remet les dossiers au service de police.  Après enquête, un certain nombre de véhicules en cause sont saisis et le ministère public porte des accusations de faux, d’usage de faux et de recel contre le demandeur.  L’enquête policière s’est par la suite étendue à des dizaines de dossiers de reconstruction ainsi qu’à des acquisitions immobilières.</w:t>
            </w:r>
          </w:p>
          <w:p w:rsidR="0045321C" w:rsidRPr="006A318F" w:rsidRDefault="0045321C" w:rsidP="004F1F89">
            <w:pPr>
              <w:jc w:val="both"/>
              <w:rPr>
                <w:rFonts w:eastAsia="Calibri"/>
                <w:sz w:val="20"/>
                <w:lang w:val="fr-CA"/>
              </w:rPr>
            </w:pPr>
          </w:p>
          <w:p w:rsidR="0045321C" w:rsidRPr="006A318F" w:rsidRDefault="0045321C" w:rsidP="004F1F89">
            <w:pPr>
              <w:jc w:val="both"/>
              <w:rPr>
                <w:rFonts w:eastAsia="Calibri"/>
                <w:sz w:val="20"/>
                <w:lang w:val="fr-CA"/>
              </w:rPr>
            </w:pPr>
            <w:r w:rsidRPr="006A318F">
              <w:rPr>
                <w:rFonts w:eastAsia="Calibri"/>
                <w:sz w:val="20"/>
                <w:lang w:val="fr-FR"/>
              </w:rPr>
              <w:t xml:space="preserve">Le demandeur a ultimement fait face à 342 chefs d’accusation et a subi son procès devant jury sur 334 chefs, dont fabrication de faux, art. 366(1) </w:t>
            </w:r>
            <w:r w:rsidRPr="006A318F">
              <w:rPr>
                <w:rFonts w:eastAsia="Calibri"/>
                <w:i/>
                <w:iCs/>
                <w:sz w:val="20"/>
                <w:lang w:val="fr-FR"/>
              </w:rPr>
              <w:t>C.cr.</w:t>
            </w:r>
            <w:r w:rsidRPr="006A318F">
              <w:rPr>
                <w:rFonts w:eastAsia="Calibri"/>
                <w:sz w:val="20"/>
                <w:lang w:val="fr-FR"/>
              </w:rPr>
              <w:t xml:space="preserve"> (7 chefs); usage de faux, art. 368(1) </w:t>
            </w:r>
            <w:r w:rsidRPr="006A318F">
              <w:rPr>
                <w:rFonts w:eastAsia="Calibri"/>
                <w:i/>
                <w:iCs/>
                <w:sz w:val="20"/>
                <w:lang w:val="fr-FR"/>
              </w:rPr>
              <w:t>C.cr.</w:t>
            </w:r>
            <w:r w:rsidRPr="006A318F">
              <w:rPr>
                <w:rFonts w:eastAsia="Calibri"/>
                <w:sz w:val="20"/>
                <w:lang w:val="fr-FR"/>
              </w:rPr>
              <w:t xml:space="preserve"> (134 chefs); recel, art. 354(1) </w:t>
            </w:r>
            <w:r w:rsidRPr="006A318F">
              <w:rPr>
                <w:rFonts w:eastAsia="Calibri"/>
                <w:i/>
                <w:iCs/>
                <w:sz w:val="20"/>
                <w:lang w:val="fr-FR"/>
              </w:rPr>
              <w:t>C.cr.</w:t>
            </w:r>
            <w:r w:rsidRPr="006A318F">
              <w:rPr>
                <w:rFonts w:eastAsia="Calibri"/>
                <w:sz w:val="20"/>
                <w:lang w:val="fr-FR"/>
              </w:rPr>
              <w:t xml:space="preserve"> (49 chefs); fraude, art. 380(1) </w:t>
            </w:r>
            <w:r w:rsidRPr="006A318F">
              <w:rPr>
                <w:rFonts w:eastAsia="Calibri"/>
                <w:i/>
                <w:iCs/>
                <w:sz w:val="20"/>
                <w:lang w:val="fr-FR"/>
              </w:rPr>
              <w:t>C.cr.</w:t>
            </w:r>
            <w:r w:rsidRPr="006A318F">
              <w:rPr>
                <w:rFonts w:eastAsia="Calibri"/>
                <w:sz w:val="20"/>
                <w:lang w:val="fr-FR"/>
              </w:rPr>
              <w:t xml:space="preserve"> (140 chefs); et possession de biens immeubles criminellement obtenus, art. 354(1) </w:t>
            </w:r>
            <w:r w:rsidRPr="006A318F">
              <w:rPr>
                <w:rFonts w:eastAsia="Calibri"/>
                <w:i/>
                <w:iCs/>
                <w:sz w:val="20"/>
                <w:lang w:val="fr-FR"/>
              </w:rPr>
              <w:t>C.cr.</w:t>
            </w:r>
            <w:r w:rsidRPr="006A318F">
              <w:rPr>
                <w:rFonts w:eastAsia="Calibri"/>
                <w:sz w:val="20"/>
                <w:lang w:val="fr-FR"/>
              </w:rPr>
              <w:t xml:space="preserve"> (4 chefs).</w:t>
            </w:r>
          </w:p>
          <w:p w:rsidR="0045321C" w:rsidRPr="006A318F" w:rsidRDefault="0045321C" w:rsidP="004F1F89">
            <w:pPr>
              <w:spacing w:line="180" w:lineRule="auto"/>
              <w:jc w:val="both"/>
              <w:rPr>
                <w:rFonts w:eastAsia="Calibri"/>
                <w:sz w:val="20"/>
                <w:lang w:val="fr-CA"/>
              </w:rPr>
            </w:pPr>
          </w:p>
        </w:tc>
      </w:tr>
      <w:tr w:rsidR="0045321C" w:rsidRPr="004A42A2"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3 novembre 2005</w:t>
            </w:r>
          </w:p>
          <w:p w:rsidR="0045321C" w:rsidRPr="006A318F" w:rsidRDefault="0045321C" w:rsidP="004F1F89">
            <w:pPr>
              <w:jc w:val="both"/>
              <w:rPr>
                <w:rFonts w:eastAsia="Calibri"/>
                <w:sz w:val="20"/>
                <w:lang w:val="fr-CA"/>
              </w:rPr>
            </w:pPr>
            <w:r w:rsidRPr="006A318F">
              <w:rPr>
                <w:rFonts w:eastAsia="Calibri"/>
                <w:sz w:val="20"/>
                <w:lang w:val="fr-CA"/>
              </w:rPr>
              <w:t>Cour supérieure du Québec</w:t>
            </w:r>
          </w:p>
          <w:p w:rsidR="0045321C" w:rsidRPr="006A318F" w:rsidRDefault="0045321C" w:rsidP="004F1F89">
            <w:pPr>
              <w:jc w:val="both"/>
              <w:rPr>
                <w:rFonts w:eastAsia="Calibri"/>
                <w:sz w:val="20"/>
                <w:lang w:val="fr-CA"/>
              </w:rPr>
            </w:pPr>
            <w:r w:rsidRPr="006A318F">
              <w:rPr>
                <w:rFonts w:eastAsia="Calibri"/>
                <w:sz w:val="20"/>
                <w:lang w:val="fr-CA"/>
              </w:rPr>
              <w:t>(Le juge Lévesque)</w:t>
            </w:r>
          </w:p>
          <w:p w:rsidR="0045321C" w:rsidRPr="006A318F" w:rsidRDefault="0045321C" w:rsidP="004F1F89">
            <w:pPr>
              <w:jc w:val="both"/>
              <w:rPr>
                <w:rFonts w:eastAsia="Calibri"/>
                <w:sz w:val="20"/>
                <w:lang w:val="fr-CA"/>
              </w:rPr>
            </w:pPr>
            <w:r w:rsidRPr="006A318F">
              <w:rPr>
                <w:rFonts w:eastAsia="Calibri"/>
                <w:sz w:val="20"/>
                <w:lang w:val="fr-CA"/>
              </w:rPr>
              <w:t>C.S.Q. 200</w:t>
            </w:r>
            <w:r w:rsidRPr="006A318F">
              <w:rPr>
                <w:rFonts w:eastAsia="Calibri"/>
                <w:sz w:val="20"/>
                <w:lang w:val="fr-CA"/>
              </w:rPr>
              <w:noBreakHyphen/>
              <w:t>01</w:t>
            </w:r>
            <w:r w:rsidRPr="006A318F">
              <w:rPr>
                <w:rFonts w:eastAsia="Calibri"/>
                <w:sz w:val="20"/>
                <w:lang w:val="fr-CA"/>
              </w:rPr>
              <w:noBreakHyphen/>
              <w:t>092260</w:t>
            </w:r>
            <w:r w:rsidRPr="006A318F">
              <w:rPr>
                <w:rFonts w:eastAsia="Calibri"/>
                <w:sz w:val="20"/>
                <w:lang w:val="fr-CA"/>
              </w:rPr>
              <w:noBreakHyphen/>
              <w:t>045</w:t>
            </w: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 xml:space="preserve">Verdicts de culpabilité prononcés par un jury sur 31 chefs d’usage de faux (art. 368(1) </w:t>
            </w:r>
            <w:r w:rsidRPr="006A318F">
              <w:rPr>
                <w:rFonts w:eastAsia="Calibri"/>
                <w:i/>
                <w:sz w:val="20"/>
                <w:lang w:val="fr-CA"/>
              </w:rPr>
              <w:t>C.cr.</w:t>
            </w:r>
            <w:r w:rsidRPr="006A318F">
              <w:rPr>
                <w:rFonts w:eastAsia="Calibri"/>
                <w:sz w:val="20"/>
                <w:lang w:val="fr-CA"/>
              </w:rPr>
              <w:t xml:space="preserve">), 38 chefs de recel (art. 354(1) </w:t>
            </w:r>
            <w:r w:rsidRPr="006A318F">
              <w:rPr>
                <w:rFonts w:eastAsia="Calibri"/>
                <w:i/>
                <w:sz w:val="20"/>
                <w:lang w:val="fr-CA"/>
              </w:rPr>
              <w:t>C.cr.</w:t>
            </w:r>
            <w:r w:rsidRPr="006A318F">
              <w:rPr>
                <w:rFonts w:eastAsia="Calibri"/>
                <w:sz w:val="20"/>
                <w:lang w:val="fr-CA"/>
              </w:rPr>
              <w:t xml:space="preserve">), et 100 chefs de fraude (art. 380(1) </w:t>
            </w:r>
            <w:r w:rsidRPr="006A318F">
              <w:rPr>
                <w:rFonts w:eastAsia="Calibri"/>
                <w:i/>
                <w:sz w:val="20"/>
                <w:lang w:val="fr-CA"/>
              </w:rPr>
              <w:t>C.cr</w:t>
            </w:r>
            <w:r w:rsidRPr="006A318F">
              <w:rPr>
                <w:rFonts w:eastAsia="Calibri"/>
                <w:sz w:val="20"/>
                <w:lang w:val="fr-CA"/>
              </w:rPr>
              <w:t>.).</w:t>
            </w:r>
          </w:p>
          <w:p w:rsidR="0045321C" w:rsidRPr="006A318F" w:rsidRDefault="0045321C" w:rsidP="004F1F89">
            <w:pPr>
              <w:jc w:val="both"/>
              <w:rPr>
                <w:rFonts w:eastAsia="Calibri"/>
                <w:sz w:val="20"/>
                <w:lang w:val="fr-CA"/>
              </w:rPr>
            </w:pPr>
          </w:p>
        </w:tc>
      </w:tr>
      <w:tr w:rsidR="0045321C" w:rsidRPr="004A42A2"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11 octobre 2011</w:t>
            </w:r>
          </w:p>
          <w:p w:rsidR="0045321C" w:rsidRPr="006A318F" w:rsidRDefault="0045321C" w:rsidP="004F1F89">
            <w:pPr>
              <w:jc w:val="both"/>
              <w:rPr>
                <w:rFonts w:eastAsia="Calibri"/>
                <w:sz w:val="20"/>
                <w:lang w:val="fr-CA"/>
              </w:rPr>
            </w:pPr>
            <w:r w:rsidRPr="006A318F">
              <w:rPr>
                <w:rFonts w:eastAsia="Calibri"/>
                <w:sz w:val="20"/>
                <w:lang w:val="fr-CA"/>
              </w:rPr>
              <w:t>Cour d’appel du Québec (Québec)</w:t>
            </w:r>
          </w:p>
          <w:p w:rsidR="0045321C" w:rsidRPr="006A318F" w:rsidRDefault="0045321C" w:rsidP="004F1F89">
            <w:pPr>
              <w:jc w:val="both"/>
              <w:rPr>
                <w:rFonts w:eastAsia="Calibri"/>
                <w:sz w:val="20"/>
                <w:lang w:val="fr-CA"/>
              </w:rPr>
            </w:pPr>
            <w:r w:rsidRPr="006A318F">
              <w:rPr>
                <w:rFonts w:eastAsia="Calibri"/>
                <w:sz w:val="20"/>
                <w:lang w:val="fr-CA"/>
              </w:rPr>
              <w:t>(Les juges Rochette, Vézina et Wagner)</w:t>
            </w:r>
          </w:p>
          <w:p w:rsidR="0045321C" w:rsidRPr="006A318F" w:rsidRDefault="0045321C" w:rsidP="004F1F89">
            <w:pPr>
              <w:jc w:val="both"/>
              <w:rPr>
                <w:rFonts w:eastAsia="Calibri"/>
                <w:sz w:val="20"/>
                <w:lang w:val="fr-CA"/>
              </w:rPr>
            </w:pPr>
            <w:r w:rsidRPr="006A318F">
              <w:rPr>
                <w:rFonts w:eastAsia="Calibri"/>
                <w:sz w:val="20"/>
                <w:lang w:val="fr-CA"/>
              </w:rPr>
              <w:t>C.A.Q. 200</w:t>
            </w:r>
            <w:r w:rsidRPr="006A318F">
              <w:rPr>
                <w:rFonts w:eastAsia="Calibri"/>
                <w:sz w:val="20"/>
                <w:lang w:val="fr-CA"/>
              </w:rPr>
              <w:noBreakHyphen/>
              <w:t>10</w:t>
            </w:r>
            <w:r w:rsidRPr="006A318F">
              <w:rPr>
                <w:rFonts w:eastAsia="Calibri"/>
                <w:sz w:val="20"/>
                <w:lang w:val="fr-CA"/>
              </w:rPr>
              <w:noBreakHyphen/>
              <w:t>001830</w:t>
            </w:r>
            <w:r w:rsidRPr="006A318F">
              <w:rPr>
                <w:rFonts w:eastAsia="Calibri"/>
                <w:sz w:val="20"/>
                <w:lang w:val="fr-CA"/>
              </w:rPr>
              <w:noBreakHyphen/>
              <w:t>053</w:t>
            </w:r>
          </w:p>
          <w:p w:rsidR="0045321C" w:rsidRPr="006A318F" w:rsidRDefault="0045321C" w:rsidP="004F1F89">
            <w:pPr>
              <w:jc w:val="both"/>
              <w:rPr>
                <w:rFonts w:eastAsia="Calibri"/>
                <w:sz w:val="20"/>
                <w:lang w:val="fr-CA"/>
              </w:rPr>
            </w:pPr>
            <w:r w:rsidRPr="006A318F">
              <w:rPr>
                <w:rFonts w:eastAsia="Calibri"/>
                <w:sz w:val="20"/>
                <w:lang w:val="fr-CA"/>
              </w:rPr>
              <w:t>Référence neutre : 2011 QCCA 1891</w:t>
            </w:r>
          </w:p>
          <w:p w:rsidR="0045321C" w:rsidRPr="006A318F" w:rsidRDefault="0045321C" w:rsidP="004F1F89">
            <w:pPr>
              <w:jc w:val="both"/>
              <w:rPr>
                <w:rFonts w:eastAsia="Calibri"/>
                <w:sz w:val="20"/>
                <w:lang w:val="fr-CA"/>
              </w:rPr>
            </w:pP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 xml:space="preserve">Verdicts de culpabilité confirmés, à l’exception de ceux prononcés sur 6 chefs de recel (art. 354(1) </w:t>
            </w:r>
            <w:r w:rsidRPr="006A318F">
              <w:rPr>
                <w:rFonts w:eastAsia="Calibri"/>
                <w:i/>
                <w:sz w:val="20"/>
                <w:lang w:val="fr-CA"/>
              </w:rPr>
              <w:t>C.cr.</w:t>
            </w:r>
            <w:r w:rsidRPr="006A318F">
              <w:rPr>
                <w:rFonts w:eastAsia="Calibri"/>
                <w:sz w:val="20"/>
                <w:lang w:val="fr-CA"/>
              </w:rPr>
              <w:t xml:space="preserve">) et sur 28 chefs de fraude (art. 380(1) </w:t>
            </w:r>
            <w:r w:rsidRPr="006A318F">
              <w:rPr>
                <w:rFonts w:eastAsia="Calibri"/>
                <w:i/>
                <w:sz w:val="20"/>
                <w:lang w:val="fr-CA"/>
              </w:rPr>
              <w:t>C.cr.</w:t>
            </w:r>
            <w:r w:rsidRPr="006A318F">
              <w:rPr>
                <w:rFonts w:eastAsia="Calibri"/>
                <w:sz w:val="20"/>
                <w:lang w:val="fr-CA"/>
              </w:rPr>
              <w:t>).</w:t>
            </w:r>
          </w:p>
          <w:p w:rsidR="0045321C" w:rsidRPr="006A318F" w:rsidRDefault="0045321C" w:rsidP="004F1F89">
            <w:pPr>
              <w:jc w:val="both"/>
              <w:rPr>
                <w:rFonts w:eastAsia="Calibri"/>
                <w:sz w:val="20"/>
                <w:lang w:val="fr-CA"/>
              </w:rPr>
            </w:pPr>
          </w:p>
        </w:tc>
      </w:tr>
      <w:tr w:rsidR="0045321C" w:rsidRPr="006A318F"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9 décembre 2011</w:t>
            </w:r>
          </w:p>
          <w:p w:rsidR="0045321C" w:rsidRPr="006A318F" w:rsidRDefault="0045321C" w:rsidP="004F1F89">
            <w:pPr>
              <w:jc w:val="both"/>
              <w:rPr>
                <w:rFonts w:eastAsia="Calibri"/>
                <w:sz w:val="20"/>
                <w:lang w:val="fr-CA"/>
              </w:rPr>
            </w:pPr>
            <w:r w:rsidRPr="006A318F">
              <w:rPr>
                <w:rFonts w:eastAsia="Calibri"/>
                <w:sz w:val="20"/>
                <w:lang w:val="fr-CA"/>
              </w:rPr>
              <w:t>Cour suprême du Canada</w:t>
            </w: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Demande d'autorisation d'appel déposée.</w:t>
            </w: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47"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77844" w:rsidRPr="004A42A2" w:rsidTr="00E77844">
        <w:trPr>
          <w:cantSplit/>
        </w:trPr>
        <w:tc>
          <w:tcPr>
            <w:tcW w:w="1458" w:type="dxa"/>
          </w:tcPr>
          <w:p w:rsidR="00E77844" w:rsidRPr="00825F67" w:rsidRDefault="00E77844" w:rsidP="00E77844">
            <w:pPr>
              <w:rPr>
                <w:sz w:val="20"/>
                <w:szCs w:val="20"/>
              </w:rPr>
            </w:pPr>
            <w:r w:rsidRPr="00825F67">
              <w:rPr>
                <w:rStyle w:val="SCCFileNumberChar"/>
                <w:sz w:val="20"/>
                <w:szCs w:val="20"/>
              </w:rPr>
              <w:t>34557</w:t>
            </w:r>
          </w:p>
          <w:p w:rsidR="00E77844" w:rsidRPr="00825F67" w:rsidRDefault="00E77844" w:rsidP="00E77844">
            <w:pPr>
              <w:rPr>
                <w:b/>
                <w:sz w:val="20"/>
                <w:szCs w:val="20"/>
                <w:lang w:val="fr-CA"/>
              </w:rPr>
            </w:pPr>
          </w:p>
        </w:tc>
        <w:tc>
          <w:tcPr>
            <w:tcW w:w="8118" w:type="dxa"/>
          </w:tcPr>
          <w:p w:rsidR="00E77844" w:rsidRPr="00825F67" w:rsidRDefault="00E77844" w:rsidP="00E77844">
            <w:pPr>
              <w:rPr>
                <w:sz w:val="20"/>
                <w:szCs w:val="20"/>
                <w:lang w:val="fr-CA"/>
              </w:rPr>
            </w:pPr>
            <w:r w:rsidRPr="00825F67">
              <w:rPr>
                <w:rStyle w:val="SCCLsocChar"/>
                <w:sz w:val="20"/>
                <w:szCs w:val="20"/>
              </w:rPr>
              <w:t>Sa Majesté la Reine c. Nicole Rochon</w:t>
            </w:r>
            <w:r w:rsidRPr="00825F67">
              <w:rPr>
                <w:sz w:val="20"/>
                <w:szCs w:val="20"/>
                <w:lang w:val="fr-CA"/>
              </w:rPr>
              <w:t xml:space="preserve"> (Qc) (Criminelle) (De plein droit / Autorisation)</w:t>
            </w:r>
          </w:p>
          <w:p w:rsidR="00E77844" w:rsidRPr="00825F67" w:rsidRDefault="00E77844" w:rsidP="00E77844">
            <w:pPr>
              <w:rPr>
                <w:sz w:val="20"/>
                <w:szCs w:val="20"/>
                <w:lang w:val="fr-CA"/>
              </w:rPr>
            </w:pPr>
          </w:p>
        </w:tc>
      </w:tr>
      <w:tr w:rsidR="00E77844" w:rsidRPr="004A42A2" w:rsidTr="00E77844">
        <w:trPr>
          <w:cantSplit/>
        </w:trPr>
        <w:tc>
          <w:tcPr>
            <w:tcW w:w="1458" w:type="dxa"/>
          </w:tcPr>
          <w:p w:rsidR="00E77844" w:rsidRPr="00825F67" w:rsidRDefault="00E77844" w:rsidP="00E77844">
            <w:pPr>
              <w:rPr>
                <w:sz w:val="20"/>
                <w:szCs w:val="20"/>
              </w:rPr>
            </w:pPr>
            <w:r w:rsidRPr="00825F67">
              <w:rPr>
                <w:sz w:val="20"/>
                <w:szCs w:val="20"/>
              </w:rPr>
              <w:t>Coram :</w:t>
            </w:r>
          </w:p>
        </w:tc>
        <w:tc>
          <w:tcPr>
            <w:tcW w:w="8118" w:type="dxa"/>
          </w:tcPr>
          <w:p w:rsidR="00E77844" w:rsidRPr="00825F67" w:rsidRDefault="00E77844" w:rsidP="00E77844">
            <w:pPr>
              <w:rPr>
                <w:sz w:val="20"/>
                <w:szCs w:val="20"/>
                <w:lang w:val="fr-CA"/>
              </w:rPr>
            </w:pPr>
            <w:r w:rsidRPr="00825F67">
              <w:rPr>
                <w:rStyle w:val="SCCCoramChar"/>
                <w:sz w:val="20"/>
                <w:szCs w:val="20"/>
              </w:rPr>
              <w:t>Les juges Deschamps, Fish et Karakatsanis</w:t>
            </w:r>
          </w:p>
          <w:p w:rsidR="00E77844" w:rsidRPr="00825F67" w:rsidRDefault="00E77844" w:rsidP="00E77844">
            <w:pPr>
              <w:rPr>
                <w:sz w:val="20"/>
                <w:szCs w:val="20"/>
                <w:u w:val="single"/>
                <w:lang w:val="fr-CA"/>
              </w:rPr>
            </w:pPr>
          </w:p>
        </w:tc>
      </w:tr>
      <w:tr w:rsidR="00E77844" w:rsidRPr="00825F67" w:rsidTr="00E77844">
        <w:trPr>
          <w:cantSplit/>
        </w:trPr>
        <w:tc>
          <w:tcPr>
            <w:tcW w:w="9576" w:type="dxa"/>
            <w:gridSpan w:val="2"/>
          </w:tcPr>
          <w:p w:rsidR="00E77844" w:rsidRPr="00825F67" w:rsidRDefault="00E77844" w:rsidP="00E77844">
            <w:pPr>
              <w:pStyle w:val="SCCShortJudgment"/>
              <w:rPr>
                <w:szCs w:val="20"/>
                <w:lang w:val="fr-CA"/>
              </w:rPr>
            </w:pPr>
            <w:r w:rsidRPr="00825F67">
              <w:rPr>
                <w:szCs w:val="20"/>
                <w:lang w:val="fr-CA"/>
              </w:rPr>
              <w:t>La demande d’autorisation d’appel de l’arrêt de la Cour d’appel du Québec (Montréal), numéro 500-10-004238-083, 2011 QCCA 2012, daté du 26 octobre 2011, est rejetée sans dépens.</w:t>
            </w:r>
          </w:p>
          <w:p w:rsidR="00E77844" w:rsidRPr="00825F67" w:rsidRDefault="00E77844" w:rsidP="00E77844">
            <w:pPr>
              <w:pStyle w:val="SCCShortJudgment"/>
              <w:ind w:firstLine="0"/>
              <w:rPr>
                <w:szCs w:val="20"/>
                <w:lang w:val="fr-CA"/>
              </w:rPr>
            </w:pPr>
          </w:p>
          <w:p w:rsidR="00E77844" w:rsidRPr="00825F67" w:rsidRDefault="00E77844" w:rsidP="00E77844">
            <w:pPr>
              <w:pStyle w:val="SCCShortJudgment"/>
              <w:rPr>
                <w:szCs w:val="20"/>
              </w:rPr>
            </w:pPr>
            <w:r w:rsidRPr="00825F67">
              <w:rPr>
                <w:szCs w:val="20"/>
              </w:rPr>
              <w:t>The application for leave to appeal from the judgment of the Court of Appeal of Quebec (Montréal), Number 500-10-004238-083, 2011 QCCA 2012, dated October 26, 2011 is dismissed without costs.</w:t>
            </w:r>
          </w:p>
        </w:tc>
      </w:tr>
    </w:tbl>
    <w:p w:rsidR="009B2448" w:rsidRPr="0045321C" w:rsidRDefault="009B2448" w:rsidP="009B2448">
      <w:pPr>
        <w:rPr>
          <w:sz w:val="20"/>
          <w:szCs w:val="20"/>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321C" w:rsidRPr="006A318F" w:rsidTr="004F1F89">
        <w:tc>
          <w:tcPr>
            <w:tcW w:w="5000" w:type="pct"/>
            <w:gridSpan w:val="3"/>
          </w:tcPr>
          <w:p w:rsidR="0045321C" w:rsidRPr="006A318F" w:rsidRDefault="0045321C" w:rsidP="004F1F89">
            <w:pPr>
              <w:jc w:val="both"/>
              <w:rPr>
                <w:sz w:val="20"/>
              </w:rPr>
            </w:pPr>
            <w:r w:rsidRPr="006A318F">
              <w:rPr>
                <w:sz w:val="20"/>
              </w:rPr>
              <w:t>Criminal law – Evidence – Drugs and substances – Marijuana – Cultivating or producing – Possession for purpose of trafficking – Whether complicity by omission under s. 21(1)(</w:t>
            </w:r>
            <w:r w:rsidRPr="006A318F">
              <w:rPr>
                <w:i/>
                <w:sz w:val="20"/>
              </w:rPr>
              <w:t>b</w:t>
            </w:r>
            <w:r w:rsidRPr="006A318F">
              <w:rPr>
                <w:sz w:val="20"/>
              </w:rPr>
              <w:t xml:space="preserve">) of </w:t>
            </w:r>
            <w:r w:rsidRPr="006A318F">
              <w:rPr>
                <w:i/>
                <w:sz w:val="20"/>
              </w:rPr>
              <w:t>Criminal Code</w:t>
            </w:r>
            <w:r w:rsidRPr="006A318F">
              <w:rPr>
                <w:sz w:val="20"/>
              </w:rPr>
              <w:t xml:space="preserve"> requires existence of legal duty to act and whether failure to act by person who omits to exercise authority over another person or property can constitute </w:t>
            </w:r>
            <w:r w:rsidRPr="006A318F">
              <w:rPr>
                <w:i/>
                <w:sz w:val="20"/>
              </w:rPr>
              <w:lastRenderedPageBreak/>
              <w:t>actus reus</w:t>
            </w:r>
            <w:r w:rsidRPr="006A318F">
              <w:rPr>
                <w:sz w:val="20"/>
              </w:rPr>
              <w:t xml:space="preserve"> of that offence.</w:t>
            </w:r>
          </w:p>
        </w:tc>
      </w:tr>
      <w:tr w:rsidR="0045321C" w:rsidRPr="006A318F" w:rsidTr="004F1F89">
        <w:tc>
          <w:tcPr>
            <w:tcW w:w="5000" w:type="pct"/>
            <w:gridSpan w:val="3"/>
          </w:tcPr>
          <w:p w:rsidR="0045321C" w:rsidRPr="006A318F" w:rsidRDefault="0045321C" w:rsidP="004F1F89">
            <w:pPr>
              <w:jc w:val="both"/>
              <w:rPr>
                <w:sz w:val="20"/>
              </w:rPr>
            </w:pPr>
          </w:p>
        </w:tc>
      </w:tr>
      <w:tr w:rsidR="0045321C" w:rsidRPr="006A318F" w:rsidTr="004F1F89">
        <w:tc>
          <w:tcPr>
            <w:tcW w:w="5000" w:type="pct"/>
            <w:gridSpan w:val="3"/>
          </w:tcPr>
          <w:p w:rsidR="0045321C" w:rsidRPr="006A318F" w:rsidRDefault="0045321C" w:rsidP="004F1F89">
            <w:pPr>
              <w:jc w:val="both"/>
              <w:rPr>
                <w:sz w:val="20"/>
              </w:rPr>
            </w:pPr>
            <w:r w:rsidRPr="006A318F">
              <w:rPr>
                <w:color w:val="000000"/>
                <w:sz w:val="20"/>
              </w:rPr>
              <w:t>Ms. Rochon entrusted her property to her son in her absence.  When she returned to her property in the summer, she found that marijuana was being cultivated on her land.  She asked her son twice to remove the crop, but she did not want to report him to the authorities.  The trier of fact concluded from the evidence that Ms. Rochon had known of the situation and had therefore been obliged to call the police and report what her son was doing.</w:t>
            </w:r>
          </w:p>
          <w:p w:rsidR="0045321C" w:rsidRPr="006A318F" w:rsidRDefault="0045321C" w:rsidP="004F1F89">
            <w:pPr>
              <w:jc w:val="both"/>
              <w:rPr>
                <w:sz w:val="20"/>
              </w:rPr>
            </w:pPr>
          </w:p>
        </w:tc>
      </w:tr>
      <w:tr w:rsidR="0045321C" w:rsidRPr="006A318F" w:rsidTr="004F1F89">
        <w:tc>
          <w:tcPr>
            <w:tcW w:w="2427" w:type="pct"/>
          </w:tcPr>
          <w:p w:rsidR="0045321C" w:rsidRPr="006A318F" w:rsidRDefault="0045321C" w:rsidP="004F1F89">
            <w:pPr>
              <w:rPr>
                <w:sz w:val="20"/>
              </w:rPr>
            </w:pPr>
            <w:r w:rsidRPr="006A318F">
              <w:rPr>
                <w:sz w:val="20"/>
              </w:rPr>
              <w:t>September 19, 2008</w:t>
            </w:r>
          </w:p>
          <w:p w:rsidR="0045321C" w:rsidRPr="006A318F" w:rsidRDefault="0045321C" w:rsidP="004F1F89">
            <w:pPr>
              <w:rPr>
                <w:sz w:val="20"/>
              </w:rPr>
            </w:pPr>
            <w:r w:rsidRPr="006A318F">
              <w:rPr>
                <w:sz w:val="20"/>
              </w:rPr>
              <w:t>Court of Québec</w:t>
            </w:r>
          </w:p>
          <w:p w:rsidR="0045321C" w:rsidRPr="006A318F" w:rsidRDefault="0045321C" w:rsidP="004F1F89">
            <w:pPr>
              <w:rPr>
                <w:sz w:val="20"/>
              </w:rPr>
            </w:pPr>
            <w:r w:rsidRPr="006A318F">
              <w:rPr>
                <w:sz w:val="20"/>
              </w:rPr>
              <w:t>(Judge Chevalier)</w:t>
            </w:r>
          </w:p>
          <w:p w:rsidR="0045321C" w:rsidRPr="006A318F" w:rsidRDefault="0045321C" w:rsidP="004F1F89">
            <w:pPr>
              <w:rPr>
                <w:sz w:val="20"/>
              </w:rPr>
            </w:pPr>
            <w:r w:rsidRPr="006A318F">
              <w:rPr>
                <w:sz w:val="20"/>
              </w:rPr>
              <w:t>2008 QCCQ 7960</w:t>
            </w:r>
          </w:p>
          <w:p w:rsidR="0045321C" w:rsidRPr="006A318F" w:rsidRDefault="0045321C" w:rsidP="004F1F89">
            <w:pPr>
              <w:rPr>
                <w:sz w:val="20"/>
              </w:rPr>
            </w:pPr>
          </w:p>
        </w:tc>
        <w:tc>
          <w:tcPr>
            <w:tcW w:w="243" w:type="pct"/>
          </w:tcPr>
          <w:p w:rsidR="0045321C" w:rsidRPr="006A318F" w:rsidRDefault="0045321C" w:rsidP="004F1F89">
            <w:pPr>
              <w:rPr>
                <w:sz w:val="20"/>
              </w:rPr>
            </w:pPr>
          </w:p>
        </w:tc>
        <w:tc>
          <w:tcPr>
            <w:tcW w:w="2330" w:type="pct"/>
          </w:tcPr>
          <w:p w:rsidR="0045321C" w:rsidRPr="006A318F" w:rsidRDefault="0045321C" w:rsidP="004F1F89">
            <w:pPr>
              <w:jc w:val="both"/>
              <w:rPr>
                <w:sz w:val="20"/>
              </w:rPr>
            </w:pPr>
            <w:r w:rsidRPr="006A318F">
              <w:rPr>
                <w:sz w:val="20"/>
              </w:rPr>
              <w:t>Applicant convicted of production of cannabis and possession of cannabis for purpose of trafficking</w:t>
            </w:r>
          </w:p>
          <w:p w:rsidR="0045321C" w:rsidRPr="006A318F" w:rsidRDefault="0045321C" w:rsidP="004F1F89">
            <w:pPr>
              <w:jc w:val="both"/>
              <w:rPr>
                <w:sz w:val="20"/>
              </w:rPr>
            </w:pPr>
          </w:p>
        </w:tc>
      </w:tr>
      <w:tr w:rsidR="0045321C" w:rsidRPr="006A318F" w:rsidTr="004F1F89">
        <w:tc>
          <w:tcPr>
            <w:tcW w:w="2427" w:type="pct"/>
          </w:tcPr>
          <w:p w:rsidR="0045321C" w:rsidRPr="006A318F" w:rsidRDefault="0045321C" w:rsidP="004F1F89">
            <w:pPr>
              <w:rPr>
                <w:sz w:val="20"/>
              </w:rPr>
            </w:pPr>
            <w:r w:rsidRPr="006A318F">
              <w:rPr>
                <w:sz w:val="20"/>
              </w:rPr>
              <w:t>October 26, 2011</w:t>
            </w:r>
          </w:p>
          <w:p w:rsidR="0045321C" w:rsidRPr="006A318F" w:rsidRDefault="0045321C" w:rsidP="004F1F89">
            <w:pPr>
              <w:rPr>
                <w:sz w:val="20"/>
              </w:rPr>
            </w:pPr>
            <w:r w:rsidRPr="006A318F">
              <w:rPr>
                <w:sz w:val="20"/>
              </w:rPr>
              <w:t>Quebec Court of Appeal (Montréal)</w:t>
            </w:r>
          </w:p>
          <w:p w:rsidR="0045321C" w:rsidRPr="006A318F" w:rsidRDefault="0045321C" w:rsidP="004F1F89">
            <w:pPr>
              <w:rPr>
                <w:sz w:val="20"/>
              </w:rPr>
            </w:pPr>
            <w:r w:rsidRPr="006A318F">
              <w:rPr>
                <w:sz w:val="20"/>
              </w:rPr>
              <w:t>(Duval Hesler C.J. and Dalphond [dissenting] and Kasirer JJ.A.)</w:t>
            </w:r>
          </w:p>
          <w:p w:rsidR="0045321C" w:rsidRPr="006A318F" w:rsidRDefault="0045321C" w:rsidP="004F1F89">
            <w:pPr>
              <w:rPr>
                <w:sz w:val="20"/>
              </w:rPr>
            </w:pPr>
            <w:r w:rsidRPr="006A318F">
              <w:rPr>
                <w:sz w:val="20"/>
              </w:rPr>
              <w:t>2011 QCCA 2012</w:t>
            </w:r>
          </w:p>
          <w:p w:rsidR="0045321C" w:rsidRPr="006A318F" w:rsidRDefault="0045321C" w:rsidP="004F1F89">
            <w:pPr>
              <w:rPr>
                <w:sz w:val="20"/>
              </w:rPr>
            </w:pPr>
          </w:p>
        </w:tc>
        <w:tc>
          <w:tcPr>
            <w:tcW w:w="243" w:type="pct"/>
          </w:tcPr>
          <w:p w:rsidR="0045321C" w:rsidRPr="006A318F" w:rsidRDefault="0045321C" w:rsidP="004F1F89">
            <w:pPr>
              <w:rPr>
                <w:sz w:val="20"/>
              </w:rPr>
            </w:pPr>
          </w:p>
        </w:tc>
        <w:tc>
          <w:tcPr>
            <w:tcW w:w="2330" w:type="pct"/>
          </w:tcPr>
          <w:p w:rsidR="0045321C" w:rsidRPr="006A318F" w:rsidRDefault="0045321C" w:rsidP="004F1F89">
            <w:pPr>
              <w:jc w:val="both"/>
              <w:rPr>
                <w:sz w:val="20"/>
              </w:rPr>
            </w:pPr>
            <w:r w:rsidRPr="006A318F">
              <w:rPr>
                <w:sz w:val="20"/>
              </w:rPr>
              <w:t>Appeal allowed: judgment of Court of Québec set aside, conviction quashed, applicant acquitted</w:t>
            </w:r>
          </w:p>
          <w:p w:rsidR="0045321C" w:rsidRPr="006A318F" w:rsidRDefault="0045321C" w:rsidP="004F1F89">
            <w:pPr>
              <w:jc w:val="both"/>
              <w:rPr>
                <w:sz w:val="20"/>
              </w:rPr>
            </w:pPr>
          </w:p>
        </w:tc>
      </w:tr>
      <w:tr w:rsidR="0045321C" w:rsidRPr="006A318F" w:rsidTr="004F1F89">
        <w:tc>
          <w:tcPr>
            <w:tcW w:w="2427" w:type="pct"/>
          </w:tcPr>
          <w:p w:rsidR="0045321C" w:rsidRPr="006A318F" w:rsidRDefault="0045321C" w:rsidP="004F1F89">
            <w:pPr>
              <w:rPr>
                <w:sz w:val="20"/>
              </w:rPr>
            </w:pPr>
            <w:r w:rsidRPr="006A318F">
              <w:rPr>
                <w:sz w:val="20"/>
              </w:rPr>
              <w:t>November 25, 2011</w:t>
            </w:r>
          </w:p>
          <w:p w:rsidR="0045321C" w:rsidRPr="006A318F" w:rsidRDefault="0045321C" w:rsidP="004F1F89">
            <w:pPr>
              <w:rPr>
                <w:sz w:val="20"/>
              </w:rPr>
            </w:pPr>
            <w:r w:rsidRPr="006A318F">
              <w:rPr>
                <w:sz w:val="20"/>
              </w:rPr>
              <w:t>Supreme Court of Canada</w:t>
            </w:r>
          </w:p>
          <w:p w:rsidR="0045321C" w:rsidRPr="006A318F" w:rsidRDefault="0045321C" w:rsidP="004F1F89">
            <w:pPr>
              <w:rPr>
                <w:sz w:val="20"/>
              </w:rPr>
            </w:pPr>
          </w:p>
        </w:tc>
        <w:tc>
          <w:tcPr>
            <w:tcW w:w="243" w:type="pct"/>
          </w:tcPr>
          <w:p w:rsidR="0045321C" w:rsidRPr="006A318F" w:rsidRDefault="0045321C" w:rsidP="004F1F89">
            <w:pPr>
              <w:rPr>
                <w:sz w:val="20"/>
              </w:rPr>
            </w:pPr>
          </w:p>
        </w:tc>
        <w:tc>
          <w:tcPr>
            <w:tcW w:w="2330" w:type="pct"/>
          </w:tcPr>
          <w:p w:rsidR="0045321C" w:rsidRPr="006A318F" w:rsidRDefault="0045321C" w:rsidP="004F1F89">
            <w:pPr>
              <w:jc w:val="both"/>
              <w:rPr>
                <w:sz w:val="20"/>
              </w:rPr>
            </w:pPr>
            <w:r w:rsidRPr="006A318F">
              <w:rPr>
                <w:sz w:val="20"/>
              </w:rPr>
              <w:t>Notice of appeal filed</w:t>
            </w:r>
          </w:p>
          <w:p w:rsidR="0045321C" w:rsidRPr="006A318F" w:rsidRDefault="0045321C" w:rsidP="004F1F89">
            <w:pPr>
              <w:jc w:val="both"/>
              <w:rPr>
                <w:sz w:val="20"/>
              </w:rPr>
            </w:pPr>
          </w:p>
        </w:tc>
      </w:tr>
      <w:tr w:rsidR="0045321C" w:rsidRPr="006A318F" w:rsidTr="004F1F89">
        <w:tc>
          <w:tcPr>
            <w:tcW w:w="2427" w:type="pct"/>
          </w:tcPr>
          <w:p w:rsidR="0045321C" w:rsidRPr="006A318F" w:rsidRDefault="0045321C" w:rsidP="004F1F89">
            <w:pPr>
              <w:rPr>
                <w:sz w:val="20"/>
              </w:rPr>
            </w:pPr>
            <w:r w:rsidRPr="006A318F">
              <w:rPr>
                <w:sz w:val="20"/>
              </w:rPr>
              <w:t>December 22, 2011</w:t>
            </w:r>
          </w:p>
          <w:p w:rsidR="0045321C" w:rsidRPr="006A318F" w:rsidRDefault="0045321C" w:rsidP="004F1F89">
            <w:pPr>
              <w:rPr>
                <w:sz w:val="20"/>
              </w:rPr>
            </w:pPr>
            <w:r w:rsidRPr="006A318F">
              <w:rPr>
                <w:sz w:val="20"/>
              </w:rPr>
              <w:t>Supreme Court of Canada</w:t>
            </w:r>
          </w:p>
        </w:tc>
        <w:tc>
          <w:tcPr>
            <w:tcW w:w="243" w:type="pct"/>
          </w:tcPr>
          <w:p w:rsidR="0045321C" w:rsidRPr="006A318F" w:rsidRDefault="0045321C" w:rsidP="004F1F89">
            <w:pPr>
              <w:rPr>
                <w:sz w:val="20"/>
              </w:rPr>
            </w:pPr>
          </w:p>
        </w:tc>
        <w:tc>
          <w:tcPr>
            <w:tcW w:w="2330" w:type="pct"/>
          </w:tcPr>
          <w:p w:rsidR="0045321C" w:rsidRPr="006A318F" w:rsidRDefault="0045321C" w:rsidP="004F1F89">
            <w:pPr>
              <w:jc w:val="both"/>
              <w:rPr>
                <w:sz w:val="20"/>
              </w:rPr>
            </w:pPr>
            <w:r w:rsidRPr="006A318F">
              <w:rPr>
                <w:sz w:val="20"/>
              </w:rPr>
              <w:t>Application for leave to appeal filed</w:t>
            </w:r>
          </w:p>
          <w:p w:rsidR="0045321C" w:rsidRPr="006A318F" w:rsidRDefault="0045321C" w:rsidP="004F1F89">
            <w:pPr>
              <w:jc w:val="both"/>
              <w:rPr>
                <w:sz w:val="20"/>
              </w:rPr>
            </w:pPr>
          </w:p>
        </w:tc>
      </w:tr>
    </w:tbl>
    <w:p w:rsidR="009B2448" w:rsidRPr="00C50A5C" w:rsidRDefault="00B44839" w:rsidP="009B2448">
      <w:pPr>
        <w:rPr>
          <w:sz w:val="20"/>
          <w:szCs w:val="20"/>
        </w:rPr>
      </w:pPr>
      <w:r w:rsidRPr="00B44839">
        <w:rPr>
          <w:sz w:val="20"/>
          <w:szCs w:val="20"/>
          <w:lang w:val="fr-CA"/>
        </w:rPr>
        <w:pict>
          <v:rect id="_x0000_i1048"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5321C" w:rsidRPr="004A42A2" w:rsidTr="004F1F89">
        <w:tc>
          <w:tcPr>
            <w:tcW w:w="5000" w:type="pct"/>
            <w:gridSpan w:val="3"/>
          </w:tcPr>
          <w:p w:rsidR="0045321C" w:rsidRPr="006A318F" w:rsidRDefault="0045321C" w:rsidP="004F1F89">
            <w:pPr>
              <w:jc w:val="both"/>
              <w:rPr>
                <w:rFonts w:eastAsia="Calibri"/>
                <w:sz w:val="20"/>
                <w:lang w:val="fr-CA"/>
              </w:rPr>
            </w:pPr>
            <w:r w:rsidRPr="006A318F">
              <w:rPr>
                <w:rFonts w:eastAsia="Calibri"/>
                <w:sz w:val="20"/>
                <w:lang w:val="fr-CA"/>
              </w:rPr>
              <w:t xml:space="preserve">Droit criminel – Preuve – Drogues et autres substances – Marihuana – Culture ou production – Possession à des fins de trafic – La complicité par omission suivant l’alinéa 21 (1)b) du </w:t>
            </w:r>
            <w:r w:rsidRPr="006A318F">
              <w:rPr>
                <w:rFonts w:eastAsia="Calibri"/>
                <w:i/>
                <w:sz w:val="20"/>
                <w:lang w:val="fr-CA"/>
              </w:rPr>
              <w:t>Code Criminel</w:t>
            </w:r>
            <w:r w:rsidRPr="006A318F">
              <w:rPr>
                <w:rFonts w:eastAsia="Calibri"/>
                <w:sz w:val="20"/>
                <w:lang w:val="fr-CA"/>
              </w:rPr>
              <w:t xml:space="preserve"> requière-t-elle l’existence d’un devoir légal d’agir et le fait de ne pas agir pour celui qui omet d’exercer l’autorité qu’il détient sur une personne ou un bien peut-il en constituer l’</w:t>
            </w:r>
            <w:r w:rsidRPr="006A318F">
              <w:rPr>
                <w:rFonts w:eastAsia="Calibri"/>
                <w:i/>
                <w:sz w:val="20"/>
                <w:lang w:val="fr-CA"/>
              </w:rPr>
              <w:t>actus reus</w:t>
            </w:r>
            <w:r w:rsidRPr="006A318F">
              <w:rPr>
                <w:rFonts w:eastAsia="Calibri"/>
                <w:sz w:val="20"/>
                <w:lang w:val="fr-CA"/>
              </w:rPr>
              <w:t>?</w:t>
            </w:r>
          </w:p>
        </w:tc>
      </w:tr>
      <w:tr w:rsidR="0045321C" w:rsidRPr="004A42A2" w:rsidTr="004F1F89">
        <w:tc>
          <w:tcPr>
            <w:tcW w:w="5000" w:type="pct"/>
            <w:gridSpan w:val="3"/>
          </w:tcPr>
          <w:p w:rsidR="0045321C" w:rsidRPr="006A318F" w:rsidRDefault="0045321C" w:rsidP="004F1F89">
            <w:pPr>
              <w:jc w:val="both"/>
              <w:rPr>
                <w:rFonts w:eastAsia="Calibri"/>
                <w:sz w:val="20"/>
                <w:lang w:val="fr-CA"/>
              </w:rPr>
            </w:pPr>
          </w:p>
        </w:tc>
      </w:tr>
      <w:tr w:rsidR="0045321C" w:rsidRPr="004A42A2" w:rsidTr="004F1F89">
        <w:tc>
          <w:tcPr>
            <w:tcW w:w="5000" w:type="pct"/>
            <w:gridSpan w:val="3"/>
          </w:tcPr>
          <w:p w:rsidR="0045321C" w:rsidRPr="006A318F" w:rsidRDefault="0045321C" w:rsidP="004F1F89">
            <w:pPr>
              <w:jc w:val="both"/>
              <w:rPr>
                <w:rFonts w:eastAsia="Calibri"/>
                <w:sz w:val="20"/>
                <w:lang w:val="fr-CA"/>
              </w:rPr>
            </w:pPr>
            <w:r w:rsidRPr="006A318F">
              <w:rPr>
                <w:rFonts w:eastAsia="Calibri"/>
                <w:color w:val="000000"/>
                <w:sz w:val="20"/>
                <w:lang w:val="fr-CA"/>
              </w:rPr>
              <w:t>Mme Rochon avait confié sa propriété à son fils en son absence. Revenant sur sa propriété à l'été, elle a constaté la présence d'une culture de marijuana sur ses terres. Mme Rochon a demandé à son fils à deux reprises d'enlever la plantation, mais elle n'a pas voulu le dénoncer aux autorités. Le juge des faits a retenu de la preuve que Mme Rochon avait connaissance de la situation et devait donc appeler la police et dénoncer les agissements de son fils</w:t>
            </w:r>
          </w:p>
          <w:p w:rsidR="0045321C" w:rsidRPr="006A318F" w:rsidRDefault="0045321C" w:rsidP="004F1F89">
            <w:pPr>
              <w:jc w:val="both"/>
              <w:rPr>
                <w:rFonts w:eastAsia="Calibri"/>
                <w:sz w:val="20"/>
                <w:lang w:val="fr-CA"/>
              </w:rPr>
            </w:pPr>
          </w:p>
        </w:tc>
      </w:tr>
      <w:tr w:rsidR="0045321C" w:rsidRPr="004A42A2"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19 septembre 2008</w:t>
            </w:r>
          </w:p>
          <w:p w:rsidR="0045321C" w:rsidRPr="006A318F" w:rsidRDefault="0045321C" w:rsidP="004F1F89">
            <w:pPr>
              <w:jc w:val="both"/>
              <w:rPr>
                <w:rFonts w:eastAsia="Calibri"/>
                <w:sz w:val="20"/>
                <w:lang w:val="fr-CA"/>
              </w:rPr>
            </w:pPr>
            <w:r w:rsidRPr="006A318F">
              <w:rPr>
                <w:rFonts w:eastAsia="Calibri"/>
                <w:sz w:val="20"/>
                <w:lang w:val="fr-CA"/>
              </w:rPr>
              <w:t>Cour du Québec</w:t>
            </w:r>
          </w:p>
          <w:p w:rsidR="0045321C" w:rsidRPr="006A318F" w:rsidRDefault="0045321C" w:rsidP="004F1F89">
            <w:pPr>
              <w:jc w:val="both"/>
              <w:rPr>
                <w:rFonts w:eastAsia="Calibri"/>
                <w:sz w:val="20"/>
                <w:lang w:val="fr-CA"/>
              </w:rPr>
            </w:pPr>
            <w:r w:rsidRPr="006A318F">
              <w:rPr>
                <w:rFonts w:eastAsia="Calibri"/>
                <w:sz w:val="20"/>
                <w:lang w:val="fr-CA"/>
              </w:rPr>
              <w:t>(Le juge Chevalier</w:t>
            </w:r>
          </w:p>
          <w:p w:rsidR="0045321C" w:rsidRPr="006A318F" w:rsidRDefault="0045321C" w:rsidP="004F1F89">
            <w:pPr>
              <w:jc w:val="both"/>
              <w:rPr>
                <w:rFonts w:eastAsia="Calibri"/>
                <w:sz w:val="20"/>
                <w:lang w:val="fr-CA"/>
              </w:rPr>
            </w:pPr>
            <w:r w:rsidRPr="006A318F">
              <w:rPr>
                <w:rFonts w:eastAsia="Calibri"/>
                <w:sz w:val="20"/>
                <w:lang w:val="fr-CA"/>
              </w:rPr>
              <w:t>2008 QCCQ 7960</w:t>
            </w:r>
          </w:p>
          <w:p w:rsidR="0045321C" w:rsidRPr="006A318F" w:rsidRDefault="0045321C" w:rsidP="004F1F89">
            <w:pPr>
              <w:jc w:val="both"/>
              <w:rPr>
                <w:rFonts w:eastAsia="Calibri"/>
                <w:sz w:val="20"/>
                <w:lang w:val="fr-CA"/>
              </w:rPr>
            </w:pP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Déclaration de culpabilité: production de cannabis et possession dans le but de trafic de cannabis</w:t>
            </w:r>
          </w:p>
          <w:p w:rsidR="0045321C" w:rsidRPr="006A318F" w:rsidRDefault="0045321C" w:rsidP="004F1F89">
            <w:pPr>
              <w:jc w:val="both"/>
              <w:rPr>
                <w:rFonts w:eastAsia="Calibri"/>
                <w:sz w:val="20"/>
                <w:lang w:val="fr-CA"/>
              </w:rPr>
            </w:pPr>
          </w:p>
        </w:tc>
      </w:tr>
      <w:tr w:rsidR="0045321C" w:rsidRPr="004A42A2" w:rsidTr="004F1F89">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26 octobre 2011</w:t>
            </w:r>
          </w:p>
          <w:p w:rsidR="0045321C" w:rsidRPr="006A318F" w:rsidRDefault="0045321C" w:rsidP="004F1F89">
            <w:pPr>
              <w:jc w:val="both"/>
              <w:rPr>
                <w:rFonts w:eastAsia="Calibri"/>
                <w:sz w:val="20"/>
                <w:lang w:val="fr-CA"/>
              </w:rPr>
            </w:pPr>
            <w:r w:rsidRPr="006A318F">
              <w:rPr>
                <w:rFonts w:eastAsia="Calibri"/>
                <w:sz w:val="20"/>
                <w:lang w:val="fr-CA"/>
              </w:rPr>
              <w:t>Cour d’appel du Québec (Montréal)</w:t>
            </w:r>
          </w:p>
          <w:p w:rsidR="0045321C" w:rsidRPr="006A318F" w:rsidRDefault="0045321C" w:rsidP="004F1F89">
            <w:pPr>
              <w:jc w:val="both"/>
              <w:rPr>
                <w:rFonts w:eastAsia="Calibri"/>
                <w:sz w:val="20"/>
                <w:lang w:val="fr-CA"/>
              </w:rPr>
            </w:pPr>
            <w:r w:rsidRPr="006A318F">
              <w:rPr>
                <w:rFonts w:eastAsia="Calibri"/>
                <w:sz w:val="20"/>
                <w:lang w:val="fr-CA"/>
              </w:rPr>
              <w:t>(La juge en chef Duval Hesler et les juges Dalphond [dissident] et Kasirer)</w:t>
            </w:r>
          </w:p>
          <w:p w:rsidR="0045321C" w:rsidRPr="006A318F" w:rsidRDefault="0045321C" w:rsidP="004F1F89">
            <w:pPr>
              <w:jc w:val="both"/>
              <w:rPr>
                <w:rFonts w:eastAsia="Calibri"/>
                <w:sz w:val="20"/>
                <w:lang w:val="fr-CA"/>
              </w:rPr>
            </w:pPr>
            <w:r w:rsidRPr="006A318F">
              <w:rPr>
                <w:rFonts w:eastAsia="Calibri"/>
                <w:sz w:val="20"/>
                <w:lang w:val="fr-CA"/>
              </w:rPr>
              <w:t>2011 QCCA 2012</w:t>
            </w:r>
          </w:p>
          <w:p w:rsidR="0045321C" w:rsidRPr="006A318F" w:rsidRDefault="0045321C" w:rsidP="004F1F89">
            <w:pPr>
              <w:jc w:val="both"/>
              <w:rPr>
                <w:rFonts w:eastAsia="Calibri"/>
                <w:sz w:val="20"/>
                <w:lang w:val="fr-CA"/>
              </w:rPr>
            </w:pP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Appel accueilli : jugement de la Cour du Québec infirmé, verdict de culpabilité cassé, demanderesse acquittée.</w:t>
            </w:r>
          </w:p>
          <w:p w:rsidR="0045321C" w:rsidRPr="006A318F" w:rsidRDefault="0045321C" w:rsidP="004F1F89">
            <w:pPr>
              <w:jc w:val="both"/>
              <w:rPr>
                <w:rFonts w:eastAsia="Calibri"/>
                <w:sz w:val="20"/>
                <w:lang w:val="fr-CA"/>
              </w:rPr>
            </w:pPr>
          </w:p>
          <w:p w:rsidR="0045321C" w:rsidRPr="006A318F" w:rsidRDefault="0045321C" w:rsidP="004F1F89">
            <w:pPr>
              <w:jc w:val="both"/>
              <w:rPr>
                <w:rFonts w:eastAsia="Calibri"/>
                <w:sz w:val="20"/>
                <w:lang w:val="fr-CA"/>
              </w:rPr>
            </w:pPr>
          </w:p>
        </w:tc>
      </w:tr>
      <w:tr w:rsidR="0045321C" w:rsidRPr="006A318F" w:rsidTr="00E77844">
        <w:trPr>
          <w:cantSplit/>
        </w:trPr>
        <w:tc>
          <w:tcPr>
            <w:tcW w:w="2427" w:type="pct"/>
          </w:tcPr>
          <w:p w:rsidR="0045321C" w:rsidRPr="006A318F" w:rsidRDefault="0045321C" w:rsidP="004F1F89">
            <w:pPr>
              <w:jc w:val="both"/>
              <w:rPr>
                <w:rFonts w:eastAsia="Calibri"/>
                <w:sz w:val="20"/>
                <w:lang w:val="fr-CA"/>
              </w:rPr>
            </w:pPr>
            <w:r w:rsidRPr="006A318F">
              <w:rPr>
                <w:rFonts w:eastAsia="Calibri"/>
                <w:sz w:val="20"/>
                <w:lang w:val="fr-CA"/>
              </w:rPr>
              <w:lastRenderedPageBreak/>
              <w:t>Le 25 novembre 2011</w:t>
            </w:r>
          </w:p>
          <w:p w:rsidR="0045321C" w:rsidRPr="006A318F" w:rsidRDefault="0045321C" w:rsidP="004F1F89">
            <w:pPr>
              <w:jc w:val="both"/>
              <w:rPr>
                <w:rFonts w:eastAsia="Calibri"/>
                <w:sz w:val="20"/>
                <w:lang w:val="fr-CA"/>
              </w:rPr>
            </w:pPr>
            <w:r w:rsidRPr="006A318F">
              <w:rPr>
                <w:rFonts w:eastAsia="Calibri"/>
                <w:sz w:val="20"/>
                <w:lang w:val="fr-CA"/>
              </w:rPr>
              <w:t>Cour suprême du Canada</w:t>
            </w:r>
          </w:p>
          <w:p w:rsidR="0045321C" w:rsidRPr="006A318F" w:rsidRDefault="0045321C" w:rsidP="004F1F89">
            <w:pPr>
              <w:jc w:val="both"/>
              <w:rPr>
                <w:rFonts w:eastAsia="Calibri"/>
                <w:sz w:val="20"/>
                <w:lang w:val="fr-CA"/>
              </w:rPr>
            </w:pP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Avis d’appel déposé</w:t>
            </w:r>
          </w:p>
          <w:p w:rsidR="0045321C" w:rsidRPr="006A318F" w:rsidRDefault="0045321C" w:rsidP="004F1F89">
            <w:pPr>
              <w:jc w:val="both"/>
              <w:rPr>
                <w:rFonts w:eastAsia="Calibri"/>
                <w:sz w:val="20"/>
                <w:lang w:val="fr-CA"/>
              </w:rPr>
            </w:pPr>
          </w:p>
        </w:tc>
      </w:tr>
      <w:tr w:rsidR="0045321C" w:rsidRPr="006A318F" w:rsidTr="00E77844">
        <w:trPr>
          <w:cantSplit/>
        </w:trPr>
        <w:tc>
          <w:tcPr>
            <w:tcW w:w="2427" w:type="pct"/>
          </w:tcPr>
          <w:p w:rsidR="0045321C" w:rsidRPr="006A318F" w:rsidRDefault="0045321C" w:rsidP="004F1F89">
            <w:pPr>
              <w:jc w:val="both"/>
              <w:rPr>
                <w:rFonts w:eastAsia="Calibri"/>
                <w:sz w:val="20"/>
                <w:lang w:val="fr-CA"/>
              </w:rPr>
            </w:pPr>
            <w:r w:rsidRPr="006A318F">
              <w:rPr>
                <w:rFonts w:eastAsia="Calibri"/>
                <w:sz w:val="20"/>
                <w:lang w:val="fr-CA"/>
              </w:rPr>
              <w:t>Le 22 décembre 2011</w:t>
            </w:r>
          </w:p>
          <w:p w:rsidR="0045321C" w:rsidRPr="006A318F" w:rsidRDefault="0045321C" w:rsidP="00E77844">
            <w:pPr>
              <w:jc w:val="both"/>
              <w:rPr>
                <w:rFonts w:eastAsia="Calibri"/>
                <w:sz w:val="20"/>
                <w:lang w:val="fr-CA"/>
              </w:rPr>
            </w:pPr>
            <w:r w:rsidRPr="006A318F">
              <w:rPr>
                <w:rFonts w:eastAsia="Calibri"/>
                <w:sz w:val="20"/>
                <w:lang w:val="fr-CA"/>
              </w:rPr>
              <w:t>Cour suprême du Canada</w:t>
            </w:r>
          </w:p>
        </w:tc>
        <w:tc>
          <w:tcPr>
            <w:tcW w:w="243" w:type="pct"/>
          </w:tcPr>
          <w:p w:rsidR="0045321C" w:rsidRPr="006A318F" w:rsidRDefault="0045321C" w:rsidP="004F1F89">
            <w:pPr>
              <w:jc w:val="both"/>
              <w:rPr>
                <w:rFonts w:eastAsia="Calibri"/>
                <w:sz w:val="20"/>
                <w:lang w:val="fr-CA"/>
              </w:rPr>
            </w:pPr>
          </w:p>
        </w:tc>
        <w:tc>
          <w:tcPr>
            <w:tcW w:w="2330" w:type="pct"/>
          </w:tcPr>
          <w:p w:rsidR="0045321C" w:rsidRPr="006A318F" w:rsidRDefault="0045321C" w:rsidP="004F1F89">
            <w:pPr>
              <w:jc w:val="both"/>
              <w:rPr>
                <w:rFonts w:eastAsia="Calibri"/>
                <w:sz w:val="20"/>
                <w:lang w:val="fr-CA"/>
              </w:rPr>
            </w:pPr>
            <w:r w:rsidRPr="006A318F">
              <w:rPr>
                <w:rFonts w:eastAsia="Calibri"/>
                <w:sz w:val="20"/>
                <w:lang w:val="fr-CA"/>
              </w:rPr>
              <w:t>Demande d'autorisation d'appel déposée</w:t>
            </w:r>
          </w:p>
          <w:p w:rsidR="0045321C" w:rsidRPr="006A318F" w:rsidRDefault="0045321C" w:rsidP="004F1F89">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49"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80FB7" w:rsidRPr="00D80FB7" w:rsidTr="002304D1">
        <w:trPr>
          <w:cantSplit/>
        </w:trPr>
        <w:tc>
          <w:tcPr>
            <w:tcW w:w="1458" w:type="dxa"/>
          </w:tcPr>
          <w:p w:rsidR="00D80FB7" w:rsidRPr="00D80FB7" w:rsidRDefault="00D80FB7" w:rsidP="002304D1">
            <w:pPr>
              <w:rPr>
                <w:sz w:val="20"/>
                <w:szCs w:val="20"/>
              </w:rPr>
            </w:pPr>
            <w:r w:rsidRPr="00D80FB7">
              <w:rPr>
                <w:rStyle w:val="SCCFileNumberChar"/>
                <w:sz w:val="20"/>
                <w:szCs w:val="20"/>
              </w:rPr>
              <w:t>34559</w:t>
            </w:r>
          </w:p>
          <w:p w:rsidR="00D80FB7" w:rsidRPr="00D80FB7" w:rsidRDefault="00D80FB7" w:rsidP="002304D1">
            <w:pPr>
              <w:rPr>
                <w:b/>
                <w:sz w:val="20"/>
                <w:szCs w:val="20"/>
                <w:lang w:val="fr-CA"/>
              </w:rPr>
            </w:pPr>
          </w:p>
        </w:tc>
        <w:tc>
          <w:tcPr>
            <w:tcW w:w="8118" w:type="dxa"/>
          </w:tcPr>
          <w:p w:rsidR="00D80FB7" w:rsidRPr="00D80FB7" w:rsidRDefault="00D80FB7" w:rsidP="002304D1">
            <w:pPr>
              <w:rPr>
                <w:sz w:val="20"/>
                <w:szCs w:val="20"/>
              </w:rPr>
            </w:pPr>
            <w:r w:rsidRPr="00D80FB7">
              <w:rPr>
                <w:rStyle w:val="SCCLsocChar"/>
                <w:sz w:val="20"/>
                <w:szCs w:val="20"/>
                <w:lang w:val="en-CA"/>
              </w:rPr>
              <w:t>United Mexican States v. Cargill, Incorporated</w:t>
            </w:r>
            <w:r w:rsidRPr="00D80FB7">
              <w:rPr>
                <w:sz w:val="20"/>
                <w:szCs w:val="20"/>
              </w:rPr>
              <w:t xml:space="preserve"> (Ont.) (Civil) (By Leave)</w:t>
            </w:r>
          </w:p>
          <w:p w:rsidR="00D80FB7" w:rsidRPr="00D80FB7" w:rsidRDefault="00D80FB7" w:rsidP="002304D1">
            <w:pPr>
              <w:rPr>
                <w:sz w:val="20"/>
                <w:szCs w:val="20"/>
              </w:rPr>
            </w:pPr>
          </w:p>
        </w:tc>
      </w:tr>
      <w:tr w:rsidR="00D80FB7" w:rsidRPr="00D80FB7" w:rsidTr="002304D1">
        <w:trPr>
          <w:cantSplit/>
        </w:trPr>
        <w:tc>
          <w:tcPr>
            <w:tcW w:w="1458" w:type="dxa"/>
          </w:tcPr>
          <w:p w:rsidR="00D80FB7" w:rsidRPr="00D80FB7" w:rsidRDefault="00D80FB7" w:rsidP="002304D1">
            <w:pPr>
              <w:rPr>
                <w:sz w:val="20"/>
                <w:szCs w:val="20"/>
              </w:rPr>
            </w:pPr>
            <w:r w:rsidRPr="00D80FB7">
              <w:rPr>
                <w:sz w:val="20"/>
                <w:szCs w:val="20"/>
              </w:rPr>
              <w:t>Coram :</w:t>
            </w:r>
          </w:p>
        </w:tc>
        <w:tc>
          <w:tcPr>
            <w:tcW w:w="8118" w:type="dxa"/>
          </w:tcPr>
          <w:p w:rsidR="00D80FB7" w:rsidRPr="00D80FB7" w:rsidRDefault="00D80FB7" w:rsidP="002304D1">
            <w:pPr>
              <w:rPr>
                <w:sz w:val="20"/>
                <w:szCs w:val="20"/>
              </w:rPr>
            </w:pPr>
            <w:r w:rsidRPr="00D80FB7">
              <w:rPr>
                <w:rStyle w:val="SCCCoramChar"/>
                <w:sz w:val="20"/>
                <w:szCs w:val="20"/>
                <w:lang w:val="en-CA"/>
              </w:rPr>
              <w:t>Deschamps, Fish and Karakatsanis JJ.</w:t>
            </w:r>
          </w:p>
          <w:p w:rsidR="00D80FB7" w:rsidRPr="00D80FB7" w:rsidRDefault="00D80FB7" w:rsidP="002304D1">
            <w:pPr>
              <w:rPr>
                <w:sz w:val="20"/>
                <w:szCs w:val="20"/>
                <w:u w:val="single"/>
              </w:rPr>
            </w:pPr>
          </w:p>
        </w:tc>
      </w:tr>
      <w:tr w:rsidR="00D80FB7" w:rsidRPr="004A42A2" w:rsidTr="002304D1">
        <w:trPr>
          <w:cantSplit/>
        </w:trPr>
        <w:tc>
          <w:tcPr>
            <w:tcW w:w="9576" w:type="dxa"/>
            <w:gridSpan w:val="2"/>
          </w:tcPr>
          <w:p w:rsidR="00D80FB7" w:rsidRPr="00D80FB7" w:rsidRDefault="00D80FB7" w:rsidP="002304D1">
            <w:pPr>
              <w:pStyle w:val="SCCShortJudgment"/>
              <w:rPr>
                <w:szCs w:val="20"/>
              </w:rPr>
            </w:pPr>
            <w:r w:rsidRPr="00D80FB7">
              <w:rPr>
                <w:szCs w:val="20"/>
              </w:rPr>
              <w:t>The application for leave to appeal from the judgment of the Court of Appeal for Ontario, Number C52737, 2011 ONCA 622, dated October 4, 2011, is dismissed with costs to the respondent.</w:t>
            </w:r>
          </w:p>
          <w:p w:rsidR="00D80FB7" w:rsidRPr="00D80FB7" w:rsidRDefault="00D80FB7" w:rsidP="002304D1">
            <w:pPr>
              <w:pStyle w:val="SCCShortJudgment"/>
              <w:ind w:firstLine="0"/>
              <w:rPr>
                <w:szCs w:val="20"/>
              </w:rPr>
            </w:pPr>
          </w:p>
          <w:p w:rsidR="00D80FB7" w:rsidRPr="00D80FB7" w:rsidRDefault="00D80FB7" w:rsidP="002304D1">
            <w:pPr>
              <w:pStyle w:val="SCCShortJudgment"/>
              <w:rPr>
                <w:szCs w:val="20"/>
                <w:lang w:val="fr-CA"/>
              </w:rPr>
            </w:pPr>
            <w:r w:rsidRPr="00D80FB7">
              <w:rPr>
                <w:szCs w:val="20"/>
                <w:lang w:val="fr-CA"/>
              </w:rPr>
              <w:t>La demande d’autorisation d’appel de l’arrêt de la Cour d’appel de l’Ontario, numéro C52737, 2011 ONCA 622, daté du 4 octobre 2011, est rejetée avec dépens en faveur de l’intimée.</w:t>
            </w:r>
          </w:p>
        </w:tc>
      </w:tr>
    </w:tbl>
    <w:p w:rsidR="009B2448" w:rsidRPr="00D80FB7"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 xml:space="preserve">International law – International trade and customs – Arbitration – Award – Jurisdiction –  Judicial review – Standard of review – Standard of review of decision of arbitration panel under the </w:t>
            </w:r>
            <w:r w:rsidRPr="006A318F">
              <w:rPr>
                <w:rFonts w:eastAsia="Calibri"/>
                <w:i/>
                <w:sz w:val="20"/>
              </w:rPr>
              <w:t>North American Free Trade Agreement Between the Government of Canada, the Government of Mexico and the Government of the United States</w:t>
            </w:r>
            <w:r w:rsidRPr="006A318F">
              <w:rPr>
                <w:rFonts w:eastAsia="Calibri"/>
                <w:sz w:val="20"/>
              </w:rPr>
              <w:t xml:space="preserve"> (NAFTA) – Review for lack or excess of jurisdiction – NAFTA, chapter 11 –</w:t>
            </w:r>
            <w:r w:rsidRPr="006A318F">
              <w:rPr>
                <w:rFonts w:eastAsia="Calibri"/>
                <w:i/>
                <w:sz w:val="20"/>
              </w:rPr>
              <w:t xml:space="preserve"> Vienna Convention on the Law of Treaties </w:t>
            </w:r>
            <w:r w:rsidRPr="006A318F">
              <w:rPr>
                <w:rFonts w:eastAsia="Calibri"/>
                <w:sz w:val="20"/>
              </w:rPr>
              <w:t>(</w:t>
            </w:r>
            <w:r w:rsidRPr="006A318F">
              <w:rPr>
                <w:rFonts w:eastAsia="Calibri"/>
                <w:i/>
                <w:sz w:val="20"/>
              </w:rPr>
              <w:t>Vienna Convention)</w:t>
            </w:r>
            <w:r w:rsidRPr="006A318F">
              <w:rPr>
                <w:rFonts w:eastAsia="Calibri"/>
                <w:sz w:val="20"/>
              </w:rPr>
              <w:t>, article 31 – Whether the parties to the NAFTA</w:t>
            </w:r>
            <w:r w:rsidRPr="006A318F">
              <w:rPr>
                <w:rFonts w:eastAsia="Calibri"/>
                <w:i/>
                <w:sz w:val="20"/>
              </w:rPr>
              <w:t xml:space="preserve"> </w:t>
            </w:r>
            <w:r w:rsidRPr="006A318F">
              <w:rPr>
                <w:rFonts w:eastAsia="Calibri"/>
                <w:sz w:val="20"/>
              </w:rPr>
              <w:t xml:space="preserve">namely Canada, the United States and Mexico, owe any obligations under NAFTA Chapter Eleven to a producer or investor in its home State, as opposed to an investor in the territory of the host State, the breach of which may give rise to compensable damages – Whether articles 31(3)(b) or 31(3)(c) of the </w:t>
            </w:r>
            <w:r w:rsidRPr="006A318F">
              <w:rPr>
                <w:rFonts w:eastAsia="Calibri"/>
                <w:i/>
                <w:sz w:val="20"/>
              </w:rPr>
              <w:t>Vienna Convention</w:t>
            </w:r>
            <w:r w:rsidRPr="006A318F">
              <w:rPr>
                <w:rFonts w:eastAsia="Calibri"/>
                <w:sz w:val="20"/>
              </w:rPr>
              <w:t xml:space="preserve"> require a court sitting in review of an international arbitral award to abide by the common agreement or practice of the treaty parties as expressed in submissions made to the court at the time of the review – What is the standard against which an alleged agreement or practice of the treaty parties must be assessed for the purposes of articles 31(3)(b) and 31(3)(c) of the </w:t>
            </w:r>
            <w:r w:rsidRPr="006A318F">
              <w:rPr>
                <w:rFonts w:eastAsia="Calibri"/>
                <w:i/>
                <w:sz w:val="20"/>
              </w:rPr>
              <w:t>Vienna Convention</w:t>
            </w:r>
            <w:r w:rsidRPr="006A318F">
              <w:rPr>
                <w:rFonts w:eastAsia="Calibri"/>
                <w:sz w:val="20"/>
              </w:rPr>
              <w:t>?</w:t>
            </w:r>
          </w:p>
        </w:tc>
      </w:tr>
      <w:tr w:rsidR="007B5386" w:rsidRPr="006A318F" w:rsidTr="004F1F89">
        <w:tc>
          <w:tcPr>
            <w:tcW w:w="5000" w:type="pct"/>
            <w:gridSpan w:val="3"/>
          </w:tcPr>
          <w:p w:rsidR="007B5386" w:rsidRPr="006A318F" w:rsidRDefault="007B5386" w:rsidP="004F1F89">
            <w:pPr>
              <w:jc w:val="both"/>
              <w:rPr>
                <w:rFonts w:eastAsia="Calibri"/>
                <w:sz w:val="20"/>
              </w:rPr>
            </w:pPr>
          </w:p>
        </w:tc>
      </w:tr>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 xml:space="preserve">The applicant United Mexican States (“Mexico”) undertook measures – </w:t>
            </w:r>
            <w:r w:rsidRPr="006A318F">
              <w:rPr>
                <w:rFonts w:eastAsia="Calibri"/>
                <w:i/>
                <w:sz w:val="20"/>
              </w:rPr>
              <w:t>i.e.</w:t>
            </w:r>
            <w:r w:rsidRPr="006A318F">
              <w:rPr>
                <w:rFonts w:eastAsia="Calibri"/>
                <w:sz w:val="20"/>
              </w:rPr>
              <w:t>, trade barriers – to protect its refined sugar industry and guard against competition from importation of foreign-produced high fructose corn syrup (HFCS). In response, the respondent Cargill, Incorporated (a U.S. producer of HFCS) (“Cargill”) and its Mexican subsidiary, Cargill de Mexico S.A. de C.V. (“CdM”), sought arbitration for breaches of Chapter 11 of the NAFTA, and an award of damages. An arbitration panel of the International Centre for the Settlement of Investment Disputes made an award in 2009, finding that the trade barriers constituted breaches of NAFTA, and granting over $77 million USD in damages to Cargill and CdM. The award was to compensate “down-stream” losses of direct lost sales and costs suffered by CdM, as well as “up-stream” losses of lost sales suffered by Cargill for its HFCS products manufactured in the U.S. and exported into Mexico via CdM.  As Toronto was designated the “place of arbitration”, Mexico brought an application in Ontario courts to set aside the “up-stream” portion of the award (</w:t>
            </w:r>
            <w:r w:rsidRPr="006A318F">
              <w:rPr>
                <w:rFonts w:eastAsia="Calibri"/>
                <w:i/>
                <w:sz w:val="20"/>
              </w:rPr>
              <w:t>i.e.</w:t>
            </w:r>
            <w:r w:rsidRPr="006A318F">
              <w:rPr>
                <w:rFonts w:eastAsia="Calibri"/>
                <w:sz w:val="20"/>
              </w:rPr>
              <w:t>, losses suffered by Cargill in the U.S., not CdM) based on an alleged excess of jurisdiction by the arbitration panel.</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June 3, 2011</w:t>
            </w:r>
          </w:p>
          <w:p w:rsidR="007B5386" w:rsidRPr="006A318F" w:rsidRDefault="007B5386" w:rsidP="004F1F89">
            <w:pPr>
              <w:jc w:val="both"/>
              <w:rPr>
                <w:rFonts w:eastAsia="Calibri"/>
                <w:sz w:val="20"/>
              </w:rPr>
            </w:pPr>
            <w:r w:rsidRPr="006A318F">
              <w:rPr>
                <w:rFonts w:eastAsia="Calibri"/>
                <w:sz w:val="20"/>
              </w:rPr>
              <w:t>Ontario Superior Court of Justice</w:t>
            </w:r>
          </w:p>
          <w:p w:rsidR="007B5386" w:rsidRPr="006A318F" w:rsidRDefault="007B5386" w:rsidP="004F1F89">
            <w:pPr>
              <w:jc w:val="both"/>
              <w:rPr>
                <w:rFonts w:eastAsia="Calibri"/>
                <w:sz w:val="20"/>
              </w:rPr>
            </w:pPr>
            <w:r w:rsidRPr="006A318F">
              <w:rPr>
                <w:rFonts w:eastAsia="Calibri"/>
                <w:sz w:val="20"/>
              </w:rPr>
              <w:t>(Low J.)</w:t>
            </w:r>
          </w:p>
          <w:p w:rsidR="007B5386" w:rsidRPr="006A318F" w:rsidRDefault="007B5386" w:rsidP="004F1F89">
            <w:pPr>
              <w:jc w:val="both"/>
              <w:rPr>
                <w:rFonts w:eastAsia="Calibri"/>
                <w:sz w:val="20"/>
              </w:rPr>
            </w:pPr>
            <w:r w:rsidRPr="006A318F">
              <w:rPr>
                <w:rFonts w:eastAsia="Calibri"/>
                <w:sz w:val="20"/>
              </w:rPr>
              <w:t>2010 ONSC 4656</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by the United Mexican States to set aside arbitral award dismissed</w:t>
            </w:r>
          </w:p>
          <w:p w:rsidR="007B5386" w:rsidRPr="006A318F" w:rsidRDefault="007B5386" w:rsidP="004F1F89">
            <w:pPr>
              <w:jc w:val="both"/>
              <w:rPr>
                <w:rFonts w:eastAsia="Calibri"/>
                <w:sz w:val="20"/>
              </w:rPr>
            </w:pPr>
          </w:p>
        </w:tc>
      </w:tr>
      <w:tr w:rsidR="007B5386" w:rsidRPr="006A318F" w:rsidTr="00D80FB7">
        <w:trPr>
          <w:cantSplit/>
        </w:trPr>
        <w:tc>
          <w:tcPr>
            <w:tcW w:w="2427" w:type="pct"/>
          </w:tcPr>
          <w:p w:rsidR="007B5386" w:rsidRPr="006A318F" w:rsidRDefault="007B5386" w:rsidP="004F1F89">
            <w:pPr>
              <w:jc w:val="both"/>
              <w:rPr>
                <w:rFonts w:eastAsia="Calibri"/>
                <w:sz w:val="20"/>
              </w:rPr>
            </w:pPr>
            <w:r w:rsidRPr="006A318F">
              <w:rPr>
                <w:rFonts w:eastAsia="Calibri"/>
                <w:sz w:val="20"/>
              </w:rPr>
              <w:lastRenderedPageBreak/>
              <w:t>October 4, 2011</w:t>
            </w:r>
          </w:p>
          <w:p w:rsidR="007B5386" w:rsidRPr="006A318F" w:rsidRDefault="007B5386" w:rsidP="004F1F89">
            <w:pPr>
              <w:jc w:val="both"/>
              <w:rPr>
                <w:rFonts w:eastAsia="Calibri"/>
                <w:sz w:val="20"/>
              </w:rPr>
            </w:pPr>
            <w:r w:rsidRPr="006A318F">
              <w:rPr>
                <w:rFonts w:eastAsia="Calibri"/>
                <w:sz w:val="20"/>
              </w:rPr>
              <w:t>Court of Appeal for Ontario</w:t>
            </w:r>
          </w:p>
          <w:p w:rsidR="007B5386" w:rsidRPr="006A318F" w:rsidRDefault="007B5386" w:rsidP="004F1F89">
            <w:pPr>
              <w:jc w:val="both"/>
              <w:rPr>
                <w:rFonts w:eastAsia="Calibri"/>
                <w:sz w:val="20"/>
              </w:rPr>
            </w:pPr>
            <w:r w:rsidRPr="006A318F">
              <w:rPr>
                <w:rFonts w:eastAsia="Calibri"/>
                <w:sz w:val="20"/>
              </w:rPr>
              <w:t>(Rosenberg, Feldman, and Moldaver JJ.A.)</w:t>
            </w:r>
          </w:p>
          <w:p w:rsidR="007B5386" w:rsidRPr="006A318F" w:rsidRDefault="007B5386" w:rsidP="004F1F89">
            <w:pPr>
              <w:jc w:val="both"/>
              <w:rPr>
                <w:rFonts w:eastAsia="Calibri"/>
                <w:sz w:val="20"/>
              </w:rPr>
            </w:pPr>
            <w:r w:rsidRPr="006A318F">
              <w:rPr>
                <w:rFonts w:eastAsia="Calibri"/>
                <w:sz w:val="20"/>
              </w:rPr>
              <w:t>2011 ONCA 622</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Appeal by the United Mexican States dismissed</w:t>
            </w:r>
          </w:p>
          <w:p w:rsidR="007B5386" w:rsidRPr="006A318F" w:rsidRDefault="007B5386" w:rsidP="004F1F89">
            <w:pPr>
              <w:jc w:val="both"/>
              <w:rPr>
                <w:rFonts w:eastAsia="Calibri"/>
                <w:sz w:val="20"/>
              </w:rPr>
            </w:pPr>
          </w:p>
        </w:tc>
      </w:tr>
      <w:tr w:rsidR="007B5386" w:rsidRPr="006A318F" w:rsidTr="00D80FB7">
        <w:trPr>
          <w:cantSplit/>
        </w:trPr>
        <w:tc>
          <w:tcPr>
            <w:tcW w:w="2427" w:type="pct"/>
          </w:tcPr>
          <w:p w:rsidR="007B5386" w:rsidRPr="006A318F" w:rsidRDefault="007B5386" w:rsidP="004F1F89">
            <w:pPr>
              <w:jc w:val="both"/>
              <w:rPr>
                <w:rFonts w:eastAsia="Calibri"/>
                <w:sz w:val="20"/>
              </w:rPr>
            </w:pPr>
            <w:r w:rsidRPr="006A318F">
              <w:rPr>
                <w:rFonts w:eastAsia="Calibri"/>
                <w:sz w:val="20"/>
              </w:rPr>
              <w:t>December 5, 2011</w:t>
            </w:r>
          </w:p>
          <w:p w:rsidR="007B5386" w:rsidRPr="006A318F" w:rsidRDefault="007B5386" w:rsidP="004F1F89">
            <w:pPr>
              <w:jc w:val="both"/>
              <w:rPr>
                <w:rFonts w:eastAsia="Calibri"/>
                <w:sz w:val="20"/>
              </w:rPr>
            </w:pPr>
            <w:r w:rsidRPr="006A318F">
              <w:rPr>
                <w:rFonts w:eastAsia="Calibri"/>
                <w:sz w:val="20"/>
              </w:rPr>
              <w:t>Supreme Court of Canada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for leave to appeal filed</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50"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5386" w:rsidRPr="00090737" w:rsidTr="004F1F89">
        <w:tc>
          <w:tcPr>
            <w:tcW w:w="5000" w:type="pct"/>
            <w:gridSpan w:val="3"/>
          </w:tcPr>
          <w:p w:rsidR="007B5386" w:rsidRPr="006A318F" w:rsidRDefault="007B5386" w:rsidP="004F1F89">
            <w:pPr>
              <w:jc w:val="both"/>
              <w:rPr>
                <w:sz w:val="20"/>
                <w:lang w:val="fr-CA"/>
              </w:rPr>
            </w:pPr>
            <w:r w:rsidRPr="006A318F">
              <w:rPr>
                <w:sz w:val="20"/>
                <w:lang w:val="fr-CA"/>
              </w:rPr>
              <w:t>Droit international – Commerce international et coutumes internationales – Arbitrage – Sentence – Compétence – Contrôle judiciaire – Norme de contrôle – Norme de contrôle d'une décision d'un groupe d'arbitrage sous le régime de l’</w:t>
            </w:r>
            <w:r w:rsidRPr="006A318F">
              <w:rPr>
                <w:i/>
                <w:sz w:val="20"/>
                <w:lang w:val="fr-CA"/>
              </w:rPr>
              <w:t>Accord de libre</w:t>
            </w:r>
            <w:r w:rsidRPr="006A318F">
              <w:rPr>
                <w:i/>
                <w:sz w:val="20"/>
                <w:lang w:val="fr-CA"/>
              </w:rPr>
              <w:noBreakHyphen/>
              <w:t>échange nord</w:t>
            </w:r>
            <w:r w:rsidRPr="006A318F">
              <w:rPr>
                <w:i/>
                <w:sz w:val="20"/>
                <w:lang w:val="fr-CA"/>
              </w:rPr>
              <w:noBreakHyphen/>
              <w:t>américain entre le gouvernement du Canada, le gouvernement du Mexique et le gouvernement des États</w:t>
            </w:r>
            <w:r w:rsidRPr="006A318F">
              <w:rPr>
                <w:i/>
                <w:sz w:val="20"/>
                <w:lang w:val="fr-CA"/>
              </w:rPr>
              <w:noBreakHyphen/>
              <w:t xml:space="preserve">Unis </w:t>
            </w:r>
            <w:r w:rsidRPr="006A318F">
              <w:rPr>
                <w:sz w:val="20"/>
                <w:lang w:val="fr-CA"/>
              </w:rPr>
              <w:t>(ALENA) – Contrôle pour absence ou excès de compétence – ALENA, chapitre 11 –</w:t>
            </w:r>
            <w:r w:rsidRPr="006A318F">
              <w:rPr>
                <w:i/>
                <w:sz w:val="20"/>
                <w:lang w:val="fr-CA"/>
              </w:rPr>
              <w:t xml:space="preserve"> Convention de Vienne sur le droit des traités </w:t>
            </w:r>
            <w:r w:rsidRPr="006A318F">
              <w:rPr>
                <w:sz w:val="20"/>
                <w:lang w:val="fr-CA"/>
              </w:rPr>
              <w:t>(</w:t>
            </w:r>
            <w:r w:rsidRPr="006A318F">
              <w:rPr>
                <w:i/>
                <w:sz w:val="20"/>
                <w:lang w:val="fr-CA"/>
              </w:rPr>
              <w:t>Convention de Vienne)</w:t>
            </w:r>
            <w:r w:rsidRPr="006A318F">
              <w:rPr>
                <w:sz w:val="20"/>
                <w:lang w:val="fr-CA"/>
              </w:rPr>
              <w:t>, article 31 – Les parties à l’ALENA, c'est</w:t>
            </w:r>
            <w:r w:rsidRPr="006A318F">
              <w:rPr>
                <w:sz w:val="20"/>
                <w:lang w:val="fr-CA"/>
              </w:rPr>
              <w:noBreakHyphen/>
              <w:t>à</w:t>
            </w:r>
            <w:r w:rsidRPr="006A318F">
              <w:rPr>
                <w:sz w:val="20"/>
                <w:lang w:val="fr-CA"/>
              </w:rPr>
              <w:noBreakHyphen/>
              <w:t>dire le Canada, les États</w:t>
            </w:r>
            <w:r w:rsidRPr="006A318F">
              <w:rPr>
                <w:sz w:val="20"/>
                <w:lang w:val="fr-CA"/>
              </w:rPr>
              <w:noBreakHyphen/>
              <w:t>Unis et le Mexique, ont</w:t>
            </w:r>
            <w:r w:rsidRPr="006A318F">
              <w:rPr>
                <w:sz w:val="20"/>
                <w:lang w:val="fr-CA"/>
              </w:rPr>
              <w:noBreakHyphen/>
              <w:t>elles des obligations aux termes du chapitre 11 de l’ALENA envers un producteur ou un investisseur dans son État d'attache, par opposition à un investisseur dans le territoire de l'État hôte et qui, en cas de manquement, peuvent donner lieu à des dommages</w:t>
            </w:r>
            <w:r w:rsidRPr="006A318F">
              <w:rPr>
                <w:sz w:val="20"/>
                <w:lang w:val="fr-CA"/>
              </w:rPr>
              <w:noBreakHyphen/>
              <w:t>intérêts indemnisables? – Les alinéas 31(3)</w:t>
            </w:r>
            <w:r w:rsidRPr="006A318F">
              <w:rPr>
                <w:i/>
                <w:sz w:val="20"/>
                <w:lang w:val="fr-CA"/>
              </w:rPr>
              <w:t>b</w:t>
            </w:r>
            <w:r w:rsidRPr="006A318F">
              <w:rPr>
                <w:sz w:val="20"/>
                <w:lang w:val="fr-CA"/>
              </w:rPr>
              <w:t>) ou 31(3)</w:t>
            </w:r>
            <w:r w:rsidRPr="006A318F">
              <w:rPr>
                <w:i/>
                <w:sz w:val="20"/>
                <w:lang w:val="fr-CA"/>
              </w:rPr>
              <w:t>c</w:t>
            </w:r>
            <w:r w:rsidRPr="006A318F">
              <w:rPr>
                <w:sz w:val="20"/>
                <w:lang w:val="fr-CA"/>
              </w:rPr>
              <w:t>) de la</w:t>
            </w:r>
            <w:r w:rsidRPr="006A318F">
              <w:rPr>
                <w:i/>
                <w:sz w:val="20"/>
                <w:lang w:val="fr-CA"/>
              </w:rPr>
              <w:t xml:space="preserve"> Convention de Vienne</w:t>
            </w:r>
            <w:r w:rsidRPr="006A318F">
              <w:rPr>
                <w:sz w:val="20"/>
                <w:lang w:val="fr-CA"/>
              </w:rPr>
              <w:t xml:space="preserve"> obligent</w:t>
            </w:r>
            <w:r w:rsidRPr="006A318F">
              <w:rPr>
                <w:sz w:val="20"/>
                <w:lang w:val="fr-CA"/>
              </w:rPr>
              <w:noBreakHyphen/>
              <w:t>ils un tribunal saisi d'une demande de contrôle judiciaire d'une sentence arbitrale internationale à respecter l'accord ou la pratique communs des parties au traité exprimés dans les observations présentées au tribunal au moment du contrôle? – Quelle est la norme à l'égard de laquelle un accord ou des pratiques allégués des parties au traité doivent être appréciés aux fins des alinéas 31(3)</w:t>
            </w:r>
            <w:r w:rsidRPr="006A318F">
              <w:rPr>
                <w:i/>
                <w:sz w:val="20"/>
                <w:lang w:val="fr-CA"/>
              </w:rPr>
              <w:t>b</w:t>
            </w:r>
            <w:r w:rsidRPr="006A318F">
              <w:rPr>
                <w:sz w:val="20"/>
                <w:lang w:val="fr-CA"/>
              </w:rPr>
              <w:t>) et 31(3)</w:t>
            </w:r>
            <w:r w:rsidRPr="006A318F">
              <w:rPr>
                <w:i/>
                <w:sz w:val="20"/>
                <w:lang w:val="fr-CA"/>
              </w:rPr>
              <w:t>c</w:t>
            </w:r>
            <w:r w:rsidRPr="006A318F">
              <w:rPr>
                <w:sz w:val="20"/>
                <w:lang w:val="fr-CA"/>
              </w:rPr>
              <w:t>) de la</w:t>
            </w:r>
            <w:r w:rsidRPr="006A318F">
              <w:rPr>
                <w:i/>
                <w:sz w:val="20"/>
                <w:lang w:val="fr-CA"/>
              </w:rPr>
              <w:t xml:space="preserve"> Convention de Vienne</w:t>
            </w:r>
            <w:r w:rsidRPr="006A318F">
              <w:rPr>
                <w:sz w:val="20"/>
                <w:lang w:val="fr-CA"/>
              </w:rPr>
              <w:t>?</w:t>
            </w:r>
          </w:p>
        </w:tc>
      </w:tr>
      <w:tr w:rsidR="007B5386" w:rsidRPr="00090737" w:rsidTr="004F1F89">
        <w:tc>
          <w:tcPr>
            <w:tcW w:w="5000" w:type="pct"/>
            <w:gridSpan w:val="3"/>
          </w:tcPr>
          <w:p w:rsidR="007B5386" w:rsidRPr="006A318F" w:rsidRDefault="007B5386" w:rsidP="004F1F89">
            <w:pPr>
              <w:jc w:val="both"/>
              <w:rPr>
                <w:sz w:val="20"/>
                <w:lang w:val="fr-CA"/>
              </w:rPr>
            </w:pPr>
          </w:p>
        </w:tc>
      </w:tr>
      <w:tr w:rsidR="007B5386" w:rsidRPr="004A42A2" w:rsidTr="004F1F89">
        <w:tc>
          <w:tcPr>
            <w:tcW w:w="5000" w:type="pct"/>
            <w:gridSpan w:val="3"/>
          </w:tcPr>
          <w:p w:rsidR="007B5386" w:rsidRPr="006A318F" w:rsidRDefault="007B5386" w:rsidP="004F1F89">
            <w:pPr>
              <w:jc w:val="both"/>
              <w:rPr>
                <w:sz w:val="20"/>
                <w:lang w:val="fr-CA"/>
              </w:rPr>
            </w:pPr>
            <w:r w:rsidRPr="006A318F">
              <w:rPr>
                <w:sz w:val="20"/>
                <w:lang w:val="fr-CA"/>
              </w:rPr>
              <w:t>La partie demanderesse, les États</w:t>
            </w:r>
            <w:r w:rsidRPr="006A318F">
              <w:rPr>
                <w:sz w:val="20"/>
                <w:lang w:val="fr-CA"/>
              </w:rPr>
              <w:noBreakHyphen/>
              <w:t xml:space="preserve">Unis du Mexique (« le Mexique ») a pris des mesures – </w:t>
            </w:r>
            <w:r w:rsidRPr="006A318F">
              <w:rPr>
                <w:i/>
                <w:sz w:val="20"/>
                <w:lang w:val="fr-CA"/>
              </w:rPr>
              <w:t>c.</w:t>
            </w:r>
            <w:r w:rsidRPr="006A318F">
              <w:rPr>
                <w:i/>
                <w:sz w:val="20"/>
                <w:lang w:val="fr-CA"/>
              </w:rPr>
              <w:noBreakHyphen/>
              <w:t>à</w:t>
            </w:r>
            <w:r w:rsidRPr="006A318F">
              <w:rPr>
                <w:i/>
                <w:sz w:val="20"/>
                <w:lang w:val="fr-CA"/>
              </w:rPr>
              <w:noBreakHyphen/>
              <w:t>d.</w:t>
            </w:r>
            <w:r w:rsidRPr="006A318F">
              <w:rPr>
                <w:sz w:val="20"/>
                <w:lang w:val="fr-CA"/>
              </w:rPr>
              <w:t xml:space="preserve"> des barrières commerciales – pour protéger son industrie du sucre raffiné et se protéger contre la concurrence de l'importation de sirop de maïs à haute teneur de glucose (HFCS) produit à l'étranger. En réponse, l'intimée Cargill, Incorporated (un producteur de HFCS des États</w:t>
            </w:r>
            <w:r w:rsidRPr="006A318F">
              <w:rPr>
                <w:sz w:val="20"/>
                <w:lang w:val="fr-CA"/>
              </w:rPr>
              <w:noBreakHyphen/>
              <w:t>Unis) (« Cargill ») et sa filiale mexicaine, Cargill de Mexico S.A. de CV. (« Cmd »), ont demandé l'arbitrage relativement à des manquements au chapitre 11 de l’ALENA et des dommages</w:t>
            </w:r>
            <w:r w:rsidRPr="006A318F">
              <w:rPr>
                <w:sz w:val="20"/>
                <w:lang w:val="fr-CA"/>
              </w:rPr>
              <w:noBreakHyphen/>
              <w:t xml:space="preserve">intérêts. Un groupe d'arbitrage du </w:t>
            </w:r>
            <w:r w:rsidRPr="006A318F">
              <w:rPr>
                <w:bCs/>
                <w:sz w:val="20"/>
                <w:lang w:val="fr-CA"/>
              </w:rPr>
              <w:t>Centre international pour le règlement des différends relatifs aux investissements</w:t>
            </w:r>
            <w:r w:rsidRPr="006A318F">
              <w:rPr>
                <w:sz w:val="20"/>
                <w:lang w:val="fr-CA"/>
              </w:rPr>
              <w:t xml:space="preserve"> a rendu une sentence en 2009, concluant que les barrières commerciales constituaient des manquements à l’ALENA, et accordant plus de 77 millions de dollars US en dommages</w:t>
            </w:r>
            <w:r w:rsidRPr="006A318F">
              <w:rPr>
                <w:sz w:val="20"/>
                <w:lang w:val="fr-CA"/>
              </w:rPr>
              <w:noBreakHyphen/>
              <w:t>intérêts à Cargill et à CdM. La sentence devait indemniser les pertes « en aval » – au titre des ventes perdues et des coûts directs – subies par CdM, ainsi que les pertes « en amont » – au titre des ventes perdues – subies par Cargill pour ses produits de HFCS fabriqués aux États</w:t>
            </w:r>
            <w:r w:rsidRPr="006A318F">
              <w:rPr>
                <w:sz w:val="20"/>
                <w:lang w:val="fr-CA"/>
              </w:rPr>
              <w:noBreakHyphen/>
              <w:t>Unis et exportés au Mexique par CdM. Puisque Toronto avait été désignée comme « lieu de l'arbitrage », le Mexique a présenté une demande aux tribunaux de l'Ontario en annulation de la partie « en amont » de la sentence (c.</w:t>
            </w:r>
            <w:r w:rsidRPr="006A318F">
              <w:rPr>
                <w:sz w:val="20"/>
                <w:lang w:val="fr-CA"/>
              </w:rPr>
              <w:noBreakHyphen/>
              <w:t>à</w:t>
            </w:r>
            <w:r w:rsidRPr="006A318F">
              <w:rPr>
                <w:sz w:val="20"/>
                <w:lang w:val="fr-CA"/>
              </w:rPr>
              <w:noBreakHyphen/>
              <w:t>d. les pertes subies par Cargill aux États</w:t>
            </w:r>
            <w:r w:rsidRPr="006A318F">
              <w:rPr>
                <w:sz w:val="20"/>
                <w:lang w:val="fr-CA"/>
              </w:rPr>
              <w:noBreakHyphen/>
              <w:t xml:space="preserve">Unis, et non CdM) </w:t>
            </w:r>
            <w:r w:rsidRPr="006A318F">
              <w:rPr>
                <w:sz w:val="20"/>
                <w:lang w:val="fr-CA"/>
              </w:rPr>
              <w:noBreakHyphen/>
              <w:t xml:space="preserve"> alléguant que le groupe d'arbitrage avait excédé sa compétence.</w:t>
            </w:r>
          </w:p>
          <w:p w:rsidR="007B5386" w:rsidRPr="006A318F" w:rsidRDefault="007B5386" w:rsidP="004F1F89">
            <w:pPr>
              <w:jc w:val="both"/>
              <w:rPr>
                <w:sz w:val="20"/>
                <w:lang w:val="fr-CA"/>
              </w:rPr>
            </w:pPr>
          </w:p>
        </w:tc>
      </w:tr>
      <w:tr w:rsidR="007B5386" w:rsidRPr="004A42A2" w:rsidTr="004F1F89">
        <w:tc>
          <w:tcPr>
            <w:tcW w:w="2427" w:type="pct"/>
          </w:tcPr>
          <w:p w:rsidR="007B5386" w:rsidRPr="006A318F" w:rsidRDefault="007B5386" w:rsidP="004F1F89">
            <w:pPr>
              <w:rPr>
                <w:sz w:val="20"/>
                <w:lang w:val="fr-CA"/>
              </w:rPr>
            </w:pPr>
            <w:r w:rsidRPr="006A318F">
              <w:rPr>
                <w:sz w:val="20"/>
                <w:lang w:val="fr-CA"/>
              </w:rPr>
              <w:t>3 juin 2011</w:t>
            </w:r>
          </w:p>
          <w:p w:rsidR="007B5386" w:rsidRPr="006A318F" w:rsidRDefault="007B5386" w:rsidP="004F1F89">
            <w:pPr>
              <w:rPr>
                <w:sz w:val="20"/>
                <w:lang w:val="fr-CA"/>
              </w:rPr>
            </w:pPr>
            <w:r w:rsidRPr="006A318F">
              <w:rPr>
                <w:sz w:val="20"/>
                <w:lang w:val="fr-CA"/>
              </w:rPr>
              <w:t xml:space="preserve">Cour supérieure de justice de l'Ontario </w:t>
            </w:r>
          </w:p>
          <w:p w:rsidR="007B5386" w:rsidRPr="006A318F" w:rsidRDefault="007B5386" w:rsidP="004F1F89">
            <w:pPr>
              <w:rPr>
                <w:sz w:val="20"/>
                <w:lang w:val="fr-CA"/>
              </w:rPr>
            </w:pPr>
            <w:r w:rsidRPr="006A318F">
              <w:rPr>
                <w:sz w:val="20"/>
                <w:lang w:val="fr-CA"/>
              </w:rPr>
              <w:t>(Juge Low)</w:t>
            </w:r>
          </w:p>
          <w:p w:rsidR="007B5386" w:rsidRPr="006A318F" w:rsidRDefault="007B5386" w:rsidP="004F1F89">
            <w:pPr>
              <w:rPr>
                <w:sz w:val="20"/>
                <w:lang w:val="fr-CA"/>
              </w:rPr>
            </w:pPr>
            <w:r w:rsidRPr="006A318F">
              <w:rPr>
                <w:sz w:val="20"/>
                <w:lang w:val="fr-CA"/>
              </w:rPr>
              <w:t>2010 ONSC 4656</w:t>
            </w:r>
          </w:p>
          <w:p w:rsidR="007B5386" w:rsidRPr="006A318F" w:rsidRDefault="007B5386" w:rsidP="004F1F89">
            <w:pPr>
              <w:rPr>
                <w:sz w:val="20"/>
                <w:lang w:val="fr-CA"/>
              </w:rPr>
            </w:pPr>
          </w:p>
        </w:tc>
        <w:tc>
          <w:tcPr>
            <w:tcW w:w="243" w:type="pct"/>
          </w:tcPr>
          <w:p w:rsidR="007B5386" w:rsidRPr="006A318F" w:rsidRDefault="007B5386" w:rsidP="004F1F89">
            <w:pPr>
              <w:rPr>
                <w:sz w:val="20"/>
                <w:lang w:val="fr-CA"/>
              </w:rPr>
            </w:pPr>
          </w:p>
        </w:tc>
        <w:tc>
          <w:tcPr>
            <w:tcW w:w="2330" w:type="pct"/>
          </w:tcPr>
          <w:p w:rsidR="007B5386" w:rsidRPr="006A318F" w:rsidRDefault="007B5386" w:rsidP="004F1F89">
            <w:pPr>
              <w:jc w:val="both"/>
              <w:rPr>
                <w:sz w:val="20"/>
                <w:lang w:val="fr-CA"/>
              </w:rPr>
            </w:pPr>
            <w:r w:rsidRPr="006A318F">
              <w:rPr>
                <w:sz w:val="20"/>
                <w:lang w:val="fr-CA"/>
              </w:rPr>
              <w:t>Demande des États</w:t>
            </w:r>
            <w:r w:rsidRPr="006A318F">
              <w:rPr>
                <w:sz w:val="20"/>
                <w:lang w:val="fr-CA"/>
              </w:rPr>
              <w:noBreakHyphen/>
              <w:t>Unis du Mexique en annulation de la sentence arbitrale, rejetée</w:t>
            </w:r>
          </w:p>
          <w:p w:rsidR="007B5386" w:rsidRPr="006A318F" w:rsidRDefault="007B5386" w:rsidP="004F1F89">
            <w:pPr>
              <w:rPr>
                <w:sz w:val="20"/>
                <w:lang w:val="fr-CA"/>
              </w:rPr>
            </w:pPr>
          </w:p>
        </w:tc>
      </w:tr>
      <w:tr w:rsidR="007B5386" w:rsidRPr="004A42A2" w:rsidTr="004F1F89">
        <w:tc>
          <w:tcPr>
            <w:tcW w:w="2427" w:type="pct"/>
          </w:tcPr>
          <w:p w:rsidR="007B5386" w:rsidRPr="006A318F" w:rsidRDefault="007B5386" w:rsidP="004F1F89">
            <w:pPr>
              <w:rPr>
                <w:sz w:val="20"/>
                <w:lang w:val="fr-CA"/>
              </w:rPr>
            </w:pPr>
            <w:r w:rsidRPr="006A318F">
              <w:rPr>
                <w:sz w:val="20"/>
                <w:lang w:val="fr-CA"/>
              </w:rPr>
              <w:t>4 octobre 2011</w:t>
            </w:r>
          </w:p>
          <w:p w:rsidR="007B5386" w:rsidRPr="006A318F" w:rsidRDefault="007B5386" w:rsidP="004F1F89">
            <w:pPr>
              <w:rPr>
                <w:sz w:val="20"/>
                <w:lang w:val="fr-CA"/>
              </w:rPr>
            </w:pPr>
            <w:r w:rsidRPr="006A318F">
              <w:rPr>
                <w:sz w:val="20"/>
                <w:lang w:val="fr-CA"/>
              </w:rPr>
              <w:t>Cour d'appel de l’Ontario</w:t>
            </w:r>
          </w:p>
          <w:p w:rsidR="007B5386" w:rsidRPr="006A318F" w:rsidRDefault="007B5386" w:rsidP="004F1F89">
            <w:pPr>
              <w:rPr>
                <w:sz w:val="20"/>
                <w:lang w:val="fr-CA"/>
              </w:rPr>
            </w:pPr>
            <w:r w:rsidRPr="006A318F">
              <w:rPr>
                <w:sz w:val="20"/>
                <w:lang w:val="fr-CA"/>
              </w:rPr>
              <w:t>(Juges Rosenberg, Feldman et Moldaver)</w:t>
            </w:r>
          </w:p>
          <w:p w:rsidR="007B5386" w:rsidRPr="006A318F" w:rsidRDefault="007B5386" w:rsidP="00D80FB7">
            <w:pPr>
              <w:rPr>
                <w:sz w:val="20"/>
                <w:lang w:val="fr-CA"/>
              </w:rPr>
            </w:pPr>
            <w:r w:rsidRPr="006A318F">
              <w:rPr>
                <w:sz w:val="20"/>
                <w:lang w:val="fr-CA"/>
              </w:rPr>
              <w:t>2011 ONCA 622</w:t>
            </w:r>
          </w:p>
        </w:tc>
        <w:tc>
          <w:tcPr>
            <w:tcW w:w="243" w:type="pct"/>
          </w:tcPr>
          <w:p w:rsidR="007B5386" w:rsidRPr="006A318F" w:rsidRDefault="007B5386" w:rsidP="004F1F89">
            <w:pPr>
              <w:rPr>
                <w:sz w:val="20"/>
                <w:lang w:val="fr-CA"/>
              </w:rPr>
            </w:pPr>
          </w:p>
        </w:tc>
        <w:tc>
          <w:tcPr>
            <w:tcW w:w="2330" w:type="pct"/>
          </w:tcPr>
          <w:p w:rsidR="007B5386" w:rsidRPr="006A318F" w:rsidRDefault="007B5386" w:rsidP="004F1F89">
            <w:pPr>
              <w:rPr>
                <w:sz w:val="20"/>
                <w:lang w:val="fr-CA"/>
              </w:rPr>
            </w:pPr>
            <w:r w:rsidRPr="006A318F">
              <w:rPr>
                <w:sz w:val="20"/>
                <w:lang w:val="fr-CA"/>
              </w:rPr>
              <w:t>Appel des États</w:t>
            </w:r>
            <w:r w:rsidRPr="006A318F">
              <w:rPr>
                <w:sz w:val="20"/>
                <w:lang w:val="fr-CA"/>
              </w:rPr>
              <w:noBreakHyphen/>
              <w:t>Unis du Mexique, rejeté</w:t>
            </w:r>
          </w:p>
          <w:p w:rsidR="007B5386" w:rsidRPr="006A318F" w:rsidRDefault="007B5386" w:rsidP="004F1F89">
            <w:pPr>
              <w:rPr>
                <w:sz w:val="20"/>
                <w:lang w:val="fr-CA"/>
              </w:rPr>
            </w:pPr>
          </w:p>
        </w:tc>
      </w:tr>
    </w:tbl>
    <w:p w:rsidR="00D80FB7" w:rsidRPr="00560A75" w:rsidRDefault="00D80FB7">
      <w:pPr>
        <w:rPr>
          <w:lang w:val="fr-CA"/>
        </w:rPr>
      </w:pPr>
    </w:p>
    <w:p w:rsidR="00D80FB7" w:rsidRPr="00560A75" w:rsidRDefault="00D80FB7">
      <w:pPr>
        <w:rPr>
          <w:lang w:val="fr-CA"/>
        </w:rPr>
      </w:pPr>
      <w:r w:rsidRPr="00560A75">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7B5386" w:rsidRPr="006A318F" w:rsidTr="00D80FB7">
        <w:trPr>
          <w:cantSplit/>
        </w:trPr>
        <w:tc>
          <w:tcPr>
            <w:tcW w:w="2427" w:type="pct"/>
          </w:tcPr>
          <w:p w:rsidR="007B5386" w:rsidRPr="006A318F" w:rsidRDefault="007B5386" w:rsidP="004F1F89">
            <w:pPr>
              <w:rPr>
                <w:sz w:val="20"/>
                <w:lang w:val="fr-CA"/>
              </w:rPr>
            </w:pPr>
            <w:r w:rsidRPr="006A318F">
              <w:rPr>
                <w:sz w:val="20"/>
                <w:lang w:val="fr-CA"/>
              </w:rPr>
              <w:lastRenderedPageBreak/>
              <w:t>5 décembre 2011</w:t>
            </w:r>
          </w:p>
          <w:p w:rsidR="007B5386" w:rsidRPr="006A318F" w:rsidRDefault="007B5386" w:rsidP="004F1F89">
            <w:pPr>
              <w:rPr>
                <w:sz w:val="20"/>
                <w:lang w:val="fr-CA"/>
              </w:rPr>
            </w:pPr>
            <w:r w:rsidRPr="006A318F">
              <w:rPr>
                <w:sz w:val="20"/>
                <w:lang w:val="fr-CA"/>
              </w:rPr>
              <w:t>Cour suprême du Canada</w:t>
            </w:r>
          </w:p>
        </w:tc>
        <w:tc>
          <w:tcPr>
            <w:tcW w:w="243" w:type="pct"/>
          </w:tcPr>
          <w:p w:rsidR="007B5386" w:rsidRPr="006A318F" w:rsidRDefault="007B5386" w:rsidP="004F1F89">
            <w:pPr>
              <w:rPr>
                <w:sz w:val="20"/>
                <w:lang w:val="fr-CA"/>
              </w:rPr>
            </w:pPr>
          </w:p>
        </w:tc>
        <w:tc>
          <w:tcPr>
            <w:tcW w:w="2330" w:type="pct"/>
          </w:tcPr>
          <w:p w:rsidR="007B5386" w:rsidRPr="006A318F" w:rsidRDefault="007B5386" w:rsidP="004F1F89">
            <w:pPr>
              <w:rPr>
                <w:sz w:val="20"/>
                <w:lang w:val="fr-CA"/>
              </w:rPr>
            </w:pPr>
            <w:r w:rsidRPr="006A318F">
              <w:rPr>
                <w:sz w:val="20"/>
                <w:lang w:val="fr-CA"/>
              </w:rPr>
              <w:t>Demande d'autorisation d'appel, déposée</w:t>
            </w: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51"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80FB7" w:rsidRPr="003628CB" w:rsidTr="002304D1">
        <w:trPr>
          <w:cantSplit/>
        </w:trPr>
        <w:tc>
          <w:tcPr>
            <w:tcW w:w="1458" w:type="dxa"/>
          </w:tcPr>
          <w:p w:rsidR="00D80FB7" w:rsidRPr="003628CB" w:rsidRDefault="00D80FB7" w:rsidP="002304D1">
            <w:pPr>
              <w:rPr>
                <w:sz w:val="20"/>
                <w:szCs w:val="20"/>
              </w:rPr>
            </w:pPr>
            <w:r w:rsidRPr="003628CB">
              <w:rPr>
                <w:rStyle w:val="SCCFileNumberChar"/>
                <w:sz w:val="20"/>
                <w:szCs w:val="20"/>
              </w:rPr>
              <w:t>34571</w:t>
            </w:r>
          </w:p>
          <w:p w:rsidR="00D80FB7" w:rsidRPr="003628CB" w:rsidRDefault="00D80FB7" w:rsidP="002304D1">
            <w:pPr>
              <w:rPr>
                <w:b/>
                <w:sz w:val="20"/>
                <w:szCs w:val="20"/>
                <w:lang w:val="fr-CA"/>
              </w:rPr>
            </w:pPr>
          </w:p>
        </w:tc>
        <w:tc>
          <w:tcPr>
            <w:tcW w:w="8118" w:type="dxa"/>
          </w:tcPr>
          <w:p w:rsidR="00D80FB7" w:rsidRPr="003628CB" w:rsidRDefault="00D80FB7" w:rsidP="00D80FB7">
            <w:pPr>
              <w:jc w:val="both"/>
              <w:rPr>
                <w:sz w:val="20"/>
                <w:szCs w:val="20"/>
              </w:rPr>
            </w:pPr>
            <w:r w:rsidRPr="00D80FB7">
              <w:rPr>
                <w:rStyle w:val="SCCLsocChar"/>
                <w:sz w:val="20"/>
                <w:szCs w:val="20"/>
                <w:lang w:val="en-CA"/>
              </w:rPr>
              <w:t>L-Jalco Holdings Inc. v. Gregory Joseph Marino</w:t>
            </w:r>
            <w:r>
              <w:rPr>
                <w:rStyle w:val="SCCLsocChar"/>
                <w:sz w:val="20"/>
                <w:szCs w:val="20"/>
                <w:lang w:val="en-CA"/>
              </w:rPr>
              <w:t xml:space="preserve"> and</w:t>
            </w:r>
            <w:r w:rsidRPr="00D80FB7">
              <w:rPr>
                <w:rStyle w:val="SCCLsocChar"/>
                <w:sz w:val="20"/>
                <w:szCs w:val="20"/>
                <w:lang w:val="en-CA"/>
              </w:rPr>
              <w:t xml:space="preserve"> Joseph Marino</w:t>
            </w:r>
            <w:r w:rsidRPr="003628CB">
              <w:rPr>
                <w:sz w:val="20"/>
                <w:szCs w:val="20"/>
              </w:rPr>
              <w:t xml:space="preserve"> (Ont.) (Civil) (By Leave)</w:t>
            </w:r>
          </w:p>
          <w:p w:rsidR="00D80FB7" w:rsidRPr="003628CB" w:rsidRDefault="00D80FB7" w:rsidP="002304D1">
            <w:pPr>
              <w:rPr>
                <w:sz w:val="20"/>
                <w:szCs w:val="20"/>
              </w:rPr>
            </w:pPr>
          </w:p>
        </w:tc>
      </w:tr>
      <w:tr w:rsidR="00D80FB7" w:rsidRPr="003628CB" w:rsidTr="002304D1">
        <w:trPr>
          <w:cantSplit/>
        </w:trPr>
        <w:tc>
          <w:tcPr>
            <w:tcW w:w="1458" w:type="dxa"/>
          </w:tcPr>
          <w:p w:rsidR="00D80FB7" w:rsidRPr="003628CB" w:rsidRDefault="00D80FB7" w:rsidP="002304D1">
            <w:pPr>
              <w:rPr>
                <w:sz w:val="20"/>
                <w:szCs w:val="20"/>
              </w:rPr>
            </w:pPr>
            <w:r w:rsidRPr="003628CB">
              <w:rPr>
                <w:sz w:val="20"/>
                <w:szCs w:val="20"/>
              </w:rPr>
              <w:t>Coram :</w:t>
            </w:r>
          </w:p>
        </w:tc>
        <w:tc>
          <w:tcPr>
            <w:tcW w:w="8118" w:type="dxa"/>
          </w:tcPr>
          <w:p w:rsidR="00D80FB7" w:rsidRPr="003628CB" w:rsidRDefault="00D80FB7" w:rsidP="002304D1">
            <w:pPr>
              <w:rPr>
                <w:sz w:val="20"/>
                <w:szCs w:val="20"/>
              </w:rPr>
            </w:pPr>
            <w:r w:rsidRPr="00D80FB7">
              <w:rPr>
                <w:rStyle w:val="SCCCoramChar"/>
                <w:sz w:val="20"/>
                <w:szCs w:val="20"/>
                <w:lang w:val="en-CA"/>
              </w:rPr>
              <w:t>Deschamps, Fish and Karakatsanis JJ.</w:t>
            </w:r>
          </w:p>
          <w:p w:rsidR="00D80FB7" w:rsidRPr="003628CB" w:rsidRDefault="00D80FB7" w:rsidP="002304D1">
            <w:pPr>
              <w:rPr>
                <w:sz w:val="20"/>
                <w:szCs w:val="20"/>
                <w:u w:val="single"/>
              </w:rPr>
            </w:pPr>
          </w:p>
        </w:tc>
      </w:tr>
      <w:tr w:rsidR="00D80FB7" w:rsidRPr="004A42A2" w:rsidTr="002304D1">
        <w:trPr>
          <w:cantSplit/>
        </w:trPr>
        <w:tc>
          <w:tcPr>
            <w:tcW w:w="9576" w:type="dxa"/>
            <w:gridSpan w:val="2"/>
          </w:tcPr>
          <w:p w:rsidR="00D80FB7" w:rsidRPr="003628CB" w:rsidRDefault="00D80FB7" w:rsidP="002304D1">
            <w:pPr>
              <w:pStyle w:val="SCCShortJudgment"/>
              <w:rPr>
                <w:szCs w:val="20"/>
              </w:rPr>
            </w:pPr>
            <w:r w:rsidRPr="003628CB">
              <w:rPr>
                <w:szCs w:val="20"/>
              </w:rPr>
              <w:t>The application for leave to appeal from the judgment of the Court of Appeal for Ontario, Number C53387, 2011 ONCA 639, dated October 12, 2011, is dismissed with costs.</w:t>
            </w:r>
          </w:p>
          <w:p w:rsidR="00D80FB7" w:rsidRPr="003628CB" w:rsidRDefault="00D80FB7" w:rsidP="002304D1">
            <w:pPr>
              <w:pStyle w:val="SCCShortJudgment"/>
              <w:ind w:firstLine="0"/>
              <w:rPr>
                <w:szCs w:val="20"/>
              </w:rPr>
            </w:pPr>
          </w:p>
          <w:p w:rsidR="00D80FB7" w:rsidRPr="003628CB" w:rsidRDefault="00D80FB7" w:rsidP="002304D1">
            <w:pPr>
              <w:pStyle w:val="SCCShortJudgment"/>
              <w:rPr>
                <w:szCs w:val="20"/>
                <w:lang w:val="fr-CA"/>
              </w:rPr>
            </w:pPr>
            <w:r w:rsidRPr="003628CB">
              <w:rPr>
                <w:szCs w:val="20"/>
                <w:lang w:val="fr-CA"/>
              </w:rPr>
              <w:t>La demande d’autorisation d’appel de l’arrêt de la Cour d’appel de l’Ontario, numéro C53387, 2011 ONCA 639, daté du 12 octobre 2011, est rejetée avec dépens.</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Mortgages – Foreclosure – Remedies – Mortgagee electing to foreclose on mortgage in default – Mortgagee not suing on the covenant and not joining guarantors as parties – Does a lender still have the unilateral right to ignore its own foreclosure order at any time and pursue its other concurrent remedies to recover payment of the debt? – Can a lender’s joint</w:t>
            </w:r>
            <w:r w:rsidRPr="006A318F">
              <w:rPr>
                <w:rFonts w:eastAsia="Calibri"/>
                <w:sz w:val="20"/>
              </w:rPr>
              <w:noBreakHyphen/>
              <w:t>and</w:t>
            </w:r>
            <w:r w:rsidRPr="006A318F">
              <w:rPr>
                <w:rFonts w:eastAsia="Calibri"/>
                <w:sz w:val="20"/>
              </w:rPr>
              <w:noBreakHyphen/>
              <w:t>several liability rights be “merged” via privies and issue estoppel when foreclosure is chosen as part of the lender’s remedy?</w:t>
            </w:r>
          </w:p>
        </w:tc>
      </w:tr>
      <w:tr w:rsidR="007B5386" w:rsidRPr="006A318F" w:rsidTr="004F1F89">
        <w:tc>
          <w:tcPr>
            <w:tcW w:w="5000" w:type="pct"/>
            <w:gridSpan w:val="3"/>
          </w:tcPr>
          <w:p w:rsidR="007B5386" w:rsidRPr="006A318F" w:rsidRDefault="007B5386" w:rsidP="004F1F89">
            <w:pPr>
              <w:jc w:val="both"/>
              <w:rPr>
                <w:rFonts w:eastAsia="Calibri"/>
                <w:sz w:val="20"/>
              </w:rPr>
            </w:pPr>
          </w:p>
        </w:tc>
      </w:tr>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color w:val="000000"/>
                <w:sz w:val="20"/>
              </w:rPr>
              <w:t>In 2002, the Respondent, Joseph Marino approached the principal of L</w:t>
            </w:r>
            <w:r w:rsidRPr="006A318F">
              <w:rPr>
                <w:rFonts w:eastAsia="Calibri"/>
                <w:color w:val="000000"/>
                <w:sz w:val="20"/>
              </w:rPr>
              <w:noBreakHyphen/>
              <w:t>Jalco Holdings Inc. (“L</w:t>
            </w:r>
            <w:r w:rsidRPr="006A318F">
              <w:rPr>
                <w:rFonts w:eastAsia="Calibri"/>
                <w:color w:val="000000"/>
                <w:sz w:val="20"/>
              </w:rPr>
              <w:noBreakHyphen/>
              <w:t>Jalco”), John Lawrynowicz, for a loan.  He agreed to make a mortgage loan of $850,000 to Joseph’s company.  The security for the loan included a mortgage from Joseph’s parents on two properties they owned on Garrison Road, a property owned by Joseph and a property owned by his son, Gregory, also on Garrison Road.  The mortgages were further secured with guarantees from the parents, Joseph and Gregory. Acting on this transaction for all parties was Mr. Lawrynowicz’s son, Calin, who is a lawyer.  Joseph and Gregory both lost their Garrison Road properties in power of sale proceedings.  Calin had also unsuccessfully acted for Joseph in defending the power of sale proceedings.  The legal fees for both matters amounted to $600,000 and this was part of the mortgage debt.  In 2004, the mortgages on the parents' properties also went into default.  In uncontested proceedings, L</w:t>
            </w:r>
            <w:r w:rsidRPr="006A318F">
              <w:rPr>
                <w:rFonts w:eastAsia="Calibri"/>
                <w:color w:val="000000"/>
                <w:sz w:val="20"/>
              </w:rPr>
              <w:noBreakHyphen/>
              <w:t>Jalco obtained a foreclosure judgment against the Garrison properties, however, the elder Marinos were not sued on their covenants to pay.   Nor were Joseph or Gregory sued as guarantors.  L</w:t>
            </w:r>
            <w:r w:rsidRPr="006A318F">
              <w:rPr>
                <w:rFonts w:eastAsia="Calibri"/>
                <w:color w:val="000000"/>
                <w:sz w:val="20"/>
              </w:rPr>
              <w:noBreakHyphen/>
              <w:t>Jalco took possession of the properties but did not register the foreclosure judgment against title.  The Marinos brought an action against L</w:t>
            </w:r>
            <w:r w:rsidRPr="006A318F">
              <w:rPr>
                <w:rFonts w:eastAsia="Calibri"/>
                <w:color w:val="000000"/>
                <w:sz w:val="20"/>
              </w:rPr>
              <w:noBreakHyphen/>
              <w:t xml:space="preserve">Jalco and Calin for, </w:t>
            </w:r>
            <w:r w:rsidRPr="006A318F">
              <w:rPr>
                <w:rFonts w:eastAsia="Calibri"/>
                <w:i/>
                <w:color w:val="000000"/>
                <w:sz w:val="20"/>
              </w:rPr>
              <w:t>inter alia</w:t>
            </w:r>
            <w:r w:rsidRPr="006A318F">
              <w:rPr>
                <w:rFonts w:eastAsia="Calibri"/>
                <w:color w:val="000000"/>
                <w:sz w:val="20"/>
              </w:rPr>
              <w:t>, a declaration that the mortgage was void and for an assessment of legal fees that they had been charged.  In 2008, L</w:t>
            </w:r>
            <w:r w:rsidRPr="006A318F">
              <w:rPr>
                <w:rFonts w:eastAsia="Calibri"/>
                <w:color w:val="000000"/>
                <w:sz w:val="20"/>
              </w:rPr>
              <w:noBreakHyphen/>
              <w:t xml:space="preserve">Jalco sued Joseph and Gregory on their guarantees for approximately $2.7 million. The Respondents took the position that the action was </w:t>
            </w:r>
            <w:r w:rsidRPr="006A318F">
              <w:rPr>
                <w:rFonts w:eastAsia="Calibri"/>
                <w:i/>
                <w:color w:val="000000"/>
                <w:sz w:val="20"/>
              </w:rPr>
              <w:t>res judicata</w:t>
            </w:r>
            <w:r w:rsidRPr="006A318F">
              <w:rPr>
                <w:rFonts w:eastAsia="Calibri"/>
                <w:color w:val="000000"/>
                <w:sz w:val="20"/>
              </w:rPr>
              <w:t xml:space="preserve"> or an abuse of process and brought a motion to have the action dismissed.</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January 31, 2011</w:t>
            </w:r>
          </w:p>
          <w:p w:rsidR="007B5386" w:rsidRPr="006A318F" w:rsidRDefault="007B5386" w:rsidP="004F1F89">
            <w:pPr>
              <w:jc w:val="both"/>
              <w:rPr>
                <w:rFonts w:eastAsia="Calibri"/>
                <w:sz w:val="20"/>
              </w:rPr>
            </w:pPr>
            <w:r w:rsidRPr="006A318F">
              <w:rPr>
                <w:rFonts w:eastAsia="Calibri"/>
                <w:sz w:val="20"/>
              </w:rPr>
              <w:t>Ontario Superior Court of Justice</w:t>
            </w:r>
          </w:p>
          <w:p w:rsidR="007B5386" w:rsidRPr="006A318F" w:rsidRDefault="007B5386" w:rsidP="004F1F89">
            <w:pPr>
              <w:jc w:val="both"/>
              <w:rPr>
                <w:rFonts w:eastAsia="Calibri"/>
                <w:sz w:val="20"/>
              </w:rPr>
            </w:pPr>
            <w:r w:rsidRPr="006A318F">
              <w:rPr>
                <w:rFonts w:eastAsia="Calibri"/>
                <w:sz w:val="20"/>
              </w:rPr>
              <w:t>(Perell J.)</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Respondents’ Rule 21 motion to have action dismissed granted</w:t>
            </w:r>
          </w:p>
          <w:p w:rsidR="007B5386" w:rsidRPr="006A318F" w:rsidRDefault="007B5386" w:rsidP="004F1F89">
            <w:pPr>
              <w:jc w:val="both"/>
              <w:rPr>
                <w:rFonts w:eastAsia="Calibri"/>
                <w:sz w:val="20"/>
              </w:rPr>
            </w:pP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October 12, 2011</w:t>
            </w:r>
          </w:p>
          <w:p w:rsidR="007B5386" w:rsidRPr="006A318F" w:rsidRDefault="007B5386" w:rsidP="004F1F89">
            <w:pPr>
              <w:jc w:val="both"/>
              <w:rPr>
                <w:rFonts w:eastAsia="Calibri"/>
                <w:sz w:val="20"/>
              </w:rPr>
            </w:pPr>
            <w:r w:rsidRPr="006A318F">
              <w:rPr>
                <w:rFonts w:eastAsia="Calibri"/>
                <w:sz w:val="20"/>
              </w:rPr>
              <w:t>Court of Appeal for Ontario</w:t>
            </w:r>
          </w:p>
          <w:p w:rsidR="007B5386" w:rsidRPr="006A318F" w:rsidRDefault="007B5386" w:rsidP="003004DA">
            <w:pPr>
              <w:jc w:val="both"/>
              <w:rPr>
                <w:rFonts w:eastAsia="Calibri"/>
                <w:sz w:val="20"/>
              </w:rPr>
            </w:pPr>
            <w:r w:rsidRPr="006A318F">
              <w:rPr>
                <w:rFonts w:eastAsia="Calibri"/>
                <w:sz w:val="20"/>
              </w:rPr>
              <w:t>(Doherty, Weiler and Simmons JJ.A.)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Appeal dismissed</w:t>
            </w:r>
          </w:p>
          <w:p w:rsidR="007B5386" w:rsidRPr="006A318F" w:rsidRDefault="007B5386" w:rsidP="004F1F89">
            <w:pPr>
              <w:jc w:val="both"/>
              <w:rPr>
                <w:rFonts w:eastAsia="Calibri"/>
                <w:sz w:val="20"/>
              </w:rPr>
            </w:pPr>
          </w:p>
        </w:tc>
      </w:tr>
    </w:tbl>
    <w:p w:rsidR="003004DA" w:rsidRDefault="003004DA"/>
    <w:p w:rsidR="003004DA" w:rsidRDefault="003004DA">
      <w:r>
        <w:br w:type="page"/>
      </w: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lastRenderedPageBreak/>
              <w:t>December 12, 2011</w:t>
            </w:r>
          </w:p>
          <w:p w:rsidR="007B5386" w:rsidRPr="006A318F" w:rsidRDefault="007B5386" w:rsidP="004F1F89">
            <w:pPr>
              <w:jc w:val="both"/>
              <w:rPr>
                <w:rFonts w:eastAsia="Calibri"/>
                <w:sz w:val="20"/>
              </w:rPr>
            </w:pPr>
            <w:r w:rsidRPr="006A318F">
              <w:rPr>
                <w:rFonts w:eastAsia="Calibri"/>
                <w:sz w:val="20"/>
              </w:rPr>
              <w:t>Supreme Court of Canada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for leave to appeal filed</w:t>
            </w:r>
          </w:p>
          <w:p w:rsidR="007B5386" w:rsidRPr="006A318F" w:rsidRDefault="007B5386" w:rsidP="004F1F89">
            <w:pPr>
              <w:jc w:val="both"/>
              <w:rPr>
                <w:rFonts w:eastAsia="Calibri"/>
                <w:sz w:val="20"/>
              </w:rPr>
            </w:pP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52"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Hypothèques – Forclusion – Recours – La créancière hypothécaire a choisi de forclore les droits découlant d'une dette hypothécaire impayée – Le créancier hypothécaire n’a pas poursuivi sur le fondement de l’engagement et n’a pas mis en cause les cautions – Un prêteur a</w:t>
            </w:r>
            <w:r w:rsidRPr="006A318F">
              <w:rPr>
                <w:rFonts w:eastAsia="Calibri"/>
                <w:sz w:val="20"/>
                <w:lang w:val="fr-CA"/>
              </w:rPr>
              <w:noBreakHyphen/>
              <w:t>t</w:t>
            </w:r>
            <w:r w:rsidRPr="006A318F">
              <w:rPr>
                <w:rFonts w:eastAsia="Calibri"/>
                <w:sz w:val="20"/>
                <w:lang w:val="fr-CA"/>
              </w:rPr>
              <w:noBreakHyphen/>
              <w:t>il encore le droit unilatéral de faire abstraction de sa propre mesure de forclusion en tout temps et d'intenter les autres recours à sa disposition pour recouvrer la dette? – Les droits d’un prêteur fondés sur la responsabilité solidaire peuvent</w:t>
            </w:r>
            <w:r w:rsidRPr="006A318F">
              <w:rPr>
                <w:rFonts w:eastAsia="Calibri"/>
                <w:sz w:val="20"/>
                <w:lang w:val="fr-CA"/>
              </w:rPr>
              <w:noBreakHyphen/>
              <w:t>ils être « fusionnés » par la connexité d’intérêts par titre ou la préclusion découlant d’une question déjà tranchée lorsque la forclusion est choisie dans le cadre du recours du prêteur?</w:t>
            </w:r>
          </w:p>
        </w:tc>
      </w:tr>
      <w:tr w:rsidR="007B5386" w:rsidRPr="004A42A2" w:rsidTr="004F1F89">
        <w:tc>
          <w:tcPr>
            <w:tcW w:w="5000" w:type="pct"/>
            <w:gridSpan w:val="3"/>
          </w:tcPr>
          <w:p w:rsidR="007B5386" w:rsidRPr="006A318F" w:rsidRDefault="007B5386" w:rsidP="004F1F89">
            <w:pPr>
              <w:jc w:val="both"/>
              <w:rPr>
                <w:rFonts w:eastAsia="Calibri"/>
                <w:sz w:val="20"/>
                <w:lang w:val="fr-CA"/>
              </w:rPr>
            </w:pPr>
          </w:p>
        </w:tc>
      </w:tr>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color w:val="000000"/>
                <w:sz w:val="20"/>
                <w:lang w:val="fr-CA"/>
              </w:rPr>
              <w:t>En 2002, l'intimé Joseph Marino a demandé un prêt au propriétaire de L</w:t>
            </w:r>
            <w:r w:rsidRPr="006A318F">
              <w:rPr>
                <w:rFonts w:eastAsia="Calibri"/>
                <w:color w:val="000000"/>
                <w:sz w:val="20"/>
                <w:lang w:val="fr-CA"/>
              </w:rPr>
              <w:noBreakHyphen/>
              <w:t>Jalco Holdings Inc. (« L</w:t>
            </w:r>
            <w:r w:rsidRPr="006A318F">
              <w:rPr>
                <w:rFonts w:eastAsia="Calibri"/>
                <w:color w:val="000000"/>
                <w:sz w:val="20"/>
                <w:lang w:val="fr-CA"/>
              </w:rPr>
              <w:noBreakHyphen/>
              <w:t>Jalco »), John Lawrynowicz. Ce dernier a consenti un prêt hypothécaire de 850 000 $ à la compagnie de Joseph. Le prêt était notamment garanti par une hypothèque consentie par les parents de Joseph grevant deux immeubles dont ils étaient propriétaires sur le chemin Garrison, un immeuble appartenant à Joseph et un immeuble appartenant à son fils, Gregory, également situés sur le chemin Garrison. Les emprunts hypothécaires étaient garantis en outre par des cautionnements consentis par les parents, Joseph et Gregory. Le fils de M. Lawrynowicz, Calin, qui est avocat, a représenté toutes les parties à cette opération.  Joseph et Gregory ont tous les deux perdu leurs immeubles situés sur le chemin Garrison dans une instance de pouvoir de vente. Calin avait représenté Joseph sans succès en défense dans l'instance de vente forcée. Les frais de justice dans les deux dossiers s'élevaient à 600 000 $ et cette somme faisait partie de la dette hypothécaire. En 2004, il y a eu défaut de paiement sur les emprunts hypothécaires garantis par les immeubles des parents. Dans une instance non contestée, L</w:t>
            </w:r>
            <w:r w:rsidRPr="006A318F">
              <w:rPr>
                <w:rFonts w:eastAsia="Calibri"/>
                <w:color w:val="000000"/>
                <w:sz w:val="20"/>
                <w:lang w:val="fr-CA"/>
              </w:rPr>
              <w:noBreakHyphen/>
              <w:t>Jalco a obtenu un jugement de forclusion contre les immeubles sur le chemin Garrison; toutefois les aînés de la famille Marino n'ont pas été poursuivis sur le fondement de leurs engagements à payer. En outre, ni Joseph ni Gregory n'ont été poursuivi à titre de cautions.  L</w:t>
            </w:r>
            <w:r w:rsidRPr="006A318F">
              <w:rPr>
                <w:rFonts w:eastAsia="Calibri"/>
                <w:color w:val="000000"/>
                <w:sz w:val="20"/>
                <w:lang w:val="fr-CA"/>
              </w:rPr>
              <w:noBreakHyphen/>
              <w:t>Jalco a pris possession des immeubles, mais n'a pas inscrit le jugement en forclusion contre le titre. Les Marino ont intenté une action contre L</w:t>
            </w:r>
            <w:r w:rsidRPr="006A318F">
              <w:rPr>
                <w:rFonts w:eastAsia="Calibri"/>
                <w:color w:val="000000"/>
                <w:sz w:val="20"/>
                <w:lang w:val="fr-CA"/>
              </w:rPr>
              <w:noBreakHyphen/>
              <w:t>Jalco et Calin, demandant notamment un jugement déclarant la nullité de l'hypothèque et la liquidation des frais de justice qui leur avaient été imposés. En 2008, L</w:t>
            </w:r>
            <w:r w:rsidRPr="006A318F">
              <w:rPr>
                <w:rFonts w:eastAsia="Calibri"/>
                <w:color w:val="000000"/>
                <w:sz w:val="20"/>
                <w:lang w:val="fr-CA"/>
              </w:rPr>
              <w:noBreakHyphen/>
              <w:t>Jalco a poursuivi Joseph et Gregory sur le fondement de leurs cautionnements pour la somme d'environ 2,7 millions de dollars. Les intimés ont fait valoir qu'il y avait chose jugée ou un abus de procédure et ils ont présenté une motion en rejet de l'action.</w:t>
            </w:r>
          </w:p>
          <w:p w:rsidR="007B5386" w:rsidRPr="006A318F" w:rsidRDefault="007B5386" w:rsidP="004F1F89">
            <w:pPr>
              <w:jc w:val="both"/>
              <w:rPr>
                <w:rFonts w:eastAsia="Calibri"/>
                <w:sz w:val="20"/>
                <w:lang w:val="fr-CA"/>
              </w:rPr>
            </w:pPr>
          </w:p>
        </w:tc>
      </w:tr>
      <w:tr w:rsidR="007B5386" w:rsidRPr="004A42A2"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31 janvier 2011</w:t>
            </w:r>
          </w:p>
          <w:p w:rsidR="007B5386" w:rsidRPr="006A318F" w:rsidRDefault="007B5386" w:rsidP="004F1F89">
            <w:pPr>
              <w:jc w:val="both"/>
              <w:rPr>
                <w:rFonts w:eastAsia="Calibri"/>
                <w:sz w:val="20"/>
                <w:lang w:val="fr-CA"/>
              </w:rPr>
            </w:pPr>
            <w:r w:rsidRPr="006A318F">
              <w:rPr>
                <w:rFonts w:eastAsia="Calibri"/>
                <w:sz w:val="20"/>
                <w:lang w:val="fr-CA"/>
              </w:rPr>
              <w:t xml:space="preserve">Cour supérieure de justice de l'Ontario </w:t>
            </w:r>
          </w:p>
          <w:p w:rsidR="007B5386" w:rsidRPr="006A318F" w:rsidRDefault="007B5386" w:rsidP="004F1F89">
            <w:pPr>
              <w:jc w:val="both"/>
              <w:rPr>
                <w:rFonts w:eastAsia="Calibri"/>
                <w:sz w:val="20"/>
                <w:lang w:val="fr-CA"/>
              </w:rPr>
            </w:pPr>
            <w:r w:rsidRPr="006A318F">
              <w:rPr>
                <w:rFonts w:eastAsia="Calibri"/>
                <w:sz w:val="20"/>
                <w:lang w:val="fr-CA"/>
              </w:rPr>
              <w:t>(Juge Perell)</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Motion des intimés en rejet de l'action fondée sur la règle 21, accueillie</w:t>
            </w:r>
          </w:p>
          <w:p w:rsidR="007B5386" w:rsidRPr="006A318F" w:rsidRDefault="007B5386" w:rsidP="004F1F89">
            <w:pPr>
              <w:jc w:val="both"/>
              <w:rPr>
                <w:rFonts w:eastAsia="Calibri"/>
                <w:sz w:val="20"/>
                <w:lang w:val="fr-CA"/>
              </w:rPr>
            </w:pPr>
          </w:p>
          <w:p w:rsidR="007B5386" w:rsidRPr="006A318F" w:rsidRDefault="007B5386" w:rsidP="004F1F89">
            <w:pPr>
              <w:jc w:val="both"/>
              <w:rPr>
                <w:rFonts w:eastAsia="Calibri"/>
                <w:sz w:val="20"/>
                <w:lang w:val="fr-CA"/>
              </w:rPr>
            </w:pPr>
          </w:p>
        </w:tc>
      </w:tr>
      <w:tr w:rsidR="007B5386" w:rsidRPr="006A318F"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12 octobre 2011</w:t>
            </w:r>
          </w:p>
          <w:p w:rsidR="007B5386" w:rsidRPr="006A318F" w:rsidRDefault="007B5386" w:rsidP="004F1F89">
            <w:pPr>
              <w:jc w:val="both"/>
              <w:rPr>
                <w:rFonts w:eastAsia="Calibri"/>
                <w:sz w:val="20"/>
                <w:lang w:val="fr-CA"/>
              </w:rPr>
            </w:pPr>
            <w:r w:rsidRPr="006A318F">
              <w:rPr>
                <w:rFonts w:eastAsia="Calibri"/>
                <w:sz w:val="20"/>
                <w:lang w:val="fr-CA"/>
              </w:rPr>
              <w:t>Cour d'appel de l'Ontario</w:t>
            </w:r>
          </w:p>
          <w:p w:rsidR="007B5386" w:rsidRPr="006A318F" w:rsidRDefault="007B5386" w:rsidP="004F1F89">
            <w:pPr>
              <w:jc w:val="both"/>
              <w:rPr>
                <w:rFonts w:eastAsia="Calibri"/>
                <w:sz w:val="20"/>
                <w:lang w:val="fr-CA"/>
              </w:rPr>
            </w:pPr>
            <w:r w:rsidRPr="006A318F">
              <w:rPr>
                <w:rFonts w:eastAsia="Calibri"/>
                <w:sz w:val="20"/>
                <w:lang w:val="fr-CA"/>
              </w:rPr>
              <w:t>(Juges Doherty, Weiler et Simmons)</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Appel rejeté</w:t>
            </w:r>
          </w:p>
          <w:p w:rsidR="007B5386" w:rsidRPr="006A318F" w:rsidRDefault="007B5386" w:rsidP="004F1F89">
            <w:pPr>
              <w:jc w:val="both"/>
              <w:rPr>
                <w:rFonts w:eastAsia="Calibri"/>
                <w:sz w:val="20"/>
                <w:lang w:val="fr-CA"/>
              </w:rPr>
            </w:pPr>
          </w:p>
        </w:tc>
      </w:tr>
      <w:tr w:rsidR="007B5386" w:rsidRPr="006A318F"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12 décembre 2011</w:t>
            </w:r>
          </w:p>
          <w:p w:rsidR="007B5386" w:rsidRPr="006A318F" w:rsidRDefault="007B5386" w:rsidP="004F1F89">
            <w:pPr>
              <w:jc w:val="both"/>
              <w:rPr>
                <w:rFonts w:eastAsia="Calibri"/>
                <w:sz w:val="20"/>
                <w:lang w:val="fr-CA"/>
              </w:rPr>
            </w:pPr>
            <w:r w:rsidRPr="006A318F">
              <w:rPr>
                <w:rFonts w:eastAsia="Calibri"/>
                <w:sz w:val="20"/>
                <w:lang w:val="fr-CA"/>
              </w:rPr>
              <w:t>Cour suprême du Canada</w:t>
            </w: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 d'autorisation d'appel, déposée</w:t>
            </w:r>
          </w:p>
          <w:p w:rsidR="007B5386" w:rsidRPr="006A318F" w:rsidRDefault="007B5386" w:rsidP="004F1F89">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53"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004DA" w:rsidRPr="003628CB" w:rsidTr="002304D1">
        <w:trPr>
          <w:cantSplit/>
        </w:trPr>
        <w:tc>
          <w:tcPr>
            <w:tcW w:w="1458" w:type="dxa"/>
          </w:tcPr>
          <w:p w:rsidR="003004DA" w:rsidRPr="003628CB" w:rsidRDefault="003004DA" w:rsidP="002304D1">
            <w:pPr>
              <w:rPr>
                <w:sz w:val="20"/>
                <w:szCs w:val="20"/>
              </w:rPr>
            </w:pPr>
            <w:r w:rsidRPr="003628CB">
              <w:rPr>
                <w:rStyle w:val="SCCFileNumberChar"/>
                <w:sz w:val="20"/>
                <w:szCs w:val="20"/>
              </w:rPr>
              <w:t>34581</w:t>
            </w:r>
          </w:p>
          <w:p w:rsidR="003004DA" w:rsidRPr="003628CB" w:rsidRDefault="003004DA" w:rsidP="002304D1">
            <w:pPr>
              <w:rPr>
                <w:b/>
                <w:sz w:val="20"/>
                <w:szCs w:val="20"/>
                <w:lang w:val="fr-CA"/>
              </w:rPr>
            </w:pPr>
          </w:p>
        </w:tc>
        <w:tc>
          <w:tcPr>
            <w:tcW w:w="8118" w:type="dxa"/>
          </w:tcPr>
          <w:p w:rsidR="003004DA" w:rsidRPr="003628CB" w:rsidRDefault="003004DA" w:rsidP="003004DA">
            <w:pPr>
              <w:jc w:val="both"/>
              <w:rPr>
                <w:sz w:val="20"/>
                <w:szCs w:val="20"/>
              </w:rPr>
            </w:pPr>
            <w:r w:rsidRPr="003004DA">
              <w:rPr>
                <w:rStyle w:val="SCCLsocChar"/>
                <w:sz w:val="20"/>
                <w:szCs w:val="20"/>
                <w:lang w:val="en-CA"/>
              </w:rPr>
              <w:t>Rose Venneri Donatelli</w:t>
            </w:r>
            <w:r>
              <w:rPr>
                <w:rStyle w:val="SCCLsocChar"/>
                <w:sz w:val="20"/>
                <w:szCs w:val="20"/>
                <w:lang w:val="en-CA"/>
              </w:rPr>
              <w:t xml:space="preserve"> and</w:t>
            </w:r>
            <w:r w:rsidRPr="003004DA">
              <w:rPr>
                <w:rStyle w:val="SCCLsocChar"/>
                <w:sz w:val="20"/>
                <w:szCs w:val="20"/>
                <w:lang w:val="en-CA"/>
              </w:rPr>
              <w:t xml:space="preserve"> Professional Counselling Services v. Liberty Mutual Insurance Company</w:t>
            </w:r>
            <w:r>
              <w:rPr>
                <w:rStyle w:val="SCCLsocChar"/>
                <w:sz w:val="20"/>
                <w:szCs w:val="20"/>
                <w:lang w:val="en-CA"/>
              </w:rPr>
              <w:t xml:space="preserve"> and</w:t>
            </w:r>
            <w:r w:rsidRPr="003004DA">
              <w:rPr>
                <w:rStyle w:val="SCCLsocChar"/>
                <w:sz w:val="20"/>
                <w:szCs w:val="20"/>
                <w:lang w:val="en-CA"/>
              </w:rPr>
              <w:t xml:space="preserve"> Liberty Insurance Company of Canada AND BETWEEN Michael Venneri</w:t>
            </w:r>
            <w:r>
              <w:rPr>
                <w:rStyle w:val="SCCLsocChar"/>
                <w:sz w:val="20"/>
                <w:szCs w:val="20"/>
                <w:lang w:val="en-CA"/>
              </w:rPr>
              <w:t xml:space="preserve"> and</w:t>
            </w:r>
            <w:r w:rsidRPr="003004DA">
              <w:rPr>
                <w:rStyle w:val="SCCLsocChar"/>
                <w:sz w:val="20"/>
                <w:szCs w:val="20"/>
                <w:lang w:val="en-CA"/>
              </w:rPr>
              <w:t xml:space="preserve"> Comprehensive Health Clinic v. Liberty Insurance Company of Canada</w:t>
            </w:r>
            <w:r>
              <w:rPr>
                <w:rStyle w:val="SCCLsocChar"/>
                <w:sz w:val="20"/>
                <w:szCs w:val="20"/>
                <w:lang w:val="en-CA"/>
              </w:rPr>
              <w:t xml:space="preserve"> and</w:t>
            </w:r>
            <w:r w:rsidRPr="003004DA">
              <w:rPr>
                <w:rStyle w:val="SCCLsocChar"/>
                <w:sz w:val="20"/>
                <w:szCs w:val="20"/>
                <w:lang w:val="en-CA"/>
              </w:rPr>
              <w:t xml:space="preserve"> Liberty Mutual Insurance Company</w:t>
            </w:r>
            <w:r w:rsidRPr="003628CB">
              <w:rPr>
                <w:sz w:val="20"/>
                <w:szCs w:val="20"/>
              </w:rPr>
              <w:t xml:space="preserve"> (Ont.) (Civil) (By Leave)</w:t>
            </w:r>
          </w:p>
          <w:p w:rsidR="003004DA" w:rsidRPr="003628CB" w:rsidRDefault="003004DA" w:rsidP="002304D1">
            <w:pPr>
              <w:rPr>
                <w:sz w:val="20"/>
                <w:szCs w:val="20"/>
              </w:rPr>
            </w:pPr>
          </w:p>
        </w:tc>
      </w:tr>
      <w:tr w:rsidR="003004DA" w:rsidRPr="003628CB" w:rsidTr="002304D1">
        <w:trPr>
          <w:cantSplit/>
        </w:trPr>
        <w:tc>
          <w:tcPr>
            <w:tcW w:w="1458" w:type="dxa"/>
          </w:tcPr>
          <w:p w:rsidR="003004DA" w:rsidRPr="003628CB" w:rsidRDefault="003004DA" w:rsidP="002304D1">
            <w:pPr>
              <w:rPr>
                <w:sz w:val="20"/>
                <w:szCs w:val="20"/>
              </w:rPr>
            </w:pPr>
            <w:r w:rsidRPr="003628CB">
              <w:rPr>
                <w:sz w:val="20"/>
                <w:szCs w:val="20"/>
              </w:rPr>
              <w:lastRenderedPageBreak/>
              <w:t>Coram :</w:t>
            </w:r>
          </w:p>
        </w:tc>
        <w:tc>
          <w:tcPr>
            <w:tcW w:w="8118" w:type="dxa"/>
          </w:tcPr>
          <w:p w:rsidR="003004DA" w:rsidRPr="003628CB" w:rsidRDefault="003004DA" w:rsidP="002304D1">
            <w:pPr>
              <w:rPr>
                <w:sz w:val="20"/>
                <w:szCs w:val="20"/>
              </w:rPr>
            </w:pPr>
            <w:r w:rsidRPr="003004DA">
              <w:rPr>
                <w:rStyle w:val="SCCCoramChar"/>
                <w:sz w:val="20"/>
                <w:szCs w:val="20"/>
                <w:lang w:val="en-CA"/>
              </w:rPr>
              <w:t>Deschamps, Fish and Karakatsanis JJ.</w:t>
            </w:r>
          </w:p>
          <w:p w:rsidR="003004DA" w:rsidRPr="003628CB" w:rsidRDefault="003004DA" w:rsidP="002304D1">
            <w:pPr>
              <w:rPr>
                <w:sz w:val="20"/>
                <w:szCs w:val="20"/>
                <w:u w:val="single"/>
              </w:rPr>
            </w:pPr>
          </w:p>
        </w:tc>
      </w:tr>
      <w:tr w:rsidR="003004DA" w:rsidRPr="004A42A2" w:rsidTr="002304D1">
        <w:trPr>
          <w:cantSplit/>
        </w:trPr>
        <w:tc>
          <w:tcPr>
            <w:tcW w:w="9576" w:type="dxa"/>
            <w:gridSpan w:val="2"/>
          </w:tcPr>
          <w:p w:rsidR="003004DA" w:rsidRPr="003628CB" w:rsidRDefault="003004DA" w:rsidP="002304D1">
            <w:pPr>
              <w:pStyle w:val="SCCShortJudgment"/>
              <w:rPr>
                <w:szCs w:val="20"/>
              </w:rPr>
            </w:pPr>
            <w:r w:rsidRPr="003628CB">
              <w:rPr>
                <w:szCs w:val="20"/>
              </w:rPr>
              <w:t>The motions for an extension of time to serve and file the applications for leave to appeal are granted. The applications for leave to appeal from the judgment of the Court of Appeal for Ontario, Number C53103, 2011 ONCA 643, dated October 12, 2011, are dismissed with costs.</w:t>
            </w:r>
          </w:p>
          <w:p w:rsidR="003004DA" w:rsidRPr="003628CB" w:rsidRDefault="003004DA" w:rsidP="002304D1">
            <w:pPr>
              <w:pStyle w:val="SCCShortJudgment"/>
              <w:ind w:firstLine="0"/>
              <w:rPr>
                <w:szCs w:val="20"/>
              </w:rPr>
            </w:pPr>
          </w:p>
          <w:p w:rsidR="003004DA" w:rsidRPr="003628CB" w:rsidRDefault="003004DA" w:rsidP="00D40A3C">
            <w:pPr>
              <w:pStyle w:val="SCCShortJudgment"/>
              <w:rPr>
                <w:szCs w:val="20"/>
                <w:lang w:val="fr-CA"/>
              </w:rPr>
            </w:pPr>
            <w:r w:rsidRPr="003628CB">
              <w:rPr>
                <w:szCs w:val="20"/>
                <w:lang w:val="fr-CA"/>
              </w:rPr>
              <w:t>Les requêtes en prorogation du délai de signification et de dépôt des demandes d’autorisation d’appel sont accueillies. Les demandes d’autorisation d’appel de l’arrêt de la Cour d’appel de l’Ontario, numéro C53103, 2011 ONCA 643, daté du 12 octobre 2011, sont rejetées avec dépens.</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Procedural law – Costs – Orders for costs – Security for costs – Failure to pay costs ordered – Statement of Defence and Counterclaim stayed – Whether stay was the appropriate remedy – Whether issues of public and national importance are raised.</w:t>
            </w:r>
          </w:p>
        </w:tc>
      </w:tr>
      <w:tr w:rsidR="007B5386" w:rsidRPr="006A318F" w:rsidTr="004F1F89">
        <w:tc>
          <w:tcPr>
            <w:tcW w:w="5000" w:type="pct"/>
            <w:gridSpan w:val="3"/>
          </w:tcPr>
          <w:p w:rsidR="007B5386" w:rsidRPr="006A318F" w:rsidRDefault="007B5386" w:rsidP="004F1F89">
            <w:pPr>
              <w:jc w:val="both"/>
              <w:rPr>
                <w:rFonts w:eastAsia="Calibri"/>
                <w:sz w:val="20"/>
              </w:rPr>
            </w:pPr>
          </w:p>
        </w:tc>
      </w:tr>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This action was commenced in September 2003, and alleged that Rose Venneri Donatelli fraudulently or negligently held herself out to be a doctor of psychology licensed to practice psychology in Ontario when she and Professional Counselling Services billed Liberty Mutual for services she was not qualified to provide. Liberty Mutual paid for those services. Criminal charges were laid, but they were later dropped and Liberty Mutual elected to file a civil suit against Rose Venneri Donatelli, her son Michael Donatelli, his chiropractic practice Comprehensive Health Clinic, and her business Professional Counselling Services, to recover the payments it alleged it had paid based on fraudulent claims. Within the proceeding, there were numerous motions, with resulting costs awards. In addition, when represented by counsel, Ms. Donatelli had given a number of undertakings on her examination for discovery. Ms. Donatelli did not satisfy the undertakings.</w:t>
            </w:r>
          </w:p>
          <w:p w:rsidR="007B5386" w:rsidRPr="006A318F" w:rsidRDefault="007B5386" w:rsidP="004F1F89">
            <w:pPr>
              <w:jc w:val="both"/>
              <w:rPr>
                <w:rFonts w:eastAsia="Calibri"/>
                <w:sz w:val="20"/>
              </w:rPr>
            </w:pPr>
          </w:p>
          <w:p w:rsidR="007B5386" w:rsidRPr="006A318F" w:rsidRDefault="007B5386" w:rsidP="004F1F89">
            <w:pPr>
              <w:jc w:val="both"/>
              <w:rPr>
                <w:rFonts w:eastAsia="Calibri"/>
                <w:sz w:val="20"/>
              </w:rPr>
            </w:pPr>
            <w:r w:rsidRPr="006A318F">
              <w:rPr>
                <w:rFonts w:eastAsia="Calibri"/>
                <w:sz w:val="20"/>
              </w:rPr>
              <w:t>On Liberty Mutual motion, the Statement of Defence and Counterclaim was struck out, but, on appeal, the Applicants were given time to pay the outstanding costs. When the Applicants did not comply with that order, Liberty Mutual moved again to have the Statement of Defence and Counterclaim struck out. The Statement of Defence and Counterclaim were struck out, and the Court of Appeal dismissed the appeal.</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December 2, 2010</w:t>
            </w:r>
          </w:p>
          <w:p w:rsidR="007B5386" w:rsidRPr="006A318F" w:rsidRDefault="007B5386" w:rsidP="004F1F89">
            <w:pPr>
              <w:jc w:val="both"/>
              <w:rPr>
                <w:rFonts w:eastAsia="Calibri"/>
                <w:sz w:val="20"/>
              </w:rPr>
            </w:pPr>
            <w:r w:rsidRPr="006A318F">
              <w:rPr>
                <w:rFonts w:eastAsia="Calibri"/>
                <w:sz w:val="20"/>
              </w:rPr>
              <w:t>Ontario Superior Court of Justice</w:t>
            </w:r>
          </w:p>
          <w:p w:rsidR="007B5386" w:rsidRPr="006A318F" w:rsidRDefault="007B5386" w:rsidP="004F1F89">
            <w:pPr>
              <w:jc w:val="both"/>
              <w:rPr>
                <w:rFonts w:eastAsia="Calibri"/>
                <w:sz w:val="20"/>
              </w:rPr>
            </w:pPr>
            <w:r w:rsidRPr="006A318F">
              <w:rPr>
                <w:rFonts w:eastAsia="Calibri"/>
                <w:sz w:val="20"/>
              </w:rPr>
              <w:t>(MacPherson J.)</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Statement of Defence and Counterclaim struck out</w:t>
            </w: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October 12, 2011</w:t>
            </w:r>
          </w:p>
          <w:p w:rsidR="007B5386" w:rsidRPr="006A318F" w:rsidRDefault="007B5386" w:rsidP="004F1F89">
            <w:pPr>
              <w:jc w:val="both"/>
              <w:rPr>
                <w:rFonts w:eastAsia="Calibri"/>
                <w:sz w:val="20"/>
              </w:rPr>
            </w:pPr>
            <w:r w:rsidRPr="006A318F">
              <w:rPr>
                <w:rFonts w:eastAsia="Calibri"/>
                <w:sz w:val="20"/>
              </w:rPr>
              <w:t>Court of Appeal for Ontario</w:t>
            </w:r>
          </w:p>
          <w:p w:rsidR="007B5386" w:rsidRPr="006A318F" w:rsidRDefault="007B5386" w:rsidP="004F1F89">
            <w:pPr>
              <w:jc w:val="both"/>
              <w:rPr>
                <w:rFonts w:eastAsia="Calibri"/>
                <w:sz w:val="20"/>
              </w:rPr>
            </w:pPr>
            <w:r w:rsidRPr="006A318F">
              <w:rPr>
                <w:rFonts w:eastAsia="Calibri"/>
                <w:sz w:val="20"/>
              </w:rPr>
              <w:t>(Doherty, Weiler, Cronk JJ.A.)</w:t>
            </w:r>
          </w:p>
          <w:p w:rsidR="007B5386" w:rsidRPr="006A318F" w:rsidRDefault="007B5386" w:rsidP="004F1F89">
            <w:pPr>
              <w:jc w:val="both"/>
              <w:rPr>
                <w:rFonts w:eastAsia="Calibri"/>
                <w:sz w:val="20"/>
              </w:rPr>
            </w:pPr>
            <w:r w:rsidRPr="006A318F">
              <w:rPr>
                <w:rFonts w:eastAsia="Calibri"/>
                <w:sz w:val="20"/>
              </w:rPr>
              <w:t>Neutral citation: 2011 ONCA 643</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Appeal dismissed</w:t>
            </w: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December 13, 2011</w:t>
            </w:r>
          </w:p>
          <w:p w:rsidR="007B5386" w:rsidRPr="006A318F" w:rsidRDefault="007B5386" w:rsidP="004F1F89">
            <w:pPr>
              <w:jc w:val="both"/>
              <w:rPr>
                <w:rFonts w:eastAsia="Calibri"/>
                <w:sz w:val="20"/>
              </w:rPr>
            </w:pPr>
            <w:r w:rsidRPr="006A318F">
              <w:rPr>
                <w:rFonts w:eastAsia="Calibri"/>
                <w:sz w:val="20"/>
              </w:rPr>
              <w:t>Supreme Court of Canada</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for leave to appeal and motion for extension of time filed by Rose Venneri Donatelli and Professional Counselling Services</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December 13, 2011</w:t>
            </w:r>
          </w:p>
          <w:p w:rsidR="007B5386" w:rsidRPr="006A318F" w:rsidRDefault="007B5386" w:rsidP="004F1F89">
            <w:pPr>
              <w:jc w:val="both"/>
              <w:rPr>
                <w:rFonts w:eastAsia="Calibri"/>
                <w:sz w:val="20"/>
              </w:rPr>
            </w:pPr>
            <w:r w:rsidRPr="006A318F">
              <w:rPr>
                <w:rFonts w:eastAsia="Calibri"/>
                <w:sz w:val="20"/>
              </w:rPr>
              <w:t>Supreme Court of Canada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for leave to appeal and motion for extension of time filed by Michael Venneri and Comprehensive Health Clinic</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54"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lastRenderedPageBreak/>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Procédure – Dépens – Ordonnances pour les dépens – Cautionnement pour dépens – Non</w:t>
            </w:r>
            <w:r w:rsidRPr="006A318F">
              <w:rPr>
                <w:rFonts w:eastAsia="Calibri"/>
                <w:sz w:val="20"/>
                <w:lang w:val="fr-CA"/>
              </w:rPr>
              <w:noBreakHyphen/>
              <w:t>paiement des dépens – Défense et demande reconventionnelle suspendues – La suspension était</w:t>
            </w:r>
            <w:r w:rsidRPr="006A318F">
              <w:rPr>
                <w:rFonts w:eastAsia="Calibri"/>
                <w:sz w:val="20"/>
                <w:lang w:val="fr-CA"/>
              </w:rPr>
              <w:noBreakHyphen/>
              <w:t>elle la réparation appropriée? – L’affaire soulève</w:t>
            </w:r>
            <w:r w:rsidRPr="006A318F">
              <w:rPr>
                <w:rFonts w:eastAsia="Calibri"/>
                <w:sz w:val="20"/>
                <w:lang w:val="fr-CA"/>
              </w:rPr>
              <w:noBreakHyphen/>
              <w:t>t</w:t>
            </w:r>
            <w:r w:rsidRPr="006A318F">
              <w:rPr>
                <w:rFonts w:eastAsia="Calibri"/>
                <w:sz w:val="20"/>
                <w:lang w:val="fr-CA"/>
              </w:rPr>
              <w:noBreakHyphen/>
              <w:t>elle des questions d’importance pour le public?</w:t>
            </w:r>
          </w:p>
        </w:tc>
      </w:tr>
      <w:tr w:rsidR="007B5386" w:rsidRPr="004A42A2" w:rsidTr="004F1F89">
        <w:tc>
          <w:tcPr>
            <w:tcW w:w="5000" w:type="pct"/>
            <w:gridSpan w:val="3"/>
          </w:tcPr>
          <w:p w:rsidR="007B5386" w:rsidRPr="006A318F" w:rsidRDefault="007B5386" w:rsidP="004F1F89">
            <w:pPr>
              <w:jc w:val="both"/>
              <w:rPr>
                <w:rFonts w:eastAsia="Calibri"/>
                <w:sz w:val="20"/>
                <w:lang w:val="fr-CA"/>
              </w:rPr>
            </w:pPr>
          </w:p>
        </w:tc>
      </w:tr>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La présente action a été intentée en septembre 2003 et il y est allégué que Rose Venneri Donatelli se serait fait passer – frauduleusement ou par négligence – pour une docteure en psychologie autorisée à exercer la profession de psychologue en Ontario lorsqu’elle et Professional Counselling Services ont facturé Liberty Mutual pour des services qu’elle n’était pas habilitée à fournir. Liberty Mutual a payé pour ces services. Des accusations ont été portées au criminel, mais elles ont été abandonnées par la suite et Liberty Mutual a choisi de déposer une poursuite au civil contre Rose Venneri Donatelli, son fils Michael Donatelli, son cabinet de chiropratique Comprehensive Health Clinic, et son entreprise Professional Counselling Services, pour recouvrer les paiements qu’elle allègue avoir versés sur le fondement de demandes frauduleuses. Dans le cadre de l’instance, il y eu de nombreuses motions et des ordonnances pour les dépens. En outre, lorsqu’elle était représentée par un avocat, Mme Donatelli avait pris un certain nombre d’engagements lors de son interrogatoire préalable. Madame Donatelli n’a pas respecté les engagements.</w:t>
            </w:r>
          </w:p>
          <w:p w:rsidR="007B5386" w:rsidRPr="006A318F" w:rsidRDefault="007B5386" w:rsidP="004F1F89">
            <w:pPr>
              <w:jc w:val="both"/>
              <w:rPr>
                <w:rFonts w:eastAsia="Calibri"/>
                <w:sz w:val="20"/>
                <w:lang w:val="fr-CA"/>
              </w:rPr>
            </w:pPr>
          </w:p>
          <w:p w:rsidR="007B5386" w:rsidRPr="006A318F" w:rsidRDefault="007B5386" w:rsidP="004F1F89">
            <w:pPr>
              <w:jc w:val="both"/>
              <w:rPr>
                <w:rFonts w:eastAsia="Calibri"/>
                <w:sz w:val="20"/>
                <w:lang w:val="fr-CA"/>
              </w:rPr>
            </w:pPr>
            <w:r w:rsidRPr="006A318F">
              <w:rPr>
                <w:rFonts w:eastAsia="Calibri"/>
                <w:sz w:val="20"/>
                <w:lang w:val="fr-CA"/>
              </w:rPr>
              <w:t>Sur la motion de Liberty Mutual, la défense et la demande reconventionnelle ont été radiées, mais en appel, les demandeurs ont obtenu un délai pour acquitter les dépens impayés. Lorsque les demandeurs n’ont pas respecté cette ordonnance, Liberty Mutual a de nouveau présenté une motion pour faire radier la défense et la déclaration reconventionnelle. La déclaration et la demande reconventionnelle ont été radiées, et la Cour d’appel a rejeté l’appel.</w:t>
            </w:r>
          </w:p>
          <w:p w:rsidR="007B5386" w:rsidRPr="006A318F" w:rsidRDefault="007B5386" w:rsidP="004F1F89">
            <w:pPr>
              <w:jc w:val="both"/>
              <w:rPr>
                <w:rFonts w:eastAsia="Calibri"/>
                <w:sz w:val="20"/>
                <w:lang w:val="fr-CA"/>
              </w:rPr>
            </w:pPr>
          </w:p>
        </w:tc>
      </w:tr>
      <w:tr w:rsidR="007B5386" w:rsidRPr="004A42A2"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2 décembre 2010</w:t>
            </w:r>
          </w:p>
          <w:p w:rsidR="007B5386" w:rsidRPr="006A318F" w:rsidRDefault="007B5386" w:rsidP="004F1F89">
            <w:pPr>
              <w:jc w:val="both"/>
              <w:rPr>
                <w:rFonts w:eastAsia="Calibri"/>
                <w:sz w:val="20"/>
                <w:lang w:val="fr-CA"/>
              </w:rPr>
            </w:pPr>
            <w:r w:rsidRPr="006A318F">
              <w:rPr>
                <w:rFonts w:eastAsia="Calibri"/>
                <w:sz w:val="20"/>
                <w:lang w:val="fr-CA"/>
              </w:rPr>
              <w:t>Cour supérieure de justice de l’Ontario</w:t>
            </w:r>
          </w:p>
          <w:p w:rsidR="007B5386" w:rsidRPr="006A318F" w:rsidRDefault="007B5386" w:rsidP="004F1F89">
            <w:pPr>
              <w:jc w:val="both"/>
              <w:rPr>
                <w:rFonts w:eastAsia="Calibri"/>
                <w:sz w:val="20"/>
                <w:lang w:val="fr-CA"/>
              </w:rPr>
            </w:pPr>
            <w:r w:rsidRPr="006A318F">
              <w:rPr>
                <w:rFonts w:eastAsia="Calibri"/>
                <w:sz w:val="20"/>
                <w:lang w:val="fr-CA"/>
              </w:rPr>
              <w:t>(Juge MacPherson)</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Défense et demande reconventionnelle, radiées</w:t>
            </w:r>
          </w:p>
        </w:tc>
      </w:tr>
      <w:tr w:rsidR="007B5386" w:rsidRPr="006A318F"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12 octobre 2011</w:t>
            </w:r>
          </w:p>
          <w:p w:rsidR="007B5386" w:rsidRPr="006A318F" w:rsidRDefault="007B5386" w:rsidP="004F1F89">
            <w:pPr>
              <w:jc w:val="both"/>
              <w:rPr>
                <w:rFonts w:eastAsia="Calibri"/>
                <w:sz w:val="20"/>
                <w:lang w:val="fr-CA"/>
              </w:rPr>
            </w:pPr>
            <w:r w:rsidRPr="006A318F">
              <w:rPr>
                <w:rFonts w:eastAsia="Calibri"/>
                <w:sz w:val="20"/>
                <w:lang w:val="fr-CA"/>
              </w:rPr>
              <w:t>Cour d’appel de l’Ontario</w:t>
            </w:r>
          </w:p>
          <w:p w:rsidR="007B5386" w:rsidRPr="006A318F" w:rsidRDefault="007B5386" w:rsidP="004F1F89">
            <w:pPr>
              <w:jc w:val="both"/>
              <w:rPr>
                <w:rFonts w:eastAsia="Calibri"/>
                <w:sz w:val="20"/>
                <w:lang w:val="fr-CA"/>
              </w:rPr>
            </w:pPr>
            <w:r w:rsidRPr="006A318F">
              <w:rPr>
                <w:rFonts w:eastAsia="Calibri"/>
                <w:sz w:val="20"/>
                <w:lang w:val="fr-CA"/>
              </w:rPr>
              <w:t>(Juges Doherty, Weiler et Cronk)</w:t>
            </w:r>
          </w:p>
          <w:p w:rsidR="007B5386" w:rsidRPr="006A318F" w:rsidRDefault="007B5386" w:rsidP="004F1F89">
            <w:pPr>
              <w:jc w:val="both"/>
              <w:rPr>
                <w:rFonts w:eastAsia="Calibri"/>
                <w:sz w:val="20"/>
                <w:lang w:val="fr-CA"/>
              </w:rPr>
            </w:pPr>
            <w:r w:rsidRPr="006A318F">
              <w:rPr>
                <w:rFonts w:eastAsia="Calibri"/>
                <w:sz w:val="20"/>
                <w:lang w:val="fr-CA"/>
              </w:rPr>
              <w:t>Référence neutre : 2011 ONCA 643</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Appel rejeté</w:t>
            </w:r>
          </w:p>
        </w:tc>
      </w:tr>
      <w:tr w:rsidR="007B5386" w:rsidRPr="00090737"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13 décembre 2011</w:t>
            </w:r>
          </w:p>
          <w:p w:rsidR="007B5386" w:rsidRPr="006A318F" w:rsidRDefault="007B5386" w:rsidP="004F1F89">
            <w:pPr>
              <w:jc w:val="both"/>
              <w:rPr>
                <w:rFonts w:eastAsia="Calibri"/>
                <w:sz w:val="20"/>
                <w:lang w:val="fr-CA"/>
              </w:rPr>
            </w:pPr>
            <w:r w:rsidRPr="006A318F">
              <w:rPr>
                <w:rFonts w:eastAsia="Calibri"/>
                <w:sz w:val="20"/>
                <w:lang w:val="fr-CA"/>
              </w:rPr>
              <w:t>Cour suprême du Canada</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 d’autorisation d’appel et requête en prorogation de délai déposées par Rose Venneri Donatelli et Professional Counselling Services</w:t>
            </w:r>
          </w:p>
          <w:p w:rsidR="007B5386" w:rsidRPr="006A318F" w:rsidRDefault="007B5386" w:rsidP="004F1F89">
            <w:pPr>
              <w:jc w:val="both"/>
              <w:rPr>
                <w:rFonts w:eastAsia="Calibri"/>
                <w:sz w:val="20"/>
                <w:lang w:val="fr-CA"/>
              </w:rPr>
            </w:pPr>
          </w:p>
        </w:tc>
      </w:tr>
      <w:tr w:rsidR="007B5386" w:rsidRPr="00090737"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13 décembre 2011</w:t>
            </w:r>
          </w:p>
          <w:p w:rsidR="007B5386" w:rsidRPr="006A318F" w:rsidRDefault="007B5386" w:rsidP="004F1F89">
            <w:pPr>
              <w:jc w:val="both"/>
              <w:rPr>
                <w:rFonts w:eastAsia="Calibri"/>
                <w:sz w:val="20"/>
                <w:lang w:val="fr-CA"/>
              </w:rPr>
            </w:pPr>
            <w:r w:rsidRPr="006A318F">
              <w:rPr>
                <w:rFonts w:eastAsia="Calibri"/>
                <w:sz w:val="20"/>
                <w:lang w:val="fr-CA"/>
              </w:rPr>
              <w:t>Cour suprême du Canada</w:t>
            </w: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 d’autorisation d’appel et requête en prorogation de délai déposées par Michael Venneri et Comprehensive Health Clinic</w:t>
            </w:r>
          </w:p>
        </w:tc>
      </w:tr>
    </w:tbl>
    <w:p w:rsidR="009B2448" w:rsidRPr="007B5386" w:rsidRDefault="009B2448" w:rsidP="009B2448">
      <w:pPr>
        <w:rPr>
          <w:sz w:val="20"/>
          <w:szCs w:val="20"/>
          <w:lang w:val="fr-CA"/>
        </w:rPr>
      </w:pPr>
    </w:p>
    <w:p w:rsidR="009B2448" w:rsidRDefault="00B44839" w:rsidP="009B2448">
      <w:pPr>
        <w:rPr>
          <w:sz w:val="20"/>
          <w:szCs w:val="20"/>
          <w:lang w:val="fr-CA"/>
        </w:rPr>
      </w:pPr>
      <w:r w:rsidRPr="00B44839">
        <w:rPr>
          <w:sz w:val="20"/>
          <w:szCs w:val="20"/>
          <w:lang w:val="fr-CA"/>
        </w:rPr>
        <w:pict>
          <v:rect id="_x0000_i1055"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3DA0" w:rsidRPr="00540A27" w:rsidTr="002304D1">
        <w:trPr>
          <w:cantSplit/>
        </w:trPr>
        <w:tc>
          <w:tcPr>
            <w:tcW w:w="1458" w:type="dxa"/>
          </w:tcPr>
          <w:p w:rsidR="00C63DA0" w:rsidRPr="00540A27" w:rsidRDefault="00C63DA0" w:rsidP="002304D1">
            <w:pPr>
              <w:rPr>
                <w:sz w:val="20"/>
                <w:szCs w:val="20"/>
              </w:rPr>
            </w:pPr>
            <w:r w:rsidRPr="00540A27">
              <w:rPr>
                <w:rStyle w:val="SCCFileNumberChar"/>
                <w:sz w:val="20"/>
                <w:szCs w:val="20"/>
              </w:rPr>
              <w:t>34587</w:t>
            </w:r>
          </w:p>
          <w:p w:rsidR="00C63DA0" w:rsidRPr="00540A27" w:rsidRDefault="00C63DA0" w:rsidP="002304D1">
            <w:pPr>
              <w:rPr>
                <w:b/>
                <w:sz w:val="20"/>
                <w:szCs w:val="20"/>
                <w:lang w:val="fr-CA"/>
              </w:rPr>
            </w:pPr>
          </w:p>
        </w:tc>
        <w:tc>
          <w:tcPr>
            <w:tcW w:w="8118" w:type="dxa"/>
          </w:tcPr>
          <w:p w:rsidR="00C63DA0" w:rsidRPr="00540A27" w:rsidRDefault="00C63DA0" w:rsidP="002304D1">
            <w:pPr>
              <w:jc w:val="both"/>
              <w:rPr>
                <w:sz w:val="20"/>
                <w:szCs w:val="20"/>
              </w:rPr>
            </w:pPr>
            <w:r w:rsidRPr="00540A27">
              <w:rPr>
                <w:rStyle w:val="SCCLsocChar"/>
                <w:sz w:val="20"/>
                <w:szCs w:val="20"/>
                <w:lang w:val="en-CA"/>
              </w:rPr>
              <w:t>Valery Fabrikant v. M.N.S. Swamy, G.D. Xistris, S.V. Hoa, T.S. Sankar and S. Sankar</w:t>
            </w:r>
            <w:r w:rsidRPr="00540A27">
              <w:rPr>
                <w:sz w:val="20"/>
                <w:szCs w:val="20"/>
              </w:rPr>
              <w:t xml:space="preserve"> (Que.) (Civil) (By Leave)</w:t>
            </w:r>
          </w:p>
          <w:p w:rsidR="00C63DA0" w:rsidRPr="00540A27" w:rsidRDefault="00C63DA0" w:rsidP="002304D1">
            <w:pPr>
              <w:rPr>
                <w:sz w:val="20"/>
                <w:szCs w:val="20"/>
              </w:rPr>
            </w:pPr>
          </w:p>
        </w:tc>
      </w:tr>
      <w:tr w:rsidR="00C63DA0" w:rsidRPr="00540A27" w:rsidTr="002304D1">
        <w:trPr>
          <w:cantSplit/>
        </w:trPr>
        <w:tc>
          <w:tcPr>
            <w:tcW w:w="1458" w:type="dxa"/>
          </w:tcPr>
          <w:p w:rsidR="00C63DA0" w:rsidRPr="00540A27" w:rsidRDefault="00C63DA0" w:rsidP="002304D1">
            <w:pPr>
              <w:rPr>
                <w:sz w:val="20"/>
                <w:szCs w:val="20"/>
              </w:rPr>
            </w:pPr>
            <w:r w:rsidRPr="00540A27">
              <w:rPr>
                <w:sz w:val="20"/>
                <w:szCs w:val="20"/>
              </w:rPr>
              <w:t>Coram :</w:t>
            </w:r>
          </w:p>
        </w:tc>
        <w:tc>
          <w:tcPr>
            <w:tcW w:w="8118" w:type="dxa"/>
          </w:tcPr>
          <w:p w:rsidR="00C63DA0" w:rsidRPr="00540A27" w:rsidRDefault="00C63DA0" w:rsidP="002304D1">
            <w:pPr>
              <w:rPr>
                <w:sz w:val="20"/>
                <w:szCs w:val="20"/>
              </w:rPr>
            </w:pPr>
            <w:r w:rsidRPr="00540A27">
              <w:rPr>
                <w:rStyle w:val="SCCCoramChar"/>
                <w:sz w:val="20"/>
                <w:szCs w:val="20"/>
                <w:lang w:val="en-CA"/>
              </w:rPr>
              <w:t>Deschamps, Fish and Karakatsanis JJ.</w:t>
            </w:r>
          </w:p>
          <w:p w:rsidR="00C63DA0" w:rsidRPr="00540A27" w:rsidRDefault="00C63DA0" w:rsidP="002304D1">
            <w:pPr>
              <w:rPr>
                <w:sz w:val="20"/>
                <w:szCs w:val="20"/>
                <w:u w:val="single"/>
              </w:rPr>
            </w:pPr>
          </w:p>
        </w:tc>
      </w:tr>
      <w:tr w:rsidR="00C63DA0" w:rsidRPr="004A42A2" w:rsidTr="002304D1">
        <w:trPr>
          <w:cantSplit/>
        </w:trPr>
        <w:tc>
          <w:tcPr>
            <w:tcW w:w="9576" w:type="dxa"/>
            <w:gridSpan w:val="2"/>
          </w:tcPr>
          <w:p w:rsidR="00C63DA0" w:rsidRPr="00540A27" w:rsidRDefault="00C63DA0" w:rsidP="002304D1">
            <w:pPr>
              <w:pStyle w:val="SCCShortJudgment"/>
              <w:rPr>
                <w:szCs w:val="20"/>
              </w:rPr>
            </w:pPr>
            <w:r w:rsidRPr="00540A27">
              <w:rPr>
                <w:szCs w:val="20"/>
              </w:rPr>
              <w:lastRenderedPageBreak/>
              <w:t>The application for leave to appeal from the judgment of the Court of Appeal of Quebec (Montréal), Number 500-09-021605-118, 2011 QCCA 2205, dated November 28, 2011, is dismissed with costs.</w:t>
            </w:r>
          </w:p>
          <w:p w:rsidR="00C63DA0" w:rsidRPr="00540A27" w:rsidRDefault="00C63DA0" w:rsidP="002304D1">
            <w:pPr>
              <w:pStyle w:val="SCCShortJudgment"/>
              <w:ind w:firstLine="0"/>
              <w:rPr>
                <w:szCs w:val="20"/>
              </w:rPr>
            </w:pPr>
          </w:p>
          <w:p w:rsidR="00C63DA0" w:rsidRPr="00540A27" w:rsidRDefault="00C63DA0" w:rsidP="002304D1">
            <w:pPr>
              <w:pStyle w:val="SCCShortJudgment"/>
              <w:rPr>
                <w:szCs w:val="20"/>
                <w:lang w:val="fr-CA"/>
              </w:rPr>
            </w:pPr>
            <w:r w:rsidRPr="00540A27">
              <w:rPr>
                <w:szCs w:val="20"/>
                <w:lang w:val="fr-CA"/>
              </w:rPr>
              <w:t>La demande d’autorisation d’appel de l’arrêt de la Cour d’appel du Québec (Montréal), numéro 500-09-021605-118, 2011 QCCA 2205, daté du 28 novembre 2011, est rejetée avec dépens.</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Civil procedure – Appeals – Motion to dismiss – Whether lower courts erred in dismissing the action and the appeal.</w:t>
            </w:r>
          </w:p>
        </w:tc>
      </w:tr>
      <w:tr w:rsidR="007B5386" w:rsidRPr="006A318F" w:rsidTr="004F1F89">
        <w:tc>
          <w:tcPr>
            <w:tcW w:w="5000" w:type="pct"/>
            <w:gridSpan w:val="3"/>
          </w:tcPr>
          <w:p w:rsidR="007B5386" w:rsidRPr="006A318F" w:rsidRDefault="007B5386" w:rsidP="004F1F89">
            <w:pPr>
              <w:jc w:val="both"/>
              <w:rPr>
                <w:rFonts w:eastAsia="Calibri"/>
                <w:sz w:val="20"/>
              </w:rPr>
            </w:pPr>
          </w:p>
        </w:tc>
      </w:tr>
      <w:tr w:rsidR="007B5386" w:rsidRPr="006A318F" w:rsidTr="004F1F89">
        <w:tc>
          <w:tcPr>
            <w:tcW w:w="5000" w:type="pct"/>
            <w:gridSpan w:val="3"/>
          </w:tcPr>
          <w:p w:rsidR="007B5386" w:rsidRPr="006A318F" w:rsidRDefault="00B44839" w:rsidP="004F1F89">
            <w:pPr>
              <w:jc w:val="both"/>
              <w:rPr>
                <w:rFonts w:eastAsia="Calibri"/>
                <w:sz w:val="20"/>
              </w:rPr>
            </w:pPr>
            <w:r w:rsidRPr="006A318F">
              <w:rPr>
                <w:rFonts w:eastAsia="Calibri"/>
                <w:sz w:val="20"/>
              </w:rPr>
              <w:fldChar w:fldCharType="begin"/>
            </w:r>
            <w:r w:rsidR="007B5386" w:rsidRPr="006A318F">
              <w:rPr>
                <w:rFonts w:eastAsia="Calibri"/>
                <w:sz w:val="20"/>
              </w:rPr>
              <w:instrText xml:space="preserve"> SEQ CHAPTER \h \r 1</w:instrText>
            </w:r>
            <w:r w:rsidRPr="006A318F">
              <w:rPr>
                <w:rFonts w:eastAsia="Calibri"/>
                <w:sz w:val="20"/>
              </w:rPr>
              <w:fldChar w:fldCharType="end"/>
            </w:r>
            <w:r w:rsidR="007B5386" w:rsidRPr="006A318F">
              <w:rPr>
                <w:rFonts w:eastAsia="Calibri"/>
                <w:sz w:val="20"/>
              </w:rPr>
              <w:t>In 1992, Mr. Fabrikant applied to the Superior Court for recognition of his exclusive authorship of certain scientific writings published in the 1980s while he was working at Concordia University. He sought injunctive remedies and monetary and declaratory conclusions, at first against the respondents M.N.S. Swamy and T.S. Sankar, and later on against the respondents S. Sankar, G.D. Xistris and S.V. Hoa. The respondents had been included as co-authors of the publications.</w:t>
            </w:r>
          </w:p>
          <w:p w:rsidR="007B5386" w:rsidRPr="006A318F" w:rsidRDefault="007B5386" w:rsidP="004F1F89">
            <w:pPr>
              <w:jc w:val="both"/>
              <w:rPr>
                <w:rFonts w:eastAsia="Calibri"/>
                <w:sz w:val="20"/>
              </w:rPr>
            </w:pPr>
          </w:p>
          <w:p w:rsidR="007B5386" w:rsidRPr="006A318F" w:rsidRDefault="007B5386" w:rsidP="004F1F89">
            <w:pPr>
              <w:jc w:val="both"/>
              <w:rPr>
                <w:rFonts w:eastAsia="Calibri"/>
                <w:sz w:val="20"/>
              </w:rPr>
            </w:pPr>
            <w:r w:rsidRPr="006A318F">
              <w:rPr>
                <w:rFonts w:eastAsia="Calibri"/>
                <w:sz w:val="20"/>
              </w:rPr>
              <w:t>Rolland C.J. dismissed Mr. Fabrikant’s action in March 2011. Mr. Fabrikant filed an appeal to the Court of Appeal, but the respondents brought a motion to dismiss it on the grounds that it was frivolous and abusive and bore no reasonable prospect of success. The Court of Appeal granted the respondents’ motion and dismissed the appeal on the ground that it was doomed to fail.</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March 25, 2011</w:t>
            </w:r>
          </w:p>
          <w:p w:rsidR="007B5386" w:rsidRPr="006A318F" w:rsidRDefault="007B5386" w:rsidP="004F1F89">
            <w:pPr>
              <w:jc w:val="both"/>
              <w:rPr>
                <w:rFonts w:eastAsia="Calibri"/>
                <w:sz w:val="20"/>
              </w:rPr>
            </w:pPr>
            <w:r w:rsidRPr="006A318F">
              <w:rPr>
                <w:rFonts w:eastAsia="Calibri"/>
                <w:sz w:val="20"/>
              </w:rPr>
              <w:t>Superior Court of Quebec</w:t>
            </w:r>
          </w:p>
          <w:p w:rsidR="007B5386" w:rsidRPr="006A318F" w:rsidRDefault="007B5386" w:rsidP="004F1F89">
            <w:pPr>
              <w:jc w:val="both"/>
              <w:rPr>
                <w:rFonts w:eastAsia="Calibri"/>
                <w:sz w:val="20"/>
              </w:rPr>
            </w:pPr>
            <w:r w:rsidRPr="006A318F">
              <w:rPr>
                <w:rFonts w:eastAsia="Calibri"/>
                <w:sz w:val="20"/>
              </w:rPr>
              <w:t>(Rolland C.J.)</w:t>
            </w:r>
          </w:p>
          <w:p w:rsidR="007B5386" w:rsidRPr="006A318F" w:rsidRDefault="007B5386" w:rsidP="004F1F89">
            <w:pPr>
              <w:jc w:val="both"/>
              <w:rPr>
                <w:rFonts w:eastAsia="Calibri"/>
                <w:sz w:val="20"/>
              </w:rPr>
            </w:pPr>
            <w:r w:rsidRPr="006A318F">
              <w:rPr>
                <w:rFonts w:eastAsia="Calibri"/>
                <w:sz w:val="20"/>
              </w:rPr>
              <w:t>2011 QCCS 1385</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Action dismissed</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November 28, 2011</w:t>
            </w:r>
          </w:p>
          <w:p w:rsidR="007B5386" w:rsidRPr="006A318F" w:rsidRDefault="007B5386" w:rsidP="004F1F89">
            <w:pPr>
              <w:jc w:val="both"/>
              <w:rPr>
                <w:rFonts w:eastAsia="Calibri"/>
                <w:sz w:val="20"/>
              </w:rPr>
            </w:pPr>
            <w:r w:rsidRPr="006A318F">
              <w:rPr>
                <w:rFonts w:eastAsia="Calibri"/>
                <w:sz w:val="20"/>
              </w:rPr>
              <w:t>Court of Appeal of Quebec (Montréal)</w:t>
            </w:r>
          </w:p>
          <w:p w:rsidR="007B5386" w:rsidRPr="006A318F" w:rsidRDefault="007B5386" w:rsidP="004F1F89">
            <w:pPr>
              <w:jc w:val="both"/>
              <w:rPr>
                <w:rFonts w:eastAsia="Calibri"/>
                <w:sz w:val="20"/>
              </w:rPr>
            </w:pPr>
            <w:r w:rsidRPr="006A318F">
              <w:rPr>
                <w:rFonts w:eastAsia="Calibri"/>
                <w:sz w:val="20"/>
              </w:rPr>
              <w:t>(Duval Hesler C.J. and Beauregard and Doyon JJ.A.)</w:t>
            </w:r>
          </w:p>
          <w:p w:rsidR="007B5386" w:rsidRPr="006A318F" w:rsidRDefault="007B5386" w:rsidP="004F1F89">
            <w:pPr>
              <w:jc w:val="both"/>
              <w:rPr>
                <w:rFonts w:eastAsia="Calibri"/>
                <w:sz w:val="20"/>
              </w:rPr>
            </w:pPr>
            <w:r w:rsidRPr="006A318F">
              <w:rPr>
                <w:rFonts w:eastAsia="Calibri"/>
                <w:sz w:val="20"/>
              </w:rPr>
              <w:t>2011 QCCA 2205; 500-09-021605-118</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rPr>
            </w:pPr>
            <w:r w:rsidRPr="006A318F">
              <w:rPr>
                <w:rFonts w:eastAsia="Calibri"/>
                <w:sz w:val="20"/>
              </w:rPr>
              <w:t>Motion to dismiss granted; appeal and other ancillary motions dismissed</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January 26, 2012</w:t>
            </w:r>
          </w:p>
          <w:p w:rsidR="007B5386" w:rsidRPr="006A318F" w:rsidRDefault="007B5386" w:rsidP="004F1F89">
            <w:pPr>
              <w:jc w:val="both"/>
              <w:rPr>
                <w:rFonts w:eastAsia="Calibri"/>
                <w:sz w:val="20"/>
              </w:rPr>
            </w:pPr>
            <w:r w:rsidRPr="006A318F">
              <w:rPr>
                <w:rFonts w:eastAsia="Calibri"/>
                <w:sz w:val="20"/>
              </w:rPr>
              <w:t>Supreme Court of Canada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for leave to appeal filed</w:t>
            </w:r>
          </w:p>
          <w:p w:rsidR="007B5386" w:rsidRPr="006A318F" w:rsidRDefault="007B5386" w:rsidP="004F1F89">
            <w:pPr>
              <w:jc w:val="both"/>
              <w:rPr>
                <w:rFonts w:eastAsia="Calibri"/>
                <w:sz w:val="20"/>
              </w:rPr>
            </w:pP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56"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Procédure civile – Appels – Requête en radiation – Les juridictions inférieures ont</w:t>
            </w:r>
            <w:r w:rsidRPr="006A318F">
              <w:rPr>
                <w:rFonts w:eastAsia="Calibri"/>
                <w:sz w:val="20"/>
                <w:lang w:val="fr-CA"/>
              </w:rPr>
              <w:noBreakHyphen/>
              <w:t>elles eu tort de rejeter l’action et l’appel?</w:t>
            </w:r>
          </w:p>
        </w:tc>
      </w:tr>
      <w:tr w:rsidR="007B5386" w:rsidRPr="004A42A2" w:rsidTr="004F1F89">
        <w:tc>
          <w:tcPr>
            <w:tcW w:w="5000" w:type="pct"/>
            <w:gridSpan w:val="3"/>
          </w:tcPr>
          <w:p w:rsidR="007B5386" w:rsidRPr="006A318F" w:rsidRDefault="007B5386" w:rsidP="004F1F89">
            <w:pPr>
              <w:jc w:val="both"/>
              <w:rPr>
                <w:rFonts w:eastAsia="Calibri"/>
                <w:sz w:val="20"/>
                <w:lang w:val="fr-CA"/>
              </w:rPr>
            </w:pPr>
          </w:p>
        </w:tc>
      </w:tr>
      <w:tr w:rsidR="007B5386" w:rsidRPr="004A42A2" w:rsidTr="004F1F89">
        <w:tc>
          <w:tcPr>
            <w:tcW w:w="5000" w:type="pct"/>
            <w:gridSpan w:val="3"/>
          </w:tcPr>
          <w:p w:rsidR="007B5386" w:rsidRPr="006A318F" w:rsidRDefault="00B44839" w:rsidP="004F1F89">
            <w:pPr>
              <w:jc w:val="both"/>
              <w:rPr>
                <w:rFonts w:eastAsia="Calibri"/>
                <w:sz w:val="20"/>
                <w:lang w:val="fr-CA"/>
              </w:rPr>
            </w:pPr>
            <w:r w:rsidRPr="006A318F">
              <w:rPr>
                <w:rFonts w:eastAsia="Calibri"/>
                <w:sz w:val="20"/>
                <w:lang w:val="fr-CA"/>
              </w:rPr>
              <w:fldChar w:fldCharType="begin"/>
            </w:r>
            <w:r w:rsidR="007B5386" w:rsidRPr="006A318F">
              <w:rPr>
                <w:rFonts w:eastAsia="Calibri"/>
                <w:sz w:val="20"/>
                <w:lang w:val="fr-CA"/>
              </w:rPr>
              <w:instrText xml:space="preserve"> SEQ CHAPTER \h \r 1</w:instrText>
            </w:r>
            <w:r w:rsidRPr="006A318F">
              <w:rPr>
                <w:rFonts w:eastAsia="Calibri"/>
                <w:sz w:val="20"/>
                <w:lang w:val="fr-CA"/>
              </w:rPr>
              <w:fldChar w:fldCharType="end"/>
            </w:r>
            <w:r w:rsidR="007B5386" w:rsidRPr="006A318F">
              <w:rPr>
                <w:rFonts w:eastAsia="Calibri"/>
                <w:sz w:val="20"/>
                <w:lang w:val="fr-CA"/>
              </w:rPr>
              <w:t>En 1992, M. Fabrikant a demandé à la Cour supérieure de reconnaître qu’il était le seul auteur de certains écrits scientifiques publiés dans les années 1980 alors qu’il travaillait à l’Université Concordia. Il a demandé une injonction et des conclusions d’ordre pécuniaire et déclaratoire, d’abord contre M.N.S. Swamy et T.S. Sankar, et plus tard contre les intimés S. Sankar, G.D. Xistris et S.V. Hoa. Les intimés avaient été désignés coauteurs des publications.</w:t>
            </w:r>
          </w:p>
          <w:p w:rsidR="007B5386" w:rsidRPr="006A318F" w:rsidRDefault="007B5386" w:rsidP="004F1F89">
            <w:pPr>
              <w:jc w:val="both"/>
              <w:rPr>
                <w:rFonts w:eastAsia="Calibri"/>
                <w:sz w:val="20"/>
                <w:lang w:val="fr-CA"/>
              </w:rPr>
            </w:pPr>
          </w:p>
          <w:p w:rsidR="007B5386" w:rsidRPr="006A318F" w:rsidRDefault="007B5386" w:rsidP="004F1F89">
            <w:pPr>
              <w:jc w:val="both"/>
              <w:rPr>
                <w:rFonts w:eastAsia="Calibri"/>
                <w:sz w:val="20"/>
                <w:lang w:val="fr-CA"/>
              </w:rPr>
            </w:pPr>
            <w:r w:rsidRPr="006A318F">
              <w:rPr>
                <w:rFonts w:eastAsia="Calibri"/>
                <w:sz w:val="20"/>
                <w:lang w:val="fr-CA"/>
              </w:rPr>
              <w:t>Je juge en chef Rolland a rejeté l’action de M. Fabrikant en mars 2011. Monsieur Fabrikant a déposé un appel en Cour d’appel, mais les intimés ont présenté une requête en rejet de l’action, plaidant qu’elle était vexatoire et abusive et n’avait aucune chance raisonnable de succès. La Cour d’appel a accueilli la requête des intimés et a rejeté l’appel au motif qu’elle était vouée à l’échec.</w:t>
            </w:r>
          </w:p>
          <w:p w:rsidR="007B5386" w:rsidRPr="006A318F" w:rsidRDefault="007B5386" w:rsidP="004F1F89">
            <w:pPr>
              <w:jc w:val="both"/>
              <w:rPr>
                <w:rFonts w:eastAsia="Calibri"/>
                <w:sz w:val="20"/>
                <w:lang w:val="fr-CA"/>
              </w:rPr>
            </w:pPr>
          </w:p>
        </w:tc>
      </w:tr>
      <w:tr w:rsidR="007B5386" w:rsidRPr="006A318F" w:rsidTr="00EE309D">
        <w:trPr>
          <w:cantSplit/>
        </w:trPr>
        <w:tc>
          <w:tcPr>
            <w:tcW w:w="2427" w:type="pct"/>
          </w:tcPr>
          <w:p w:rsidR="007B5386" w:rsidRPr="006A318F" w:rsidRDefault="007B5386" w:rsidP="004F1F89">
            <w:pPr>
              <w:jc w:val="both"/>
              <w:rPr>
                <w:rFonts w:eastAsia="Calibri"/>
                <w:sz w:val="20"/>
                <w:lang w:val="fr-CA"/>
              </w:rPr>
            </w:pPr>
            <w:r w:rsidRPr="006A318F">
              <w:rPr>
                <w:rFonts w:eastAsia="Calibri"/>
                <w:sz w:val="20"/>
                <w:lang w:val="fr-CA"/>
              </w:rPr>
              <w:lastRenderedPageBreak/>
              <w:t>25 mars 2011</w:t>
            </w:r>
          </w:p>
          <w:p w:rsidR="007B5386" w:rsidRPr="006A318F" w:rsidRDefault="007B5386" w:rsidP="004F1F89">
            <w:pPr>
              <w:jc w:val="both"/>
              <w:rPr>
                <w:rFonts w:eastAsia="Calibri"/>
                <w:sz w:val="20"/>
                <w:lang w:val="fr-CA"/>
              </w:rPr>
            </w:pPr>
            <w:r w:rsidRPr="006A318F">
              <w:rPr>
                <w:rFonts w:eastAsia="Calibri"/>
                <w:sz w:val="20"/>
                <w:lang w:val="fr-CA"/>
              </w:rPr>
              <w:t>Cour supérieure du Québec</w:t>
            </w:r>
          </w:p>
          <w:p w:rsidR="007B5386" w:rsidRPr="006A318F" w:rsidRDefault="007B5386" w:rsidP="004F1F89">
            <w:pPr>
              <w:jc w:val="both"/>
              <w:rPr>
                <w:rFonts w:eastAsia="Calibri"/>
                <w:sz w:val="20"/>
                <w:lang w:val="fr-CA"/>
              </w:rPr>
            </w:pPr>
            <w:r w:rsidRPr="006A318F">
              <w:rPr>
                <w:rFonts w:eastAsia="Calibri"/>
                <w:sz w:val="20"/>
                <w:lang w:val="fr-CA"/>
              </w:rPr>
              <w:t>(Juge en chef Rolland)</w:t>
            </w:r>
          </w:p>
          <w:p w:rsidR="007B5386" w:rsidRPr="006A318F" w:rsidRDefault="007B5386" w:rsidP="004F1F89">
            <w:pPr>
              <w:jc w:val="both"/>
              <w:rPr>
                <w:rFonts w:eastAsia="Calibri"/>
                <w:sz w:val="20"/>
                <w:lang w:val="fr-CA"/>
              </w:rPr>
            </w:pPr>
            <w:r w:rsidRPr="006A318F">
              <w:rPr>
                <w:rFonts w:eastAsia="Calibri"/>
                <w:sz w:val="20"/>
                <w:lang w:val="fr-CA"/>
              </w:rPr>
              <w:t>2011 QCCS 1385</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Action rejetée</w:t>
            </w:r>
          </w:p>
          <w:p w:rsidR="007B5386" w:rsidRPr="006A318F" w:rsidRDefault="007B5386" w:rsidP="004F1F89">
            <w:pPr>
              <w:jc w:val="both"/>
              <w:rPr>
                <w:rFonts w:eastAsia="Calibri"/>
                <w:sz w:val="20"/>
                <w:lang w:val="fr-CA"/>
              </w:rPr>
            </w:pPr>
          </w:p>
        </w:tc>
      </w:tr>
      <w:tr w:rsidR="007B5386" w:rsidRPr="004A42A2" w:rsidTr="00EE309D">
        <w:trPr>
          <w:cantSplit/>
        </w:trPr>
        <w:tc>
          <w:tcPr>
            <w:tcW w:w="2427" w:type="pct"/>
          </w:tcPr>
          <w:p w:rsidR="007B5386" w:rsidRPr="006A318F" w:rsidRDefault="007B5386" w:rsidP="004F1F89">
            <w:pPr>
              <w:jc w:val="both"/>
              <w:rPr>
                <w:rFonts w:eastAsia="Calibri"/>
                <w:sz w:val="20"/>
                <w:lang w:val="fr-CA"/>
              </w:rPr>
            </w:pPr>
            <w:r w:rsidRPr="006A318F">
              <w:rPr>
                <w:rFonts w:eastAsia="Calibri"/>
                <w:sz w:val="20"/>
                <w:lang w:val="fr-CA"/>
              </w:rPr>
              <w:t>28 novembre 2011</w:t>
            </w:r>
          </w:p>
          <w:p w:rsidR="007B5386" w:rsidRPr="006A318F" w:rsidRDefault="007B5386" w:rsidP="004F1F89">
            <w:pPr>
              <w:jc w:val="both"/>
              <w:rPr>
                <w:rFonts w:eastAsia="Calibri"/>
                <w:sz w:val="20"/>
                <w:lang w:val="fr-CA"/>
              </w:rPr>
            </w:pPr>
            <w:r w:rsidRPr="006A318F">
              <w:rPr>
                <w:rFonts w:eastAsia="Calibri"/>
                <w:sz w:val="20"/>
                <w:lang w:val="fr-CA"/>
              </w:rPr>
              <w:t>Cour d’appel du Québec (Montréal)</w:t>
            </w:r>
          </w:p>
          <w:p w:rsidR="007B5386" w:rsidRPr="006A318F" w:rsidRDefault="007B5386" w:rsidP="004F1F89">
            <w:pPr>
              <w:jc w:val="both"/>
              <w:rPr>
                <w:rFonts w:eastAsia="Calibri"/>
                <w:sz w:val="20"/>
                <w:lang w:val="fr-CA"/>
              </w:rPr>
            </w:pPr>
            <w:r w:rsidRPr="006A318F">
              <w:rPr>
                <w:rFonts w:eastAsia="Calibri"/>
                <w:sz w:val="20"/>
                <w:lang w:val="fr-CA"/>
              </w:rPr>
              <w:t>(Juge en chef Duval Hesler, juges Beauregard et Doyon)</w:t>
            </w:r>
          </w:p>
          <w:p w:rsidR="007B5386" w:rsidRPr="006A318F" w:rsidRDefault="007B5386" w:rsidP="004F1F89">
            <w:pPr>
              <w:jc w:val="both"/>
              <w:rPr>
                <w:rFonts w:eastAsia="Calibri"/>
                <w:sz w:val="20"/>
                <w:lang w:val="fr-CA"/>
              </w:rPr>
            </w:pPr>
            <w:r w:rsidRPr="006A318F">
              <w:rPr>
                <w:rFonts w:eastAsia="Calibri"/>
                <w:sz w:val="20"/>
                <w:lang w:val="fr-CA"/>
              </w:rPr>
              <w:t>2011 QCCA 2205; 500</w:t>
            </w:r>
            <w:r w:rsidRPr="006A318F">
              <w:rPr>
                <w:rFonts w:eastAsia="Calibri"/>
                <w:sz w:val="20"/>
                <w:lang w:val="fr-CA"/>
              </w:rPr>
              <w:noBreakHyphen/>
              <w:t>09</w:t>
            </w:r>
            <w:r w:rsidRPr="006A318F">
              <w:rPr>
                <w:rFonts w:eastAsia="Calibri"/>
                <w:sz w:val="20"/>
                <w:lang w:val="fr-CA"/>
              </w:rPr>
              <w:noBreakHyphen/>
              <w:t>021605</w:t>
            </w:r>
            <w:r w:rsidRPr="006A318F">
              <w:rPr>
                <w:rFonts w:eastAsia="Calibri"/>
                <w:sz w:val="20"/>
                <w:lang w:val="fr-CA"/>
              </w:rPr>
              <w:noBreakHyphen/>
              <w:t>118</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Requête en rejet, accueillie; appel et requêtes accessoires, rejetés</w:t>
            </w:r>
          </w:p>
          <w:p w:rsidR="007B5386" w:rsidRPr="006A318F" w:rsidRDefault="007B5386" w:rsidP="004F1F89">
            <w:pPr>
              <w:jc w:val="both"/>
              <w:rPr>
                <w:rFonts w:eastAsia="Calibri"/>
                <w:sz w:val="20"/>
                <w:lang w:val="fr-CA"/>
              </w:rPr>
            </w:pPr>
          </w:p>
        </w:tc>
      </w:tr>
      <w:tr w:rsidR="007B5386" w:rsidRPr="006A318F" w:rsidTr="00EE309D">
        <w:trPr>
          <w:cantSplit/>
        </w:trPr>
        <w:tc>
          <w:tcPr>
            <w:tcW w:w="2427" w:type="pct"/>
          </w:tcPr>
          <w:p w:rsidR="007B5386" w:rsidRPr="006A318F" w:rsidRDefault="007B5386" w:rsidP="004F1F89">
            <w:pPr>
              <w:jc w:val="both"/>
              <w:rPr>
                <w:rFonts w:eastAsia="Calibri"/>
                <w:sz w:val="20"/>
                <w:lang w:val="fr-CA"/>
              </w:rPr>
            </w:pPr>
            <w:r w:rsidRPr="006A318F">
              <w:rPr>
                <w:rFonts w:eastAsia="Calibri"/>
                <w:sz w:val="20"/>
                <w:lang w:val="fr-CA"/>
              </w:rPr>
              <w:t>26 janvier 2012</w:t>
            </w:r>
          </w:p>
          <w:p w:rsidR="007B5386" w:rsidRPr="006A318F" w:rsidRDefault="007B5386" w:rsidP="004F1F89">
            <w:pPr>
              <w:jc w:val="both"/>
              <w:rPr>
                <w:rFonts w:eastAsia="Calibri"/>
                <w:sz w:val="20"/>
                <w:lang w:val="fr-CA"/>
              </w:rPr>
            </w:pPr>
            <w:r w:rsidRPr="006A318F">
              <w:rPr>
                <w:rFonts w:eastAsia="Calibri"/>
                <w:sz w:val="20"/>
                <w:lang w:val="fr-CA"/>
              </w:rPr>
              <w:t>Cour suprême du Canada</w:t>
            </w: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 d’autorisation d’appel, déposée</w:t>
            </w:r>
          </w:p>
          <w:p w:rsidR="007B5386" w:rsidRPr="006A318F" w:rsidRDefault="007B5386" w:rsidP="004F1F89">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57"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E309D" w:rsidRPr="004A42A2" w:rsidTr="002304D1">
        <w:trPr>
          <w:cantSplit/>
        </w:trPr>
        <w:tc>
          <w:tcPr>
            <w:tcW w:w="1458" w:type="dxa"/>
          </w:tcPr>
          <w:p w:rsidR="00EE309D" w:rsidRPr="00EE309D" w:rsidRDefault="00EE309D" w:rsidP="002304D1">
            <w:pPr>
              <w:rPr>
                <w:sz w:val="20"/>
                <w:szCs w:val="20"/>
              </w:rPr>
            </w:pPr>
            <w:r w:rsidRPr="00EE309D">
              <w:rPr>
                <w:rStyle w:val="SCCFileNumberChar"/>
                <w:sz w:val="20"/>
                <w:szCs w:val="20"/>
              </w:rPr>
              <w:t>34592</w:t>
            </w:r>
          </w:p>
          <w:p w:rsidR="00EE309D" w:rsidRPr="00EE309D" w:rsidRDefault="00EE309D" w:rsidP="002304D1">
            <w:pPr>
              <w:rPr>
                <w:b/>
                <w:sz w:val="20"/>
                <w:szCs w:val="20"/>
                <w:lang w:val="fr-CA"/>
              </w:rPr>
            </w:pPr>
          </w:p>
        </w:tc>
        <w:tc>
          <w:tcPr>
            <w:tcW w:w="8118" w:type="dxa"/>
          </w:tcPr>
          <w:p w:rsidR="00EE309D" w:rsidRPr="00EE309D" w:rsidRDefault="00EE309D" w:rsidP="002304D1">
            <w:pPr>
              <w:rPr>
                <w:sz w:val="20"/>
                <w:szCs w:val="20"/>
                <w:lang w:val="fr-CA"/>
              </w:rPr>
            </w:pPr>
            <w:r w:rsidRPr="00EE309D">
              <w:rPr>
                <w:rStyle w:val="SCCLsocChar"/>
                <w:sz w:val="20"/>
                <w:szCs w:val="20"/>
              </w:rPr>
              <w:t>Jérôme Racine c. Sa Majesté la Reine</w:t>
            </w:r>
            <w:r w:rsidRPr="00EE309D">
              <w:rPr>
                <w:sz w:val="20"/>
                <w:szCs w:val="20"/>
                <w:lang w:val="fr-CA"/>
              </w:rPr>
              <w:t xml:space="preserve"> (Qc) (Criminelle) (Autorisation)</w:t>
            </w:r>
          </w:p>
          <w:p w:rsidR="00EE309D" w:rsidRPr="00EE309D" w:rsidRDefault="00EE309D" w:rsidP="002304D1">
            <w:pPr>
              <w:rPr>
                <w:sz w:val="20"/>
                <w:szCs w:val="20"/>
                <w:lang w:val="fr-CA"/>
              </w:rPr>
            </w:pPr>
          </w:p>
        </w:tc>
      </w:tr>
      <w:tr w:rsidR="00EE309D" w:rsidRPr="004A42A2" w:rsidTr="002304D1">
        <w:trPr>
          <w:cantSplit/>
        </w:trPr>
        <w:tc>
          <w:tcPr>
            <w:tcW w:w="1458" w:type="dxa"/>
          </w:tcPr>
          <w:p w:rsidR="00EE309D" w:rsidRPr="00EE309D" w:rsidRDefault="00EE309D" w:rsidP="002304D1">
            <w:pPr>
              <w:rPr>
                <w:sz w:val="20"/>
                <w:szCs w:val="20"/>
              </w:rPr>
            </w:pPr>
            <w:r w:rsidRPr="00EE309D">
              <w:rPr>
                <w:sz w:val="20"/>
                <w:szCs w:val="20"/>
              </w:rPr>
              <w:t>Coram :</w:t>
            </w:r>
          </w:p>
        </w:tc>
        <w:tc>
          <w:tcPr>
            <w:tcW w:w="8118" w:type="dxa"/>
          </w:tcPr>
          <w:p w:rsidR="00EE309D" w:rsidRPr="00EE309D" w:rsidRDefault="00EE309D" w:rsidP="002304D1">
            <w:pPr>
              <w:rPr>
                <w:sz w:val="20"/>
                <w:szCs w:val="20"/>
                <w:lang w:val="fr-CA"/>
              </w:rPr>
            </w:pPr>
            <w:r w:rsidRPr="00EE309D">
              <w:rPr>
                <w:rStyle w:val="SCCCoramChar"/>
                <w:sz w:val="20"/>
                <w:szCs w:val="20"/>
              </w:rPr>
              <w:t>Les juges Deschamps, Fish et Karakatsanis</w:t>
            </w:r>
          </w:p>
          <w:p w:rsidR="00EE309D" w:rsidRPr="00EE309D" w:rsidRDefault="00EE309D" w:rsidP="002304D1">
            <w:pPr>
              <w:rPr>
                <w:sz w:val="20"/>
                <w:szCs w:val="20"/>
                <w:u w:val="single"/>
                <w:lang w:val="fr-CA"/>
              </w:rPr>
            </w:pPr>
          </w:p>
        </w:tc>
      </w:tr>
      <w:tr w:rsidR="00EE309D" w:rsidRPr="00EE309D" w:rsidTr="002304D1">
        <w:trPr>
          <w:cantSplit/>
        </w:trPr>
        <w:tc>
          <w:tcPr>
            <w:tcW w:w="9576" w:type="dxa"/>
            <w:gridSpan w:val="2"/>
          </w:tcPr>
          <w:p w:rsidR="00EE309D" w:rsidRPr="00EE309D" w:rsidRDefault="00EE309D" w:rsidP="002304D1">
            <w:pPr>
              <w:pStyle w:val="SCCShortJudgment"/>
              <w:rPr>
                <w:szCs w:val="20"/>
                <w:lang w:val="fr-CA"/>
              </w:rPr>
            </w:pPr>
            <w:r w:rsidRPr="00EE309D">
              <w:rPr>
                <w:szCs w:val="20"/>
                <w:lang w:val="fr-CA"/>
              </w:rPr>
              <w:t>Les demandes d’autorisation d’appel de l’arrêt de la Cour d’appel du Québec (Québec), numéros 200-10-002505-100 et 200-10-002506-108, 2011 QCCA 2025, daté du 1er novembre 2011, sont rejetées sans dépens.</w:t>
            </w:r>
          </w:p>
          <w:p w:rsidR="00EE309D" w:rsidRPr="00EE309D" w:rsidRDefault="00EE309D" w:rsidP="002304D1">
            <w:pPr>
              <w:pStyle w:val="SCCShortJudgment"/>
              <w:ind w:firstLine="0"/>
              <w:rPr>
                <w:szCs w:val="20"/>
                <w:lang w:val="fr-CA"/>
              </w:rPr>
            </w:pPr>
          </w:p>
          <w:p w:rsidR="00EE309D" w:rsidRPr="00EE309D" w:rsidRDefault="00EE309D" w:rsidP="002304D1">
            <w:pPr>
              <w:pStyle w:val="SCCShortJudgment"/>
              <w:rPr>
                <w:szCs w:val="20"/>
              </w:rPr>
            </w:pPr>
            <w:r w:rsidRPr="00EE309D">
              <w:rPr>
                <w:szCs w:val="20"/>
              </w:rPr>
              <w:t>The applications for leave to appeal from the judgment of the Court of Appeal of Quebec (Québec), Numbers 200-10-002505-100 and 200-10-002506-108, 2011 QCCA 2025, dated November 1, 2011, are dismissed without costs.</w:t>
            </w:r>
          </w:p>
        </w:tc>
      </w:tr>
    </w:tbl>
    <w:p w:rsidR="009B2448" w:rsidRPr="00EE309D" w:rsidRDefault="009B2448" w:rsidP="009B2448">
      <w:pPr>
        <w:rPr>
          <w:sz w:val="20"/>
          <w:szCs w:val="20"/>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 xml:space="preserve">Charter of rights – Constitutional law – Right to counsel – Denial of accused’s request to postpone trial because he wanted to be represented by his former counsel and not by counsel who had represented him since start of case and who was present and ready to proceed – Whether decision unjustifiably infringed accused’s right to be represented by counsel of his choice – </w:t>
            </w:r>
            <w:r w:rsidRPr="006A318F">
              <w:rPr>
                <w:rFonts w:eastAsia="Calibri"/>
                <w:i/>
                <w:sz w:val="20"/>
              </w:rPr>
              <w:t>Canadian Charter of Rights and Freedoms</w:t>
            </w:r>
            <w:r w:rsidRPr="006A318F">
              <w:rPr>
                <w:rFonts w:eastAsia="Calibri"/>
                <w:sz w:val="20"/>
              </w:rPr>
              <w:t>, s. 10(</w:t>
            </w:r>
            <w:r w:rsidRPr="006A318F">
              <w:rPr>
                <w:rFonts w:eastAsia="Calibri"/>
                <w:i/>
                <w:sz w:val="20"/>
              </w:rPr>
              <w:t>b</w:t>
            </w:r>
            <w:r w:rsidRPr="006A318F">
              <w:rPr>
                <w:rFonts w:eastAsia="Calibri"/>
                <w:sz w:val="20"/>
              </w:rPr>
              <w:t>).</w:t>
            </w:r>
          </w:p>
        </w:tc>
      </w:tr>
      <w:tr w:rsidR="007B5386" w:rsidRPr="006A318F" w:rsidTr="004F1F89">
        <w:tc>
          <w:tcPr>
            <w:tcW w:w="5000" w:type="pct"/>
            <w:gridSpan w:val="3"/>
          </w:tcPr>
          <w:p w:rsidR="007B5386" w:rsidRPr="006A318F" w:rsidRDefault="007B5386" w:rsidP="004F1F89">
            <w:pPr>
              <w:jc w:val="both"/>
              <w:rPr>
                <w:rFonts w:eastAsia="Calibri"/>
                <w:sz w:val="20"/>
              </w:rPr>
            </w:pPr>
          </w:p>
          <w:p w:rsidR="007B5386" w:rsidRPr="006A318F" w:rsidRDefault="007B5386" w:rsidP="004F1F89">
            <w:pPr>
              <w:jc w:val="both"/>
              <w:rPr>
                <w:rFonts w:eastAsia="Calibri"/>
                <w:sz w:val="20"/>
              </w:rPr>
            </w:pPr>
            <w:r w:rsidRPr="006A318F">
              <w:rPr>
                <w:rFonts w:eastAsia="Calibri"/>
                <w:sz w:val="20"/>
              </w:rPr>
              <w:t>Following a trial during which he testified, the applicant Mr. Racine was convicted of assault with a weapon, uttering threats to cause death or bodily harm, possession of cocaine and theft.  (He pleaded guilty to the last two offences.)  Judge Dionne sentenced him accordingly.</w:t>
            </w:r>
          </w:p>
          <w:p w:rsidR="007B5386" w:rsidRPr="006A318F" w:rsidRDefault="007B5386" w:rsidP="004F1F89">
            <w:pPr>
              <w:jc w:val="both"/>
              <w:rPr>
                <w:rFonts w:eastAsia="Calibri"/>
                <w:sz w:val="20"/>
              </w:rPr>
            </w:pPr>
          </w:p>
          <w:p w:rsidR="007B5386" w:rsidRPr="006A318F" w:rsidRDefault="007B5386" w:rsidP="004F1F89">
            <w:pPr>
              <w:jc w:val="both"/>
              <w:rPr>
                <w:rFonts w:eastAsia="Calibri"/>
                <w:sz w:val="20"/>
              </w:rPr>
            </w:pPr>
            <w:r w:rsidRPr="006A318F">
              <w:rPr>
                <w:rFonts w:eastAsia="Calibri"/>
                <w:sz w:val="20"/>
              </w:rPr>
              <w:t>On appeal from the convictions, Mr. Racine argued that his right to counsel of his choice had been violated.  He stated that, on the morning of the trial, he had asked the judge to postpone the case because he wanted to be represented by his former counsel and not by the counsel who had represented him since the start of the case and who was present and ready to proceed.  The judge refused, the trial went forward as planned and Mr. Racine’s defence was conducted by the counsel who was present.  The Court of Appeal rejected this argument and held that Mr. Racine had been given a fair hearing.</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March 29, 2010</w:t>
            </w:r>
          </w:p>
          <w:p w:rsidR="007B5386" w:rsidRPr="006A318F" w:rsidRDefault="007B5386" w:rsidP="004F1F89">
            <w:pPr>
              <w:jc w:val="both"/>
              <w:rPr>
                <w:rFonts w:eastAsia="Calibri"/>
                <w:sz w:val="20"/>
              </w:rPr>
            </w:pPr>
            <w:r w:rsidRPr="006A318F">
              <w:rPr>
                <w:rFonts w:eastAsia="Calibri"/>
                <w:sz w:val="20"/>
              </w:rPr>
              <w:t>Court of Québec</w:t>
            </w:r>
          </w:p>
          <w:p w:rsidR="007B5386" w:rsidRPr="006A318F" w:rsidRDefault="007B5386" w:rsidP="004F1F89">
            <w:pPr>
              <w:jc w:val="both"/>
              <w:rPr>
                <w:rFonts w:eastAsia="Calibri"/>
                <w:sz w:val="20"/>
              </w:rPr>
            </w:pPr>
            <w:r w:rsidRPr="006A318F">
              <w:rPr>
                <w:rFonts w:eastAsia="Calibri"/>
                <w:sz w:val="20"/>
              </w:rPr>
              <w:t>(Judge Dionne)</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Applicant convicted of assault with weapon and uttering threats to cause death or bodily harm and pleading guilty to charges of cocaine possession and shoplifting; applicant sentenced accordingly</w:t>
            </w:r>
          </w:p>
          <w:p w:rsidR="007B5386" w:rsidRPr="006A318F" w:rsidRDefault="007B5386" w:rsidP="004F1F89">
            <w:pPr>
              <w:jc w:val="both"/>
              <w:rPr>
                <w:rFonts w:eastAsia="Calibri"/>
                <w:sz w:val="20"/>
              </w:rPr>
            </w:pPr>
          </w:p>
        </w:tc>
      </w:tr>
      <w:tr w:rsidR="007B5386" w:rsidRPr="006A318F" w:rsidTr="00EE309D">
        <w:trPr>
          <w:cantSplit/>
        </w:trPr>
        <w:tc>
          <w:tcPr>
            <w:tcW w:w="2427" w:type="pct"/>
          </w:tcPr>
          <w:p w:rsidR="007B5386" w:rsidRPr="006A318F" w:rsidRDefault="007B5386" w:rsidP="004F1F89">
            <w:pPr>
              <w:jc w:val="both"/>
              <w:rPr>
                <w:rFonts w:eastAsia="Calibri"/>
                <w:sz w:val="20"/>
              </w:rPr>
            </w:pPr>
            <w:r w:rsidRPr="006A318F">
              <w:rPr>
                <w:rFonts w:eastAsia="Calibri"/>
                <w:sz w:val="20"/>
              </w:rPr>
              <w:lastRenderedPageBreak/>
              <w:t>November 1, 2011</w:t>
            </w:r>
          </w:p>
          <w:p w:rsidR="007B5386" w:rsidRPr="006A318F" w:rsidRDefault="007B5386" w:rsidP="004F1F89">
            <w:pPr>
              <w:jc w:val="both"/>
              <w:rPr>
                <w:rFonts w:eastAsia="Calibri"/>
                <w:sz w:val="20"/>
              </w:rPr>
            </w:pPr>
            <w:r w:rsidRPr="006A318F">
              <w:rPr>
                <w:rFonts w:eastAsia="Calibri"/>
                <w:sz w:val="20"/>
              </w:rPr>
              <w:t>Quebec Court of Appeal (Québec)</w:t>
            </w:r>
          </w:p>
          <w:p w:rsidR="007B5386" w:rsidRPr="006A318F" w:rsidRDefault="007B5386" w:rsidP="004F1F89">
            <w:pPr>
              <w:jc w:val="both"/>
              <w:rPr>
                <w:rFonts w:eastAsia="Calibri"/>
                <w:sz w:val="20"/>
              </w:rPr>
            </w:pPr>
            <w:r w:rsidRPr="006A318F">
              <w:rPr>
                <w:rFonts w:eastAsia="Calibri"/>
                <w:sz w:val="20"/>
              </w:rPr>
              <w:t>(Hilton, Dutil and Vézina JJ.A.)</w:t>
            </w:r>
          </w:p>
          <w:p w:rsidR="007B5386" w:rsidRPr="006A318F" w:rsidRDefault="007B5386" w:rsidP="004F1F89">
            <w:pPr>
              <w:jc w:val="both"/>
              <w:rPr>
                <w:rFonts w:eastAsia="Calibri"/>
                <w:sz w:val="20"/>
              </w:rPr>
            </w:pPr>
            <w:r w:rsidRPr="006A318F">
              <w:rPr>
                <w:rFonts w:eastAsia="Calibri"/>
                <w:sz w:val="20"/>
              </w:rPr>
              <w:t>2011 QCCA 2025; 200</w:t>
            </w:r>
            <w:r w:rsidRPr="006A318F">
              <w:rPr>
                <w:rFonts w:eastAsia="Calibri"/>
                <w:sz w:val="20"/>
              </w:rPr>
              <w:noBreakHyphen/>
              <w:t>10</w:t>
            </w:r>
            <w:r w:rsidRPr="006A318F">
              <w:rPr>
                <w:rFonts w:eastAsia="Calibri"/>
                <w:sz w:val="20"/>
              </w:rPr>
              <w:noBreakHyphen/>
              <w:t>002505</w:t>
            </w:r>
            <w:r w:rsidRPr="006A318F">
              <w:rPr>
                <w:rFonts w:eastAsia="Calibri"/>
                <w:sz w:val="20"/>
              </w:rPr>
              <w:noBreakHyphen/>
              <w:t>100 and</w:t>
            </w:r>
          </w:p>
          <w:p w:rsidR="007B5386" w:rsidRPr="006A318F" w:rsidRDefault="007B5386" w:rsidP="004F1F89">
            <w:pPr>
              <w:jc w:val="both"/>
              <w:rPr>
                <w:rFonts w:eastAsia="Calibri"/>
                <w:sz w:val="20"/>
              </w:rPr>
            </w:pPr>
            <w:r w:rsidRPr="006A318F">
              <w:rPr>
                <w:rFonts w:eastAsia="Calibri"/>
                <w:sz w:val="20"/>
              </w:rPr>
              <w:t>200</w:t>
            </w:r>
            <w:r w:rsidRPr="006A318F">
              <w:rPr>
                <w:rFonts w:eastAsia="Calibri"/>
                <w:sz w:val="20"/>
              </w:rPr>
              <w:noBreakHyphen/>
              <w:t>10</w:t>
            </w:r>
            <w:r w:rsidRPr="006A318F">
              <w:rPr>
                <w:rFonts w:eastAsia="Calibri"/>
                <w:sz w:val="20"/>
              </w:rPr>
              <w:noBreakHyphen/>
              <w:t>002506</w:t>
            </w:r>
            <w:r w:rsidRPr="006A318F">
              <w:rPr>
                <w:rFonts w:eastAsia="Calibri"/>
                <w:sz w:val="20"/>
              </w:rPr>
              <w:noBreakHyphen/>
              <w:t>108</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Appeals dismissed</w:t>
            </w:r>
          </w:p>
          <w:p w:rsidR="007B5386" w:rsidRPr="006A318F" w:rsidRDefault="007B5386" w:rsidP="004F1F89">
            <w:pPr>
              <w:jc w:val="both"/>
              <w:rPr>
                <w:rFonts w:eastAsia="Calibri"/>
                <w:sz w:val="20"/>
              </w:rPr>
            </w:pPr>
          </w:p>
        </w:tc>
      </w:tr>
      <w:tr w:rsidR="007B5386" w:rsidRPr="006A318F" w:rsidTr="00EE309D">
        <w:trPr>
          <w:cantSplit/>
        </w:trPr>
        <w:tc>
          <w:tcPr>
            <w:tcW w:w="2427" w:type="pct"/>
          </w:tcPr>
          <w:p w:rsidR="007B5386" w:rsidRPr="006A318F" w:rsidRDefault="007B5386" w:rsidP="004F1F89">
            <w:pPr>
              <w:jc w:val="both"/>
              <w:rPr>
                <w:rFonts w:eastAsia="Calibri"/>
                <w:sz w:val="20"/>
              </w:rPr>
            </w:pPr>
            <w:r w:rsidRPr="006A318F">
              <w:rPr>
                <w:rFonts w:eastAsia="Calibri"/>
                <w:sz w:val="20"/>
              </w:rPr>
              <w:t>December 23, 2011</w:t>
            </w:r>
          </w:p>
          <w:p w:rsidR="007B5386" w:rsidRPr="006A318F" w:rsidRDefault="007B5386" w:rsidP="004F1F89">
            <w:pPr>
              <w:jc w:val="both"/>
              <w:rPr>
                <w:rFonts w:eastAsia="Calibri"/>
                <w:sz w:val="20"/>
              </w:rPr>
            </w:pPr>
            <w:r w:rsidRPr="006A318F">
              <w:rPr>
                <w:rFonts w:eastAsia="Calibri"/>
                <w:sz w:val="20"/>
              </w:rPr>
              <w:t>Supreme Court of Canada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Applications for leave to appeal filed</w:t>
            </w:r>
          </w:p>
          <w:p w:rsidR="007B5386" w:rsidRPr="006A318F" w:rsidRDefault="007B5386" w:rsidP="004F1F89">
            <w:pPr>
              <w:jc w:val="both"/>
              <w:rPr>
                <w:rFonts w:eastAsia="Calibri"/>
                <w:sz w:val="20"/>
              </w:rPr>
            </w:pP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58"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Charte des droits – Droit constitutionnel –Droit à l’assistance d’un avocat – Refus d’une demande par un accusé pour une remise du procès au motif qu’il souhaite être représenté par son ancien avocat, et non par celui qui le représente depuis le début de l’affaire et qui est présent et prêt à procéder – La décision portait</w:t>
            </w:r>
            <w:r w:rsidRPr="006A318F">
              <w:rPr>
                <w:rFonts w:eastAsia="Calibri"/>
                <w:sz w:val="20"/>
                <w:lang w:val="fr-CA"/>
              </w:rPr>
              <w:noBreakHyphen/>
              <w:t xml:space="preserve">elle atteinte de façon injustifiée au droit de l’accusé de se faire représenter par l’avocat de son choix? – </w:t>
            </w:r>
            <w:r w:rsidRPr="006A318F">
              <w:rPr>
                <w:rFonts w:eastAsia="Calibri"/>
                <w:i/>
                <w:sz w:val="20"/>
                <w:lang w:val="fr-CA"/>
              </w:rPr>
              <w:t>Charte canadienne des droits et libertés</w:t>
            </w:r>
            <w:r w:rsidRPr="006A318F">
              <w:rPr>
                <w:rFonts w:eastAsia="Calibri"/>
                <w:sz w:val="20"/>
                <w:lang w:val="fr-CA"/>
              </w:rPr>
              <w:t>, al. 10</w:t>
            </w:r>
            <w:r w:rsidRPr="006A318F">
              <w:rPr>
                <w:rFonts w:eastAsia="Calibri"/>
                <w:i/>
                <w:sz w:val="20"/>
                <w:lang w:val="fr-CA"/>
              </w:rPr>
              <w:t>b</w:t>
            </w:r>
            <w:r w:rsidRPr="006A318F">
              <w:rPr>
                <w:rFonts w:eastAsia="Calibri"/>
                <w:sz w:val="20"/>
                <w:lang w:val="fr-CA"/>
              </w:rPr>
              <w:t>).</w:t>
            </w:r>
          </w:p>
          <w:p w:rsidR="007B5386" w:rsidRPr="006A318F" w:rsidRDefault="007B5386" w:rsidP="004F1F89">
            <w:pPr>
              <w:jc w:val="both"/>
              <w:rPr>
                <w:rFonts w:eastAsia="Calibri"/>
                <w:sz w:val="20"/>
                <w:lang w:val="fr-CA"/>
              </w:rPr>
            </w:pPr>
          </w:p>
        </w:tc>
      </w:tr>
      <w:tr w:rsidR="007B5386" w:rsidRPr="00090737"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À la suite d’un procès au cours duquel il témoigne, le demandeur, M. Racine, est reconnu coupable de voies de fait avec une arme, d’avoir proféré des menaces de mort ou de lésions corporelles, de possession de cocaïne et de vol. (Il reconnaît sa culpabilité à l’égard des deux dernières infractions.) Le juge Dionne lui impose des peines en conséquence.</w:t>
            </w:r>
          </w:p>
          <w:p w:rsidR="007B5386" w:rsidRPr="006A318F" w:rsidRDefault="007B5386" w:rsidP="004F1F89">
            <w:pPr>
              <w:jc w:val="both"/>
              <w:rPr>
                <w:rFonts w:eastAsia="Calibri"/>
                <w:sz w:val="20"/>
                <w:lang w:val="fr-CA"/>
              </w:rPr>
            </w:pPr>
          </w:p>
          <w:p w:rsidR="007B5386" w:rsidRPr="006A318F" w:rsidRDefault="007B5386" w:rsidP="004F1F89">
            <w:pPr>
              <w:jc w:val="both"/>
              <w:rPr>
                <w:rFonts w:eastAsia="Calibri"/>
                <w:sz w:val="20"/>
                <w:lang w:val="fr-CA"/>
              </w:rPr>
            </w:pPr>
            <w:r w:rsidRPr="006A318F">
              <w:rPr>
                <w:rFonts w:eastAsia="Calibri"/>
                <w:sz w:val="20"/>
                <w:lang w:val="fr-CA"/>
              </w:rPr>
              <w:t>En appel, à l’encontre des déclarations de culpabilité, M. Racine invoque comme motif le non</w:t>
            </w:r>
            <w:r w:rsidRPr="006A318F">
              <w:rPr>
                <w:rFonts w:eastAsia="Calibri"/>
                <w:sz w:val="20"/>
                <w:lang w:val="fr-CA"/>
              </w:rPr>
              <w:noBreakHyphen/>
              <w:t>respect de son droit à l’avocat de son choix. Il relate qu’au matin du procès, il avait demandé au juge de reporter l’affaire, car il souhaitait être représenté par son ancien avocat, et non par celui qui le représentait depuis le début de l’affaire et qui était présent et prêt à procéder. Le juge a refusé, le procès a eu lieu comme prévu et la défense de M. Racine a été assurée par l’avocat présent. La Cour d’appel rejette ce moyen et juge que M. Racine a eu droit a un procès équitable.</w:t>
            </w:r>
          </w:p>
          <w:p w:rsidR="007B5386" w:rsidRPr="006A318F" w:rsidRDefault="007B5386" w:rsidP="004F1F89">
            <w:pPr>
              <w:jc w:val="both"/>
              <w:rPr>
                <w:rFonts w:eastAsia="Calibri"/>
                <w:sz w:val="20"/>
                <w:lang w:val="fr-CA"/>
              </w:rPr>
            </w:pPr>
          </w:p>
        </w:tc>
      </w:tr>
      <w:tr w:rsidR="007B5386" w:rsidRPr="004A42A2"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Le 29 mars 2010</w:t>
            </w:r>
          </w:p>
          <w:p w:rsidR="007B5386" w:rsidRPr="006A318F" w:rsidRDefault="007B5386" w:rsidP="004F1F89">
            <w:pPr>
              <w:jc w:val="both"/>
              <w:rPr>
                <w:rFonts w:eastAsia="Calibri"/>
                <w:sz w:val="20"/>
                <w:lang w:val="fr-CA"/>
              </w:rPr>
            </w:pPr>
            <w:r w:rsidRPr="006A318F">
              <w:rPr>
                <w:rFonts w:eastAsia="Calibri"/>
                <w:sz w:val="20"/>
                <w:lang w:val="fr-CA"/>
              </w:rPr>
              <w:t>Cour du Québec</w:t>
            </w:r>
          </w:p>
          <w:p w:rsidR="007B5386" w:rsidRPr="006A318F" w:rsidRDefault="007B5386" w:rsidP="004F1F89">
            <w:pPr>
              <w:jc w:val="both"/>
              <w:rPr>
                <w:rFonts w:eastAsia="Calibri"/>
                <w:sz w:val="20"/>
                <w:lang w:val="fr-CA"/>
              </w:rPr>
            </w:pPr>
            <w:r w:rsidRPr="006A318F">
              <w:rPr>
                <w:rFonts w:eastAsia="Calibri"/>
                <w:sz w:val="20"/>
                <w:lang w:val="fr-CA"/>
              </w:rPr>
              <w:t>(Le juge Dionne)</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Demandeur déclaré coupable de voies de fait avec une arme et de menaces de mort ou de lésions corporelles, et plaidant coupable à des accusations de possession de cocaïne et de vol à l’étalage; sentence imposée en conséquence</w:t>
            </w:r>
          </w:p>
          <w:p w:rsidR="007B5386" w:rsidRPr="006A318F" w:rsidRDefault="007B5386" w:rsidP="004F1F89">
            <w:pPr>
              <w:jc w:val="both"/>
              <w:rPr>
                <w:rFonts w:eastAsia="Calibri"/>
                <w:sz w:val="20"/>
                <w:lang w:val="fr-CA"/>
              </w:rPr>
            </w:pPr>
          </w:p>
        </w:tc>
      </w:tr>
      <w:tr w:rsidR="007B5386" w:rsidRPr="006A318F"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Le 1 novembre 2011</w:t>
            </w:r>
          </w:p>
          <w:p w:rsidR="007B5386" w:rsidRPr="006A318F" w:rsidRDefault="007B5386" w:rsidP="004F1F89">
            <w:pPr>
              <w:jc w:val="both"/>
              <w:rPr>
                <w:rFonts w:eastAsia="Calibri"/>
                <w:sz w:val="20"/>
                <w:lang w:val="fr-CA"/>
              </w:rPr>
            </w:pPr>
            <w:r w:rsidRPr="006A318F">
              <w:rPr>
                <w:rFonts w:eastAsia="Calibri"/>
                <w:sz w:val="20"/>
                <w:lang w:val="fr-CA"/>
              </w:rPr>
              <w:t>Cour d’appel du Québec (Québec)</w:t>
            </w:r>
          </w:p>
          <w:p w:rsidR="007B5386" w:rsidRPr="006A318F" w:rsidRDefault="007B5386" w:rsidP="004F1F89">
            <w:pPr>
              <w:jc w:val="both"/>
              <w:rPr>
                <w:rFonts w:eastAsia="Calibri"/>
                <w:sz w:val="20"/>
                <w:lang w:val="fr-CA"/>
              </w:rPr>
            </w:pPr>
            <w:r w:rsidRPr="006A318F">
              <w:rPr>
                <w:rFonts w:eastAsia="Calibri"/>
                <w:sz w:val="20"/>
                <w:lang w:val="fr-CA"/>
              </w:rPr>
              <w:t>(Les juges Hilton, Dutil et Vézina)</w:t>
            </w:r>
          </w:p>
          <w:p w:rsidR="007B5386" w:rsidRPr="006A318F" w:rsidRDefault="007B5386" w:rsidP="004F1F89">
            <w:pPr>
              <w:jc w:val="both"/>
              <w:rPr>
                <w:rFonts w:eastAsia="Calibri"/>
                <w:sz w:val="20"/>
                <w:lang w:val="fr-CA"/>
              </w:rPr>
            </w:pPr>
            <w:r w:rsidRPr="006A318F">
              <w:rPr>
                <w:rFonts w:eastAsia="Calibri"/>
                <w:sz w:val="20"/>
                <w:lang w:val="fr-CA"/>
              </w:rPr>
              <w:t>2011 QCCA 2025; 200</w:t>
            </w:r>
            <w:r w:rsidRPr="006A318F">
              <w:rPr>
                <w:rFonts w:eastAsia="Calibri"/>
                <w:sz w:val="20"/>
                <w:lang w:val="fr-CA"/>
              </w:rPr>
              <w:noBreakHyphen/>
              <w:t>10</w:t>
            </w:r>
            <w:r w:rsidRPr="006A318F">
              <w:rPr>
                <w:rFonts w:eastAsia="Calibri"/>
                <w:sz w:val="20"/>
                <w:lang w:val="fr-CA"/>
              </w:rPr>
              <w:noBreakHyphen/>
              <w:t>002505</w:t>
            </w:r>
            <w:r w:rsidRPr="006A318F">
              <w:rPr>
                <w:rFonts w:eastAsia="Calibri"/>
                <w:sz w:val="20"/>
                <w:lang w:val="fr-CA"/>
              </w:rPr>
              <w:noBreakHyphen/>
              <w:t>100 et</w:t>
            </w:r>
          </w:p>
          <w:p w:rsidR="007B5386" w:rsidRPr="006A318F" w:rsidRDefault="007B5386" w:rsidP="004F1F89">
            <w:pPr>
              <w:jc w:val="both"/>
              <w:rPr>
                <w:rFonts w:eastAsia="Calibri"/>
                <w:sz w:val="20"/>
                <w:lang w:val="fr-CA"/>
              </w:rPr>
            </w:pPr>
            <w:r w:rsidRPr="006A318F">
              <w:rPr>
                <w:rFonts w:eastAsia="Calibri"/>
                <w:sz w:val="20"/>
                <w:lang w:val="fr-CA"/>
              </w:rPr>
              <w:t>200</w:t>
            </w:r>
            <w:r w:rsidRPr="006A318F">
              <w:rPr>
                <w:rFonts w:eastAsia="Calibri"/>
                <w:sz w:val="20"/>
                <w:lang w:val="fr-CA"/>
              </w:rPr>
              <w:noBreakHyphen/>
              <w:t>10</w:t>
            </w:r>
            <w:r w:rsidRPr="006A318F">
              <w:rPr>
                <w:rFonts w:eastAsia="Calibri"/>
                <w:sz w:val="20"/>
                <w:lang w:val="fr-CA"/>
              </w:rPr>
              <w:noBreakHyphen/>
              <w:t>002506</w:t>
            </w:r>
            <w:r w:rsidRPr="006A318F">
              <w:rPr>
                <w:rFonts w:eastAsia="Calibri"/>
                <w:sz w:val="20"/>
                <w:lang w:val="fr-CA"/>
              </w:rPr>
              <w:noBreakHyphen/>
              <w:t>108</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Appels rejetés</w:t>
            </w:r>
          </w:p>
          <w:p w:rsidR="007B5386" w:rsidRPr="006A318F" w:rsidRDefault="007B5386" w:rsidP="004F1F89">
            <w:pPr>
              <w:jc w:val="both"/>
              <w:rPr>
                <w:rFonts w:eastAsia="Calibri"/>
                <w:sz w:val="20"/>
                <w:lang w:val="fr-CA"/>
              </w:rPr>
            </w:pPr>
          </w:p>
        </w:tc>
      </w:tr>
      <w:tr w:rsidR="007B5386" w:rsidRPr="006A318F"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Le 23 décembre 2011</w:t>
            </w:r>
          </w:p>
          <w:p w:rsidR="007B5386" w:rsidRPr="006A318F" w:rsidRDefault="007B5386" w:rsidP="004F1F89">
            <w:pPr>
              <w:jc w:val="both"/>
              <w:rPr>
                <w:rFonts w:eastAsia="Calibri"/>
                <w:sz w:val="20"/>
                <w:lang w:val="fr-CA"/>
              </w:rPr>
            </w:pPr>
            <w:r w:rsidRPr="006A318F">
              <w:rPr>
                <w:rFonts w:eastAsia="Calibri"/>
                <w:sz w:val="20"/>
                <w:lang w:val="fr-CA"/>
              </w:rPr>
              <w:t>Cour suprême du Canada</w:t>
            </w: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Demandes d'autorisation d'appel déposées</w:t>
            </w:r>
          </w:p>
          <w:p w:rsidR="007B5386" w:rsidRPr="006A318F" w:rsidRDefault="007B5386" w:rsidP="004F1F89">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59"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E309D" w:rsidRPr="00EC029E" w:rsidTr="002304D1">
        <w:trPr>
          <w:cantSplit/>
        </w:trPr>
        <w:tc>
          <w:tcPr>
            <w:tcW w:w="1458" w:type="dxa"/>
          </w:tcPr>
          <w:p w:rsidR="00EE309D" w:rsidRPr="00EC029E" w:rsidRDefault="00EE309D" w:rsidP="002304D1">
            <w:pPr>
              <w:rPr>
                <w:sz w:val="20"/>
                <w:szCs w:val="20"/>
              </w:rPr>
            </w:pPr>
            <w:r w:rsidRPr="00EC029E">
              <w:rPr>
                <w:rStyle w:val="SCCFileNumberChar"/>
                <w:sz w:val="20"/>
                <w:szCs w:val="20"/>
              </w:rPr>
              <w:t>34594</w:t>
            </w:r>
          </w:p>
          <w:p w:rsidR="00EE309D" w:rsidRPr="00EC029E" w:rsidRDefault="00EE309D" w:rsidP="002304D1">
            <w:pPr>
              <w:rPr>
                <w:b/>
                <w:sz w:val="20"/>
                <w:szCs w:val="20"/>
                <w:lang w:val="fr-CA"/>
              </w:rPr>
            </w:pPr>
          </w:p>
        </w:tc>
        <w:tc>
          <w:tcPr>
            <w:tcW w:w="8118" w:type="dxa"/>
          </w:tcPr>
          <w:p w:rsidR="00EE309D" w:rsidRPr="00EC029E" w:rsidRDefault="00EE309D" w:rsidP="00EE309D">
            <w:pPr>
              <w:jc w:val="both"/>
              <w:rPr>
                <w:sz w:val="20"/>
                <w:szCs w:val="20"/>
              </w:rPr>
            </w:pPr>
            <w:r w:rsidRPr="00EE309D">
              <w:rPr>
                <w:rStyle w:val="SCCLsocChar"/>
                <w:sz w:val="20"/>
                <w:szCs w:val="20"/>
                <w:lang w:val="en-CA"/>
              </w:rPr>
              <w:t>Royal &amp; Sun Alliance Insurance Company of Canada v. Estate of Michael Burke</w:t>
            </w:r>
            <w:r>
              <w:rPr>
                <w:rStyle w:val="SCCLsocChar"/>
                <w:sz w:val="20"/>
                <w:szCs w:val="20"/>
                <w:lang w:val="en-CA"/>
              </w:rPr>
              <w:t xml:space="preserve"> and</w:t>
            </w:r>
            <w:r w:rsidRPr="00EE309D">
              <w:rPr>
                <w:rStyle w:val="SCCLsocChar"/>
                <w:sz w:val="20"/>
                <w:szCs w:val="20"/>
                <w:lang w:val="en-CA"/>
              </w:rPr>
              <w:t xml:space="preserve"> 1021256 Ontario Inc.</w:t>
            </w:r>
            <w:r w:rsidRPr="00EC029E">
              <w:rPr>
                <w:sz w:val="20"/>
                <w:szCs w:val="20"/>
              </w:rPr>
              <w:t xml:space="preserve"> (N.B.) (Civil) (By Leave)</w:t>
            </w:r>
          </w:p>
          <w:p w:rsidR="00EE309D" w:rsidRPr="00EC029E" w:rsidRDefault="00EE309D" w:rsidP="002304D1">
            <w:pPr>
              <w:rPr>
                <w:sz w:val="20"/>
                <w:szCs w:val="20"/>
              </w:rPr>
            </w:pPr>
          </w:p>
        </w:tc>
      </w:tr>
      <w:tr w:rsidR="00EE309D" w:rsidRPr="00EC029E" w:rsidTr="002304D1">
        <w:trPr>
          <w:cantSplit/>
        </w:trPr>
        <w:tc>
          <w:tcPr>
            <w:tcW w:w="1458" w:type="dxa"/>
          </w:tcPr>
          <w:p w:rsidR="00EE309D" w:rsidRPr="00EC029E" w:rsidRDefault="00EE309D" w:rsidP="002304D1">
            <w:pPr>
              <w:rPr>
                <w:sz w:val="20"/>
                <w:szCs w:val="20"/>
              </w:rPr>
            </w:pPr>
            <w:r w:rsidRPr="00EC029E">
              <w:rPr>
                <w:sz w:val="20"/>
                <w:szCs w:val="20"/>
              </w:rPr>
              <w:lastRenderedPageBreak/>
              <w:t>Coram :</w:t>
            </w:r>
          </w:p>
        </w:tc>
        <w:tc>
          <w:tcPr>
            <w:tcW w:w="8118" w:type="dxa"/>
          </w:tcPr>
          <w:p w:rsidR="00EE309D" w:rsidRPr="00EC029E" w:rsidRDefault="00EE309D" w:rsidP="002304D1">
            <w:pPr>
              <w:rPr>
                <w:sz w:val="20"/>
                <w:szCs w:val="20"/>
              </w:rPr>
            </w:pPr>
            <w:r w:rsidRPr="00EE309D">
              <w:rPr>
                <w:rStyle w:val="SCCCoramChar"/>
                <w:sz w:val="20"/>
                <w:szCs w:val="20"/>
                <w:lang w:val="en-CA"/>
              </w:rPr>
              <w:t>Deschamps, Fish and Karakatsanis JJ.</w:t>
            </w:r>
          </w:p>
          <w:p w:rsidR="00EE309D" w:rsidRPr="00EC029E" w:rsidRDefault="00EE309D" w:rsidP="002304D1">
            <w:pPr>
              <w:rPr>
                <w:sz w:val="20"/>
                <w:szCs w:val="20"/>
                <w:u w:val="single"/>
              </w:rPr>
            </w:pPr>
          </w:p>
        </w:tc>
      </w:tr>
      <w:tr w:rsidR="00EE309D" w:rsidRPr="004A42A2" w:rsidTr="002304D1">
        <w:trPr>
          <w:cantSplit/>
        </w:trPr>
        <w:tc>
          <w:tcPr>
            <w:tcW w:w="9576" w:type="dxa"/>
            <w:gridSpan w:val="2"/>
          </w:tcPr>
          <w:p w:rsidR="00EE309D" w:rsidRPr="00EC029E" w:rsidRDefault="00EE309D" w:rsidP="002304D1">
            <w:pPr>
              <w:pStyle w:val="SCCShortJudgment"/>
              <w:rPr>
                <w:szCs w:val="20"/>
              </w:rPr>
            </w:pPr>
            <w:r w:rsidRPr="00EC029E">
              <w:rPr>
                <w:szCs w:val="20"/>
              </w:rPr>
              <w:t>The application for leave to appeal from the judgment of the Court of Appeal of New Brunswick, Number 49-10-CA, 2011 NBCA 98, dated November 3, 2011, is dismissed with costs.</w:t>
            </w:r>
          </w:p>
          <w:p w:rsidR="00EE309D" w:rsidRPr="00EC029E" w:rsidRDefault="00EE309D" w:rsidP="002304D1">
            <w:pPr>
              <w:pStyle w:val="SCCShortJudgment"/>
              <w:ind w:firstLine="0"/>
              <w:rPr>
                <w:szCs w:val="20"/>
              </w:rPr>
            </w:pPr>
          </w:p>
          <w:p w:rsidR="00EE309D" w:rsidRPr="00EC029E" w:rsidRDefault="00EE309D" w:rsidP="002304D1">
            <w:pPr>
              <w:pStyle w:val="SCCShortJudgment"/>
              <w:rPr>
                <w:szCs w:val="20"/>
                <w:lang w:val="fr-CA"/>
              </w:rPr>
            </w:pPr>
            <w:r w:rsidRPr="00EC029E">
              <w:rPr>
                <w:szCs w:val="20"/>
                <w:lang w:val="fr-CA"/>
              </w:rPr>
              <w:t>La demande d’autorisation d’appel de l’arrêt de la Cour d’appel du Nouveau-Brunswick, numéro 49-10-CA, 2011 NBCA 98, daté du 3 novembre 2011, est rejetée avec dépens.</w:t>
            </w:r>
          </w:p>
        </w:tc>
      </w:tr>
    </w:tbl>
    <w:p w:rsidR="009B2448" w:rsidRPr="00EE309D"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Appeal — Standard of review — Issues available on review — Issues raised on appeal — Whether an appellate court can recast the issues on appeal before it and, in effect, retry the case below — Whether in recasting the appeal, an appellate court can raise new issues without notice and without the ability of the parties to properly respond.</w:t>
            </w:r>
          </w:p>
        </w:tc>
      </w:tr>
      <w:tr w:rsidR="007B5386" w:rsidRPr="006A318F" w:rsidTr="004F1F89">
        <w:tc>
          <w:tcPr>
            <w:tcW w:w="5000" w:type="pct"/>
            <w:gridSpan w:val="3"/>
          </w:tcPr>
          <w:p w:rsidR="007B5386" w:rsidRPr="006A318F" w:rsidRDefault="007B5386" w:rsidP="004F1F89">
            <w:pPr>
              <w:jc w:val="both"/>
              <w:rPr>
                <w:rFonts w:eastAsia="Calibri"/>
                <w:sz w:val="20"/>
              </w:rPr>
            </w:pPr>
          </w:p>
        </w:tc>
      </w:tr>
      <w:tr w:rsidR="007B5386" w:rsidRPr="006A318F" w:rsidTr="004F1F89">
        <w:tc>
          <w:tcPr>
            <w:tcW w:w="5000" w:type="pct"/>
            <w:gridSpan w:val="3"/>
          </w:tcPr>
          <w:p w:rsidR="007B5386" w:rsidRPr="006A318F" w:rsidRDefault="007B5386" w:rsidP="004F1F89">
            <w:pPr>
              <w:jc w:val="both"/>
              <w:rPr>
                <w:rFonts w:eastAsia="Calibri"/>
                <w:sz w:val="20"/>
              </w:rPr>
            </w:pPr>
            <w:r w:rsidRPr="006A318F">
              <w:rPr>
                <w:rFonts w:eastAsia="Calibri"/>
                <w:sz w:val="20"/>
              </w:rPr>
              <w:t>Mr. Burke, an independent commercial truck driver, was severely injured when, through no fault of his own, the Peterbilt truck he was driving collided head</w:t>
            </w:r>
            <w:r w:rsidRPr="006A318F">
              <w:rPr>
                <w:rFonts w:eastAsia="Calibri"/>
                <w:sz w:val="20"/>
              </w:rPr>
              <w:noBreakHyphen/>
              <w:t>on with an uninsured automobile. His injuries prevented him from returning to gainful employment. The Peterbilt and its trailer were owned by 1021256 Ontario Inc. (“256”), of which Mr. Burke was the only officer and shareholder, and through which he carried on his business. The fleet insurance on the Peterbilt did not cover his entire loss, so he and 256 commenced an action against Royal &amp; Sun Alliance Insurance Company of Canada (the “insurer”), which insured a Chevrolet pickup truck co</w:t>
            </w:r>
            <w:r w:rsidRPr="006A318F">
              <w:rPr>
                <w:rFonts w:eastAsia="Calibri"/>
                <w:sz w:val="20"/>
              </w:rPr>
              <w:noBreakHyphen/>
              <w:t>leased by Mr. Burke and 256 under a Standard Automobile Policy for New Brunswick issued by the insurer, which provided NBEF 44, the Family Protection Endorsement, seeking a declaration that they were “insured persons” within the terms of the Endorsement, and that the insurer was liable to indemnify them. The insurer admitted the policy, but denied coverage on numerous grounds. Late in the proceedings, the insurer alleged that Mr. Burke co</w:t>
            </w:r>
            <w:r w:rsidRPr="006A318F">
              <w:rPr>
                <w:rFonts w:eastAsia="Calibri"/>
                <w:sz w:val="20"/>
              </w:rPr>
              <w:noBreakHyphen/>
              <w:t>owned the Peterbilt and was not, therefore, insured. It took the position that the term “owns” in the ownership exclusion includes both the registered and the “true” owner of the “other” automobile. In a trail relating only to liability, the trial judge declared that the policy did not provide indemnity coverage to either Mr. Burke or 1021256 Ontario Inc. for damages arising from the accident. Having requested submissions on issues relating to the ownership of the Peterbilt and on the pleadings, the Court of Appeal allowed an appeal.</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March 18, 2010</w:t>
            </w:r>
          </w:p>
          <w:p w:rsidR="007B5386" w:rsidRPr="006A318F" w:rsidRDefault="007B5386" w:rsidP="004F1F89">
            <w:pPr>
              <w:jc w:val="both"/>
              <w:rPr>
                <w:rFonts w:eastAsia="Calibri"/>
                <w:sz w:val="20"/>
              </w:rPr>
            </w:pPr>
            <w:r w:rsidRPr="006A318F">
              <w:rPr>
                <w:rFonts w:eastAsia="Calibri"/>
                <w:sz w:val="20"/>
              </w:rPr>
              <w:t>Court of Queen’s Bench of New Brunswick</w:t>
            </w:r>
          </w:p>
          <w:p w:rsidR="007B5386" w:rsidRPr="006A318F" w:rsidRDefault="007B5386" w:rsidP="004F1F89">
            <w:pPr>
              <w:jc w:val="both"/>
              <w:rPr>
                <w:rFonts w:eastAsia="Calibri"/>
                <w:sz w:val="20"/>
              </w:rPr>
            </w:pPr>
            <w:r w:rsidRPr="006A318F">
              <w:rPr>
                <w:rFonts w:eastAsia="Calibri"/>
                <w:sz w:val="20"/>
              </w:rPr>
              <w:t>(Landry J.)</w:t>
            </w:r>
          </w:p>
          <w:p w:rsidR="007B5386" w:rsidRPr="006A318F" w:rsidRDefault="007B5386" w:rsidP="004F1F89">
            <w:pPr>
              <w:jc w:val="both"/>
              <w:rPr>
                <w:rFonts w:eastAsia="Calibri"/>
                <w:sz w:val="20"/>
              </w:rPr>
            </w:pPr>
            <w:r w:rsidRPr="006A318F">
              <w:rPr>
                <w:rFonts w:eastAsia="Calibri"/>
                <w:sz w:val="20"/>
              </w:rPr>
              <w:t>Neutral citation: 2010 NBQB 100</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Declaration that the policy did not provide indemnity coverage to either Mr. Burke or 1021256 Ontario Inc. for damages arising from the accident</w:t>
            </w: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November 3, 2011</w:t>
            </w:r>
          </w:p>
          <w:p w:rsidR="007B5386" w:rsidRPr="006A318F" w:rsidRDefault="007B5386" w:rsidP="004F1F89">
            <w:pPr>
              <w:jc w:val="both"/>
              <w:rPr>
                <w:rFonts w:eastAsia="Calibri"/>
                <w:sz w:val="20"/>
              </w:rPr>
            </w:pPr>
            <w:r w:rsidRPr="006A318F">
              <w:rPr>
                <w:rFonts w:eastAsia="Calibri"/>
                <w:sz w:val="20"/>
              </w:rPr>
              <w:t>Court of Appeal of New Brunswick</w:t>
            </w:r>
          </w:p>
          <w:p w:rsidR="007B5386" w:rsidRPr="006A318F" w:rsidRDefault="007B5386" w:rsidP="004F1F89">
            <w:pPr>
              <w:jc w:val="both"/>
              <w:rPr>
                <w:rFonts w:eastAsia="Calibri"/>
                <w:sz w:val="20"/>
              </w:rPr>
            </w:pPr>
            <w:r w:rsidRPr="006A318F">
              <w:rPr>
                <w:rFonts w:eastAsia="Calibri"/>
                <w:sz w:val="20"/>
              </w:rPr>
              <w:t>(Drapeau C.J.N.B., Larlee and Quigg JJ.A.)</w:t>
            </w:r>
          </w:p>
          <w:p w:rsidR="007B5386" w:rsidRPr="006A318F" w:rsidRDefault="007B5386" w:rsidP="004F1F89">
            <w:pPr>
              <w:jc w:val="both"/>
              <w:rPr>
                <w:rFonts w:eastAsia="Calibri"/>
                <w:sz w:val="20"/>
              </w:rPr>
            </w:pPr>
            <w:r w:rsidRPr="006A318F">
              <w:rPr>
                <w:rFonts w:eastAsia="Calibri"/>
                <w:sz w:val="20"/>
              </w:rPr>
              <w:t>Neutral citation: 2011 NBCA 98</w:t>
            </w:r>
          </w:p>
          <w:p w:rsidR="007B5386" w:rsidRPr="006A318F" w:rsidRDefault="007B5386" w:rsidP="004F1F89">
            <w:pPr>
              <w:jc w:val="both"/>
              <w:rPr>
                <w:rFonts w:eastAsia="Calibri"/>
                <w:sz w:val="20"/>
              </w:rPr>
            </w:pP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Appeal allowed; Michael Burke declared insured person and eligible claimant under insurance provided by Royal and SunAlliance Insurance Company of Canada</w:t>
            </w:r>
          </w:p>
          <w:p w:rsidR="007B5386" w:rsidRPr="006A318F" w:rsidRDefault="007B5386" w:rsidP="004F1F89">
            <w:pPr>
              <w:jc w:val="both"/>
              <w:rPr>
                <w:rFonts w:eastAsia="Calibri"/>
                <w:sz w:val="20"/>
              </w:rPr>
            </w:pPr>
          </w:p>
        </w:tc>
      </w:tr>
      <w:tr w:rsidR="007B5386" w:rsidRPr="006A318F" w:rsidTr="004F1F89">
        <w:tc>
          <w:tcPr>
            <w:tcW w:w="2427" w:type="pct"/>
          </w:tcPr>
          <w:p w:rsidR="007B5386" w:rsidRPr="006A318F" w:rsidRDefault="007B5386" w:rsidP="004F1F89">
            <w:pPr>
              <w:jc w:val="both"/>
              <w:rPr>
                <w:rFonts w:eastAsia="Calibri"/>
                <w:sz w:val="20"/>
              </w:rPr>
            </w:pPr>
            <w:r w:rsidRPr="006A318F">
              <w:rPr>
                <w:rFonts w:eastAsia="Calibri"/>
                <w:sz w:val="20"/>
              </w:rPr>
              <w:t>December 23, 2011</w:t>
            </w:r>
          </w:p>
          <w:p w:rsidR="007B5386" w:rsidRPr="006A318F" w:rsidRDefault="007B5386" w:rsidP="004F1F89">
            <w:pPr>
              <w:jc w:val="both"/>
              <w:rPr>
                <w:rFonts w:eastAsia="Calibri"/>
                <w:sz w:val="20"/>
              </w:rPr>
            </w:pPr>
            <w:r w:rsidRPr="006A318F">
              <w:rPr>
                <w:rFonts w:eastAsia="Calibri"/>
                <w:sz w:val="20"/>
              </w:rPr>
              <w:t>Supreme Court of Canada</w:t>
            </w:r>
          </w:p>
        </w:tc>
        <w:tc>
          <w:tcPr>
            <w:tcW w:w="243" w:type="pct"/>
          </w:tcPr>
          <w:p w:rsidR="007B5386" w:rsidRPr="006A318F" w:rsidRDefault="007B5386" w:rsidP="004F1F89">
            <w:pPr>
              <w:jc w:val="both"/>
              <w:rPr>
                <w:rFonts w:eastAsia="Calibri"/>
                <w:sz w:val="20"/>
              </w:rPr>
            </w:pPr>
          </w:p>
        </w:tc>
        <w:tc>
          <w:tcPr>
            <w:tcW w:w="2330" w:type="pct"/>
          </w:tcPr>
          <w:p w:rsidR="007B5386" w:rsidRPr="006A318F" w:rsidRDefault="007B5386" w:rsidP="004F1F89">
            <w:pPr>
              <w:jc w:val="both"/>
              <w:rPr>
                <w:rFonts w:eastAsia="Calibri"/>
                <w:sz w:val="20"/>
              </w:rPr>
            </w:pPr>
            <w:r w:rsidRPr="006A318F">
              <w:rPr>
                <w:rFonts w:eastAsia="Calibri"/>
                <w:sz w:val="20"/>
              </w:rPr>
              <w:t>Application for leave to appeal filed</w:t>
            </w:r>
          </w:p>
          <w:p w:rsidR="007B5386" w:rsidRPr="006A318F" w:rsidRDefault="007B5386" w:rsidP="004F1F89">
            <w:pPr>
              <w:jc w:val="both"/>
              <w:rPr>
                <w:rFonts w:eastAsia="Calibri"/>
                <w:sz w:val="20"/>
              </w:rPr>
            </w:pPr>
          </w:p>
        </w:tc>
      </w:tr>
    </w:tbl>
    <w:p w:rsidR="007B5386" w:rsidRDefault="007B5386" w:rsidP="009B2448">
      <w:pPr>
        <w:rPr>
          <w:sz w:val="20"/>
          <w:szCs w:val="20"/>
        </w:rPr>
      </w:pPr>
    </w:p>
    <w:p w:rsidR="009B2448" w:rsidRPr="00C50A5C" w:rsidRDefault="00B44839" w:rsidP="009B2448">
      <w:pPr>
        <w:rPr>
          <w:sz w:val="20"/>
          <w:szCs w:val="20"/>
        </w:rPr>
      </w:pPr>
      <w:r w:rsidRPr="00B44839">
        <w:rPr>
          <w:sz w:val="20"/>
          <w:szCs w:val="20"/>
          <w:lang w:val="fr-CA"/>
        </w:rPr>
        <w:pict>
          <v:rect id="_x0000_i1060"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B5386" w:rsidRPr="00090737"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Appel — Norme de contrôle — Questions susceptibles de faire l'objet d'un contrôle — Questions soulevées en appel — Une cour d'appel peut</w:t>
            </w:r>
            <w:r w:rsidRPr="006A318F">
              <w:rPr>
                <w:rFonts w:eastAsia="Calibri"/>
                <w:sz w:val="20"/>
                <w:lang w:val="fr-CA"/>
              </w:rPr>
              <w:noBreakHyphen/>
              <w:t>elle redéfinir les questions dont il est saisi en appel, reprenant à toutes fins pratiques l'affaire déjà instruite? — En redéfinissant les questions en appel, une cour d'appel peut</w:t>
            </w:r>
            <w:r w:rsidRPr="006A318F">
              <w:rPr>
                <w:rFonts w:eastAsia="Calibri"/>
                <w:sz w:val="20"/>
                <w:lang w:val="fr-CA"/>
              </w:rPr>
              <w:noBreakHyphen/>
              <w:t xml:space="preserve">elle soulever de nouvelles questions </w:t>
            </w:r>
            <w:r w:rsidRPr="006A318F">
              <w:rPr>
                <w:rFonts w:eastAsia="Calibri"/>
                <w:sz w:val="20"/>
                <w:lang w:val="fr-CA"/>
              </w:rPr>
              <w:lastRenderedPageBreak/>
              <w:t>sans avis et sans permettre aux parties d'y répondre comme il se doit?</w:t>
            </w:r>
          </w:p>
        </w:tc>
      </w:tr>
      <w:tr w:rsidR="007B5386" w:rsidRPr="00090737" w:rsidTr="004F1F89">
        <w:tc>
          <w:tcPr>
            <w:tcW w:w="5000" w:type="pct"/>
            <w:gridSpan w:val="3"/>
          </w:tcPr>
          <w:p w:rsidR="007B5386" w:rsidRPr="006A318F" w:rsidRDefault="007B5386" w:rsidP="004F1F89">
            <w:pPr>
              <w:jc w:val="both"/>
              <w:rPr>
                <w:rFonts w:eastAsia="Calibri"/>
                <w:sz w:val="20"/>
                <w:lang w:val="fr-CA"/>
              </w:rPr>
            </w:pPr>
          </w:p>
        </w:tc>
      </w:tr>
      <w:tr w:rsidR="007B5386" w:rsidRPr="004A42A2" w:rsidTr="004F1F89">
        <w:tc>
          <w:tcPr>
            <w:tcW w:w="5000" w:type="pct"/>
            <w:gridSpan w:val="3"/>
          </w:tcPr>
          <w:p w:rsidR="007B5386" w:rsidRPr="006A318F" w:rsidRDefault="007B5386" w:rsidP="004F1F89">
            <w:pPr>
              <w:jc w:val="both"/>
              <w:rPr>
                <w:rFonts w:eastAsia="Calibri"/>
                <w:sz w:val="20"/>
                <w:lang w:val="fr-CA"/>
              </w:rPr>
            </w:pPr>
            <w:r w:rsidRPr="006A318F">
              <w:rPr>
                <w:rFonts w:eastAsia="Calibri"/>
                <w:sz w:val="20"/>
                <w:lang w:val="fr-CA"/>
              </w:rPr>
              <w:t>Monsieur Burke, un camionneur indépendant, a été grièvement blessé lorsque, sans qu’il soit en faute, le camion de marque Peterbilt qu’il conduisait est entré en collision frontale avec une automobile non assurée. Ses blessures l'ont empêché de reprendre son activité rémunérée. Le camion Peterbilt et sa remorque appartenaient à 1021256 Ontario Inc. (« 256 »), une société par actions dont M. Burke était le seul dirigeant est actionnaire, et par laquelle il exploitait son entreprise. L'assurance flotte du camion Peterbilt n'a pas suffi à l’indemniser complètement, si bien que lui et 256 ont intenté une action contre Royal &amp; Sun Alliance du Canada, société d’assurances (« l'assureur »), qui assurait la camionnette Chevrolet louée conjointement par M. Burke et 256 aux termes d’une police type d’assurance automobile du Nouveau</w:t>
            </w:r>
            <w:r w:rsidRPr="006A318F">
              <w:rPr>
                <w:rFonts w:eastAsia="Calibri"/>
                <w:sz w:val="20"/>
                <w:lang w:val="fr-CA"/>
              </w:rPr>
              <w:noBreakHyphen/>
              <w:t>Brunswick, délivrée par l'assureur qui offrait une garantie sous</w:t>
            </w:r>
            <w:r w:rsidRPr="006A318F">
              <w:rPr>
                <w:rFonts w:eastAsia="Calibri"/>
                <w:sz w:val="20"/>
                <w:lang w:val="fr-CA"/>
              </w:rPr>
              <w:noBreakHyphen/>
              <w:t>assurance des tiers grâce à un avenant F.A.N.</w:t>
            </w:r>
            <w:r w:rsidRPr="006A318F">
              <w:rPr>
                <w:rFonts w:eastAsia="Calibri"/>
                <w:sz w:val="20"/>
                <w:lang w:val="fr-CA"/>
              </w:rPr>
              <w:noBreakHyphen/>
              <w:t>B. n</w:t>
            </w:r>
            <w:r w:rsidRPr="006A318F">
              <w:rPr>
                <w:rFonts w:eastAsia="Calibri"/>
                <w:sz w:val="20"/>
                <w:vertAlign w:val="superscript"/>
                <w:lang w:val="fr-CA"/>
              </w:rPr>
              <w:t>o</w:t>
            </w:r>
            <w:r w:rsidRPr="006A318F">
              <w:rPr>
                <w:rFonts w:eastAsia="Calibri"/>
                <w:sz w:val="20"/>
                <w:lang w:val="fr-CA"/>
              </w:rPr>
              <w:t> 44 – Assurance familiale, sollicitant une déclaration portant qu'ils étaient des « assurés » au sens de l'avenant, et que l'assureur avait l'obligation de les indemniser. L'assureur a reconnu la police, mais a refusé l'indemnisation pour plusieurs motifs. À un stade tardif de l'instance, l'assureur a allégué que M. Burke était copropriétaire du Peterbilt, si bien qu'il n'était pas assuré. Il défend la thèse selon laquelle le terme « propriétaire » figurant dans la clause d’exclusion applicable au propriétaire vise à la fois le propriétaire enregistré et le « véritable » propriétaire de l’« autre » véhicule. Dans le cadre d’un procès qui ne portait que sur la responsabilité, le juge a déclaré que la police ne fournissait aucune garantie d'indemnisation à M. Burke ou à 1021256 Ontario Inc. au titre des dommages</w:t>
            </w:r>
            <w:r w:rsidRPr="006A318F">
              <w:rPr>
                <w:rFonts w:eastAsia="Calibri"/>
                <w:sz w:val="20"/>
                <w:lang w:val="fr-CA"/>
              </w:rPr>
              <w:noBreakHyphen/>
              <w:t>intérêts découlant de l’accident. Ayant demandé des observations sur les questions relatives à la propriété du Peterbilt et s'appuyant sur les actes de procédure, la Cour d'appel a accueilli l’appel.</w:t>
            </w:r>
          </w:p>
          <w:p w:rsidR="007B5386" w:rsidRPr="006A318F" w:rsidRDefault="007B5386" w:rsidP="004F1F89">
            <w:pPr>
              <w:jc w:val="both"/>
              <w:rPr>
                <w:rFonts w:eastAsia="Calibri"/>
                <w:sz w:val="20"/>
                <w:lang w:val="fr-CA"/>
              </w:rPr>
            </w:pPr>
          </w:p>
        </w:tc>
      </w:tr>
      <w:tr w:rsidR="007B5386" w:rsidRPr="004A42A2"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18 mars 2010</w:t>
            </w:r>
          </w:p>
          <w:p w:rsidR="007B5386" w:rsidRPr="006A318F" w:rsidRDefault="007B5386" w:rsidP="004F1F89">
            <w:pPr>
              <w:jc w:val="both"/>
              <w:rPr>
                <w:rFonts w:eastAsia="Calibri"/>
                <w:sz w:val="20"/>
                <w:lang w:val="fr-CA"/>
              </w:rPr>
            </w:pPr>
            <w:r w:rsidRPr="006A318F">
              <w:rPr>
                <w:rFonts w:eastAsia="Calibri"/>
                <w:sz w:val="20"/>
                <w:lang w:val="fr-CA"/>
              </w:rPr>
              <w:t>Cour du Banc de la Reine du Nouveau</w:t>
            </w:r>
            <w:r w:rsidRPr="006A318F">
              <w:rPr>
                <w:rFonts w:eastAsia="Calibri"/>
                <w:sz w:val="20"/>
                <w:lang w:val="fr-CA"/>
              </w:rPr>
              <w:noBreakHyphen/>
              <w:t>Brunswick</w:t>
            </w:r>
          </w:p>
          <w:p w:rsidR="007B5386" w:rsidRPr="006A318F" w:rsidRDefault="007B5386" w:rsidP="004F1F89">
            <w:pPr>
              <w:jc w:val="both"/>
              <w:rPr>
                <w:rFonts w:eastAsia="Calibri"/>
                <w:sz w:val="20"/>
                <w:lang w:val="fr-CA"/>
              </w:rPr>
            </w:pPr>
            <w:r w:rsidRPr="006A318F">
              <w:rPr>
                <w:rFonts w:eastAsia="Calibri"/>
                <w:sz w:val="20"/>
                <w:lang w:val="fr-CA"/>
              </w:rPr>
              <w:t>(Juge Landry)</w:t>
            </w:r>
          </w:p>
          <w:p w:rsidR="007B5386" w:rsidRPr="006A318F" w:rsidRDefault="007B5386" w:rsidP="004F1F89">
            <w:pPr>
              <w:jc w:val="both"/>
              <w:rPr>
                <w:rFonts w:eastAsia="Calibri"/>
                <w:sz w:val="20"/>
                <w:lang w:val="fr-CA"/>
              </w:rPr>
            </w:pPr>
            <w:r w:rsidRPr="006A318F">
              <w:rPr>
                <w:rFonts w:eastAsia="Calibri"/>
                <w:sz w:val="20"/>
                <w:lang w:val="fr-CA"/>
              </w:rPr>
              <w:t>Référence neutre : 2010 NBQB 100</w:t>
            </w:r>
          </w:p>
          <w:p w:rsidR="007B5386" w:rsidRPr="006A318F" w:rsidRDefault="007B5386" w:rsidP="004F1F89">
            <w:pPr>
              <w:jc w:val="both"/>
              <w:rPr>
                <w:rFonts w:eastAsia="Calibri"/>
                <w:sz w:val="20"/>
                <w:lang w:val="fr-CA"/>
              </w:rPr>
            </w:pP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Déclaration portant que la police n'offrait aucune garantie d'indemnisation à M. Burke ou à 1021256 Ontario Inc. au titre des dommages</w:t>
            </w:r>
            <w:r w:rsidRPr="006A318F">
              <w:rPr>
                <w:rFonts w:eastAsia="Calibri"/>
                <w:sz w:val="20"/>
                <w:lang w:val="fr-CA"/>
              </w:rPr>
              <w:noBreakHyphen/>
              <w:t>intérêts découlant de l'accident</w:t>
            </w:r>
          </w:p>
        </w:tc>
      </w:tr>
      <w:tr w:rsidR="007B5386" w:rsidRPr="004A42A2"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3 novembre 2011</w:t>
            </w:r>
          </w:p>
          <w:p w:rsidR="007B5386" w:rsidRPr="006A318F" w:rsidRDefault="007B5386" w:rsidP="004F1F89">
            <w:pPr>
              <w:jc w:val="both"/>
              <w:rPr>
                <w:rFonts w:eastAsia="Calibri"/>
                <w:sz w:val="20"/>
                <w:lang w:val="fr-CA"/>
              </w:rPr>
            </w:pPr>
            <w:r w:rsidRPr="006A318F">
              <w:rPr>
                <w:rFonts w:eastAsia="Calibri"/>
                <w:sz w:val="20"/>
                <w:lang w:val="fr-CA"/>
              </w:rPr>
              <w:t>Cour d'appel du Nouveau</w:t>
            </w:r>
            <w:r w:rsidRPr="006A318F">
              <w:rPr>
                <w:rFonts w:eastAsia="Calibri"/>
                <w:sz w:val="20"/>
                <w:lang w:val="fr-CA"/>
              </w:rPr>
              <w:noBreakHyphen/>
              <w:t xml:space="preserve">Brunswick </w:t>
            </w:r>
          </w:p>
          <w:p w:rsidR="007B5386" w:rsidRPr="006A318F" w:rsidRDefault="007B5386" w:rsidP="004F1F89">
            <w:pPr>
              <w:jc w:val="both"/>
              <w:rPr>
                <w:rFonts w:eastAsia="Calibri"/>
                <w:sz w:val="20"/>
                <w:lang w:val="fr-CA"/>
              </w:rPr>
            </w:pPr>
            <w:r w:rsidRPr="006A318F">
              <w:rPr>
                <w:rFonts w:eastAsia="Calibri"/>
                <w:sz w:val="20"/>
                <w:lang w:val="fr-CA"/>
              </w:rPr>
              <w:t>(Juge en chef Drapeau, juges Larlee et Quigg)</w:t>
            </w:r>
          </w:p>
          <w:p w:rsidR="007B5386" w:rsidRPr="006A318F" w:rsidRDefault="007B5386" w:rsidP="004F1F89">
            <w:pPr>
              <w:jc w:val="both"/>
              <w:rPr>
                <w:rFonts w:eastAsia="Calibri"/>
                <w:sz w:val="20"/>
                <w:lang w:val="fr-CA"/>
              </w:rPr>
            </w:pPr>
            <w:r w:rsidRPr="006A318F">
              <w:rPr>
                <w:rFonts w:eastAsia="Calibri"/>
                <w:sz w:val="20"/>
                <w:lang w:val="fr-CA"/>
              </w:rPr>
              <w:t>Référence neutre : 2011 NBCA 98</w:t>
            </w: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Appel accueilli; Michael Burke déclaré assuré et demandeur admissible à toutes les fins de l'assurance fournie par Royal &amp; Sun Alliance du Canada, société d’assurances</w:t>
            </w:r>
          </w:p>
          <w:p w:rsidR="007B5386" w:rsidRPr="006A318F" w:rsidRDefault="007B5386" w:rsidP="004F1F89">
            <w:pPr>
              <w:jc w:val="both"/>
              <w:rPr>
                <w:rFonts w:eastAsia="Calibri"/>
                <w:sz w:val="20"/>
                <w:lang w:val="fr-CA"/>
              </w:rPr>
            </w:pPr>
          </w:p>
        </w:tc>
      </w:tr>
      <w:tr w:rsidR="007B5386" w:rsidRPr="006A318F" w:rsidTr="004F1F89">
        <w:tc>
          <w:tcPr>
            <w:tcW w:w="2427" w:type="pct"/>
          </w:tcPr>
          <w:p w:rsidR="007B5386" w:rsidRPr="006A318F" w:rsidRDefault="007B5386" w:rsidP="004F1F89">
            <w:pPr>
              <w:jc w:val="both"/>
              <w:rPr>
                <w:rFonts w:eastAsia="Calibri"/>
                <w:sz w:val="20"/>
                <w:lang w:val="fr-CA"/>
              </w:rPr>
            </w:pPr>
            <w:r w:rsidRPr="006A318F">
              <w:rPr>
                <w:rFonts w:eastAsia="Calibri"/>
                <w:sz w:val="20"/>
                <w:lang w:val="fr-CA"/>
              </w:rPr>
              <w:t>23 décembre 2011</w:t>
            </w:r>
          </w:p>
          <w:p w:rsidR="007B5386" w:rsidRPr="006A318F" w:rsidRDefault="007B5386" w:rsidP="004F1F89">
            <w:pPr>
              <w:jc w:val="both"/>
              <w:rPr>
                <w:rFonts w:eastAsia="Calibri"/>
                <w:sz w:val="20"/>
                <w:lang w:val="fr-CA"/>
              </w:rPr>
            </w:pPr>
            <w:r w:rsidRPr="006A318F">
              <w:rPr>
                <w:rFonts w:eastAsia="Calibri"/>
                <w:sz w:val="20"/>
                <w:lang w:val="fr-CA"/>
              </w:rPr>
              <w:t>Cour suprême du Canada</w:t>
            </w:r>
          </w:p>
        </w:tc>
        <w:tc>
          <w:tcPr>
            <w:tcW w:w="243" w:type="pct"/>
          </w:tcPr>
          <w:p w:rsidR="007B5386" w:rsidRPr="006A318F" w:rsidRDefault="007B5386" w:rsidP="004F1F89">
            <w:pPr>
              <w:jc w:val="both"/>
              <w:rPr>
                <w:rFonts w:eastAsia="Calibri"/>
                <w:sz w:val="20"/>
                <w:lang w:val="fr-CA"/>
              </w:rPr>
            </w:pPr>
          </w:p>
        </w:tc>
        <w:tc>
          <w:tcPr>
            <w:tcW w:w="2330" w:type="pct"/>
          </w:tcPr>
          <w:p w:rsidR="007B5386" w:rsidRPr="006A318F" w:rsidRDefault="007B5386" w:rsidP="004F1F89">
            <w:pPr>
              <w:jc w:val="both"/>
              <w:rPr>
                <w:rFonts w:eastAsia="Calibri"/>
                <w:sz w:val="20"/>
                <w:lang w:val="fr-CA"/>
              </w:rPr>
            </w:pPr>
            <w:r w:rsidRPr="006A318F">
              <w:rPr>
                <w:rFonts w:eastAsia="Calibri"/>
                <w:sz w:val="20"/>
                <w:lang w:val="fr-CA"/>
              </w:rPr>
              <w:t>Demande d'autorisation d'appel, déposée</w:t>
            </w:r>
          </w:p>
          <w:p w:rsidR="007B5386" w:rsidRPr="006A318F" w:rsidRDefault="007B5386" w:rsidP="004F1F89">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61"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94E36" w:rsidRPr="00EC029E" w:rsidTr="002304D1">
        <w:trPr>
          <w:cantSplit/>
        </w:trPr>
        <w:tc>
          <w:tcPr>
            <w:tcW w:w="1458" w:type="dxa"/>
          </w:tcPr>
          <w:p w:rsidR="00E94E36" w:rsidRPr="00EC029E" w:rsidRDefault="00E94E36" w:rsidP="002304D1">
            <w:pPr>
              <w:rPr>
                <w:sz w:val="20"/>
                <w:szCs w:val="20"/>
              </w:rPr>
            </w:pPr>
            <w:r w:rsidRPr="00EC029E">
              <w:rPr>
                <w:rStyle w:val="SCCFileNumberChar"/>
                <w:sz w:val="20"/>
                <w:szCs w:val="20"/>
              </w:rPr>
              <w:t>34610</w:t>
            </w:r>
          </w:p>
          <w:p w:rsidR="00E94E36" w:rsidRPr="00EC029E" w:rsidRDefault="00E94E36" w:rsidP="002304D1">
            <w:pPr>
              <w:rPr>
                <w:b/>
                <w:sz w:val="20"/>
                <w:szCs w:val="20"/>
                <w:lang w:val="fr-CA"/>
              </w:rPr>
            </w:pPr>
          </w:p>
        </w:tc>
        <w:tc>
          <w:tcPr>
            <w:tcW w:w="8118" w:type="dxa"/>
          </w:tcPr>
          <w:p w:rsidR="00E94E36" w:rsidRPr="00EC029E" w:rsidRDefault="00E94E36" w:rsidP="00E94E36">
            <w:pPr>
              <w:jc w:val="both"/>
              <w:rPr>
                <w:sz w:val="20"/>
                <w:szCs w:val="20"/>
              </w:rPr>
            </w:pPr>
            <w:r w:rsidRPr="00E94E36">
              <w:rPr>
                <w:rStyle w:val="SCCLsocChar"/>
                <w:sz w:val="20"/>
                <w:szCs w:val="20"/>
                <w:lang w:val="en-CA"/>
              </w:rPr>
              <w:t>Alpha Manufacturing Inc.</w:t>
            </w:r>
            <w:r>
              <w:rPr>
                <w:rStyle w:val="SCCLsocChar"/>
                <w:sz w:val="20"/>
                <w:szCs w:val="20"/>
                <w:lang w:val="en-CA"/>
              </w:rPr>
              <w:t xml:space="preserve"> and</w:t>
            </w:r>
            <w:r w:rsidRPr="00E94E36">
              <w:rPr>
                <w:rStyle w:val="SCCLsocChar"/>
                <w:sz w:val="20"/>
                <w:szCs w:val="20"/>
                <w:lang w:val="en-CA"/>
              </w:rPr>
              <w:t xml:space="preserve"> Eleonora J. Anderson v. Her Majesty the Queen</w:t>
            </w:r>
            <w:r w:rsidRPr="00EC029E">
              <w:rPr>
                <w:sz w:val="20"/>
                <w:szCs w:val="20"/>
              </w:rPr>
              <w:t xml:space="preserve"> (B.C.) (Criminal) (By Leave)</w:t>
            </w:r>
          </w:p>
          <w:p w:rsidR="00E94E36" w:rsidRPr="00EC029E" w:rsidRDefault="00E94E36" w:rsidP="002304D1">
            <w:pPr>
              <w:rPr>
                <w:sz w:val="20"/>
                <w:szCs w:val="20"/>
              </w:rPr>
            </w:pPr>
          </w:p>
        </w:tc>
      </w:tr>
      <w:tr w:rsidR="00E94E36" w:rsidRPr="00EC029E" w:rsidTr="002304D1">
        <w:trPr>
          <w:cantSplit/>
        </w:trPr>
        <w:tc>
          <w:tcPr>
            <w:tcW w:w="1458" w:type="dxa"/>
          </w:tcPr>
          <w:p w:rsidR="00E94E36" w:rsidRPr="00EC029E" w:rsidRDefault="00E94E36" w:rsidP="002304D1">
            <w:pPr>
              <w:rPr>
                <w:sz w:val="20"/>
                <w:szCs w:val="20"/>
              </w:rPr>
            </w:pPr>
            <w:r w:rsidRPr="00EC029E">
              <w:rPr>
                <w:sz w:val="20"/>
                <w:szCs w:val="20"/>
              </w:rPr>
              <w:t>Coram :</w:t>
            </w:r>
          </w:p>
        </w:tc>
        <w:tc>
          <w:tcPr>
            <w:tcW w:w="8118" w:type="dxa"/>
          </w:tcPr>
          <w:p w:rsidR="00E94E36" w:rsidRPr="00EC029E" w:rsidRDefault="00E94E36" w:rsidP="002304D1">
            <w:pPr>
              <w:rPr>
                <w:sz w:val="20"/>
                <w:szCs w:val="20"/>
              </w:rPr>
            </w:pPr>
            <w:r w:rsidRPr="00E94E36">
              <w:rPr>
                <w:rStyle w:val="SCCCoramChar"/>
                <w:sz w:val="20"/>
                <w:szCs w:val="20"/>
                <w:lang w:val="en-CA"/>
              </w:rPr>
              <w:t>LeBel, Abella and Cromwell JJ.</w:t>
            </w:r>
          </w:p>
          <w:p w:rsidR="00E94E36" w:rsidRPr="00EC029E" w:rsidRDefault="00E94E36" w:rsidP="002304D1">
            <w:pPr>
              <w:rPr>
                <w:sz w:val="20"/>
                <w:szCs w:val="20"/>
                <w:u w:val="single"/>
              </w:rPr>
            </w:pPr>
          </w:p>
        </w:tc>
      </w:tr>
      <w:tr w:rsidR="00E94E36" w:rsidRPr="004A42A2" w:rsidTr="002304D1">
        <w:trPr>
          <w:cantSplit/>
        </w:trPr>
        <w:tc>
          <w:tcPr>
            <w:tcW w:w="9576" w:type="dxa"/>
            <w:gridSpan w:val="2"/>
          </w:tcPr>
          <w:p w:rsidR="00E94E36" w:rsidRPr="00EC029E" w:rsidRDefault="00E94E36" w:rsidP="002304D1">
            <w:pPr>
              <w:pStyle w:val="SCCShortJudgment"/>
              <w:rPr>
                <w:szCs w:val="20"/>
              </w:rPr>
            </w:pPr>
            <w:r w:rsidRPr="00EC029E">
              <w:rPr>
                <w:szCs w:val="20"/>
              </w:rPr>
              <w:t>The motions for an extension of time to serve and file the application for leave to appeal, to adduce new evidence and to exceed page limits are granted. The application for leave to appeal from the judgment of the Court of Appeal for British Columbia (Vancouver), Number CA033638, 2010 BCCA 436, dated September 30, 2010, is dismissed without costs.</w:t>
            </w:r>
          </w:p>
          <w:p w:rsidR="00E94E36" w:rsidRPr="00EC029E" w:rsidRDefault="00E94E36" w:rsidP="002304D1">
            <w:pPr>
              <w:pStyle w:val="SCCShortJudgment"/>
              <w:ind w:firstLine="0"/>
              <w:rPr>
                <w:szCs w:val="20"/>
              </w:rPr>
            </w:pPr>
          </w:p>
          <w:p w:rsidR="00E94E36" w:rsidRPr="00EC029E" w:rsidRDefault="00E94E36" w:rsidP="002304D1">
            <w:pPr>
              <w:pStyle w:val="SCCShortJudgment"/>
              <w:rPr>
                <w:szCs w:val="20"/>
                <w:lang w:val="fr-CA"/>
              </w:rPr>
            </w:pPr>
            <w:r w:rsidRPr="00EC029E">
              <w:rPr>
                <w:szCs w:val="20"/>
                <w:lang w:val="fr-CA"/>
              </w:rPr>
              <w:t>Les requêtes en prorogation du délai de signification et de dépôt de la demande d’autorisation d’appel, pour déposer de nouveaux éléments de preuve et pour outrepasser le nombre limite de pages sont accordées. La demande d’autorisation d’appel de l’arrêt de la Cour d’appel de la Colombie-Britannique (Vancouver), numéro CA033638, 2010 BCCA 436, daté du 30 septembre 2010, est rejetée sans dépens.</w:t>
            </w:r>
          </w:p>
        </w:tc>
      </w:tr>
    </w:tbl>
    <w:p w:rsidR="009B2448" w:rsidRPr="00E94E36"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lastRenderedPageBreak/>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1F89" w:rsidRPr="006A318F" w:rsidTr="004F1F89">
        <w:tc>
          <w:tcPr>
            <w:tcW w:w="5000" w:type="pct"/>
            <w:gridSpan w:val="3"/>
          </w:tcPr>
          <w:p w:rsidR="004F1F89" w:rsidRPr="006A318F" w:rsidRDefault="004F1F89" w:rsidP="004F1F89">
            <w:pPr>
              <w:jc w:val="both"/>
              <w:rPr>
                <w:rFonts w:eastAsia="Calibri"/>
                <w:sz w:val="20"/>
              </w:rPr>
            </w:pPr>
            <w:r w:rsidRPr="006A318F">
              <w:rPr>
                <w:rFonts w:eastAsia="Calibri"/>
                <w:i/>
                <w:sz w:val="20"/>
              </w:rPr>
              <w:t>Canadian Charter of Rights and Freedoms</w:t>
            </w:r>
            <w:r w:rsidRPr="006A318F">
              <w:rPr>
                <w:rFonts w:eastAsia="Calibri"/>
                <w:sz w:val="20"/>
              </w:rPr>
              <w:t xml:space="preserve"> – Fundamental Justice – Right to fair hearing – Right to be tried within reasonable time – Criminal Law – Provincial Offences – Elements of offence – Property Law – Procedural law – Rights of accused under ss. 7, 11(b) and 11(d) of the </w:t>
            </w:r>
            <w:r w:rsidRPr="006A318F">
              <w:rPr>
                <w:rFonts w:eastAsia="Calibri"/>
                <w:i/>
                <w:sz w:val="20"/>
              </w:rPr>
              <w:t xml:space="preserve">Charter </w:t>
            </w:r>
            <w:r w:rsidRPr="006A318F">
              <w:rPr>
                <w:rFonts w:eastAsia="Calibri"/>
                <w:sz w:val="20"/>
              </w:rPr>
              <w:t xml:space="preserve">– </w:t>
            </w:r>
            <w:r w:rsidRPr="006A318F">
              <w:rPr>
                <w:rFonts w:eastAsia="Calibri"/>
                <w:i/>
                <w:sz w:val="20"/>
              </w:rPr>
              <w:t>Mens rea</w:t>
            </w:r>
            <w:r w:rsidRPr="006A318F">
              <w:rPr>
                <w:rFonts w:eastAsia="Calibri"/>
                <w:sz w:val="20"/>
              </w:rPr>
              <w:t xml:space="preserve"> required under s. 34(10) of the </w:t>
            </w:r>
            <w:r w:rsidRPr="006A318F">
              <w:rPr>
                <w:rFonts w:eastAsia="Calibri"/>
                <w:i/>
                <w:sz w:val="20"/>
              </w:rPr>
              <w:t>Waste Management Act</w:t>
            </w:r>
            <w:r w:rsidRPr="006A318F">
              <w:rPr>
                <w:rFonts w:eastAsia="Calibri"/>
                <w:sz w:val="20"/>
              </w:rPr>
              <w:t>, S.B.C. 1982  – Whether there is a need for a uniform understanding of the rights of property owners to determine literal boundaries, specifically as relates to survey law and the role of a surveyor – What constitutes fundamental justice – Consequences of judges not following their own rules – Whether justice fails when the Crown secures a conviction but implements the same activities on a larger scale –   Whether Crown has the right to change the essence of a case at will.</w:t>
            </w:r>
          </w:p>
        </w:tc>
      </w:tr>
      <w:tr w:rsidR="004F1F89" w:rsidRPr="006A318F" w:rsidTr="004F1F89">
        <w:tc>
          <w:tcPr>
            <w:tcW w:w="5000" w:type="pct"/>
            <w:gridSpan w:val="3"/>
          </w:tcPr>
          <w:p w:rsidR="004F1F89" w:rsidRPr="006A318F" w:rsidRDefault="004F1F89" w:rsidP="004F1F89">
            <w:pPr>
              <w:jc w:val="both"/>
              <w:rPr>
                <w:rFonts w:eastAsia="Calibri"/>
                <w:sz w:val="20"/>
              </w:rPr>
            </w:pPr>
          </w:p>
        </w:tc>
      </w:tr>
      <w:tr w:rsidR="004F1F89" w:rsidRPr="006A318F" w:rsidTr="004F1F89">
        <w:tc>
          <w:tcPr>
            <w:tcW w:w="5000" w:type="pct"/>
            <w:gridSpan w:val="3"/>
          </w:tcPr>
          <w:p w:rsidR="004F1F89" w:rsidRPr="006A318F" w:rsidRDefault="004F1F89" w:rsidP="004F1F89">
            <w:pPr>
              <w:jc w:val="both"/>
              <w:rPr>
                <w:rFonts w:eastAsia="Calibri"/>
                <w:sz w:val="20"/>
              </w:rPr>
            </w:pPr>
            <w:r w:rsidRPr="006A318F">
              <w:rPr>
                <w:rFonts w:eastAsia="Calibri"/>
                <w:sz w:val="20"/>
              </w:rPr>
              <w:t xml:space="preserve">Eleonora J. Anderson was the principal of Alpha Manufacturing, which operated a landfill under a permit issued pursuant to the </w:t>
            </w:r>
            <w:r w:rsidRPr="006A318F">
              <w:rPr>
                <w:rFonts w:eastAsia="Calibri"/>
                <w:i/>
                <w:sz w:val="20"/>
              </w:rPr>
              <w:t>Waste Management Act</w:t>
            </w:r>
            <w:r w:rsidRPr="006A318F">
              <w:rPr>
                <w:rFonts w:eastAsia="Calibri"/>
                <w:sz w:val="20"/>
              </w:rPr>
              <w:t xml:space="preserve">, R.S.B.C. 1996. C. 482.  The permit allowed operations within a legally described area.  After the results of two trials were overturned on appeals, the applicants were convicted in a third trial of introducing waste into the environment outside of the permitted area.  </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January 19, 2004</w:t>
            </w:r>
          </w:p>
          <w:p w:rsidR="004F1F89" w:rsidRPr="006A318F" w:rsidRDefault="004F1F89" w:rsidP="004F1F89">
            <w:pPr>
              <w:jc w:val="both"/>
              <w:rPr>
                <w:rFonts w:eastAsia="Calibri"/>
                <w:sz w:val="20"/>
              </w:rPr>
            </w:pPr>
            <w:r w:rsidRPr="006A318F">
              <w:rPr>
                <w:rFonts w:eastAsia="Calibri"/>
                <w:sz w:val="20"/>
              </w:rPr>
              <w:t>Provincial Court of British Columbia</w:t>
            </w:r>
          </w:p>
          <w:p w:rsidR="004F1F89" w:rsidRPr="006A318F" w:rsidRDefault="004F1F89" w:rsidP="004F1F89">
            <w:pPr>
              <w:jc w:val="both"/>
              <w:rPr>
                <w:rFonts w:eastAsia="Calibri"/>
                <w:sz w:val="20"/>
              </w:rPr>
            </w:pPr>
            <w:r w:rsidRPr="006A318F">
              <w:rPr>
                <w:rFonts w:eastAsia="Calibri"/>
                <w:sz w:val="20"/>
              </w:rPr>
              <w:t>(Miller J.)</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Convictions for allowing waste to be introduced into the environment</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May 25, 2005</w:t>
            </w:r>
          </w:p>
          <w:p w:rsidR="004F1F89" w:rsidRPr="006A318F" w:rsidRDefault="004F1F89" w:rsidP="004F1F89">
            <w:pPr>
              <w:jc w:val="both"/>
              <w:rPr>
                <w:rFonts w:eastAsia="Calibri"/>
                <w:sz w:val="20"/>
              </w:rPr>
            </w:pPr>
            <w:r w:rsidRPr="006A318F">
              <w:rPr>
                <w:rFonts w:eastAsia="Calibri"/>
                <w:sz w:val="20"/>
              </w:rPr>
              <w:t>Supreme Court of British Columbia</w:t>
            </w:r>
          </w:p>
          <w:p w:rsidR="004F1F89" w:rsidRPr="006A318F" w:rsidRDefault="004F1F89" w:rsidP="004F1F89">
            <w:pPr>
              <w:jc w:val="both"/>
              <w:rPr>
                <w:rFonts w:eastAsia="Calibri"/>
                <w:sz w:val="20"/>
              </w:rPr>
            </w:pPr>
            <w:r w:rsidRPr="006A318F">
              <w:rPr>
                <w:rFonts w:eastAsia="Calibri"/>
                <w:sz w:val="20"/>
              </w:rPr>
              <w:t>(Gray J.)</w:t>
            </w:r>
          </w:p>
          <w:p w:rsidR="004F1F89" w:rsidRPr="006A318F" w:rsidRDefault="004F1F89" w:rsidP="004F1F89">
            <w:pPr>
              <w:jc w:val="both"/>
              <w:rPr>
                <w:rFonts w:eastAsia="Calibri"/>
                <w:sz w:val="20"/>
              </w:rPr>
            </w:pPr>
            <w:r w:rsidRPr="006A318F">
              <w:rPr>
                <w:rFonts w:eastAsia="Calibri"/>
                <w:sz w:val="20"/>
              </w:rPr>
              <w:t>2005 BCSC 773</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 xml:space="preserve">Application for trial </w:t>
            </w:r>
            <w:r w:rsidRPr="006A318F">
              <w:rPr>
                <w:rFonts w:eastAsia="Calibri"/>
                <w:i/>
                <w:sz w:val="20"/>
              </w:rPr>
              <w:t>de novo</w:t>
            </w:r>
            <w:r w:rsidRPr="006A318F">
              <w:rPr>
                <w:rFonts w:eastAsia="Calibri"/>
                <w:sz w:val="20"/>
              </w:rPr>
              <w:t xml:space="preserve"> dismissed; Appeal from convictions dismissed; Application by Eleanora J. Anderson for stay of proceedings dismissed</w:t>
            </w: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November 29, 2005</w:t>
            </w:r>
          </w:p>
          <w:p w:rsidR="004F1F89" w:rsidRPr="006A318F" w:rsidRDefault="004F1F89" w:rsidP="004F1F89">
            <w:pPr>
              <w:jc w:val="both"/>
              <w:rPr>
                <w:rFonts w:eastAsia="Calibri"/>
                <w:sz w:val="20"/>
              </w:rPr>
            </w:pPr>
            <w:r w:rsidRPr="006A318F">
              <w:rPr>
                <w:rFonts w:eastAsia="Calibri"/>
                <w:sz w:val="20"/>
              </w:rPr>
              <w:t>Supreme Court of British Columbia</w:t>
            </w:r>
          </w:p>
          <w:p w:rsidR="004F1F89" w:rsidRPr="006A318F" w:rsidRDefault="004F1F89" w:rsidP="004F1F89">
            <w:pPr>
              <w:jc w:val="both"/>
              <w:rPr>
                <w:rFonts w:eastAsia="Calibri"/>
                <w:sz w:val="20"/>
              </w:rPr>
            </w:pPr>
            <w:r w:rsidRPr="006A318F">
              <w:rPr>
                <w:rFonts w:eastAsia="Calibri"/>
                <w:sz w:val="20"/>
              </w:rPr>
              <w:t>(Gray J.)</w:t>
            </w:r>
          </w:p>
          <w:p w:rsidR="004F1F89" w:rsidRPr="006A318F" w:rsidRDefault="004F1F89" w:rsidP="004F1F89">
            <w:pPr>
              <w:jc w:val="both"/>
              <w:rPr>
                <w:rFonts w:eastAsia="Calibri"/>
                <w:sz w:val="20"/>
              </w:rPr>
            </w:pPr>
            <w:r w:rsidRPr="006A318F">
              <w:rPr>
                <w:rFonts w:eastAsia="Calibri"/>
                <w:sz w:val="20"/>
              </w:rPr>
              <w:t>2005 BCSC 1644</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 xml:space="preserve">Appeals from sentences allowed and sentences varied </w:t>
            </w: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September 30, 2010</w:t>
            </w:r>
          </w:p>
          <w:p w:rsidR="004F1F89" w:rsidRPr="006A318F" w:rsidRDefault="004F1F89" w:rsidP="004F1F89">
            <w:pPr>
              <w:jc w:val="both"/>
              <w:rPr>
                <w:rFonts w:eastAsia="Calibri"/>
                <w:sz w:val="20"/>
              </w:rPr>
            </w:pPr>
            <w:r w:rsidRPr="006A318F">
              <w:rPr>
                <w:rFonts w:eastAsia="Calibri"/>
                <w:sz w:val="20"/>
              </w:rPr>
              <w:t>Court of Appeal for British Columbia (Vancouver)</w:t>
            </w:r>
          </w:p>
          <w:p w:rsidR="004F1F89" w:rsidRPr="006A318F" w:rsidRDefault="004F1F89" w:rsidP="004F1F89">
            <w:pPr>
              <w:jc w:val="both"/>
              <w:rPr>
                <w:rFonts w:eastAsia="Calibri"/>
                <w:sz w:val="20"/>
              </w:rPr>
            </w:pPr>
            <w:r w:rsidRPr="006A318F">
              <w:rPr>
                <w:rFonts w:eastAsia="Calibri"/>
                <w:sz w:val="20"/>
              </w:rPr>
              <w:t>(Ryan, Frankel, Groberman JJ.A.)</w:t>
            </w:r>
          </w:p>
          <w:p w:rsidR="004F1F89" w:rsidRPr="006A318F" w:rsidRDefault="004F1F89" w:rsidP="004F1F89">
            <w:pPr>
              <w:jc w:val="both"/>
              <w:rPr>
                <w:rFonts w:eastAsia="Calibri"/>
                <w:sz w:val="20"/>
              </w:rPr>
            </w:pPr>
            <w:r w:rsidRPr="006A318F">
              <w:rPr>
                <w:rFonts w:eastAsia="Calibri"/>
                <w:sz w:val="20"/>
              </w:rPr>
              <w:t>CA033638; 2010 BCCA 436</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Appeal dismissed</w:t>
            </w: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December 29, 2011</w:t>
            </w:r>
          </w:p>
          <w:p w:rsidR="004F1F89" w:rsidRPr="006A318F" w:rsidRDefault="004F1F89" w:rsidP="004F1F89">
            <w:pPr>
              <w:jc w:val="both"/>
              <w:rPr>
                <w:rFonts w:eastAsia="Calibri"/>
                <w:sz w:val="20"/>
              </w:rPr>
            </w:pPr>
            <w:r w:rsidRPr="006A318F">
              <w:rPr>
                <w:rFonts w:eastAsia="Calibri"/>
                <w:sz w:val="20"/>
              </w:rPr>
              <w:t>Supreme Court of Canada</w:t>
            </w: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 xml:space="preserve">Application for extension of time to serve and file application for leave to appeal filed; </w:t>
            </w:r>
          </w:p>
          <w:p w:rsidR="004F1F89" w:rsidRPr="006A318F" w:rsidRDefault="004F1F89" w:rsidP="004F1F89">
            <w:pPr>
              <w:jc w:val="both"/>
              <w:rPr>
                <w:rFonts w:eastAsia="Calibri"/>
                <w:sz w:val="20"/>
              </w:rPr>
            </w:pPr>
            <w:r w:rsidRPr="006A318F">
              <w:rPr>
                <w:rFonts w:eastAsia="Calibri"/>
                <w:sz w:val="20"/>
              </w:rPr>
              <w:t>Application for leave to appeal filed; Motions to exceed page limits and to adduce fresh evidence filed</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62"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F1F89" w:rsidRPr="004A42A2" w:rsidTr="004F1F89">
        <w:tc>
          <w:tcPr>
            <w:tcW w:w="5000" w:type="pct"/>
            <w:gridSpan w:val="3"/>
          </w:tcPr>
          <w:p w:rsidR="004F1F89" w:rsidRPr="006A318F" w:rsidRDefault="004F1F89" w:rsidP="004F1F89">
            <w:pPr>
              <w:jc w:val="both"/>
              <w:rPr>
                <w:rFonts w:eastAsia="Calibri"/>
                <w:sz w:val="20"/>
                <w:lang w:val="fr-CA"/>
              </w:rPr>
            </w:pPr>
            <w:r w:rsidRPr="006A318F">
              <w:rPr>
                <w:rFonts w:eastAsia="Calibri"/>
                <w:i/>
                <w:sz w:val="20"/>
                <w:lang w:val="fr-CA"/>
              </w:rPr>
              <w:t>Charte canadienne des droits et libertés</w:t>
            </w:r>
            <w:r w:rsidRPr="006A318F">
              <w:rPr>
                <w:rFonts w:eastAsia="Calibri"/>
                <w:sz w:val="20"/>
                <w:lang w:val="fr-CA"/>
              </w:rPr>
              <w:t xml:space="preserve"> – Justice fondamentale – Procès équitable – Procès dans un délai raisonnable – Droit criminel – Infractions provinciales – Éléments de l’infraction – Droit des biens – Procédure – Droits de l’accusé garantis par les art. 7, 11</w:t>
            </w:r>
            <w:r w:rsidRPr="006A318F">
              <w:rPr>
                <w:rFonts w:eastAsia="Calibri"/>
                <w:i/>
                <w:sz w:val="20"/>
                <w:lang w:val="fr-CA"/>
              </w:rPr>
              <w:t>b</w:t>
            </w:r>
            <w:r w:rsidRPr="006A318F">
              <w:rPr>
                <w:rFonts w:eastAsia="Calibri"/>
                <w:sz w:val="20"/>
                <w:lang w:val="fr-CA"/>
              </w:rPr>
              <w:t>) et 11</w:t>
            </w:r>
            <w:r w:rsidRPr="006A318F">
              <w:rPr>
                <w:rFonts w:eastAsia="Calibri"/>
                <w:i/>
                <w:sz w:val="20"/>
                <w:lang w:val="fr-CA"/>
              </w:rPr>
              <w:t>d</w:t>
            </w:r>
            <w:r w:rsidRPr="006A318F">
              <w:rPr>
                <w:rFonts w:eastAsia="Calibri"/>
                <w:sz w:val="20"/>
                <w:lang w:val="fr-CA"/>
              </w:rPr>
              <w:t xml:space="preserve">) de la </w:t>
            </w:r>
            <w:r w:rsidRPr="006A318F">
              <w:rPr>
                <w:rFonts w:eastAsia="Calibri"/>
                <w:i/>
                <w:sz w:val="20"/>
                <w:lang w:val="fr-CA"/>
              </w:rPr>
              <w:t xml:space="preserve">Charte </w:t>
            </w:r>
            <w:r w:rsidRPr="006A318F">
              <w:rPr>
                <w:rFonts w:eastAsia="Calibri"/>
                <w:sz w:val="20"/>
                <w:lang w:val="fr-CA"/>
              </w:rPr>
              <w:t xml:space="preserve">– </w:t>
            </w:r>
            <w:r w:rsidRPr="006A318F">
              <w:rPr>
                <w:rFonts w:eastAsia="Calibri"/>
                <w:i/>
                <w:sz w:val="20"/>
                <w:lang w:val="fr-CA"/>
              </w:rPr>
              <w:t>Mens rea</w:t>
            </w:r>
            <w:r w:rsidRPr="006A318F">
              <w:rPr>
                <w:rFonts w:eastAsia="Calibri"/>
                <w:sz w:val="20"/>
                <w:lang w:val="fr-CA"/>
              </w:rPr>
              <w:t xml:space="preserve"> requise aux termes du par. 34(10) de la </w:t>
            </w:r>
            <w:r w:rsidRPr="006A318F">
              <w:rPr>
                <w:rFonts w:eastAsia="Calibri"/>
                <w:i/>
                <w:sz w:val="20"/>
                <w:lang w:val="fr-CA"/>
              </w:rPr>
              <w:t>Waste Management Act</w:t>
            </w:r>
            <w:r w:rsidRPr="006A318F">
              <w:rPr>
                <w:rFonts w:eastAsia="Calibri"/>
                <w:sz w:val="20"/>
                <w:lang w:val="fr-CA"/>
              </w:rPr>
              <w:t>, S.B.C. 1982 – Y a</w:t>
            </w:r>
            <w:r w:rsidRPr="006A318F">
              <w:rPr>
                <w:rFonts w:eastAsia="Calibri"/>
                <w:sz w:val="20"/>
                <w:lang w:val="fr-CA"/>
              </w:rPr>
              <w:noBreakHyphen/>
              <w:t>t</w:t>
            </w:r>
            <w:r w:rsidRPr="006A318F">
              <w:rPr>
                <w:rFonts w:eastAsia="Calibri"/>
                <w:sz w:val="20"/>
                <w:lang w:val="fr-CA"/>
              </w:rPr>
              <w:noBreakHyphen/>
              <w:t>il un besoin de compréhension uniforme des droits des propriétaires fonciers de déterminer les limites des biens</w:t>
            </w:r>
            <w:r w:rsidRPr="006A318F">
              <w:rPr>
                <w:rFonts w:eastAsia="Calibri"/>
                <w:sz w:val="20"/>
                <w:lang w:val="fr-CA"/>
              </w:rPr>
              <w:noBreakHyphen/>
              <w:t>fonds, particulièrement en ce qui concerne les droit de l’arpentage et le rôle de l’arpenteur</w:t>
            </w:r>
            <w:r w:rsidRPr="006A318F">
              <w:rPr>
                <w:rFonts w:eastAsia="Calibri"/>
                <w:sz w:val="20"/>
                <w:lang w:val="fr-CA"/>
              </w:rPr>
              <w:noBreakHyphen/>
              <w:t xml:space="preserve">géomètre? – Que constitue la justice fondamentale? – Conséquences lorsque les juges ne respectent pas </w:t>
            </w:r>
            <w:r w:rsidRPr="006A318F">
              <w:rPr>
                <w:rFonts w:eastAsia="Calibri"/>
                <w:sz w:val="20"/>
                <w:lang w:val="fr-CA"/>
              </w:rPr>
              <w:lastRenderedPageBreak/>
              <w:t>leurs propres règles – Y a</w:t>
            </w:r>
            <w:r w:rsidRPr="006A318F">
              <w:rPr>
                <w:rFonts w:eastAsia="Calibri"/>
                <w:sz w:val="20"/>
                <w:lang w:val="fr-CA"/>
              </w:rPr>
              <w:noBreakHyphen/>
              <w:t>t</w:t>
            </w:r>
            <w:r w:rsidRPr="006A318F">
              <w:rPr>
                <w:rFonts w:eastAsia="Calibri"/>
                <w:sz w:val="20"/>
                <w:lang w:val="fr-CA"/>
              </w:rPr>
              <w:noBreakHyphen/>
              <w:t>il déni de justice lorsque le ministère public obtient une déclaration de culpabilité, mais met en œuvre les mêmes activités à plus grande échelle? – Le ministère public a</w:t>
            </w:r>
            <w:r w:rsidRPr="006A318F">
              <w:rPr>
                <w:rFonts w:eastAsia="Calibri"/>
                <w:sz w:val="20"/>
                <w:lang w:val="fr-CA"/>
              </w:rPr>
              <w:noBreakHyphen/>
              <w:t>t</w:t>
            </w:r>
            <w:r w:rsidRPr="006A318F">
              <w:rPr>
                <w:rFonts w:eastAsia="Calibri"/>
                <w:sz w:val="20"/>
                <w:lang w:val="fr-CA"/>
              </w:rPr>
              <w:noBreakHyphen/>
              <w:t>il le droit de modifier l’essence d’une affaire à son gré?</w:t>
            </w:r>
          </w:p>
        </w:tc>
      </w:tr>
      <w:tr w:rsidR="004F1F89" w:rsidRPr="004A42A2" w:rsidTr="004F1F89">
        <w:tc>
          <w:tcPr>
            <w:tcW w:w="5000" w:type="pct"/>
            <w:gridSpan w:val="3"/>
          </w:tcPr>
          <w:p w:rsidR="004F1F89" w:rsidRPr="006A318F" w:rsidRDefault="004F1F89" w:rsidP="004F1F89">
            <w:pPr>
              <w:jc w:val="both"/>
              <w:rPr>
                <w:rFonts w:eastAsia="Calibri"/>
                <w:sz w:val="20"/>
                <w:lang w:val="fr-CA"/>
              </w:rPr>
            </w:pPr>
          </w:p>
        </w:tc>
      </w:tr>
      <w:tr w:rsidR="004F1F89" w:rsidRPr="004A42A2" w:rsidTr="004F1F89">
        <w:tc>
          <w:tcPr>
            <w:tcW w:w="5000" w:type="pct"/>
            <w:gridSpan w:val="3"/>
          </w:tcPr>
          <w:p w:rsidR="004F1F89" w:rsidRPr="006A318F" w:rsidRDefault="004F1F89" w:rsidP="004F1F89">
            <w:pPr>
              <w:jc w:val="both"/>
              <w:rPr>
                <w:rFonts w:eastAsia="Calibri"/>
                <w:sz w:val="20"/>
                <w:lang w:val="fr-CA"/>
              </w:rPr>
            </w:pPr>
            <w:r w:rsidRPr="006A318F">
              <w:rPr>
                <w:rFonts w:eastAsia="Calibri"/>
                <w:sz w:val="20"/>
                <w:lang w:val="fr-CA"/>
              </w:rPr>
              <w:t xml:space="preserve">Eleonora J. Anderson était propriétaire d’Alpha Manufacturing, qui exploitait un site d’enfouissement en vertu d’un permis sous le régime de la </w:t>
            </w:r>
            <w:r w:rsidRPr="006A318F">
              <w:rPr>
                <w:rFonts w:eastAsia="Calibri"/>
                <w:i/>
                <w:sz w:val="20"/>
                <w:lang w:val="fr-CA"/>
              </w:rPr>
              <w:t>Waste Management Act</w:t>
            </w:r>
            <w:r w:rsidRPr="006A318F">
              <w:rPr>
                <w:rFonts w:eastAsia="Calibri"/>
                <w:sz w:val="20"/>
                <w:lang w:val="fr-CA"/>
              </w:rPr>
              <w:t xml:space="preserve">, R.S.B.C. 1996. ch. 482.  Le permis autorisait des activités dans une zone officiellement désignée.  À la suite de deux procès infirmés en appel, les demanderesses ont été déclarées coupables au terme d’un troisième procès sous une accusation d’avoir déversé des déchets dans l’environnement à l’extérieur de la zone permise.  </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19 janvier 2004</w:t>
            </w:r>
          </w:p>
          <w:p w:rsidR="004F1F89" w:rsidRPr="006A318F" w:rsidRDefault="004F1F89" w:rsidP="004F1F89">
            <w:pPr>
              <w:jc w:val="both"/>
              <w:rPr>
                <w:rFonts w:eastAsia="Calibri"/>
                <w:sz w:val="20"/>
                <w:lang w:val="fr-CA"/>
              </w:rPr>
            </w:pPr>
            <w:r w:rsidRPr="006A318F">
              <w:rPr>
                <w:rFonts w:eastAsia="Calibri"/>
                <w:sz w:val="20"/>
                <w:lang w:val="fr-CA"/>
              </w:rPr>
              <w:t>Cour provinciale de la Colombie</w:t>
            </w:r>
            <w:r w:rsidRPr="006A318F">
              <w:rPr>
                <w:rFonts w:eastAsia="Calibri"/>
                <w:sz w:val="20"/>
                <w:lang w:val="fr-CA"/>
              </w:rPr>
              <w:noBreakHyphen/>
              <w:t>Britannique</w:t>
            </w:r>
          </w:p>
          <w:p w:rsidR="004F1F89" w:rsidRPr="006A318F" w:rsidRDefault="004F1F89" w:rsidP="004F1F89">
            <w:pPr>
              <w:jc w:val="both"/>
              <w:rPr>
                <w:rFonts w:eastAsia="Calibri"/>
                <w:sz w:val="20"/>
                <w:lang w:val="fr-CA"/>
              </w:rPr>
            </w:pPr>
            <w:r w:rsidRPr="006A318F">
              <w:rPr>
                <w:rFonts w:eastAsia="Calibri"/>
                <w:sz w:val="20"/>
                <w:lang w:val="fr-CA"/>
              </w:rPr>
              <w:t>(Juge Miller)</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Déclarations de culpabilité d’avoir permis le déversement de déchets dans l’environnement</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25 mai 2005</w:t>
            </w:r>
          </w:p>
          <w:p w:rsidR="004F1F89" w:rsidRPr="006A318F" w:rsidRDefault="004F1F89" w:rsidP="004F1F89">
            <w:pPr>
              <w:jc w:val="both"/>
              <w:rPr>
                <w:rFonts w:eastAsia="Calibri"/>
                <w:sz w:val="20"/>
                <w:lang w:val="fr-CA"/>
              </w:rPr>
            </w:pPr>
            <w:r w:rsidRPr="006A318F">
              <w:rPr>
                <w:rFonts w:eastAsia="Calibri"/>
                <w:sz w:val="20"/>
                <w:lang w:val="fr-CA"/>
              </w:rPr>
              <w:t>Cour suprême de la Colombie</w:t>
            </w:r>
            <w:r w:rsidRPr="006A318F">
              <w:rPr>
                <w:rFonts w:eastAsia="Calibri"/>
                <w:sz w:val="20"/>
                <w:lang w:val="fr-CA"/>
              </w:rPr>
              <w:noBreakHyphen/>
              <w:t>Britannique</w:t>
            </w:r>
          </w:p>
          <w:p w:rsidR="004F1F89" w:rsidRPr="006A318F" w:rsidRDefault="004F1F89" w:rsidP="004F1F89">
            <w:pPr>
              <w:jc w:val="both"/>
              <w:rPr>
                <w:rFonts w:eastAsia="Calibri"/>
                <w:sz w:val="20"/>
                <w:lang w:val="fr-CA"/>
              </w:rPr>
            </w:pPr>
            <w:r w:rsidRPr="006A318F">
              <w:rPr>
                <w:rFonts w:eastAsia="Calibri"/>
                <w:sz w:val="20"/>
                <w:lang w:val="fr-CA"/>
              </w:rPr>
              <w:t>(Juge Gray)</w:t>
            </w:r>
          </w:p>
          <w:p w:rsidR="004F1F89" w:rsidRPr="006A318F" w:rsidRDefault="004F1F89" w:rsidP="004F1F89">
            <w:pPr>
              <w:jc w:val="both"/>
              <w:rPr>
                <w:rFonts w:eastAsia="Calibri"/>
                <w:sz w:val="20"/>
                <w:lang w:val="fr-CA"/>
              </w:rPr>
            </w:pPr>
            <w:r w:rsidRPr="006A318F">
              <w:rPr>
                <w:rFonts w:eastAsia="Calibri"/>
                <w:sz w:val="20"/>
                <w:lang w:val="fr-CA"/>
              </w:rPr>
              <w:t>2005 BCSC 773</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Demande de nouveau procès, rejetée; Appel des déclarations de culpabilité, rejeté; demande d’Eleanora J. Anderson en arrêt des procédures, rejetée</w:t>
            </w: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29 novembre 2005</w:t>
            </w:r>
          </w:p>
          <w:p w:rsidR="004F1F89" w:rsidRPr="006A318F" w:rsidRDefault="004F1F89" w:rsidP="004F1F89">
            <w:pPr>
              <w:jc w:val="both"/>
              <w:rPr>
                <w:rFonts w:eastAsia="Calibri"/>
                <w:sz w:val="20"/>
                <w:lang w:val="fr-CA"/>
              </w:rPr>
            </w:pPr>
            <w:r w:rsidRPr="006A318F">
              <w:rPr>
                <w:rFonts w:eastAsia="Calibri"/>
                <w:sz w:val="20"/>
                <w:lang w:val="fr-CA"/>
              </w:rPr>
              <w:t>Cour suprême de la Colombie</w:t>
            </w:r>
            <w:r w:rsidRPr="006A318F">
              <w:rPr>
                <w:rFonts w:eastAsia="Calibri"/>
                <w:sz w:val="20"/>
                <w:lang w:val="fr-CA"/>
              </w:rPr>
              <w:noBreakHyphen/>
              <w:t>Britannique</w:t>
            </w:r>
          </w:p>
          <w:p w:rsidR="004F1F89" w:rsidRPr="006A318F" w:rsidRDefault="004F1F89" w:rsidP="004F1F89">
            <w:pPr>
              <w:jc w:val="both"/>
              <w:rPr>
                <w:rFonts w:eastAsia="Calibri"/>
                <w:sz w:val="20"/>
                <w:lang w:val="fr-CA"/>
              </w:rPr>
            </w:pPr>
            <w:r w:rsidRPr="006A318F">
              <w:rPr>
                <w:rFonts w:eastAsia="Calibri"/>
                <w:sz w:val="20"/>
                <w:lang w:val="fr-CA"/>
              </w:rPr>
              <w:t>(Juge Gray)</w:t>
            </w:r>
          </w:p>
          <w:p w:rsidR="004F1F89" w:rsidRPr="006A318F" w:rsidRDefault="004F1F89" w:rsidP="004F1F89">
            <w:pPr>
              <w:jc w:val="both"/>
              <w:rPr>
                <w:rFonts w:eastAsia="Calibri"/>
                <w:sz w:val="20"/>
                <w:lang w:val="fr-CA"/>
              </w:rPr>
            </w:pPr>
            <w:r w:rsidRPr="006A318F">
              <w:rPr>
                <w:rFonts w:eastAsia="Calibri"/>
                <w:sz w:val="20"/>
                <w:lang w:val="fr-CA"/>
              </w:rPr>
              <w:t>2005 BCSC 1644</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 xml:space="preserve">Appels des peines, accueillis et peines modifiées </w:t>
            </w:r>
          </w:p>
        </w:tc>
      </w:tr>
      <w:tr w:rsidR="004F1F89" w:rsidRPr="006A318F"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30 septembre 2010</w:t>
            </w:r>
          </w:p>
          <w:p w:rsidR="004F1F89" w:rsidRPr="006A318F" w:rsidRDefault="004F1F89" w:rsidP="004F1F89">
            <w:pPr>
              <w:jc w:val="both"/>
              <w:rPr>
                <w:rFonts w:eastAsia="Calibri"/>
                <w:sz w:val="20"/>
                <w:lang w:val="fr-CA"/>
              </w:rPr>
            </w:pPr>
            <w:r w:rsidRPr="006A318F">
              <w:rPr>
                <w:rFonts w:eastAsia="Calibri"/>
                <w:sz w:val="20"/>
                <w:lang w:val="fr-CA"/>
              </w:rPr>
              <w:t>Cour d’appel de la Colombie</w:t>
            </w:r>
            <w:r w:rsidRPr="006A318F">
              <w:rPr>
                <w:rFonts w:eastAsia="Calibri"/>
                <w:sz w:val="20"/>
                <w:lang w:val="fr-CA"/>
              </w:rPr>
              <w:noBreakHyphen/>
              <w:t>Britannique (Vancouver)</w:t>
            </w:r>
          </w:p>
          <w:p w:rsidR="004F1F89" w:rsidRPr="006A318F" w:rsidRDefault="004F1F89" w:rsidP="004F1F89">
            <w:pPr>
              <w:jc w:val="both"/>
              <w:rPr>
                <w:rFonts w:eastAsia="Calibri"/>
                <w:sz w:val="20"/>
                <w:lang w:val="fr-CA"/>
              </w:rPr>
            </w:pPr>
            <w:r w:rsidRPr="006A318F">
              <w:rPr>
                <w:rFonts w:eastAsia="Calibri"/>
                <w:sz w:val="20"/>
                <w:lang w:val="fr-CA"/>
              </w:rPr>
              <w:t>(Juges Ryan, Frankel et Groberman)</w:t>
            </w:r>
          </w:p>
          <w:p w:rsidR="004F1F89" w:rsidRPr="006A318F" w:rsidRDefault="004F1F89" w:rsidP="004F1F89">
            <w:pPr>
              <w:jc w:val="both"/>
              <w:rPr>
                <w:rFonts w:eastAsia="Calibri"/>
                <w:sz w:val="20"/>
                <w:lang w:val="fr-CA"/>
              </w:rPr>
            </w:pPr>
            <w:r w:rsidRPr="006A318F">
              <w:rPr>
                <w:rFonts w:eastAsia="Calibri"/>
                <w:sz w:val="20"/>
                <w:lang w:val="fr-CA"/>
              </w:rPr>
              <w:t>CA033638; 2010 BCCA 436</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Appel rejeté</w:t>
            </w: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29 décembre 2011</w:t>
            </w:r>
          </w:p>
          <w:p w:rsidR="004F1F89" w:rsidRPr="006A318F" w:rsidRDefault="004F1F89" w:rsidP="004F1F89">
            <w:pPr>
              <w:jc w:val="both"/>
              <w:rPr>
                <w:rFonts w:eastAsia="Calibri"/>
                <w:sz w:val="20"/>
                <w:lang w:val="fr-CA"/>
              </w:rPr>
            </w:pPr>
            <w:r w:rsidRPr="006A318F">
              <w:rPr>
                <w:rFonts w:eastAsia="Calibri"/>
                <w:sz w:val="20"/>
                <w:lang w:val="fr-CA"/>
              </w:rPr>
              <w:t>Cour suprême du Canada</w:t>
            </w: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 xml:space="preserve">Demande de prorogation du délai de signification et de dépôt de la demande d’autorisation d’appel, déposée; </w:t>
            </w:r>
          </w:p>
          <w:p w:rsidR="004F1F89" w:rsidRPr="006A318F" w:rsidRDefault="004F1F89" w:rsidP="004F1F89">
            <w:pPr>
              <w:jc w:val="both"/>
              <w:rPr>
                <w:rFonts w:eastAsia="Calibri"/>
                <w:sz w:val="20"/>
                <w:lang w:val="fr-CA"/>
              </w:rPr>
            </w:pPr>
            <w:r w:rsidRPr="006A318F">
              <w:rPr>
                <w:rFonts w:eastAsia="Calibri"/>
                <w:sz w:val="20"/>
                <w:lang w:val="fr-CA"/>
              </w:rPr>
              <w:t>Demande d’autorisation d’appel, déposée; requêtes en vue de déposer des documents dont le nombre de pages dépasse les limites autorisées et de présenter de nouveaux éléments de preuve, déposées</w:t>
            </w:r>
          </w:p>
        </w:tc>
      </w:tr>
    </w:tbl>
    <w:p w:rsidR="009B2448" w:rsidRPr="004F1F89" w:rsidRDefault="009B2448" w:rsidP="009B2448">
      <w:pPr>
        <w:rPr>
          <w:sz w:val="20"/>
          <w:szCs w:val="20"/>
          <w:lang w:val="fr-CA"/>
        </w:rPr>
      </w:pPr>
    </w:p>
    <w:p w:rsidR="009B2448" w:rsidRDefault="00B44839" w:rsidP="009B2448">
      <w:pPr>
        <w:rPr>
          <w:sz w:val="20"/>
          <w:szCs w:val="20"/>
          <w:lang w:val="fr-CA"/>
        </w:rPr>
      </w:pPr>
      <w:r w:rsidRPr="00B44839">
        <w:rPr>
          <w:sz w:val="20"/>
          <w:szCs w:val="20"/>
          <w:lang w:val="fr-CA"/>
        </w:rPr>
        <w:pict>
          <v:rect id="_x0000_i1063"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94E36" w:rsidRPr="00EC029E" w:rsidTr="002304D1">
        <w:trPr>
          <w:cantSplit/>
        </w:trPr>
        <w:tc>
          <w:tcPr>
            <w:tcW w:w="1458" w:type="dxa"/>
          </w:tcPr>
          <w:p w:rsidR="00E94E36" w:rsidRPr="00EC029E" w:rsidRDefault="00E94E36" w:rsidP="002304D1">
            <w:pPr>
              <w:rPr>
                <w:sz w:val="20"/>
                <w:szCs w:val="20"/>
              </w:rPr>
            </w:pPr>
            <w:r w:rsidRPr="00EC029E">
              <w:rPr>
                <w:rStyle w:val="SCCFileNumberChar"/>
                <w:sz w:val="20"/>
                <w:szCs w:val="20"/>
              </w:rPr>
              <w:t>34611</w:t>
            </w:r>
          </w:p>
          <w:p w:rsidR="00E94E36" w:rsidRPr="00EC029E" w:rsidRDefault="00E94E36" w:rsidP="002304D1">
            <w:pPr>
              <w:rPr>
                <w:b/>
                <w:sz w:val="20"/>
                <w:szCs w:val="20"/>
                <w:lang w:val="fr-CA"/>
              </w:rPr>
            </w:pPr>
          </w:p>
        </w:tc>
        <w:tc>
          <w:tcPr>
            <w:tcW w:w="8118" w:type="dxa"/>
          </w:tcPr>
          <w:p w:rsidR="00E94E36" w:rsidRPr="00EC029E" w:rsidRDefault="00E94E36" w:rsidP="002304D1">
            <w:pPr>
              <w:rPr>
                <w:sz w:val="20"/>
                <w:szCs w:val="20"/>
              </w:rPr>
            </w:pPr>
            <w:r w:rsidRPr="00E94E36">
              <w:rPr>
                <w:rStyle w:val="SCCLsocChar"/>
                <w:sz w:val="20"/>
                <w:szCs w:val="20"/>
                <w:lang w:val="en-CA"/>
              </w:rPr>
              <w:t>Jaswinder Sahota v. Her Majesty the Queen</w:t>
            </w:r>
            <w:r w:rsidRPr="00EC029E">
              <w:rPr>
                <w:sz w:val="20"/>
                <w:szCs w:val="20"/>
              </w:rPr>
              <w:t xml:space="preserve"> (Ont.) (Criminal) (By Leave)</w:t>
            </w:r>
          </w:p>
          <w:p w:rsidR="00E94E36" w:rsidRPr="00EC029E" w:rsidRDefault="00E94E36" w:rsidP="002304D1">
            <w:pPr>
              <w:rPr>
                <w:sz w:val="20"/>
                <w:szCs w:val="20"/>
              </w:rPr>
            </w:pPr>
          </w:p>
        </w:tc>
      </w:tr>
      <w:tr w:rsidR="00E94E36" w:rsidRPr="00EC029E" w:rsidTr="002304D1">
        <w:trPr>
          <w:cantSplit/>
        </w:trPr>
        <w:tc>
          <w:tcPr>
            <w:tcW w:w="1458" w:type="dxa"/>
          </w:tcPr>
          <w:p w:rsidR="00E94E36" w:rsidRPr="00EC029E" w:rsidRDefault="00E94E36" w:rsidP="002304D1">
            <w:pPr>
              <w:rPr>
                <w:sz w:val="20"/>
                <w:szCs w:val="20"/>
              </w:rPr>
            </w:pPr>
            <w:r w:rsidRPr="00EC029E">
              <w:rPr>
                <w:sz w:val="20"/>
                <w:szCs w:val="20"/>
              </w:rPr>
              <w:t>Coram :</w:t>
            </w:r>
          </w:p>
        </w:tc>
        <w:tc>
          <w:tcPr>
            <w:tcW w:w="8118" w:type="dxa"/>
          </w:tcPr>
          <w:p w:rsidR="00E94E36" w:rsidRPr="00EC029E" w:rsidRDefault="00E94E36" w:rsidP="002304D1">
            <w:pPr>
              <w:rPr>
                <w:sz w:val="20"/>
                <w:szCs w:val="20"/>
              </w:rPr>
            </w:pPr>
            <w:r w:rsidRPr="00E94E36">
              <w:rPr>
                <w:rStyle w:val="SCCCoramChar"/>
                <w:sz w:val="20"/>
                <w:szCs w:val="20"/>
                <w:lang w:val="en-CA"/>
              </w:rPr>
              <w:t>Deschamps, Fish and Karakatsanis JJ.</w:t>
            </w:r>
          </w:p>
          <w:p w:rsidR="00E94E36" w:rsidRPr="00EC029E" w:rsidRDefault="00E94E36" w:rsidP="002304D1">
            <w:pPr>
              <w:rPr>
                <w:sz w:val="20"/>
                <w:szCs w:val="20"/>
                <w:u w:val="single"/>
              </w:rPr>
            </w:pPr>
          </w:p>
        </w:tc>
      </w:tr>
      <w:tr w:rsidR="00E94E36" w:rsidRPr="004A42A2" w:rsidTr="002304D1">
        <w:trPr>
          <w:cantSplit/>
        </w:trPr>
        <w:tc>
          <w:tcPr>
            <w:tcW w:w="9576" w:type="dxa"/>
            <w:gridSpan w:val="2"/>
          </w:tcPr>
          <w:p w:rsidR="00E94E36" w:rsidRPr="00EC029E" w:rsidRDefault="00E94E36" w:rsidP="002304D1">
            <w:pPr>
              <w:pStyle w:val="SCCShortJudgment"/>
              <w:rPr>
                <w:szCs w:val="20"/>
              </w:rPr>
            </w:pPr>
            <w:r w:rsidRPr="00EC029E">
              <w:rPr>
                <w:szCs w:val="20"/>
              </w:rPr>
              <w:t>The motion for an extension of time to serve and file the application for leave to appeal is granted. The application for leave to appeal from the judgment of the Court of Appeal for Ontario, Number C51908, 2011 ONCA 679, dated October 28, 2011, is dismissed without costs.</w:t>
            </w:r>
          </w:p>
          <w:p w:rsidR="00E94E36" w:rsidRPr="00EC029E" w:rsidRDefault="00E94E36" w:rsidP="002304D1">
            <w:pPr>
              <w:pStyle w:val="SCCShortJudgment"/>
              <w:ind w:firstLine="0"/>
              <w:rPr>
                <w:szCs w:val="20"/>
              </w:rPr>
            </w:pPr>
          </w:p>
          <w:p w:rsidR="00E94E36" w:rsidRPr="00EC029E" w:rsidRDefault="00E94E36" w:rsidP="00CA2962">
            <w:pPr>
              <w:pStyle w:val="SCCShortJudgment"/>
              <w:rPr>
                <w:szCs w:val="20"/>
                <w:lang w:val="fr-CA"/>
              </w:rPr>
            </w:pPr>
            <w:r w:rsidRPr="00EC029E">
              <w:rPr>
                <w:szCs w:val="20"/>
                <w:lang w:val="fr-CA"/>
              </w:rPr>
              <w:t>La requête en prorogation du délai de signification et de dépôt de la demande d’autorisation d’appel est accueillie. La demande d’autorisation d’appel de l’arrêt de la Cour d’appel de l’Ontario, numéro C51908, 2011 ONCA 679, daté du 28 octobre 2011, est rejetée sans dépens.</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1F89" w:rsidRPr="006A318F" w:rsidTr="004F1F89">
        <w:tc>
          <w:tcPr>
            <w:tcW w:w="5000" w:type="pct"/>
            <w:gridSpan w:val="3"/>
          </w:tcPr>
          <w:p w:rsidR="004F1F89" w:rsidRPr="006A318F" w:rsidRDefault="004F1F89" w:rsidP="004F1F89">
            <w:pPr>
              <w:jc w:val="both"/>
              <w:rPr>
                <w:rFonts w:eastAsia="Calibri"/>
                <w:sz w:val="20"/>
              </w:rPr>
            </w:pPr>
            <w:r w:rsidRPr="006A318F">
              <w:rPr>
                <w:rFonts w:eastAsia="Calibri"/>
                <w:sz w:val="20"/>
              </w:rPr>
              <w:t>Criminal law – Charge to jury – Whether the Court of Appeal erred in holding that the offer to provide the jury with the response to their question only after the jury had indicated they had reached their verdict did not result in any unfairness to the applicant – Whether the timing of the judge’s response to the jury’s question may have resulted in a miscarriage of justice.</w:t>
            </w:r>
          </w:p>
          <w:p w:rsidR="004F1F89" w:rsidRPr="006A318F" w:rsidRDefault="004F1F89" w:rsidP="004F1F89">
            <w:pPr>
              <w:jc w:val="both"/>
              <w:rPr>
                <w:rFonts w:eastAsia="Calibri"/>
                <w:sz w:val="20"/>
              </w:rPr>
            </w:pPr>
          </w:p>
        </w:tc>
      </w:tr>
      <w:tr w:rsidR="004F1F89" w:rsidRPr="006A318F" w:rsidTr="004F1F89">
        <w:tc>
          <w:tcPr>
            <w:tcW w:w="5000" w:type="pct"/>
            <w:gridSpan w:val="3"/>
          </w:tcPr>
          <w:p w:rsidR="004F1F89" w:rsidRPr="006A318F" w:rsidRDefault="004F1F89" w:rsidP="004F1F89">
            <w:pPr>
              <w:jc w:val="both"/>
              <w:rPr>
                <w:rFonts w:eastAsia="Calibri"/>
                <w:sz w:val="20"/>
              </w:rPr>
            </w:pPr>
            <w:r w:rsidRPr="006A318F">
              <w:rPr>
                <w:rFonts w:eastAsia="Calibri"/>
                <w:sz w:val="20"/>
              </w:rPr>
              <w:t xml:space="preserve">Shortly after the jury retired, it requested copies of the transcripts of counsels’ closing addresses. The trial judge instructed the jury that transcripts could not be provided and told them they should rely on their recollections of counsels’ arguments. The next morning while the jury was still deliberating, Crown counsel brought to the court’s attention some case law which suggested that the jury should have been told that they could listen to the addresses of counsel if they wished to do so. Counsel for the applicant opposed any suggestion that the jury could re-hear the closing addresses. The trial judge then agreed to offer the jury the opportunity to hear the closing addresses. The trial judge was advised that the jury had arrived at a verdict. The trial judge recalled the jury and before taking the verdict, told them that they could re-hear the closing addresses before returning their verdict. The jury retired for a few minutes. When the jury returned, they declined the offer and rendered a verdict of guilty. After a trial by judge and jury, the applicant was convicted of importing a controlled substance (heroin) contrary to s. 6(1) of the </w:t>
            </w:r>
            <w:r w:rsidRPr="006A318F">
              <w:rPr>
                <w:rFonts w:eastAsia="Calibri"/>
                <w:i/>
                <w:sz w:val="20"/>
              </w:rPr>
              <w:t>Controlled Drugs and Substances Act</w:t>
            </w:r>
            <w:r w:rsidRPr="006A318F">
              <w:rPr>
                <w:rFonts w:eastAsia="Calibri"/>
                <w:sz w:val="20"/>
              </w:rPr>
              <w:t>. The appeal from conviction was dismissed by the Court of Appeal.</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October 22, 2009</w:t>
            </w:r>
          </w:p>
          <w:p w:rsidR="004F1F89" w:rsidRPr="006A318F" w:rsidRDefault="004F1F89" w:rsidP="004F1F89">
            <w:pPr>
              <w:jc w:val="both"/>
              <w:rPr>
                <w:rFonts w:eastAsia="Calibri"/>
                <w:sz w:val="20"/>
              </w:rPr>
            </w:pPr>
            <w:r w:rsidRPr="006A318F">
              <w:rPr>
                <w:rFonts w:eastAsia="Calibri"/>
                <w:sz w:val="20"/>
              </w:rPr>
              <w:t>Ontario Superior Court of Justice</w:t>
            </w:r>
          </w:p>
          <w:p w:rsidR="004F1F89" w:rsidRPr="006A318F" w:rsidRDefault="004F1F89" w:rsidP="004F1F89">
            <w:pPr>
              <w:jc w:val="both"/>
              <w:rPr>
                <w:rFonts w:eastAsia="Calibri"/>
                <w:sz w:val="20"/>
              </w:rPr>
            </w:pPr>
            <w:r w:rsidRPr="006A318F">
              <w:rPr>
                <w:rFonts w:eastAsia="Calibri"/>
                <w:sz w:val="20"/>
              </w:rPr>
              <w:t>(Ricchetti J.)</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i/>
                <w:sz w:val="20"/>
              </w:rPr>
            </w:pPr>
            <w:r w:rsidRPr="006A318F">
              <w:rPr>
                <w:rFonts w:eastAsia="Calibri"/>
                <w:sz w:val="20"/>
              </w:rPr>
              <w:t xml:space="preserve">Conviction: importing a controlled substance (heroin) contrary to s. 6(1) of the </w:t>
            </w:r>
            <w:r w:rsidRPr="006A318F">
              <w:rPr>
                <w:rFonts w:eastAsia="Calibri"/>
                <w:i/>
                <w:sz w:val="20"/>
              </w:rPr>
              <w:t>Controlled Drugs and Substances Act</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October 28, 2011</w:t>
            </w:r>
          </w:p>
          <w:p w:rsidR="004F1F89" w:rsidRPr="006A318F" w:rsidRDefault="004F1F89" w:rsidP="004F1F89">
            <w:pPr>
              <w:jc w:val="both"/>
              <w:rPr>
                <w:rFonts w:eastAsia="Calibri"/>
                <w:sz w:val="20"/>
              </w:rPr>
            </w:pPr>
            <w:r w:rsidRPr="006A318F">
              <w:rPr>
                <w:rFonts w:eastAsia="Calibri"/>
                <w:sz w:val="20"/>
              </w:rPr>
              <w:t>Court of Appeal for Ontario</w:t>
            </w:r>
          </w:p>
          <w:p w:rsidR="004F1F89" w:rsidRPr="006A318F" w:rsidRDefault="004F1F89" w:rsidP="004F1F89">
            <w:pPr>
              <w:jc w:val="both"/>
              <w:rPr>
                <w:rFonts w:eastAsia="Calibri"/>
                <w:sz w:val="20"/>
              </w:rPr>
            </w:pPr>
            <w:r w:rsidRPr="006A318F">
              <w:rPr>
                <w:rFonts w:eastAsia="Calibri"/>
                <w:sz w:val="20"/>
              </w:rPr>
              <w:t>(Doherty,  Juriansz, Epstein JJ.A.)</w:t>
            </w:r>
          </w:p>
          <w:p w:rsidR="004F1F89" w:rsidRPr="006A318F" w:rsidRDefault="004F1F89" w:rsidP="004F1F89">
            <w:pPr>
              <w:jc w:val="both"/>
              <w:rPr>
                <w:rFonts w:eastAsia="Calibri"/>
                <w:sz w:val="20"/>
              </w:rPr>
            </w:pPr>
            <w:r w:rsidRPr="006A318F">
              <w:rPr>
                <w:rFonts w:eastAsia="Calibri"/>
                <w:sz w:val="20"/>
              </w:rPr>
              <w:t>Neutral citation: 2011 ONCA 679</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Appeal from conviction dismissed</w:t>
            </w:r>
          </w:p>
          <w:p w:rsidR="004F1F89" w:rsidRPr="006A318F" w:rsidRDefault="004F1F89" w:rsidP="004F1F89">
            <w:pPr>
              <w:jc w:val="both"/>
              <w:rPr>
                <w:rFonts w:eastAsia="Calibri"/>
                <w:sz w:val="20"/>
              </w:rPr>
            </w:pP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January 10, 2012</w:t>
            </w:r>
          </w:p>
          <w:p w:rsidR="004F1F89" w:rsidRPr="006A318F" w:rsidRDefault="004F1F89" w:rsidP="004F1F89">
            <w:pPr>
              <w:jc w:val="both"/>
              <w:rPr>
                <w:rFonts w:eastAsia="Calibri"/>
                <w:sz w:val="20"/>
              </w:rPr>
            </w:pPr>
            <w:r w:rsidRPr="006A318F">
              <w:rPr>
                <w:rFonts w:eastAsia="Calibri"/>
                <w:sz w:val="20"/>
              </w:rPr>
              <w:t>Supreme Court of Canada</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Motion for an extension of time to serve and file the application for leave to appeal and application for leave to appeal filed</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64"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F1F89" w:rsidRPr="004A42A2" w:rsidTr="004F1F89">
        <w:tc>
          <w:tcPr>
            <w:tcW w:w="5000" w:type="pct"/>
            <w:gridSpan w:val="3"/>
          </w:tcPr>
          <w:p w:rsidR="004F1F89" w:rsidRPr="006A318F" w:rsidRDefault="004F1F89" w:rsidP="004F1F89">
            <w:pPr>
              <w:jc w:val="both"/>
              <w:rPr>
                <w:rFonts w:eastAsia="Calibri"/>
                <w:sz w:val="20"/>
                <w:lang w:val="fr-CA"/>
              </w:rPr>
            </w:pPr>
            <w:r w:rsidRPr="006A318F">
              <w:rPr>
                <w:rFonts w:eastAsia="Calibri"/>
                <w:sz w:val="20"/>
                <w:lang w:val="fr-CA"/>
              </w:rPr>
              <w:t>Droit criminel – Exposé au jury – La Cour d’appel a</w:t>
            </w:r>
            <w:r w:rsidRPr="006A318F">
              <w:rPr>
                <w:rFonts w:eastAsia="Calibri"/>
                <w:sz w:val="20"/>
                <w:lang w:val="fr-CA"/>
              </w:rPr>
              <w:noBreakHyphen/>
              <w:t>t</w:t>
            </w:r>
            <w:r w:rsidRPr="006A318F">
              <w:rPr>
                <w:rFonts w:eastAsia="Calibri"/>
                <w:sz w:val="20"/>
                <w:lang w:val="fr-CA"/>
              </w:rPr>
              <w:noBreakHyphen/>
              <w:t>elle eu tort de statuer que l’offre de fournir au jury la réponse à leur question seulement après que le jury a fait savoir qu’il était arrivé à son verdict n’avait pas entraîné de résultat inéquitable pour le demandeur? – Le moment où le juge a répondu à la question du jury a</w:t>
            </w:r>
            <w:r w:rsidRPr="006A318F">
              <w:rPr>
                <w:rFonts w:eastAsia="Calibri"/>
                <w:sz w:val="20"/>
                <w:lang w:val="fr-CA"/>
              </w:rPr>
              <w:noBreakHyphen/>
              <w:t>t</w:t>
            </w:r>
            <w:r w:rsidRPr="006A318F">
              <w:rPr>
                <w:rFonts w:eastAsia="Calibri"/>
                <w:sz w:val="20"/>
                <w:lang w:val="fr-CA"/>
              </w:rPr>
              <w:noBreakHyphen/>
              <w:t>il pu entraîner un déni de justice?</w:t>
            </w:r>
          </w:p>
          <w:p w:rsidR="004F1F89" w:rsidRPr="006A318F" w:rsidRDefault="004F1F89" w:rsidP="004F1F89">
            <w:pPr>
              <w:jc w:val="both"/>
              <w:rPr>
                <w:rFonts w:eastAsia="Calibri"/>
                <w:sz w:val="20"/>
                <w:lang w:val="fr-CA"/>
              </w:rPr>
            </w:pPr>
          </w:p>
        </w:tc>
      </w:tr>
      <w:tr w:rsidR="004F1F89" w:rsidRPr="004A42A2" w:rsidTr="004F1F89">
        <w:tc>
          <w:tcPr>
            <w:tcW w:w="5000" w:type="pct"/>
            <w:gridSpan w:val="3"/>
          </w:tcPr>
          <w:p w:rsidR="004F1F89" w:rsidRPr="006A318F" w:rsidRDefault="004F1F89" w:rsidP="004F1F89">
            <w:pPr>
              <w:jc w:val="both"/>
              <w:rPr>
                <w:rFonts w:eastAsia="Calibri"/>
                <w:sz w:val="20"/>
                <w:lang w:val="fr-CA"/>
              </w:rPr>
            </w:pPr>
            <w:r w:rsidRPr="006A318F">
              <w:rPr>
                <w:rFonts w:eastAsia="Calibri"/>
                <w:sz w:val="20"/>
                <w:lang w:val="fr-CA"/>
              </w:rPr>
              <w:t xml:space="preserve">Peu de temps après le début de ses délibérations, le jury a demandé des copies des transcriptions des plaidoiries des avocats. Le juge du procès a informé les jurés que les transcriptions ne pouvaient être fournies et leur a dit qu’ils devaient s’appuyer sur leurs souvenirs des plaidoiries des avocats. Le lendemain matin, alors que le jury délibérait toujours, l’avocat de la Couronne a porté à l’attention du tribunal de la jurisprudence qui laissait entendre que le juge aurait dû dire au jury qu’il pouvait écouter les plaidoiries s’il le voulait. L’avocat du demandeur s’est opposé à ce que le jury puisse entendre de nouveau les plaidoiries. Le juge du procès a alors accepté de donner au jury l’occasion d’entendre les plaidoiries. Le juge du procès a alors été informé que le jury était arrivé à un verdict. Le juge du procès a rappelé le jury avant d’entendre le verdict et lui a dit que le jury pouvait réentendre les plaidoiries avant de rendre son verdict. Le jury s’est retiré pendant quelques minutes. Lorsqu’il est revenu, il a décliné l’offre et a rendu un verdict </w:t>
            </w:r>
            <w:r w:rsidRPr="006A318F">
              <w:rPr>
                <w:rFonts w:eastAsia="Calibri"/>
                <w:sz w:val="20"/>
                <w:lang w:val="fr-CA"/>
              </w:rPr>
              <w:lastRenderedPageBreak/>
              <w:t xml:space="preserve">de culpabilité. Au terme d’un procès devant juge et jury, le demandeur a été déclaré coupable d’importation d’une substance réglementée (l’héroïne) contrairement au par. 6(1) de la </w:t>
            </w:r>
            <w:r w:rsidRPr="006A318F">
              <w:rPr>
                <w:rFonts w:eastAsia="Calibri"/>
                <w:i/>
                <w:sz w:val="20"/>
                <w:lang w:val="fr-CA"/>
              </w:rPr>
              <w:t>Loi réglementant certaines drogues et autres substances</w:t>
            </w:r>
            <w:r w:rsidRPr="006A318F">
              <w:rPr>
                <w:rFonts w:eastAsia="Calibri"/>
                <w:sz w:val="20"/>
                <w:lang w:val="fr-CA"/>
              </w:rPr>
              <w:t>. La Cour d’appel a rejeté l’appel de la déclaration de culpabilité.</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lastRenderedPageBreak/>
              <w:t>22 octobre 2009</w:t>
            </w:r>
          </w:p>
          <w:p w:rsidR="004F1F89" w:rsidRPr="006A318F" w:rsidRDefault="004F1F89" w:rsidP="004F1F89">
            <w:pPr>
              <w:jc w:val="both"/>
              <w:rPr>
                <w:rFonts w:eastAsia="Calibri"/>
                <w:sz w:val="20"/>
                <w:lang w:val="fr-CA"/>
              </w:rPr>
            </w:pPr>
            <w:r w:rsidRPr="006A318F">
              <w:rPr>
                <w:rFonts w:eastAsia="Calibri"/>
                <w:sz w:val="20"/>
                <w:lang w:val="fr-CA"/>
              </w:rPr>
              <w:t>Cour supérieure de justice de l’Ontario</w:t>
            </w:r>
          </w:p>
          <w:p w:rsidR="004F1F89" w:rsidRPr="006A318F" w:rsidRDefault="004F1F89" w:rsidP="004F1F89">
            <w:pPr>
              <w:jc w:val="both"/>
              <w:rPr>
                <w:rFonts w:eastAsia="Calibri"/>
                <w:sz w:val="20"/>
                <w:lang w:val="fr-CA"/>
              </w:rPr>
            </w:pPr>
            <w:r w:rsidRPr="006A318F">
              <w:rPr>
                <w:rFonts w:eastAsia="Calibri"/>
                <w:sz w:val="20"/>
                <w:lang w:val="fr-CA"/>
              </w:rPr>
              <w:t>(Juge Ricchetti)</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i/>
                <w:sz w:val="20"/>
                <w:lang w:val="fr-CA"/>
              </w:rPr>
            </w:pPr>
            <w:r w:rsidRPr="006A318F">
              <w:rPr>
                <w:rFonts w:eastAsia="Calibri"/>
                <w:sz w:val="20"/>
                <w:lang w:val="fr-CA"/>
              </w:rPr>
              <w:t xml:space="preserve">Déclaration de culpabilité : importation d’une substance réglementée (l’héroïne) contrairement au par. 6(1) de la </w:t>
            </w:r>
            <w:r w:rsidRPr="006A318F">
              <w:rPr>
                <w:rFonts w:eastAsia="Calibri"/>
                <w:i/>
                <w:sz w:val="20"/>
                <w:lang w:val="fr-CA"/>
              </w:rPr>
              <w:t>Loi réglementant certaines drogues et autres substances</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28 octobre 2011</w:t>
            </w:r>
          </w:p>
          <w:p w:rsidR="004F1F89" w:rsidRPr="006A318F" w:rsidRDefault="004F1F89" w:rsidP="004F1F89">
            <w:pPr>
              <w:jc w:val="both"/>
              <w:rPr>
                <w:rFonts w:eastAsia="Calibri"/>
                <w:sz w:val="20"/>
                <w:lang w:val="fr-CA"/>
              </w:rPr>
            </w:pPr>
            <w:r w:rsidRPr="006A318F">
              <w:rPr>
                <w:rFonts w:eastAsia="Calibri"/>
                <w:sz w:val="20"/>
                <w:lang w:val="fr-CA"/>
              </w:rPr>
              <w:t>Cour d’appel de l’Ontario</w:t>
            </w:r>
          </w:p>
          <w:p w:rsidR="004F1F89" w:rsidRPr="006A318F" w:rsidRDefault="004F1F89" w:rsidP="004F1F89">
            <w:pPr>
              <w:jc w:val="both"/>
              <w:rPr>
                <w:rFonts w:eastAsia="Calibri"/>
                <w:sz w:val="20"/>
                <w:lang w:val="fr-CA"/>
              </w:rPr>
            </w:pPr>
            <w:r w:rsidRPr="006A318F">
              <w:rPr>
                <w:rFonts w:eastAsia="Calibri"/>
                <w:sz w:val="20"/>
                <w:lang w:val="fr-CA"/>
              </w:rPr>
              <w:t>(Juges Doherty,  Juriansz et Epstein)</w:t>
            </w:r>
          </w:p>
          <w:p w:rsidR="004F1F89" w:rsidRPr="006A318F" w:rsidRDefault="004F1F89" w:rsidP="004F1F89">
            <w:pPr>
              <w:jc w:val="both"/>
              <w:rPr>
                <w:rFonts w:eastAsia="Calibri"/>
                <w:sz w:val="20"/>
                <w:lang w:val="fr-CA"/>
              </w:rPr>
            </w:pPr>
            <w:r w:rsidRPr="006A318F">
              <w:rPr>
                <w:rFonts w:eastAsia="Calibri"/>
                <w:sz w:val="20"/>
                <w:lang w:val="fr-CA"/>
              </w:rPr>
              <w:t>Référence neutre : 2011 ONCA 679</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Appel de la déclaration de culpabilité, rejeté</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10 janvier 2012</w:t>
            </w:r>
          </w:p>
          <w:p w:rsidR="004F1F89" w:rsidRPr="006A318F" w:rsidRDefault="004F1F89" w:rsidP="004F1F89">
            <w:pPr>
              <w:jc w:val="both"/>
              <w:rPr>
                <w:rFonts w:eastAsia="Calibri"/>
                <w:sz w:val="20"/>
                <w:lang w:val="fr-CA"/>
              </w:rPr>
            </w:pPr>
            <w:r w:rsidRPr="006A318F">
              <w:rPr>
                <w:rFonts w:eastAsia="Calibri"/>
                <w:sz w:val="20"/>
                <w:lang w:val="fr-CA"/>
              </w:rPr>
              <w:t>Cour suprême du Canada</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Requête en prorogation du délai de signification et de dépôt de la demande d’autorisation d’appel et demande d’autorisation d’appel, déposée</w:t>
            </w:r>
          </w:p>
        </w:tc>
      </w:tr>
    </w:tbl>
    <w:p w:rsidR="009B2448" w:rsidRPr="004F1F89" w:rsidRDefault="009B2448" w:rsidP="009B2448">
      <w:pPr>
        <w:rPr>
          <w:sz w:val="20"/>
          <w:szCs w:val="20"/>
          <w:lang w:val="fr-CA"/>
        </w:rPr>
      </w:pPr>
    </w:p>
    <w:p w:rsidR="009B2448" w:rsidRDefault="00B44839" w:rsidP="009B2448">
      <w:pPr>
        <w:rPr>
          <w:sz w:val="20"/>
          <w:szCs w:val="20"/>
          <w:lang w:val="fr-CA"/>
        </w:rPr>
      </w:pPr>
      <w:r w:rsidRPr="00B44839">
        <w:rPr>
          <w:sz w:val="20"/>
          <w:szCs w:val="20"/>
          <w:lang w:val="fr-CA"/>
        </w:rPr>
        <w:pict>
          <v:rect id="_x0000_i1065"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94E36" w:rsidRPr="00EC029E" w:rsidTr="002304D1">
        <w:trPr>
          <w:cantSplit/>
        </w:trPr>
        <w:tc>
          <w:tcPr>
            <w:tcW w:w="1458" w:type="dxa"/>
          </w:tcPr>
          <w:p w:rsidR="00E94E36" w:rsidRPr="00EC029E" w:rsidRDefault="00E94E36" w:rsidP="002304D1">
            <w:pPr>
              <w:rPr>
                <w:sz w:val="20"/>
                <w:szCs w:val="20"/>
              </w:rPr>
            </w:pPr>
            <w:r w:rsidRPr="00EC029E">
              <w:rPr>
                <w:rStyle w:val="SCCFileNumberChar"/>
                <w:sz w:val="20"/>
                <w:szCs w:val="20"/>
              </w:rPr>
              <w:t>34614</w:t>
            </w:r>
          </w:p>
          <w:p w:rsidR="00E94E36" w:rsidRPr="00EC029E" w:rsidRDefault="00E94E36" w:rsidP="002304D1">
            <w:pPr>
              <w:rPr>
                <w:b/>
                <w:sz w:val="20"/>
                <w:szCs w:val="20"/>
                <w:lang w:val="fr-CA"/>
              </w:rPr>
            </w:pPr>
          </w:p>
        </w:tc>
        <w:tc>
          <w:tcPr>
            <w:tcW w:w="8118" w:type="dxa"/>
          </w:tcPr>
          <w:p w:rsidR="00E94E36" w:rsidRPr="00EC029E" w:rsidRDefault="00E94E36" w:rsidP="00454999">
            <w:pPr>
              <w:jc w:val="both"/>
              <w:rPr>
                <w:sz w:val="20"/>
                <w:szCs w:val="20"/>
              </w:rPr>
            </w:pPr>
            <w:r w:rsidRPr="00E94E36">
              <w:rPr>
                <w:rStyle w:val="SCCLsocChar"/>
                <w:sz w:val="20"/>
                <w:szCs w:val="20"/>
                <w:lang w:val="en-CA"/>
              </w:rPr>
              <w:t>Ragavan Thamby v. Attorney General of Canada on behalf of The United States of America</w:t>
            </w:r>
            <w:r w:rsidRPr="00EC029E">
              <w:rPr>
                <w:sz w:val="20"/>
                <w:szCs w:val="20"/>
              </w:rPr>
              <w:t xml:space="preserve"> (Ont.) (Criminal) (By Leave)</w:t>
            </w:r>
          </w:p>
          <w:p w:rsidR="00E94E36" w:rsidRPr="00EC029E" w:rsidRDefault="00E94E36" w:rsidP="002304D1">
            <w:pPr>
              <w:rPr>
                <w:sz w:val="20"/>
                <w:szCs w:val="20"/>
              </w:rPr>
            </w:pPr>
          </w:p>
        </w:tc>
      </w:tr>
      <w:tr w:rsidR="00E94E36" w:rsidRPr="00EC029E" w:rsidTr="002304D1">
        <w:trPr>
          <w:cantSplit/>
        </w:trPr>
        <w:tc>
          <w:tcPr>
            <w:tcW w:w="1458" w:type="dxa"/>
          </w:tcPr>
          <w:p w:rsidR="00E94E36" w:rsidRPr="00EC029E" w:rsidRDefault="00E94E36" w:rsidP="002304D1">
            <w:pPr>
              <w:rPr>
                <w:sz w:val="20"/>
                <w:szCs w:val="20"/>
              </w:rPr>
            </w:pPr>
            <w:r w:rsidRPr="00EC029E">
              <w:rPr>
                <w:sz w:val="20"/>
                <w:szCs w:val="20"/>
              </w:rPr>
              <w:t>Coram :</w:t>
            </w:r>
          </w:p>
        </w:tc>
        <w:tc>
          <w:tcPr>
            <w:tcW w:w="8118" w:type="dxa"/>
          </w:tcPr>
          <w:p w:rsidR="00E94E36" w:rsidRPr="00EC029E" w:rsidRDefault="00E94E36" w:rsidP="002304D1">
            <w:pPr>
              <w:rPr>
                <w:sz w:val="20"/>
                <w:szCs w:val="20"/>
              </w:rPr>
            </w:pPr>
            <w:r w:rsidRPr="00E94E36">
              <w:rPr>
                <w:rStyle w:val="SCCCoramChar"/>
                <w:sz w:val="20"/>
                <w:szCs w:val="20"/>
                <w:lang w:val="en-CA"/>
              </w:rPr>
              <w:t>Deschamps, Fish and Karakatsanis JJ.</w:t>
            </w:r>
          </w:p>
          <w:p w:rsidR="00E94E36" w:rsidRPr="00EC029E" w:rsidRDefault="00E94E36" w:rsidP="002304D1">
            <w:pPr>
              <w:rPr>
                <w:sz w:val="20"/>
                <w:szCs w:val="20"/>
                <w:u w:val="single"/>
              </w:rPr>
            </w:pPr>
          </w:p>
        </w:tc>
      </w:tr>
      <w:tr w:rsidR="00E94E36" w:rsidRPr="004A42A2" w:rsidTr="002304D1">
        <w:trPr>
          <w:cantSplit/>
        </w:trPr>
        <w:tc>
          <w:tcPr>
            <w:tcW w:w="9576" w:type="dxa"/>
            <w:gridSpan w:val="2"/>
          </w:tcPr>
          <w:p w:rsidR="00E94E36" w:rsidRPr="00EC029E" w:rsidRDefault="00E94E36" w:rsidP="002304D1">
            <w:pPr>
              <w:pStyle w:val="SCCShortJudgment"/>
              <w:rPr>
                <w:szCs w:val="20"/>
              </w:rPr>
            </w:pPr>
            <w:r w:rsidRPr="00EC029E">
              <w:rPr>
                <w:szCs w:val="20"/>
              </w:rPr>
              <w:t>The application for leave to appeal from the judgment of the Court of Appeal for Ontario, Number C54224, 2011 ONCA 829, dated December 16, 2011, is dismissed without costs.</w:t>
            </w:r>
          </w:p>
          <w:p w:rsidR="00E94E36" w:rsidRPr="00EC029E" w:rsidRDefault="00E94E36" w:rsidP="002304D1">
            <w:pPr>
              <w:pStyle w:val="SCCShortJudgment"/>
              <w:ind w:firstLine="0"/>
              <w:rPr>
                <w:szCs w:val="20"/>
              </w:rPr>
            </w:pPr>
          </w:p>
          <w:p w:rsidR="00E94E36" w:rsidRPr="00EC029E" w:rsidRDefault="00E94E36" w:rsidP="002304D1">
            <w:pPr>
              <w:pStyle w:val="SCCShortJudgment"/>
              <w:rPr>
                <w:szCs w:val="20"/>
                <w:lang w:val="fr-CA"/>
              </w:rPr>
            </w:pPr>
            <w:r w:rsidRPr="00EC029E">
              <w:rPr>
                <w:szCs w:val="20"/>
                <w:lang w:val="fr-CA"/>
              </w:rPr>
              <w:t>La demande d’autorisation d’appel de l’arrêt de la Cour d’appel de l’Ontario, numéro C54224, 2011 ONCA 829, daté du 16 décembre 2011, est rejetée sans dépens.</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1F89" w:rsidRPr="006A318F" w:rsidTr="004F1F89">
        <w:tc>
          <w:tcPr>
            <w:tcW w:w="5000" w:type="pct"/>
            <w:gridSpan w:val="3"/>
          </w:tcPr>
          <w:p w:rsidR="004F1F89" w:rsidRPr="006A318F" w:rsidRDefault="004F1F89" w:rsidP="004F1F89">
            <w:pPr>
              <w:jc w:val="both"/>
              <w:rPr>
                <w:rFonts w:eastAsia="Calibri"/>
                <w:sz w:val="20"/>
              </w:rPr>
            </w:pPr>
            <w:r w:rsidRPr="006A318F">
              <w:rPr>
                <w:rFonts w:eastAsia="Calibri"/>
                <w:i/>
                <w:sz w:val="20"/>
              </w:rPr>
              <w:t>Canadian Charter of Rights and Freedoms</w:t>
            </w:r>
            <w:r w:rsidRPr="006A318F">
              <w:rPr>
                <w:rFonts w:eastAsia="Calibri"/>
                <w:sz w:val="20"/>
              </w:rPr>
              <w:t xml:space="preserve"> – s. 6(1) – Mobility Rights – Criminal law – Extradition – Whether the Court of Appeal erred in holding that there was no error in law with respect to the Minister’s decision given that the Minister failed to give proper consideration to the applicant’s unusual circumstances which included the plea agreement which would have been implemented but for the court office’s clerical error – Whether the Court of Appeal erred in holding that the Minister’s decision was not unreasonable given the Minister’s reliance on the withdrawal of the applicant’s Canadian charges to justify his extradition, which amounts to unfair and unreasonable circular reasoning - Whether the Court of Appeal erred in holding that the Minister’s decision was not unreasonable given that the Minister failed to provide an explanation why the Applicant cannot conclude his plea agreement in Canada in light of the unusual circumstances – Whether there are issues of public importance raised.</w:t>
            </w:r>
          </w:p>
        </w:tc>
      </w:tr>
      <w:tr w:rsidR="004F1F89" w:rsidRPr="006A318F" w:rsidTr="004F1F89">
        <w:tc>
          <w:tcPr>
            <w:tcW w:w="5000" w:type="pct"/>
            <w:gridSpan w:val="3"/>
          </w:tcPr>
          <w:p w:rsidR="004F1F89" w:rsidRPr="006A318F" w:rsidRDefault="004F1F89" w:rsidP="004F1F89">
            <w:pPr>
              <w:jc w:val="both"/>
              <w:rPr>
                <w:rFonts w:eastAsia="Calibri"/>
                <w:sz w:val="20"/>
              </w:rPr>
            </w:pPr>
          </w:p>
        </w:tc>
      </w:tr>
      <w:tr w:rsidR="004F1F89" w:rsidRPr="006A318F" w:rsidTr="004F1F89">
        <w:tc>
          <w:tcPr>
            <w:tcW w:w="5000" w:type="pct"/>
            <w:gridSpan w:val="3"/>
          </w:tcPr>
          <w:p w:rsidR="004F1F89" w:rsidRPr="006A318F" w:rsidRDefault="004F1F89" w:rsidP="004F1F89">
            <w:pPr>
              <w:jc w:val="both"/>
              <w:rPr>
                <w:rFonts w:eastAsia="Calibri"/>
                <w:sz w:val="20"/>
              </w:rPr>
            </w:pPr>
            <w:r w:rsidRPr="006A318F">
              <w:rPr>
                <w:rFonts w:eastAsia="Calibri"/>
                <w:sz w:val="20"/>
              </w:rPr>
              <w:t xml:space="preserve">The applicant, a Canadian citizen, is wanted to stand trial in the United States District Court for Texas, for his alleged participation in a fraudulent telemarketing scheme which operated from Canada and targeted elderly residents living in the United States. At the time of the United States request for extradition the applicant was also facing Canadian charges after an investigation into the same alleged fraudulent telemarketing activities. The applicant decided to plead guilty to the Canadian charges. But for a clerical error delaying the proceedings, the guilty plea would have been entered on July 24, 2009.  Counsel for the Attorney General of Ontario stayed the Canadian charges so that the extradition proceedings could go forward. The extradition judge ordered the applicant’s committal order for </w:t>
            </w:r>
            <w:r w:rsidRPr="006A318F">
              <w:rPr>
                <w:rFonts w:eastAsia="Calibri"/>
                <w:sz w:val="20"/>
              </w:rPr>
              <w:lastRenderedPageBreak/>
              <w:t xml:space="preserve">extradition on May 20, 2010. The Minister of Justice ordered the applicant’s surrender on October 15, 2010. The applicant appealed the committal order and sought judicial review of the surrender order. In a decision dated April 29, 2011, the Court of Appeal upheld the decision of the extradition judge. However, with respect to the surrender decision, the Court of Appeal allowed the application for judicial review and remitted the matter to the Minister of Justice for reconsideration. The applicant made additional submissions to the Minister. In a letter dated August 17, 2011, the Minister informed the applicant’s counsel that “I have concluded that Mr. Thamby’s surrender to the United States is still warranted on the offences for which his extradition is sought. For the reasons that follow, in my view, surrendering Mr. Thamby would be neither unjust, nor oppressive, nor unjustifiably violate his section 6(1) </w:t>
            </w:r>
            <w:r w:rsidRPr="006A318F">
              <w:rPr>
                <w:rFonts w:eastAsia="Calibri"/>
                <w:i/>
                <w:sz w:val="20"/>
              </w:rPr>
              <w:t>Charter</w:t>
            </w:r>
            <w:r w:rsidRPr="006A318F">
              <w:rPr>
                <w:rFonts w:eastAsia="Calibri"/>
                <w:sz w:val="20"/>
              </w:rPr>
              <w:t xml:space="preserve"> rights in all of the circumstances of this case.”  The Court of Appeal dismissed the application for judicial review.</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lastRenderedPageBreak/>
              <w:t>May 20, 2010</w:t>
            </w:r>
          </w:p>
          <w:p w:rsidR="004F1F89" w:rsidRPr="006A318F" w:rsidRDefault="004F1F89" w:rsidP="004F1F89">
            <w:pPr>
              <w:jc w:val="both"/>
              <w:rPr>
                <w:rFonts w:eastAsia="Calibri"/>
                <w:sz w:val="20"/>
              </w:rPr>
            </w:pPr>
            <w:r w:rsidRPr="006A318F">
              <w:rPr>
                <w:rFonts w:eastAsia="Calibri"/>
                <w:sz w:val="20"/>
              </w:rPr>
              <w:t>Superior Court of Justice</w:t>
            </w:r>
          </w:p>
          <w:p w:rsidR="004F1F89" w:rsidRPr="006A318F" w:rsidRDefault="004F1F89" w:rsidP="004F1F89">
            <w:pPr>
              <w:jc w:val="both"/>
              <w:rPr>
                <w:rFonts w:eastAsia="Calibri"/>
                <w:sz w:val="20"/>
              </w:rPr>
            </w:pPr>
            <w:r w:rsidRPr="006A318F">
              <w:rPr>
                <w:rFonts w:eastAsia="Calibri"/>
                <w:sz w:val="20"/>
              </w:rPr>
              <w:t>(Trafford J.)</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Applicant’s committal order for extradition ordered</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October 15, 2010</w:t>
            </w:r>
          </w:p>
          <w:p w:rsidR="004F1F89" w:rsidRPr="006A318F" w:rsidRDefault="004F1F89" w:rsidP="004F1F89">
            <w:pPr>
              <w:jc w:val="both"/>
              <w:rPr>
                <w:rFonts w:eastAsia="Calibri"/>
                <w:sz w:val="20"/>
              </w:rPr>
            </w:pPr>
            <w:r w:rsidRPr="006A318F">
              <w:rPr>
                <w:rFonts w:eastAsia="Calibri"/>
                <w:sz w:val="20"/>
              </w:rPr>
              <w:t>The Honourable Robert Nicholson, Minister of Justice and Attorney General</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Surrender of the applicant to the United States ordered</w:t>
            </w: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April 29, 2011</w:t>
            </w:r>
          </w:p>
          <w:p w:rsidR="004F1F89" w:rsidRPr="006A318F" w:rsidRDefault="004F1F89" w:rsidP="004F1F89">
            <w:pPr>
              <w:jc w:val="both"/>
              <w:rPr>
                <w:rFonts w:eastAsia="Calibri"/>
                <w:sz w:val="20"/>
              </w:rPr>
            </w:pPr>
            <w:r w:rsidRPr="006A318F">
              <w:rPr>
                <w:rFonts w:eastAsia="Calibri"/>
                <w:sz w:val="20"/>
              </w:rPr>
              <w:t>Court of Appeal for Ontario</w:t>
            </w:r>
          </w:p>
          <w:p w:rsidR="004F1F89" w:rsidRPr="006A318F" w:rsidRDefault="004F1F89" w:rsidP="004F1F89">
            <w:pPr>
              <w:jc w:val="both"/>
              <w:rPr>
                <w:rFonts w:eastAsia="Calibri"/>
                <w:sz w:val="20"/>
              </w:rPr>
            </w:pPr>
            <w:r w:rsidRPr="006A318F">
              <w:rPr>
                <w:rFonts w:eastAsia="Calibri"/>
                <w:sz w:val="20"/>
              </w:rPr>
              <w:t>(Laskin, MacPherson and Sharpe JJ.A.)</w:t>
            </w: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Appeal from committal order dismissed; Application for judicial review allowed and matter remitted to the Minister of Justice for reconsideration</w:t>
            </w:r>
          </w:p>
          <w:p w:rsidR="004F1F89" w:rsidRPr="006A318F" w:rsidRDefault="004F1F89" w:rsidP="004F1F89">
            <w:pPr>
              <w:jc w:val="both"/>
              <w:rPr>
                <w:rFonts w:eastAsia="Calibri"/>
                <w:sz w:val="20"/>
              </w:rPr>
            </w:pP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August 17, 2011</w:t>
            </w:r>
          </w:p>
          <w:p w:rsidR="004F1F89" w:rsidRPr="006A318F" w:rsidRDefault="004F1F89" w:rsidP="004F1F89">
            <w:pPr>
              <w:jc w:val="both"/>
              <w:rPr>
                <w:rFonts w:eastAsia="Calibri"/>
                <w:sz w:val="20"/>
              </w:rPr>
            </w:pPr>
            <w:r w:rsidRPr="006A318F">
              <w:rPr>
                <w:rFonts w:eastAsia="Calibri"/>
                <w:sz w:val="20"/>
              </w:rPr>
              <w:t>The Honourable Robert Nicholson, Minister of Justice and Attorney General</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Surrender of the applicant to the United States ordered</w:t>
            </w: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December 16, 2011</w:t>
            </w:r>
          </w:p>
          <w:p w:rsidR="004F1F89" w:rsidRPr="006A318F" w:rsidRDefault="004F1F89" w:rsidP="004F1F89">
            <w:pPr>
              <w:jc w:val="both"/>
              <w:rPr>
                <w:rFonts w:eastAsia="Calibri"/>
                <w:sz w:val="20"/>
              </w:rPr>
            </w:pPr>
            <w:r w:rsidRPr="006A318F">
              <w:rPr>
                <w:rFonts w:eastAsia="Calibri"/>
                <w:sz w:val="20"/>
              </w:rPr>
              <w:t>Court of Appeal for Ontario</w:t>
            </w:r>
          </w:p>
          <w:p w:rsidR="004F1F89" w:rsidRPr="006A318F" w:rsidRDefault="004F1F89" w:rsidP="004F1F89">
            <w:pPr>
              <w:jc w:val="both"/>
              <w:rPr>
                <w:rFonts w:eastAsia="Calibri"/>
                <w:sz w:val="20"/>
                <w:lang w:val="fr-CA"/>
              </w:rPr>
            </w:pPr>
            <w:r w:rsidRPr="006A318F">
              <w:rPr>
                <w:rFonts w:eastAsia="Calibri"/>
                <w:sz w:val="20"/>
                <w:lang w:val="fr-CA"/>
              </w:rPr>
              <w:t>(MacPherson, Juriansz, Epstein JJ.A.)</w:t>
            </w:r>
          </w:p>
          <w:p w:rsidR="004F1F89" w:rsidRPr="006A318F" w:rsidRDefault="004F1F89" w:rsidP="004F1F89">
            <w:pPr>
              <w:jc w:val="both"/>
              <w:rPr>
                <w:rFonts w:eastAsia="Calibri"/>
                <w:sz w:val="20"/>
              </w:rPr>
            </w:pPr>
            <w:r w:rsidRPr="006A318F">
              <w:rPr>
                <w:rFonts w:eastAsia="Calibri"/>
                <w:sz w:val="20"/>
              </w:rPr>
              <w:t>Neutral citation: 2011 ONCA 829</w:t>
            </w:r>
          </w:p>
          <w:p w:rsidR="004F1F89" w:rsidRPr="006A318F" w:rsidRDefault="004F1F89" w:rsidP="004F1F89">
            <w:pPr>
              <w:jc w:val="both"/>
              <w:rPr>
                <w:rFonts w:eastAsia="Calibri"/>
                <w:sz w:val="20"/>
              </w:rPr>
            </w:pP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Application for judicial review dismissed</w:t>
            </w:r>
          </w:p>
        </w:tc>
      </w:tr>
      <w:tr w:rsidR="004F1F89" w:rsidRPr="006A318F" w:rsidTr="004F1F89">
        <w:tc>
          <w:tcPr>
            <w:tcW w:w="2427" w:type="pct"/>
          </w:tcPr>
          <w:p w:rsidR="004F1F89" w:rsidRPr="006A318F" w:rsidRDefault="004F1F89" w:rsidP="004F1F89">
            <w:pPr>
              <w:jc w:val="both"/>
              <w:rPr>
                <w:rFonts w:eastAsia="Calibri"/>
                <w:sz w:val="20"/>
              </w:rPr>
            </w:pPr>
            <w:r w:rsidRPr="006A318F">
              <w:rPr>
                <w:rFonts w:eastAsia="Calibri"/>
                <w:sz w:val="20"/>
              </w:rPr>
              <w:t>February 10, 2012</w:t>
            </w:r>
          </w:p>
          <w:p w:rsidR="004F1F89" w:rsidRPr="006A318F" w:rsidRDefault="004F1F89" w:rsidP="004F1F89">
            <w:pPr>
              <w:jc w:val="both"/>
              <w:rPr>
                <w:rFonts w:eastAsia="Calibri"/>
                <w:sz w:val="20"/>
              </w:rPr>
            </w:pPr>
            <w:r w:rsidRPr="006A318F">
              <w:rPr>
                <w:rFonts w:eastAsia="Calibri"/>
                <w:sz w:val="20"/>
              </w:rPr>
              <w:t>Supreme Court of Canada</w:t>
            </w:r>
          </w:p>
        </w:tc>
        <w:tc>
          <w:tcPr>
            <w:tcW w:w="243" w:type="pct"/>
          </w:tcPr>
          <w:p w:rsidR="004F1F89" w:rsidRPr="006A318F" w:rsidRDefault="004F1F89" w:rsidP="004F1F89">
            <w:pPr>
              <w:jc w:val="both"/>
              <w:rPr>
                <w:rFonts w:eastAsia="Calibri"/>
                <w:sz w:val="20"/>
              </w:rPr>
            </w:pPr>
          </w:p>
        </w:tc>
        <w:tc>
          <w:tcPr>
            <w:tcW w:w="2330" w:type="pct"/>
          </w:tcPr>
          <w:p w:rsidR="004F1F89" w:rsidRPr="006A318F" w:rsidRDefault="004F1F89" w:rsidP="004F1F89">
            <w:pPr>
              <w:jc w:val="both"/>
              <w:rPr>
                <w:rFonts w:eastAsia="Calibri"/>
                <w:sz w:val="20"/>
              </w:rPr>
            </w:pPr>
            <w:r w:rsidRPr="006A318F">
              <w:rPr>
                <w:rFonts w:eastAsia="Calibri"/>
                <w:sz w:val="20"/>
              </w:rPr>
              <w:t>Application for leave to appeal filed</w:t>
            </w:r>
          </w:p>
          <w:p w:rsidR="004F1F89" w:rsidRPr="006A318F" w:rsidRDefault="004F1F89" w:rsidP="004F1F89">
            <w:pPr>
              <w:jc w:val="both"/>
              <w:rPr>
                <w:rFonts w:eastAsia="Calibri"/>
                <w:sz w:val="20"/>
              </w:rPr>
            </w:pP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66"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F1F89" w:rsidRPr="004A42A2" w:rsidTr="004F1F89">
        <w:tc>
          <w:tcPr>
            <w:tcW w:w="5000" w:type="pct"/>
            <w:gridSpan w:val="3"/>
          </w:tcPr>
          <w:p w:rsidR="004F1F89" w:rsidRPr="006A318F" w:rsidRDefault="004F1F89" w:rsidP="004F1F89">
            <w:pPr>
              <w:jc w:val="both"/>
              <w:rPr>
                <w:rFonts w:eastAsia="Calibri"/>
                <w:sz w:val="20"/>
                <w:lang w:val="fr-CA"/>
              </w:rPr>
            </w:pPr>
            <w:r w:rsidRPr="006A318F">
              <w:rPr>
                <w:rFonts w:eastAsia="Calibri"/>
                <w:i/>
                <w:sz w:val="20"/>
                <w:lang w:val="fr-CA"/>
              </w:rPr>
              <w:t>Charte canadienne des droits et libertés</w:t>
            </w:r>
            <w:r w:rsidRPr="006A318F">
              <w:rPr>
                <w:rFonts w:eastAsia="Calibri"/>
                <w:sz w:val="20"/>
                <w:lang w:val="fr-CA"/>
              </w:rPr>
              <w:t xml:space="preserve"> – par. 6(1) – Liberté de circulation et d’établissement – Droit criminel – Extradition – La Cour d’appel a</w:t>
            </w:r>
            <w:r w:rsidRPr="006A318F">
              <w:rPr>
                <w:rFonts w:eastAsia="Calibri"/>
                <w:sz w:val="20"/>
                <w:lang w:val="fr-CA"/>
              </w:rPr>
              <w:noBreakHyphen/>
              <w:t>t</w:t>
            </w:r>
            <w:r w:rsidRPr="006A318F">
              <w:rPr>
                <w:rFonts w:eastAsia="Calibri"/>
                <w:sz w:val="20"/>
                <w:lang w:val="fr-CA"/>
              </w:rPr>
              <w:noBreakHyphen/>
              <w:t>elle eu tort de statuer que la décision du ministre n’était entachée d’aucune erreur de droit vu que le ministre n’a pas pris dûment en compte la situation inusitée du demandeur, notamment la transaction pénale qui aurait été mise en œuvre n’eut été de l’erreur d’écriture du greffe? – La Cour d’appel a</w:t>
            </w:r>
            <w:r w:rsidRPr="006A318F">
              <w:rPr>
                <w:rFonts w:eastAsia="Calibri"/>
                <w:sz w:val="20"/>
                <w:lang w:val="fr-CA"/>
              </w:rPr>
              <w:noBreakHyphen/>
              <w:t>t</w:t>
            </w:r>
            <w:r w:rsidRPr="006A318F">
              <w:rPr>
                <w:rFonts w:eastAsia="Calibri"/>
                <w:sz w:val="20"/>
                <w:lang w:val="fr-CA"/>
              </w:rPr>
              <w:noBreakHyphen/>
              <w:t>elle eu tort de statuer que la décision du ministre n’était pas déraisonnable vu que le ministre s’est appuyé sur l’abandon des accusations portées contre le demandeur au Canada pour justifier son extradition, ce qui équivaut à un raisonnement circulaire injuste et déraisonnable? – La Cour d’appel a</w:t>
            </w:r>
            <w:r w:rsidRPr="006A318F">
              <w:rPr>
                <w:rFonts w:eastAsia="Calibri"/>
                <w:sz w:val="20"/>
                <w:lang w:val="fr-CA"/>
              </w:rPr>
              <w:noBreakHyphen/>
              <w:t>t</w:t>
            </w:r>
            <w:r w:rsidRPr="006A318F">
              <w:rPr>
                <w:rFonts w:eastAsia="Calibri"/>
                <w:sz w:val="20"/>
                <w:lang w:val="fr-CA"/>
              </w:rPr>
              <w:noBreakHyphen/>
              <w:t>elle eu tort de statuer que la décision du ministre n’était pas déraisonnable vu que le ministre a omis d’expliquer pourquoi le demandeur ne peut pas conclure sa transaction pénale au Canada en raison de sa situation inusitée? – L’affaire soulève</w:t>
            </w:r>
            <w:r w:rsidRPr="006A318F">
              <w:rPr>
                <w:rFonts w:eastAsia="Calibri"/>
                <w:sz w:val="20"/>
                <w:lang w:val="fr-CA"/>
              </w:rPr>
              <w:noBreakHyphen/>
              <w:t>t</w:t>
            </w:r>
            <w:r w:rsidRPr="006A318F">
              <w:rPr>
                <w:rFonts w:eastAsia="Calibri"/>
                <w:sz w:val="20"/>
                <w:lang w:val="fr-CA"/>
              </w:rPr>
              <w:noBreakHyphen/>
              <w:t>elle des questions d’importance pour le public?</w:t>
            </w:r>
          </w:p>
        </w:tc>
      </w:tr>
      <w:tr w:rsidR="004F1F89" w:rsidRPr="004A42A2" w:rsidTr="004F1F89">
        <w:tc>
          <w:tcPr>
            <w:tcW w:w="5000" w:type="pct"/>
            <w:gridSpan w:val="3"/>
          </w:tcPr>
          <w:p w:rsidR="004F1F89" w:rsidRPr="006A318F" w:rsidRDefault="004F1F89" w:rsidP="004F1F89">
            <w:pPr>
              <w:jc w:val="both"/>
              <w:rPr>
                <w:rFonts w:eastAsia="Calibri"/>
                <w:sz w:val="20"/>
                <w:lang w:val="fr-CA"/>
              </w:rPr>
            </w:pPr>
          </w:p>
        </w:tc>
      </w:tr>
      <w:tr w:rsidR="004F1F89" w:rsidRPr="004A42A2" w:rsidTr="004F1F89">
        <w:tc>
          <w:tcPr>
            <w:tcW w:w="5000" w:type="pct"/>
            <w:gridSpan w:val="3"/>
          </w:tcPr>
          <w:p w:rsidR="004F1F89" w:rsidRPr="006A318F" w:rsidRDefault="004F1F89" w:rsidP="004F1F89">
            <w:pPr>
              <w:jc w:val="both"/>
              <w:rPr>
                <w:rFonts w:eastAsia="Calibri"/>
                <w:sz w:val="20"/>
                <w:lang w:val="fr-CA"/>
              </w:rPr>
            </w:pPr>
            <w:r w:rsidRPr="006A318F">
              <w:rPr>
                <w:rFonts w:eastAsia="Calibri"/>
                <w:sz w:val="20"/>
                <w:lang w:val="fr-CA"/>
              </w:rPr>
              <w:t>Le demandeur, un citoyen canadien, est sommé de subir son procès devant la cour de district des États</w:t>
            </w:r>
            <w:r w:rsidRPr="006A318F">
              <w:rPr>
                <w:rFonts w:eastAsia="Calibri"/>
                <w:sz w:val="20"/>
                <w:lang w:val="fr-CA"/>
              </w:rPr>
              <w:noBreakHyphen/>
              <w:t xml:space="preserve">Unis du Texas, pour avoir censément participé à un stratagème frauduleux de télémarketing qui était mené à partir du Canada et qui </w:t>
            </w:r>
            <w:r w:rsidRPr="006A318F">
              <w:rPr>
                <w:rFonts w:eastAsia="Calibri"/>
                <w:sz w:val="20"/>
                <w:lang w:val="fr-CA"/>
              </w:rPr>
              <w:lastRenderedPageBreak/>
              <w:t>avait pour cible des personnes âgées qui vivaient aux États</w:t>
            </w:r>
            <w:r w:rsidRPr="006A318F">
              <w:rPr>
                <w:rFonts w:eastAsia="Calibri"/>
                <w:sz w:val="20"/>
                <w:lang w:val="fr-CA"/>
              </w:rPr>
              <w:noBreakHyphen/>
              <w:t>Unis. À l’époque de la demande d’extradition des États</w:t>
            </w:r>
            <w:r w:rsidRPr="006A318F">
              <w:rPr>
                <w:rFonts w:eastAsia="Calibri"/>
                <w:sz w:val="20"/>
                <w:lang w:val="fr-CA"/>
              </w:rPr>
              <w:noBreakHyphen/>
              <w:t>Unis, le demandeur faisait également face à des accusations au Canada à la suite d’une enquête portant sur les mêmes activités de télémarketing frauduleuses présumées. Le demandeur a décidé de plaider coupable aux accusations canadiennes. N’eut été d’une erreur d’écriture qui a eu pour effet de retarder l’instance, le plaidoyer de culpabilité aurait été inscrit le 24 juillet 2009.  L’avocat du procureur général de l’Ontario a arrêté les procédures relativement aux accusations canadiennes pour permettre aux mesures d’extradition de suivre leur cours. Le 20 mai 2010, le juge d’extradition a ordonné l’incarcération du demandeur en vue de son extradition. Le 15 octobre 2010, le ministre de la Justice a ordonné l’extradition du demandeur. Le demandeur a interjeté appel de l’ordonnance d’incarcération et a demandé le contrôle judiciaire de l’arrêté d’extradition. Dans une décision rendue le 29 avril 2011, la Cour d’appel a confirmé la décision du juge d’extradition. Toutefois, en ce qui a trait à l’arrêté d’extradition, la Cour d’appel a accueilli la demande de contrôle judiciaire et a renvoyé l’affaire au ministre pour un réexamen. Le demandeur a présenté des observations supplémentaires au ministre. Dans une lettre datée du 17 août 2011, le ministre a informé l’avocat du demandeur en ces termes : [</w:t>
            </w:r>
            <w:r w:rsidRPr="006A318F">
              <w:rPr>
                <w:rFonts w:eastAsia="Calibri"/>
                <w:smallCaps/>
                <w:sz w:val="20"/>
                <w:lang w:val="fr-CA"/>
              </w:rPr>
              <w:t>traduction</w:t>
            </w:r>
            <w:r w:rsidRPr="006A318F">
              <w:rPr>
                <w:rFonts w:eastAsia="Calibri"/>
                <w:sz w:val="20"/>
                <w:lang w:val="fr-CA"/>
              </w:rPr>
              <w:t>] « J’ai conclu que l’extradition de M. Thamby vers les États</w:t>
            </w:r>
            <w:r w:rsidRPr="006A318F">
              <w:rPr>
                <w:rFonts w:eastAsia="Calibri"/>
                <w:sz w:val="20"/>
                <w:lang w:val="fr-CA"/>
              </w:rPr>
              <w:noBreakHyphen/>
              <w:t>Unis était toujours justifiée relativement aux infractions pour lesquelles l’extradition est demandée. Pour les motifs exposés ci</w:t>
            </w:r>
            <w:r w:rsidRPr="006A318F">
              <w:rPr>
                <w:rFonts w:eastAsia="Calibri"/>
                <w:sz w:val="20"/>
                <w:lang w:val="fr-CA"/>
              </w:rPr>
              <w:noBreakHyphen/>
              <w:t xml:space="preserve">après, à mon avis, l’extradition de M. Thamby ne serait ni injuste, ni tyrannique et ne violerait pas de façon injustifiable les droits que lui garantit le paragraphe 6(1) de la </w:t>
            </w:r>
            <w:r w:rsidRPr="006A318F">
              <w:rPr>
                <w:rFonts w:eastAsia="Calibri"/>
                <w:i/>
                <w:sz w:val="20"/>
                <w:lang w:val="fr-CA"/>
              </w:rPr>
              <w:t>Charte</w:t>
            </w:r>
            <w:r w:rsidRPr="006A318F">
              <w:rPr>
                <w:rFonts w:eastAsia="Calibri"/>
                <w:sz w:val="20"/>
                <w:lang w:val="fr-CA"/>
              </w:rPr>
              <w:t xml:space="preserve"> compte tenu de toutes les circonstances en l’espèce. » La Cour d’appel a rejeté la demande de contrôle judiciaire.</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lastRenderedPageBreak/>
              <w:t>20 mai 2010</w:t>
            </w:r>
          </w:p>
          <w:p w:rsidR="004F1F89" w:rsidRPr="006A318F" w:rsidRDefault="004F1F89" w:rsidP="004F1F89">
            <w:pPr>
              <w:jc w:val="both"/>
              <w:rPr>
                <w:rFonts w:eastAsia="Calibri"/>
                <w:sz w:val="20"/>
                <w:lang w:val="fr-CA"/>
              </w:rPr>
            </w:pPr>
            <w:r w:rsidRPr="006A318F">
              <w:rPr>
                <w:rFonts w:eastAsia="Calibri"/>
                <w:sz w:val="20"/>
                <w:lang w:val="fr-CA"/>
              </w:rPr>
              <w:t>Cour supérieure de justice</w:t>
            </w:r>
          </w:p>
          <w:p w:rsidR="004F1F89" w:rsidRPr="006A318F" w:rsidRDefault="004F1F89" w:rsidP="004F1F89">
            <w:pPr>
              <w:jc w:val="both"/>
              <w:rPr>
                <w:rFonts w:eastAsia="Calibri"/>
                <w:sz w:val="20"/>
                <w:lang w:val="fr-CA"/>
              </w:rPr>
            </w:pPr>
            <w:r w:rsidRPr="006A318F">
              <w:rPr>
                <w:rFonts w:eastAsia="Calibri"/>
                <w:sz w:val="20"/>
                <w:lang w:val="fr-CA"/>
              </w:rPr>
              <w:t>(Juge Trafford)</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Ordonnance d’incarcération du demandeur en vue de son extradition</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15 octobre 2010</w:t>
            </w:r>
          </w:p>
          <w:p w:rsidR="004F1F89" w:rsidRPr="006A318F" w:rsidRDefault="004F1F89" w:rsidP="004F1F89">
            <w:pPr>
              <w:jc w:val="both"/>
              <w:rPr>
                <w:rFonts w:eastAsia="Calibri"/>
                <w:sz w:val="20"/>
                <w:lang w:val="fr-CA"/>
              </w:rPr>
            </w:pPr>
            <w:r w:rsidRPr="006A318F">
              <w:rPr>
                <w:rFonts w:eastAsia="Calibri"/>
                <w:sz w:val="20"/>
                <w:lang w:val="fr-CA"/>
              </w:rPr>
              <w:t>L’honorable Robert Nicholson, ministre de la Justice et procureur général</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Arrêté d’extradition du demandeur vers les États</w:t>
            </w:r>
            <w:r w:rsidRPr="006A318F">
              <w:rPr>
                <w:rFonts w:eastAsia="Calibri"/>
                <w:sz w:val="20"/>
                <w:lang w:val="fr-CA"/>
              </w:rPr>
              <w:noBreakHyphen/>
              <w:t>Unis</w:t>
            </w: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29 avril 2011</w:t>
            </w:r>
          </w:p>
          <w:p w:rsidR="004F1F89" w:rsidRPr="006A318F" w:rsidRDefault="004F1F89" w:rsidP="004F1F89">
            <w:pPr>
              <w:jc w:val="both"/>
              <w:rPr>
                <w:rFonts w:eastAsia="Calibri"/>
                <w:sz w:val="20"/>
                <w:lang w:val="fr-CA"/>
              </w:rPr>
            </w:pPr>
            <w:r w:rsidRPr="006A318F">
              <w:rPr>
                <w:rFonts w:eastAsia="Calibri"/>
                <w:sz w:val="20"/>
                <w:lang w:val="fr-CA"/>
              </w:rPr>
              <w:t>Cour d’appel de l’Ontario</w:t>
            </w:r>
          </w:p>
          <w:p w:rsidR="004F1F89" w:rsidRPr="006A318F" w:rsidRDefault="004F1F89" w:rsidP="004F1F89">
            <w:pPr>
              <w:jc w:val="both"/>
              <w:rPr>
                <w:rFonts w:eastAsia="Calibri"/>
                <w:sz w:val="20"/>
                <w:lang w:val="fr-CA"/>
              </w:rPr>
            </w:pPr>
            <w:r w:rsidRPr="006A318F">
              <w:rPr>
                <w:rFonts w:eastAsia="Calibri"/>
                <w:sz w:val="20"/>
                <w:lang w:val="fr-CA"/>
              </w:rPr>
              <w:t>(Juges Laskin, MacPherson et Sharpe)</w:t>
            </w: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Appel de l’ordonnance d’incarcération, rejeté; demande de contrôle judiciaire, accueillie et affaire renvoyée au ministre de la Justice pour réexamen</w:t>
            </w:r>
          </w:p>
          <w:p w:rsidR="004F1F89" w:rsidRPr="006A318F" w:rsidRDefault="004F1F89" w:rsidP="004F1F89">
            <w:pPr>
              <w:jc w:val="both"/>
              <w:rPr>
                <w:rFonts w:eastAsia="Calibri"/>
                <w:sz w:val="20"/>
                <w:lang w:val="fr-CA"/>
              </w:rPr>
            </w:pP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17 août 2011</w:t>
            </w:r>
          </w:p>
          <w:p w:rsidR="004F1F89" w:rsidRPr="006A318F" w:rsidRDefault="004F1F89" w:rsidP="004F1F89">
            <w:pPr>
              <w:jc w:val="both"/>
              <w:rPr>
                <w:rFonts w:eastAsia="Calibri"/>
                <w:sz w:val="20"/>
                <w:lang w:val="fr-CA"/>
              </w:rPr>
            </w:pPr>
            <w:r w:rsidRPr="006A318F">
              <w:rPr>
                <w:rFonts w:eastAsia="Calibri"/>
                <w:sz w:val="20"/>
                <w:lang w:val="fr-CA"/>
              </w:rPr>
              <w:t>L’honorable Robert Nicholson, ministre de la Justice et procureur général</w:t>
            </w:r>
          </w:p>
          <w:p w:rsidR="004F1F89" w:rsidRPr="006A318F" w:rsidRDefault="004F1F89" w:rsidP="004F1F8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Arrêté d’extradition du demandeur vers les États</w:t>
            </w:r>
            <w:r w:rsidRPr="006A318F">
              <w:rPr>
                <w:rFonts w:eastAsia="Calibri"/>
                <w:sz w:val="20"/>
                <w:lang w:val="fr-CA"/>
              </w:rPr>
              <w:noBreakHyphen/>
              <w:t>Unis</w:t>
            </w:r>
          </w:p>
        </w:tc>
      </w:tr>
      <w:tr w:rsidR="004F1F89" w:rsidRPr="004A42A2"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16 décembre 2011</w:t>
            </w:r>
          </w:p>
          <w:p w:rsidR="004F1F89" w:rsidRPr="006A318F" w:rsidRDefault="004F1F89" w:rsidP="004F1F89">
            <w:pPr>
              <w:jc w:val="both"/>
              <w:rPr>
                <w:rFonts w:eastAsia="Calibri"/>
                <w:sz w:val="20"/>
                <w:lang w:val="fr-CA"/>
              </w:rPr>
            </w:pPr>
            <w:r w:rsidRPr="006A318F">
              <w:rPr>
                <w:rFonts w:eastAsia="Calibri"/>
                <w:sz w:val="20"/>
                <w:lang w:val="fr-CA"/>
              </w:rPr>
              <w:t>Cour d’appel de l’Ontario</w:t>
            </w:r>
          </w:p>
          <w:p w:rsidR="004F1F89" w:rsidRPr="006A318F" w:rsidRDefault="004F1F89" w:rsidP="004F1F89">
            <w:pPr>
              <w:jc w:val="both"/>
              <w:rPr>
                <w:rFonts w:eastAsia="Calibri"/>
                <w:sz w:val="20"/>
                <w:lang w:val="fr-CA"/>
              </w:rPr>
            </w:pPr>
            <w:r w:rsidRPr="006A318F">
              <w:rPr>
                <w:rFonts w:eastAsia="Calibri"/>
                <w:sz w:val="20"/>
                <w:lang w:val="fr-CA"/>
              </w:rPr>
              <w:t>(Juges MacPherson, Juriansz et Epstein)</w:t>
            </w:r>
          </w:p>
          <w:p w:rsidR="004F1F89" w:rsidRDefault="004F1F89" w:rsidP="00454999">
            <w:pPr>
              <w:jc w:val="both"/>
              <w:rPr>
                <w:rFonts w:eastAsia="Calibri"/>
                <w:sz w:val="20"/>
                <w:lang w:val="fr-CA"/>
              </w:rPr>
            </w:pPr>
            <w:r w:rsidRPr="006A318F">
              <w:rPr>
                <w:rFonts w:eastAsia="Calibri"/>
                <w:sz w:val="20"/>
                <w:lang w:val="fr-CA"/>
              </w:rPr>
              <w:t>Référence neutre : 2011 ONCA 829</w:t>
            </w:r>
          </w:p>
          <w:p w:rsidR="00CA2962" w:rsidRPr="006A318F" w:rsidRDefault="00CA2962" w:rsidP="00454999">
            <w:pPr>
              <w:jc w:val="both"/>
              <w:rPr>
                <w:rFonts w:eastAsia="Calibri"/>
                <w:sz w:val="20"/>
                <w:lang w:val="fr-CA"/>
              </w:rPr>
            </w:pP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Demande de contrôle judiciaire, rejetée</w:t>
            </w:r>
          </w:p>
        </w:tc>
      </w:tr>
      <w:tr w:rsidR="004F1F89" w:rsidRPr="006A318F" w:rsidTr="004F1F89">
        <w:tc>
          <w:tcPr>
            <w:tcW w:w="2427" w:type="pct"/>
          </w:tcPr>
          <w:p w:rsidR="004F1F89" w:rsidRPr="006A318F" w:rsidRDefault="004F1F89" w:rsidP="004F1F89">
            <w:pPr>
              <w:jc w:val="both"/>
              <w:rPr>
                <w:rFonts w:eastAsia="Calibri"/>
                <w:sz w:val="20"/>
                <w:lang w:val="fr-CA"/>
              </w:rPr>
            </w:pPr>
            <w:r w:rsidRPr="006A318F">
              <w:rPr>
                <w:rFonts w:eastAsia="Calibri"/>
                <w:sz w:val="20"/>
                <w:lang w:val="fr-CA"/>
              </w:rPr>
              <w:t>10 février 2012</w:t>
            </w:r>
          </w:p>
          <w:p w:rsidR="004F1F89" w:rsidRPr="006A318F" w:rsidRDefault="004F1F89" w:rsidP="004F1F89">
            <w:pPr>
              <w:jc w:val="both"/>
              <w:rPr>
                <w:rFonts w:eastAsia="Calibri"/>
                <w:sz w:val="20"/>
                <w:lang w:val="fr-CA"/>
              </w:rPr>
            </w:pPr>
            <w:r w:rsidRPr="006A318F">
              <w:rPr>
                <w:rFonts w:eastAsia="Calibri"/>
                <w:sz w:val="20"/>
                <w:lang w:val="fr-CA"/>
              </w:rPr>
              <w:t>Cour suprême du Canada</w:t>
            </w:r>
          </w:p>
        </w:tc>
        <w:tc>
          <w:tcPr>
            <w:tcW w:w="243" w:type="pct"/>
          </w:tcPr>
          <w:p w:rsidR="004F1F89" w:rsidRPr="006A318F" w:rsidRDefault="004F1F89" w:rsidP="004F1F89">
            <w:pPr>
              <w:jc w:val="both"/>
              <w:rPr>
                <w:rFonts w:eastAsia="Calibri"/>
                <w:sz w:val="20"/>
                <w:lang w:val="fr-CA"/>
              </w:rPr>
            </w:pPr>
          </w:p>
        </w:tc>
        <w:tc>
          <w:tcPr>
            <w:tcW w:w="2330" w:type="pct"/>
          </w:tcPr>
          <w:p w:rsidR="004F1F89" w:rsidRPr="006A318F" w:rsidRDefault="004F1F89" w:rsidP="004F1F89">
            <w:pPr>
              <w:jc w:val="both"/>
              <w:rPr>
                <w:rFonts w:eastAsia="Calibri"/>
                <w:sz w:val="20"/>
                <w:lang w:val="fr-CA"/>
              </w:rPr>
            </w:pPr>
            <w:r w:rsidRPr="006A318F">
              <w:rPr>
                <w:rFonts w:eastAsia="Calibri"/>
                <w:sz w:val="20"/>
                <w:lang w:val="fr-CA"/>
              </w:rPr>
              <w:t>Demande d’autorisation d’appel, déposée</w:t>
            </w:r>
          </w:p>
          <w:p w:rsidR="004F1F89" w:rsidRPr="006A318F" w:rsidRDefault="004F1F89" w:rsidP="004F1F89">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67"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54999" w:rsidRPr="00454999" w:rsidTr="002304D1">
        <w:trPr>
          <w:cantSplit/>
        </w:trPr>
        <w:tc>
          <w:tcPr>
            <w:tcW w:w="1458" w:type="dxa"/>
          </w:tcPr>
          <w:p w:rsidR="00454999" w:rsidRPr="00EC029E" w:rsidRDefault="00454999" w:rsidP="002304D1">
            <w:pPr>
              <w:rPr>
                <w:sz w:val="20"/>
                <w:szCs w:val="20"/>
              </w:rPr>
            </w:pPr>
            <w:r w:rsidRPr="00EC029E">
              <w:rPr>
                <w:rStyle w:val="SCCFileNumberChar"/>
                <w:sz w:val="20"/>
                <w:szCs w:val="20"/>
              </w:rPr>
              <w:t>34631</w:t>
            </w:r>
          </w:p>
          <w:p w:rsidR="00454999" w:rsidRPr="00EC029E" w:rsidRDefault="00454999" w:rsidP="002304D1">
            <w:pPr>
              <w:rPr>
                <w:b/>
                <w:sz w:val="20"/>
                <w:szCs w:val="20"/>
                <w:lang w:val="fr-CA"/>
              </w:rPr>
            </w:pPr>
          </w:p>
        </w:tc>
        <w:tc>
          <w:tcPr>
            <w:tcW w:w="8118" w:type="dxa"/>
          </w:tcPr>
          <w:p w:rsidR="00454999" w:rsidRPr="00454999" w:rsidRDefault="00454999" w:rsidP="00454999">
            <w:pPr>
              <w:jc w:val="both"/>
              <w:rPr>
                <w:sz w:val="20"/>
                <w:szCs w:val="20"/>
                <w:lang w:val="fr-CA"/>
              </w:rPr>
            </w:pPr>
            <w:r w:rsidRPr="00EC029E">
              <w:rPr>
                <w:rStyle w:val="SCCLsocChar"/>
                <w:sz w:val="20"/>
                <w:szCs w:val="20"/>
              </w:rPr>
              <w:t>Adam Karpinski v. Pierre Sylvestre</w:t>
            </w:r>
            <w:r>
              <w:rPr>
                <w:rStyle w:val="SCCLsocChar"/>
                <w:sz w:val="20"/>
                <w:szCs w:val="20"/>
              </w:rPr>
              <w:t xml:space="preserve"> and </w:t>
            </w:r>
            <w:r w:rsidRPr="00EC029E">
              <w:rPr>
                <w:rStyle w:val="SCCLsocChar"/>
                <w:sz w:val="20"/>
                <w:szCs w:val="20"/>
              </w:rPr>
              <w:t>Sylvestre, Charbonneau, Fafard</w:t>
            </w:r>
            <w:r w:rsidRPr="00EC029E">
              <w:rPr>
                <w:sz w:val="20"/>
                <w:szCs w:val="20"/>
                <w:lang w:val="fr-CA"/>
              </w:rPr>
              <w:t xml:space="preserve"> (Que.) </w:t>
            </w:r>
            <w:r w:rsidRPr="00454999">
              <w:rPr>
                <w:sz w:val="20"/>
                <w:szCs w:val="20"/>
                <w:lang w:val="fr-CA"/>
              </w:rPr>
              <w:t>(Civil) (By</w:t>
            </w:r>
            <w:r>
              <w:rPr>
                <w:sz w:val="20"/>
                <w:szCs w:val="20"/>
                <w:lang w:val="fr-CA"/>
              </w:rPr>
              <w:t> </w:t>
            </w:r>
            <w:r w:rsidRPr="00454999">
              <w:rPr>
                <w:sz w:val="20"/>
                <w:szCs w:val="20"/>
                <w:lang w:val="fr-CA"/>
              </w:rPr>
              <w:t>Leave)</w:t>
            </w:r>
          </w:p>
          <w:p w:rsidR="00454999" w:rsidRPr="00454999" w:rsidRDefault="00454999" w:rsidP="00454999">
            <w:pPr>
              <w:jc w:val="both"/>
              <w:rPr>
                <w:sz w:val="20"/>
                <w:szCs w:val="20"/>
                <w:lang w:val="fr-CA"/>
              </w:rPr>
            </w:pPr>
          </w:p>
        </w:tc>
      </w:tr>
      <w:tr w:rsidR="00454999" w:rsidRPr="00EC029E" w:rsidTr="002304D1">
        <w:trPr>
          <w:cantSplit/>
        </w:trPr>
        <w:tc>
          <w:tcPr>
            <w:tcW w:w="1458" w:type="dxa"/>
          </w:tcPr>
          <w:p w:rsidR="00454999" w:rsidRPr="00EC029E" w:rsidRDefault="00454999" w:rsidP="002304D1">
            <w:pPr>
              <w:rPr>
                <w:sz w:val="20"/>
                <w:szCs w:val="20"/>
              </w:rPr>
            </w:pPr>
            <w:r w:rsidRPr="00EC029E">
              <w:rPr>
                <w:sz w:val="20"/>
                <w:szCs w:val="20"/>
              </w:rPr>
              <w:t>Coram :</w:t>
            </w:r>
          </w:p>
        </w:tc>
        <w:tc>
          <w:tcPr>
            <w:tcW w:w="8118" w:type="dxa"/>
          </w:tcPr>
          <w:p w:rsidR="00454999" w:rsidRPr="00EC029E" w:rsidRDefault="00454999" w:rsidP="002304D1">
            <w:pPr>
              <w:rPr>
                <w:sz w:val="20"/>
                <w:szCs w:val="20"/>
              </w:rPr>
            </w:pPr>
            <w:r w:rsidRPr="00454999">
              <w:rPr>
                <w:rStyle w:val="SCCCoramChar"/>
                <w:sz w:val="20"/>
                <w:szCs w:val="20"/>
                <w:lang w:val="en-CA"/>
              </w:rPr>
              <w:t>LeBel, Abella and Cromwell JJ.</w:t>
            </w:r>
          </w:p>
          <w:p w:rsidR="00454999" w:rsidRPr="00EC029E" w:rsidRDefault="00454999" w:rsidP="002304D1">
            <w:pPr>
              <w:rPr>
                <w:sz w:val="20"/>
                <w:szCs w:val="20"/>
                <w:u w:val="single"/>
              </w:rPr>
            </w:pPr>
          </w:p>
        </w:tc>
      </w:tr>
      <w:tr w:rsidR="00454999" w:rsidRPr="004A42A2" w:rsidTr="002304D1">
        <w:trPr>
          <w:cantSplit/>
        </w:trPr>
        <w:tc>
          <w:tcPr>
            <w:tcW w:w="9576" w:type="dxa"/>
            <w:gridSpan w:val="2"/>
          </w:tcPr>
          <w:p w:rsidR="00454999" w:rsidRPr="00EC029E" w:rsidRDefault="00454999" w:rsidP="002304D1">
            <w:pPr>
              <w:pStyle w:val="SCCShortJudgment"/>
              <w:rPr>
                <w:szCs w:val="20"/>
              </w:rPr>
            </w:pPr>
            <w:r w:rsidRPr="00EC029E">
              <w:rPr>
                <w:szCs w:val="20"/>
              </w:rPr>
              <w:lastRenderedPageBreak/>
              <w:t>The application for leave to appeal from the judgment of the Court of Appeal of Quebec (Montréal), Number 500-09-019749-092,  2011 QCCA 2161, dated November 23, 2011, is dismissed without costs</w:t>
            </w:r>
            <w:r w:rsidR="00CA2962">
              <w:rPr>
                <w:szCs w:val="20"/>
              </w:rPr>
              <w:t>.</w:t>
            </w:r>
          </w:p>
          <w:p w:rsidR="00454999" w:rsidRPr="00EC029E" w:rsidRDefault="00454999" w:rsidP="002304D1">
            <w:pPr>
              <w:pStyle w:val="SCCShortJudgment"/>
              <w:ind w:firstLine="0"/>
              <w:rPr>
                <w:szCs w:val="20"/>
              </w:rPr>
            </w:pPr>
          </w:p>
          <w:p w:rsidR="00454999" w:rsidRPr="00EC029E" w:rsidRDefault="00454999" w:rsidP="002304D1">
            <w:pPr>
              <w:pStyle w:val="SCCShortJudgment"/>
              <w:rPr>
                <w:szCs w:val="20"/>
                <w:lang w:val="fr-CA"/>
              </w:rPr>
            </w:pPr>
            <w:r w:rsidRPr="00EC029E">
              <w:rPr>
                <w:szCs w:val="20"/>
                <w:lang w:val="fr-CA"/>
              </w:rPr>
              <w:t>La demande d’autorisation d’appel de l’arrêt de la Cour d’appel du Québec (Montréal), numéro 500-09-019749-092, 2011 QCCA 2161, daté du 23 novembre 2011, est rejetée sans dépens.</w:t>
            </w:r>
          </w:p>
        </w:tc>
      </w:tr>
    </w:tbl>
    <w:p w:rsidR="009B2448" w:rsidRPr="0031047B" w:rsidRDefault="009B2448" w:rsidP="009B2448">
      <w:pPr>
        <w:rPr>
          <w:sz w:val="20"/>
          <w:szCs w:val="20"/>
          <w:lang w:val="fr-CA"/>
        </w:rPr>
      </w:pPr>
    </w:p>
    <w:p w:rsidR="009B2448" w:rsidRPr="001B157C" w:rsidRDefault="009B2448" w:rsidP="009B2448">
      <w:pPr>
        <w:rPr>
          <w:sz w:val="20"/>
          <w:szCs w:val="20"/>
          <w:u w:val="single"/>
        </w:rPr>
      </w:pPr>
      <w:r w:rsidRPr="001B157C">
        <w:rPr>
          <w:sz w:val="20"/>
          <w:szCs w:val="20"/>
          <w:u w:val="single"/>
        </w:rPr>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8016B" w:rsidRPr="006A318F" w:rsidTr="00983D4E">
        <w:tc>
          <w:tcPr>
            <w:tcW w:w="5000" w:type="pct"/>
            <w:gridSpan w:val="3"/>
          </w:tcPr>
          <w:p w:rsidR="00D8016B" w:rsidRPr="006A318F" w:rsidRDefault="00D8016B" w:rsidP="00983D4E">
            <w:pPr>
              <w:jc w:val="both"/>
              <w:rPr>
                <w:rFonts w:eastAsia="Calibri"/>
                <w:sz w:val="20"/>
              </w:rPr>
            </w:pPr>
            <w:r w:rsidRPr="006A318F">
              <w:rPr>
                <w:rFonts w:eastAsia="Calibri"/>
                <w:sz w:val="20"/>
              </w:rPr>
              <w:t>Law of professions – Professional liability – Attorneys – Duty to provide information and advice – Scope of mandate – Court of Appeal holding that it could not be concluded from evidence that attorney consulted at time of resiliation of offer to purchase residential immovable had also been given mandate to determine whether immovable could be converted notwithstanding moratorium on condominiums in Montréal – Whether Court of Appeal was justified in intervening.</w:t>
            </w:r>
          </w:p>
        </w:tc>
      </w:tr>
      <w:tr w:rsidR="00D8016B" w:rsidRPr="006A318F" w:rsidTr="00983D4E">
        <w:tc>
          <w:tcPr>
            <w:tcW w:w="5000" w:type="pct"/>
            <w:gridSpan w:val="3"/>
          </w:tcPr>
          <w:p w:rsidR="00D8016B" w:rsidRPr="006A318F" w:rsidRDefault="00D8016B" w:rsidP="00983D4E">
            <w:pPr>
              <w:jc w:val="both"/>
              <w:rPr>
                <w:rFonts w:eastAsia="Calibri"/>
                <w:sz w:val="20"/>
              </w:rPr>
            </w:pPr>
          </w:p>
        </w:tc>
      </w:tr>
      <w:tr w:rsidR="00D8016B" w:rsidRPr="006A318F" w:rsidTr="00983D4E">
        <w:tc>
          <w:tcPr>
            <w:tcW w:w="5000" w:type="pct"/>
            <w:gridSpan w:val="3"/>
          </w:tcPr>
          <w:p w:rsidR="00D8016B" w:rsidRPr="006A318F" w:rsidRDefault="00D8016B" w:rsidP="00983D4E">
            <w:pPr>
              <w:jc w:val="both"/>
              <w:rPr>
                <w:rFonts w:eastAsia="Calibri"/>
                <w:sz w:val="20"/>
              </w:rPr>
            </w:pPr>
            <w:r w:rsidRPr="006A318F">
              <w:rPr>
                <w:rFonts w:eastAsia="Calibri"/>
                <w:sz w:val="20"/>
              </w:rPr>
              <w:t>In 2002, the applicant Mr. Karpinski offered to purchase an immovable in Montréal for $429,000.  He wanted to subdivide the land into three lots and convert the building into three triplexes for resale, but he learned that a great deal would have to be done to make the building compliant with by</w:t>
            </w:r>
            <w:r w:rsidRPr="006A318F">
              <w:rPr>
                <w:rFonts w:eastAsia="Calibri"/>
                <w:sz w:val="20"/>
              </w:rPr>
              <w:noBreakHyphen/>
              <w:t>laws.  He contacted the respondent attorney by telephone to find out how to get out of his promise to purchase and to inform him of the position taken by the hypothecary lenders.  Mr. Sylvestre told him that it was likely he could not convert the immovable into divided units (condominiums) because of a moratorium in effect in Montréal.  Mr. Sylvestre advised him against undivided co</w:t>
            </w:r>
            <w:r w:rsidRPr="006A318F">
              <w:rPr>
                <w:rFonts w:eastAsia="Calibri"/>
                <w:sz w:val="20"/>
              </w:rPr>
              <w:noBreakHyphen/>
              <w:t>ownership.  However, he offered to inquire about the existence of the moratorium.  In the days that followed, the parties spoke by telephone, but Mr. Karpinski ultimately resiliated the offer.</w:t>
            </w:r>
          </w:p>
          <w:p w:rsidR="00D8016B" w:rsidRPr="006A318F" w:rsidRDefault="00D8016B" w:rsidP="00983D4E">
            <w:pPr>
              <w:jc w:val="both"/>
              <w:rPr>
                <w:rFonts w:eastAsia="Calibri"/>
                <w:sz w:val="20"/>
              </w:rPr>
            </w:pPr>
          </w:p>
          <w:p w:rsidR="00D8016B" w:rsidRPr="006A318F" w:rsidRDefault="00D8016B" w:rsidP="00983D4E">
            <w:pPr>
              <w:jc w:val="both"/>
              <w:rPr>
                <w:rFonts w:eastAsia="Calibri"/>
                <w:sz w:val="20"/>
              </w:rPr>
            </w:pPr>
            <w:r w:rsidRPr="006A318F">
              <w:rPr>
                <w:rFonts w:eastAsia="Calibri"/>
                <w:sz w:val="20"/>
              </w:rPr>
              <w:t>On March 3, 2003, a promoter purchased the immovable for $429,000.  In June 2003, part of the immovable was put up for sale.  Mr. Karpinski then discovered that the promoter’s notary had concluded on the basis of two decisions of the Régie du logement that the moratorium did not apply to [</w:t>
            </w:r>
            <w:r w:rsidRPr="006A318F">
              <w:rPr>
                <w:rFonts w:eastAsia="Calibri"/>
                <w:smallCaps/>
                <w:sz w:val="20"/>
              </w:rPr>
              <w:t>translation</w:t>
            </w:r>
            <w:r w:rsidRPr="006A318F">
              <w:rPr>
                <w:rFonts w:eastAsia="Calibri"/>
                <w:sz w:val="20"/>
              </w:rPr>
              <w:t>] “horizontal divided co</w:t>
            </w:r>
            <w:r w:rsidRPr="006A318F">
              <w:rPr>
                <w:rFonts w:eastAsia="Calibri"/>
                <w:sz w:val="20"/>
              </w:rPr>
              <w:noBreakHyphen/>
              <w:t>ownership” and that the promoter had registered a declaration of such divided co</w:t>
            </w:r>
            <w:r w:rsidRPr="006A318F">
              <w:rPr>
                <w:rFonts w:eastAsia="Calibri"/>
                <w:sz w:val="20"/>
              </w:rPr>
              <w:noBreakHyphen/>
              <w:t>ownership.  Mr. Karpinski sued the respondents for $575,000, which was the difference between the price he had indicated in his promise to purchase and the total sale price for the three units.  He alleged that, in the circumstances, Mr. Sylvestre had an obligation to inform him of the debate concerning the nature and scope of the moratorium on conversions to co</w:t>
            </w:r>
            <w:r w:rsidRPr="006A318F">
              <w:rPr>
                <w:rFonts w:eastAsia="Calibri"/>
                <w:sz w:val="20"/>
              </w:rPr>
              <w:noBreakHyphen/>
              <w:t xml:space="preserve">ownership and of the possibilities that existed for converting the immovable he planned to purchase despite the moratorium. </w:t>
            </w:r>
          </w:p>
          <w:p w:rsidR="00D8016B" w:rsidRPr="006A318F" w:rsidRDefault="00D8016B" w:rsidP="00983D4E">
            <w:pPr>
              <w:jc w:val="both"/>
              <w:rPr>
                <w:rFonts w:eastAsia="Calibri"/>
                <w:sz w:val="20"/>
              </w:rPr>
            </w:pPr>
          </w:p>
        </w:tc>
      </w:tr>
      <w:tr w:rsidR="00D8016B" w:rsidRPr="006A318F" w:rsidTr="00983D4E">
        <w:tc>
          <w:tcPr>
            <w:tcW w:w="2427" w:type="pct"/>
          </w:tcPr>
          <w:p w:rsidR="00D8016B" w:rsidRPr="006A318F" w:rsidRDefault="00D8016B" w:rsidP="00983D4E">
            <w:pPr>
              <w:jc w:val="both"/>
              <w:rPr>
                <w:rFonts w:eastAsia="Calibri"/>
                <w:sz w:val="20"/>
              </w:rPr>
            </w:pPr>
            <w:r w:rsidRPr="006A318F">
              <w:rPr>
                <w:rFonts w:eastAsia="Calibri"/>
                <w:sz w:val="20"/>
              </w:rPr>
              <w:t>May 13, 2009</w:t>
            </w:r>
          </w:p>
          <w:p w:rsidR="00D8016B" w:rsidRPr="006A318F" w:rsidRDefault="00D8016B" w:rsidP="00983D4E">
            <w:pPr>
              <w:jc w:val="both"/>
              <w:rPr>
                <w:rFonts w:eastAsia="Calibri"/>
                <w:sz w:val="20"/>
              </w:rPr>
            </w:pPr>
            <w:r w:rsidRPr="006A318F">
              <w:rPr>
                <w:rFonts w:eastAsia="Calibri"/>
                <w:sz w:val="20"/>
              </w:rPr>
              <w:t>Quebec Superior Court</w:t>
            </w:r>
          </w:p>
          <w:p w:rsidR="00D8016B" w:rsidRPr="006A318F" w:rsidRDefault="00D8016B" w:rsidP="00983D4E">
            <w:pPr>
              <w:jc w:val="both"/>
              <w:rPr>
                <w:rFonts w:eastAsia="Calibri"/>
                <w:sz w:val="20"/>
              </w:rPr>
            </w:pPr>
            <w:r w:rsidRPr="006A318F">
              <w:rPr>
                <w:rFonts w:eastAsia="Calibri"/>
                <w:sz w:val="20"/>
              </w:rPr>
              <w:t>(Blanchard J.)</w:t>
            </w:r>
          </w:p>
          <w:p w:rsidR="00D8016B" w:rsidRPr="006A318F" w:rsidRDefault="00D8016B" w:rsidP="00983D4E">
            <w:pPr>
              <w:jc w:val="both"/>
              <w:rPr>
                <w:rFonts w:eastAsia="Calibri"/>
                <w:sz w:val="20"/>
              </w:rPr>
            </w:pPr>
            <w:r w:rsidRPr="006A318F">
              <w:rPr>
                <w:rFonts w:eastAsia="Calibri"/>
                <w:sz w:val="20"/>
              </w:rPr>
              <w:t>2009 QCCS 2318</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Action in professional liability allowed; respondents ordered to pay $575,000 with interest and additional indemnity from date of service</w:t>
            </w:r>
          </w:p>
          <w:p w:rsidR="00D8016B" w:rsidRPr="006A318F" w:rsidRDefault="00D8016B" w:rsidP="00983D4E">
            <w:pPr>
              <w:jc w:val="both"/>
              <w:rPr>
                <w:rFonts w:eastAsia="Calibri"/>
                <w:sz w:val="20"/>
              </w:rPr>
            </w:pPr>
          </w:p>
        </w:tc>
      </w:tr>
      <w:tr w:rsidR="00D8016B" w:rsidRPr="006A318F" w:rsidTr="00454999">
        <w:trPr>
          <w:cantSplit/>
        </w:trPr>
        <w:tc>
          <w:tcPr>
            <w:tcW w:w="2427" w:type="pct"/>
          </w:tcPr>
          <w:p w:rsidR="00D8016B" w:rsidRPr="006A318F" w:rsidRDefault="00D8016B" w:rsidP="00983D4E">
            <w:pPr>
              <w:jc w:val="both"/>
              <w:rPr>
                <w:rFonts w:eastAsia="Calibri"/>
                <w:sz w:val="20"/>
              </w:rPr>
            </w:pPr>
            <w:r w:rsidRPr="006A318F">
              <w:rPr>
                <w:rFonts w:eastAsia="Calibri"/>
                <w:sz w:val="20"/>
              </w:rPr>
              <w:t>November 23, 2011</w:t>
            </w:r>
          </w:p>
          <w:p w:rsidR="00D8016B" w:rsidRPr="006A318F" w:rsidRDefault="00D8016B" w:rsidP="00983D4E">
            <w:pPr>
              <w:jc w:val="both"/>
              <w:rPr>
                <w:rFonts w:eastAsia="Calibri"/>
                <w:sz w:val="20"/>
              </w:rPr>
            </w:pPr>
            <w:r w:rsidRPr="006A318F">
              <w:rPr>
                <w:rFonts w:eastAsia="Calibri"/>
                <w:sz w:val="20"/>
              </w:rPr>
              <w:t>Quebec Court of Appeal (Montréal)</w:t>
            </w:r>
          </w:p>
          <w:p w:rsidR="00D8016B" w:rsidRPr="006A318F" w:rsidRDefault="00D8016B" w:rsidP="00983D4E">
            <w:pPr>
              <w:jc w:val="both"/>
              <w:rPr>
                <w:rFonts w:eastAsia="Calibri"/>
                <w:sz w:val="20"/>
              </w:rPr>
            </w:pPr>
            <w:r w:rsidRPr="006A318F">
              <w:rPr>
                <w:rFonts w:eastAsia="Calibri"/>
                <w:sz w:val="20"/>
              </w:rPr>
              <w:t>(Dalphond, Hilton and Dutil JJ.A.)</w:t>
            </w:r>
          </w:p>
          <w:p w:rsidR="00D8016B" w:rsidRPr="006A318F" w:rsidRDefault="00D8016B" w:rsidP="00983D4E">
            <w:pPr>
              <w:jc w:val="both"/>
              <w:rPr>
                <w:rFonts w:eastAsia="Calibri"/>
                <w:sz w:val="20"/>
              </w:rPr>
            </w:pPr>
            <w:r w:rsidRPr="006A318F">
              <w:rPr>
                <w:rFonts w:eastAsia="Calibri"/>
                <w:sz w:val="20"/>
              </w:rPr>
              <w:t>2011 QCCA 2161; 500-09-019749-092</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Appeal allowed; incidental appeal dismissed; action in professional liability dismissed</w:t>
            </w:r>
          </w:p>
          <w:p w:rsidR="00D8016B" w:rsidRPr="006A318F" w:rsidRDefault="00D8016B" w:rsidP="00983D4E">
            <w:pPr>
              <w:jc w:val="both"/>
              <w:rPr>
                <w:rFonts w:eastAsia="Calibri"/>
                <w:sz w:val="20"/>
              </w:rPr>
            </w:pPr>
          </w:p>
        </w:tc>
      </w:tr>
      <w:tr w:rsidR="00D8016B" w:rsidRPr="006A318F" w:rsidTr="00454999">
        <w:trPr>
          <w:cantSplit/>
        </w:trPr>
        <w:tc>
          <w:tcPr>
            <w:tcW w:w="2427" w:type="pct"/>
          </w:tcPr>
          <w:p w:rsidR="00D8016B" w:rsidRPr="006A318F" w:rsidRDefault="00D8016B" w:rsidP="00983D4E">
            <w:pPr>
              <w:jc w:val="both"/>
              <w:rPr>
                <w:rFonts w:eastAsia="Calibri"/>
                <w:sz w:val="20"/>
              </w:rPr>
            </w:pPr>
            <w:r w:rsidRPr="006A318F">
              <w:rPr>
                <w:rFonts w:eastAsia="Calibri"/>
                <w:sz w:val="20"/>
              </w:rPr>
              <w:t>January 20, 2012</w:t>
            </w:r>
          </w:p>
          <w:p w:rsidR="00D8016B" w:rsidRPr="006A318F" w:rsidRDefault="00D8016B" w:rsidP="00983D4E">
            <w:pPr>
              <w:jc w:val="both"/>
              <w:rPr>
                <w:rFonts w:eastAsia="Calibri"/>
                <w:sz w:val="20"/>
              </w:rPr>
            </w:pPr>
            <w:r w:rsidRPr="006A318F">
              <w:rPr>
                <w:rFonts w:eastAsia="Calibri"/>
                <w:sz w:val="20"/>
              </w:rPr>
              <w:t>Supreme Court of Canada</w:t>
            </w: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Application for leave to appeal filed</w:t>
            </w: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68"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8016B" w:rsidRPr="004A42A2" w:rsidTr="00983D4E">
        <w:tc>
          <w:tcPr>
            <w:tcW w:w="5000" w:type="pct"/>
            <w:gridSpan w:val="3"/>
          </w:tcPr>
          <w:p w:rsidR="00D8016B" w:rsidRPr="006A318F" w:rsidRDefault="00D8016B" w:rsidP="00983D4E">
            <w:pPr>
              <w:jc w:val="both"/>
              <w:rPr>
                <w:rFonts w:eastAsia="Calibri"/>
                <w:sz w:val="20"/>
                <w:lang w:val="fr-CA"/>
              </w:rPr>
            </w:pPr>
            <w:r w:rsidRPr="006A318F">
              <w:rPr>
                <w:rFonts w:eastAsia="Calibri"/>
                <w:sz w:val="20"/>
                <w:lang w:val="fr-CA"/>
              </w:rPr>
              <w:t xml:space="preserve">Droit des professions – Responsabilité professionnelle – Avocats – Devoir d’information et de conseil – Portée du mandat – Cour d’appel jugeant que la preuve ne permettait pas de conclure que l’avocat consulté lors de la résiliation </w:t>
            </w:r>
            <w:r w:rsidRPr="006A318F">
              <w:rPr>
                <w:rFonts w:eastAsia="Calibri"/>
                <w:sz w:val="20"/>
                <w:lang w:val="fr-CA"/>
              </w:rPr>
              <w:lastRenderedPageBreak/>
              <w:t>d’une offre d’achat d’immeuble d’habitation avait également reçu le mandat de déterminer si l’immeuble pouvait être transformé malgré l’existence d’un moratoire concernant les condos à Montréal – La cour était</w:t>
            </w:r>
            <w:r w:rsidRPr="006A318F">
              <w:rPr>
                <w:rFonts w:eastAsia="Calibri"/>
                <w:sz w:val="20"/>
                <w:lang w:val="fr-CA"/>
              </w:rPr>
              <w:noBreakHyphen/>
              <w:t>elle justifiée d’intervenir?</w:t>
            </w:r>
          </w:p>
        </w:tc>
      </w:tr>
      <w:tr w:rsidR="00D8016B" w:rsidRPr="004A42A2" w:rsidTr="00983D4E">
        <w:tc>
          <w:tcPr>
            <w:tcW w:w="5000" w:type="pct"/>
            <w:gridSpan w:val="3"/>
          </w:tcPr>
          <w:p w:rsidR="00D8016B" w:rsidRPr="006A318F" w:rsidRDefault="00D8016B" w:rsidP="00983D4E">
            <w:pPr>
              <w:jc w:val="both"/>
              <w:rPr>
                <w:rFonts w:eastAsia="Calibri"/>
                <w:sz w:val="20"/>
                <w:lang w:val="fr-CA"/>
              </w:rPr>
            </w:pPr>
          </w:p>
        </w:tc>
      </w:tr>
      <w:tr w:rsidR="00D8016B" w:rsidRPr="004A42A2" w:rsidTr="00983D4E">
        <w:tc>
          <w:tcPr>
            <w:tcW w:w="5000" w:type="pct"/>
            <w:gridSpan w:val="3"/>
          </w:tcPr>
          <w:p w:rsidR="00D8016B" w:rsidRPr="006A318F" w:rsidRDefault="00D8016B" w:rsidP="00983D4E">
            <w:pPr>
              <w:jc w:val="both"/>
              <w:rPr>
                <w:rFonts w:eastAsia="Calibri"/>
                <w:sz w:val="20"/>
                <w:lang w:val="fr-CA"/>
              </w:rPr>
            </w:pPr>
            <w:r w:rsidRPr="006A318F">
              <w:rPr>
                <w:rFonts w:eastAsia="Calibri"/>
                <w:sz w:val="20"/>
                <w:lang w:val="fr-CA"/>
              </w:rPr>
              <w:t xml:space="preserve">En 2002, le demandeur, M. Karpinski, offre d’acheter un immeuble à Montréal pour un montant de 429 000 $. Il souhaite subdiviser le terrain en trois lots et transformer l’édifice en trois triplexes destinés à la revente, mais apprend que des démarches importantes devront être entreprises afin de rendre l’immeuble conforme aux règlements. Il contacte l’avocat intimé par téléphone pour savoir comment se sortir de sa promesse d’achat et pour l’informer de la position des prêteurs hypothécaires. Me Sylvestre l’informe qu’il est probable qu’il ne pourra convertir l’immeuble en unités divises (condos) en raison d’un moratoire en vigueur à Montréal, et lui déconseille la copropriété indivise. Il lui propose néanmoins de s’informer quant à l’existence du moratoire. Dans les jours qui suivent, les parties se parlent par téléphone, mais éventuellement, M. Karpinski résilie l’offre. </w:t>
            </w:r>
          </w:p>
          <w:p w:rsidR="00D8016B" w:rsidRPr="006A318F" w:rsidRDefault="00D8016B" w:rsidP="00983D4E">
            <w:pPr>
              <w:jc w:val="both"/>
              <w:rPr>
                <w:rFonts w:eastAsia="Calibri"/>
                <w:sz w:val="20"/>
                <w:lang w:val="fr-CA"/>
              </w:rPr>
            </w:pPr>
          </w:p>
          <w:p w:rsidR="00D8016B" w:rsidRPr="006A318F" w:rsidRDefault="00D8016B" w:rsidP="00983D4E">
            <w:pPr>
              <w:jc w:val="both"/>
              <w:rPr>
                <w:rFonts w:eastAsia="Calibri"/>
                <w:sz w:val="20"/>
                <w:lang w:val="fr-CA"/>
              </w:rPr>
            </w:pPr>
            <w:r w:rsidRPr="006A318F">
              <w:rPr>
                <w:rFonts w:eastAsia="Calibri"/>
                <w:sz w:val="20"/>
                <w:lang w:val="fr-CA"/>
              </w:rPr>
              <w:t xml:space="preserve">Le 3 mars 2003, un promoteur acquiert l’immeuble pour 429 000 $. En juin 2003, une partie de l’immeuble est mise en vente. M. Karpinski découvre alors que le notaire du promoteur, sur la foi de deux décisions de la Régie du logement, a conclu que le moratoire ne s’appliquait pas à la « copropriété divise horizontale » et que le promoteur a fait enregistrer une déclaration de copropriété divise en ce sens. M. Karpinski poursuit les intimés et leur réclame 575 000 $, soit la différence entre le prix qu’il avait indiqué dans sa promesse d’achat et le total du prix de vente des trois unités. Il allègue que Me Sylvestre avait l’obligation, dans les circonstances, de l’informer quant à l’existence du débat entourant la nature et la portée du moratoire sur les transformations en copropriété ainsi que des possibilités qui existaient de transformer tout de même l’immeuble dont il projetait l’acquisition. </w:t>
            </w:r>
          </w:p>
          <w:p w:rsidR="00D8016B" w:rsidRPr="006A318F" w:rsidRDefault="00D8016B" w:rsidP="00983D4E">
            <w:pPr>
              <w:jc w:val="both"/>
              <w:rPr>
                <w:rFonts w:eastAsia="Calibri"/>
                <w:sz w:val="20"/>
                <w:lang w:val="fr-CA"/>
              </w:rPr>
            </w:pPr>
          </w:p>
        </w:tc>
      </w:tr>
      <w:tr w:rsidR="00D8016B" w:rsidRPr="004A42A2"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13 mai 2009</w:t>
            </w:r>
          </w:p>
          <w:p w:rsidR="00D8016B" w:rsidRPr="006A318F" w:rsidRDefault="00D8016B" w:rsidP="00983D4E">
            <w:pPr>
              <w:jc w:val="both"/>
              <w:rPr>
                <w:rFonts w:eastAsia="Calibri"/>
                <w:sz w:val="20"/>
                <w:lang w:val="fr-CA"/>
              </w:rPr>
            </w:pPr>
            <w:r w:rsidRPr="006A318F">
              <w:rPr>
                <w:rFonts w:eastAsia="Calibri"/>
                <w:sz w:val="20"/>
                <w:lang w:val="fr-CA"/>
              </w:rPr>
              <w:t>Cour supérieure du Québec</w:t>
            </w:r>
          </w:p>
          <w:p w:rsidR="00D8016B" w:rsidRPr="006A318F" w:rsidRDefault="00D8016B" w:rsidP="00983D4E">
            <w:pPr>
              <w:jc w:val="both"/>
              <w:rPr>
                <w:rFonts w:eastAsia="Calibri"/>
                <w:sz w:val="20"/>
                <w:lang w:val="fr-CA"/>
              </w:rPr>
            </w:pPr>
            <w:r w:rsidRPr="006A318F">
              <w:rPr>
                <w:rFonts w:eastAsia="Calibri"/>
                <w:sz w:val="20"/>
                <w:lang w:val="fr-CA"/>
              </w:rPr>
              <w:t>(Le juge Blanchard)</w:t>
            </w:r>
          </w:p>
          <w:p w:rsidR="00D8016B" w:rsidRPr="006A318F" w:rsidRDefault="00D8016B" w:rsidP="00983D4E">
            <w:pPr>
              <w:jc w:val="both"/>
              <w:rPr>
                <w:rFonts w:eastAsia="Calibri"/>
                <w:sz w:val="20"/>
                <w:lang w:val="fr-CA"/>
              </w:rPr>
            </w:pPr>
            <w:r w:rsidRPr="006A318F">
              <w:rPr>
                <w:rFonts w:eastAsia="Calibri"/>
                <w:sz w:val="20"/>
                <w:lang w:val="fr-CA"/>
              </w:rPr>
              <w:t>2009 QCCS 2318</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Action en responsabilité professionnelle accueillie; condamnation à payer une somme de 575 000 $ avec intérêts et indemnité additionnelle depuis la date d’assignation</w:t>
            </w:r>
          </w:p>
          <w:p w:rsidR="00D8016B" w:rsidRPr="006A318F" w:rsidRDefault="00D8016B" w:rsidP="00983D4E">
            <w:pPr>
              <w:jc w:val="both"/>
              <w:rPr>
                <w:rFonts w:eastAsia="Calibri"/>
                <w:sz w:val="20"/>
                <w:lang w:val="fr-CA"/>
              </w:rPr>
            </w:pPr>
          </w:p>
        </w:tc>
      </w:tr>
      <w:tr w:rsidR="00D8016B" w:rsidRPr="004A42A2"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23 novembre 2011</w:t>
            </w:r>
          </w:p>
          <w:p w:rsidR="00D8016B" w:rsidRPr="006A318F" w:rsidRDefault="00D8016B" w:rsidP="00983D4E">
            <w:pPr>
              <w:jc w:val="both"/>
              <w:rPr>
                <w:rFonts w:eastAsia="Calibri"/>
                <w:sz w:val="20"/>
                <w:lang w:val="fr-CA"/>
              </w:rPr>
            </w:pPr>
            <w:r w:rsidRPr="006A318F">
              <w:rPr>
                <w:rFonts w:eastAsia="Calibri"/>
                <w:sz w:val="20"/>
                <w:lang w:val="fr-CA"/>
              </w:rPr>
              <w:t>Cour d’appel du Québec (Montréal)</w:t>
            </w:r>
          </w:p>
          <w:p w:rsidR="00D8016B" w:rsidRPr="006A318F" w:rsidRDefault="00D8016B" w:rsidP="00983D4E">
            <w:pPr>
              <w:jc w:val="both"/>
              <w:rPr>
                <w:rFonts w:eastAsia="Calibri"/>
                <w:sz w:val="20"/>
                <w:lang w:val="fr-CA"/>
              </w:rPr>
            </w:pPr>
            <w:r w:rsidRPr="006A318F">
              <w:rPr>
                <w:rFonts w:eastAsia="Calibri"/>
                <w:sz w:val="20"/>
                <w:lang w:val="fr-CA"/>
              </w:rPr>
              <w:t>(Les juges Dalphond, Hilton et, Dutil)</w:t>
            </w:r>
          </w:p>
          <w:p w:rsidR="00D8016B" w:rsidRPr="006A318F" w:rsidRDefault="00D8016B" w:rsidP="00983D4E">
            <w:pPr>
              <w:jc w:val="both"/>
              <w:rPr>
                <w:rFonts w:eastAsia="Calibri"/>
                <w:sz w:val="20"/>
                <w:lang w:val="fr-CA"/>
              </w:rPr>
            </w:pPr>
            <w:r w:rsidRPr="006A318F">
              <w:rPr>
                <w:rFonts w:eastAsia="Calibri"/>
                <w:sz w:val="20"/>
                <w:lang w:val="fr-CA"/>
              </w:rPr>
              <w:t>2011 QCCA 2161; 500</w:t>
            </w:r>
            <w:r w:rsidRPr="006A318F">
              <w:rPr>
                <w:rFonts w:eastAsia="Calibri"/>
                <w:sz w:val="20"/>
                <w:lang w:val="fr-CA"/>
              </w:rPr>
              <w:noBreakHyphen/>
              <w:t>09</w:t>
            </w:r>
            <w:r w:rsidRPr="006A318F">
              <w:rPr>
                <w:rFonts w:eastAsia="Calibri"/>
                <w:sz w:val="20"/>
                <w:lang w:val="fr-CA"/>
              </w:rPr>
              <w:noBreakHyphen/>
              <w:t>019749</w:t>
            </w:r>
            <w:r w:rsidRPr="006A318F">
              <w:rPr>
                <w:rFonts w:eastAsia="Calibri"/>
                <w:sz w:val="20"/>
                <w:lang w:val="fr-CA"/>
              </w:rPr>
              <w:noBreakHyphen/>
              <w:t>092</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Appel accueilli; appel incident rejeté; action en responsabilité professionnelle rejetée</w:t>
            </w:r>
          </w:p>
          <w:p w:rsidR="00D8016B" w:rsidRPr="006A318F" w:rsidRDefault="00D8016B" w:rsidP="00983D4E">
            <w:pPr>
              <w:jc w:val="both"/>
              <w:rPr>
                <w:rFonts w:eastAsia="Calibri"/>
                <w:sz w:val="20"/>
                <w:lang w:val="fr-CA"/>
              </w:rPr>
            </w:pPr>
          </w:p>
        </w:tc>
      </w:tr>
      <w:tr w:rsidR="00D8016B" w:rsidRPr="006A318F"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20 janvier 2012</w:t>
            </w:r>
          </w:p>
          <w:p w:rsidR="00D8016B" w:rsidRPr="006A318F" w:rsidRDefault="00D8016B" w:rsidP="00983D4E">
            <w:pPr>
              <w:jc w:val="both"/>
              <w:rPr>
                <w:rFonts w:eastAsia="Calibri"/>
                <w:sz w:val="20"/>
                <w:lang w:val="fr-CA"/>
              </w:rPr>
            </w:pPr>
            <w:r w:rsidRPr="006A318F">
              <w:rPr>
                <w:rFonts w:eastAsia="Calibri"/>
                <w:sz w:val="20"/>
                <w:lang w:val="fr-CA"/>
              </w:rPr>
              <w:t>Cour suprême du Canada</w:t>
            </w:r>
          </w:p>
        </w:tc>
        <w:tc>
          <w:tcPr>
            <w:tcW w:w="243" w:type="pct"/>
          </w:tcPr>
          <w:p w:rsidR="00D8016B" w:rsidRPr="006A318F" w:rsidRDefault="00D8016B" w:rsidP="00983D4E">
            <w:pPr>
              <w:jc w:val="both"/>
              <w:rPr>
                <w:rFonts w:eastAsia="Calibri"/>
                <w:sz w:val="20"/>
                <w:lang w:val="fr-CA"/>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Demande d'autorisation d'appel déposé</w:t>
            </w: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69"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304D1" w:rsidRPr="004A42A2" w:rsidTr="002304D1">
        <w:trPr>
          <w:cantSplit/>
        </w:trPr>
        <w:tc>
          <w:tcPr>
            <w:tcW w:w="1458" w:type="dxa"/>
          </w:tcPr>
          <w:p w:rsidR="002304D1" w:rsidRPr="00EC029E" w:rsidRDefault="002304D1" w:rsidP="002304D1">
            <w:pPr>
              <w:rPr>
                <w:sz w:val="20"/>
                <w:szCs w:val="20"/>
              </w:rPr>
            </w:pPr>
            <w:r w:rsidRPr="00EC029E">
              <w:rPr>
                <w:rStyle w:val="SCCFileNumberChar"/>
                <w:sz w:val="20"/>
                <w:szCs w:val="20"/>
              </w:rPr>
              <w:t>34638</w:t>
            </w:r>
          </w:p>
          <w:p w:rsidR="002304D1" w:rsidRPr="00EC029E" w:rsidRDefault="002304D1" w:rsidP="002304D1">
            <w:pPr>
              <w:rPr>
                <w:b/>
                <w:sz w:val="20"/>
                <w:szCs w:val="20"/>
                <w:lang w:val="fr-CA"/>
              </w:rPr>
            </w:pPr>
          </w:p>
        </w:tc>
        <w:tc>
          <w:tcPr>
            <w:tcW w:w="8118" w:type="dxa"/>
          </w:tcPr>
          <w:p w:rsidR="002304D1" w:rsidRPr="00EC029E" w:rsidRDefault="002304D1" w:rsidP="002304D1">
            <w:pPr>
              <w:rPr>
                <w:sz w:val="20"/>
                <w:szCs w:val="20"/>
                <w:lang w:val="fr-CA"/>
              </w:rPr>
            </w:pPr>
            <w:r w:rsidRPr="00EC029E">
              <w:rPr>
                <w:rStyle w:val="SCCLsocChar"/>
                <w:sz w:val="20"/>
                <w:szCs w:val="20"/>
              </w:rPr>
              <w:t>Édith St-Pierre</w:t>
            </w:r>
            <w:r>
              <w:rPr>
                <w:rStyle w:val="SCCLsocChar"/>
                <w:sz w:val="20"/>
                <w:szCs w:val="20"/>
              </w:rPr>
              <w:t xml:space="preserve"> et</w:t>
            </w:r>
            <w:r w:rsidRPr="00EC029E">
              <w:rPr>
                <w:rStyle w:val="SCCLsocChar"/>
                <w:sz w:val="20"/>
                <w:szCs w:val="20"/>
              </w:rPr>
              <w:t xml:space="preserve"> Roch Laflamme c. Municipalité de St-Magloire</w:t>
            </w:r>
            <w:r w:rsidRPr="00EC029E">
              <w:rPr>
                <w:sz w:val="20"/>
                <w:szCs w:val="20"/>
                <w:lang w:val="fr-CA"/>
              </w:rPr>
              <w:t xml:space="preserve"> (Qc) (Civile) (Autorisation)</w:t>
            </w:r>
          </w:p>
          <w:p w:rsidR="002304D1" w:rsidRPr="00EC029E" w:rsidRDefault="002304D1" w:rsidP="002304D1">
            <w:pPr>
              <w:rPr>
                <w:sz w:val="20"/>
                <w:szCs w:val="20"/>
                <w:lang w:val="fr-CA"/>
              </w:rPr>
            </w:pPr>
          </w:p>
        </w:tc>
      </w:tr>
      <w:tr w:rsidR="002304D1" w:rsidRPr="004A42A2" w:rsidTr="002304D1">
        <w:trPr>
          <w:cantSplit/>
        </w:trPr>
        <w:tc>
          <w:tcPr>
            <w:tcW w:w="1458" w:type="dxa"/>
          </w:tcPr>
          <w:p w:rsidR="002304D1" w:rsidRPr="00EC029E" w:rsidRDefault="002304D1" w:rsidP="002304D1">
            <w:pPr>
              <w:rPr>
                <w:sz w:val="20"/>
                <w:szCs w:val="20"/>
              </w:rPr>
            </w:pPr>
            <w:r w:rsidRPr="00EC029E">
              <w:rPr>
                <w:sz w:val="20"/>
                <w:szCs w:val="20"/>
              </w:rPr>
              <w:t>Coram :</w:t>
            </w:r>
          </w:p>
        </w:tc>
        <w:tc>
          <w:tcPr>
            <w:tcW w:w="8118" w:type="dxa"/>
          </w:tcPr>
          <w:p w:rsidR="002304D1" w:rsidRPr="00EC029E" w:rsidRDefault="002304D1" w:rsidP="002304D1">
            <w:pPr>
              <w:rPr>
                <w:sz w:val="20"/>
                <w:szCs w:val="20"/>
                <w:lang w:val="fr-CA"/>
              </w:rPr>
            </w:pPr>
            <w:r w:rsidRPr="00EC029E">
              <w:rPr>
                <w:rStyle w:val="SCCCoramChar"/>
                <w:sz w:val="20"/>
                <w:szCs w:val="20"/>
              </w:rPr>
              <w:t>Les juges Deschamps, Fish et Karakatsanis</w:t>
            </w:r>
          </w:p>
          <w:p w:rsidR="002304D1" w:rsidRPr="00EC029E" w:rsidRDefault="002304D1" w:rsidP="002304D1">
            <w:pPr>
              <w:rPr>
                <w:sz w:val="20"/>
                <w:szCs w:val="20"/>
                <w:u w:val="single"/>
                <w:lang w:val="fr-CA"/>
              </w:rPr>
            </w:pPr>
          </w:p>
        </w:tc>
      </w:tr>
      <w:tr w:rsidR="002304D1" w:rsidRPr="00EC029E" w:rsidTr="002304D1">
        <w:trPr>
          <w:cantSplit/>
        </w:trPr>
        <w:tc>
          <w:tcPr>
            <w:tcW w:w="9576" w:type="dxa"/>
            <w:gridSpan w:val="2"/>
          </w:tcPr>
          <w:p w:rsidR="002304D1" w:rsidRPr="00EC029E" w:rsidRDefault="002304D1" w:rsidP="002304D1">
            <w:pPr>
              <w:pStyle w:val="SCCShortJudgment"/>
              <w:rPr>
                <w:szCs w:val="20"/>
                <w:lang w:val="fr-CA"/>
              </w:rPr>
            </w:pPr>
            <w:r w:rsidRPr="00EC029E">
              <w:rPr>
                <w:szCs w:val="20"/>
                <w:lang w:val="fr-CA"/>
              </w:rPr>
              <w:t>La demande d’autorisation d’appel des arrêts de la Cour d’appel du Québec (Québec), numéros 200-09-007541-110, 2011 QCCA 2244 et 200-09-007560-110, 2011 QCCA 2245, datés du 6 décembre 2011, est rejetée sans dépens.</w:t>
            </w:r>
          </w:p>
          <w:p w:rsidR="002304D1" w:rsidRPr="00EC029E" w:rsidRDefault="002304D1" w:rsidP="002304D1">
            <w:pPr>
              <w:pStyle w:val="SCCShortJudgment"/>
              <w:ind w:firstLine="0"/>
              <w:rPr>
                <w:szCs w:val="20"/>
                <w:lang w:val="fr-CA"/>
              </w:rPr>
            </w:pPr>
          </w:p>
          <w:p w:rsidR="002304D1" w:rsidRPr="00EC029E" w:rsidRDefault="002304D1" w:rsidP="002304D1">
            <w:pPr>
              <w:pStyle w:val="SCCShortJudgment"/>
              <w:rPr>
                <w:szCs w:val="20"/>
              </w:rPr>
            </w:pPr>
            <w:r w:rsidRPr="00EC029E">
              <w:rPr>
                <w:szCs w:val="20"/>
              </w:rPr>
              <w:t>The application for leave to appeal from the judgments of the Court of Appeal of Quebec (Québec), Numbers 200-09-007541-110, 2011 QCCA 2244 and 200-09-007560-110, 2011 QCCA 2245, dated December 6, 2011, is dismissed without costs.</w:t>
            </w:r>
          </w:p>
        </w:tc>
      </w:tr>
    </w:tbl>
    <w:p w:rsidR="009B2448" w:rsidRPr="002304D1" w:rsidRDefault="009B2448" w:rsidP="009B2448">
      <w:pPr>
        <w:rPr>
          <w:sz w:val="20"/>
          <w:szCs w:val="20"/>
        </w:rPr>
      </w:pPr>
    </w:p>
    <w:p w:rsidR="00CA2962" w:rsidRDefault="00CA2962">
      <w:pPr>
        <w:rPr>
          <w:sz w:val="20"/>
          <w:szCs w:val="20"/>
          <w:u w:val="single"/>
        </w:rPr>
      </w:pPr>
      <w:r>
        <w:rPr>
          <w:sz w:val="20"/>
          <w:szCs w:val="20"/>
          <w:u w:val="single"/>
        </w:rPr>
        <w:br w:type="page"/>
      </w:r>
    </w:p>
    <w:p w:rsidR="009B2448" w:rsidRPr="001B157C" w:rsidRDefault="009B2448" w:rsidP="009B2448">
      <w:pPr>
        <w:rPr>
          <w:sz w:val="20"/>
          <w:szCs w:val="20"/>
          <w:u w:val="single"/>
        </w:rPr>
      </w:pPr>
      <w:r w:rsidRPr="001B157C">
        <w:rPr>
          <w:sz w:val="20"/>
          <w:szCs w:val="20"/>
          <w:u w:val="single"/>
        </w:rPr>
        <w:lastRenderedPageBreak/>
        <w:t>CASE SUMMARY</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8016B" w:rsidRPr="006A318F" w:rsidTr="00983D4E">
        <w:tc>
          <w:tcPr>
            <w:tcW w:w="5000" w:type="pct"/>
            <w:gridSpan w:val="3"/>
          </w:tcPr>
          <w:p w:rsidR="00D8016B" w:rsidRPr="006A318F" w:rsidRDefault="00D8016B" w:rsidP="00983D4E">
            <w:pPr>
              <w:jc w:val="both"/>
              <w:rPr>
                <w:rFonts w:eastAsia="Calibri"/>
                <w:sz w:val="20"/>
              </w:rPr>
            </w:pPr>
            <w:r w:rsidRPr="006A318F">
              <w:rPr>
                <w:rFonts w:eastAsia="Calibri"/>
                <w:sz w:val="20"/>
              </w:rPr>
              <w:t>Civil procedure – Commencement of proceedings – Territorial jurisdiction of courts – Legal proceeding instituted at Québec court office – Whether Superior Court should have referred case to judicial district of Montmagny – Whether Court of Appeal should have granted leave to appeal.</w:t>
            </w:r>
          </w:p>
        </w:tc>
      </w:tr>
      <w:tr w:rsidR="00D8016B" w:rsidRPr="006A318F" w:rsidTr="00983D4E">
        <w:tc>
          <w:tcPr>
            <w:tcW w:w="5000" w:type="pct"/>
            <w:gridSpan w:val="3"/>
          </w:tcPr>
          <w:p w:rsidR="00D8016B" w:rsidRPr="006A318F" w:rsidRDefault="00D8016B" w:rsidP="00983D4E">
            <w:pPr>
              <w:jc w:val="both"/>
              <w:rPr>
                <w:rFonts w:eastAsia="Calibri"/>
                <w:sz w:val="20"/>
              </w:rPr>
            </w:pPr>
          </w:p>
        </w:tc>
      </w:tr>
      <w:tr w:rsidR="00D8016B" w:rsidRPr="006A318F" w:rsidTr="00983D4E">
        <w:tc>
          <w:tcPr>
            <w:tcW w:w="5000" w:type="pct"/>
            <w:gridSpan w:val="3"/>
          </w:tcPr>
          <w:p w:rsidR="00D8016B" w:rsidRPr="006A318F" w:rsidRDefault="00D8016B" w:rsidP="00983D4E">
            <w:pPr>
              <w:jc w:val="both"/>
              <w:rPr>
                <w:rFonts w:eastAsia="Calibri"/>
                <w:sz w:val="20"/>
              </w:rPr>
            </w:pPr>
            <w:r w:rsidRPr="006A318F">
              <w:rPr>
                <w:rFonts w:eastAsia="Calibri"/>
                <w:sz w:val="20"/>
              </w:rPr>
              <w:t>A motion was brought against the applicants by the municipality of St</w:t>
            </w:r>
            <w:r w:rsidRPr="006A318F">
              <w:rPr>
                <w:rFonts w:eastAsia="Calibri"/>
                <w:sz w:val="20"/>
              </w:rPr>
              <w:noBreakHyphen/>
              <w:t xml:space="preserve">Magloire, where they were domiciled, under s. 227 of the </w:t>
            </w:r>
            <w:r w:rsidRPr="006A318F">
              <w:rPr>
                <w:rFonts w:eastAsia="Calibri"/>
                <w:i/>
                <w:sz w:val="20"/>
              </w:rPr>
              <w:t>Act respecting land use planning and development</w:t>
            </w:r>
            <w:r w:rsidRPr="006A318F">
              <w:rPr>
                <w:rFonts w:eastAsia="Calibri"/>
                <w:sz w:val="20"/>
              </w:rPr>
              <w:t xml:space="preserve">.  The municipality sought the demolition of a garage and the cleanup of land.  In response to the proceeding filed in the Québec court office, the applicants applied for the referral of the case to the judicial district of Montmagny. </w:t>
            </w:r>
          </w:p>
          <w:p w:rsidR="00D8016B" w:rsidRPr="006A318F" w:rsidRDefault="00D8016B" w:rsidP="00983D4E">
            <w:pPr>
              <w:jc w:val="both"/>
              <w:rPr>
                <w:rFonts w:eastAsia="Calibri"/>
                <w:sz w:val="20"/>
              </w:rPr>
            </w:pPr>
          </w:p>
          <w:p w:rsidR="00D8016B" w:rsidRPr="006A318F" w:rsidRDefault="00D8016B" w:rsidP="00983D4E">
            <w:pPr>
              <w:jc w:val="both"/>
              <w:rPr>
                <w:rFonts w:eastAsia="Calibri"/>
                <w:sz w:val="20"/>
              </w:rPr>
            </w:pPr>
            <w:r w:rsidRPr="006A318F">
              <w:rPr>
                <w:rFonts w:eastAsia="Calibri"/>
                <w:sz w:val="20"/>
              </w:rPr>
              <w:t xml:space="preserve">Parent J. of the Superior Court dismissed the transfer application.  He noted that, under s. 5.5 of the </w:t>
            </w:r>
            <w:r w:rsidRPr="006A318F">
              <w:rPr>
                <w:rFonts w:eastAsia="Calibri"/>
                <w:i/>
                <w:sz w:val="20"/>
              </w:rPr>
              <w:t>Courts of Justice Act</w:t>
            </w:r>
            <w:r w:rsidRPr="006A318F">
              <w:rPr>
                <w:rFonts w:eastAsia="Calibri"/>
                <w:sz w:val="20"/>
              </w:rPr>
              <w:t>, the districts of Québec and Montmagny have concurrent jurisdiction over the municipality of St</w:t>
            </w:r>
            <w:r w:rsidRPr="006A318F">
              <w:rPr>
                <w:rFonts w:eastAsia="Calibri"/>
                <w:sz w:val="20"/>
              </w:rPr>
              <w:noBreakHyphen/>
              <w:t>Magloire. As well, it is accepted that it is up to the plaintiff to choose the judicial district in which to institute an action.</w:t>
            </w:r>
          </w:p>
          <w:p w:rsidR="00D8016B" w:rsidRPr="006A318F" w:rsidRDefault="00D8016B" w:rsidP="00983D4E">
            <w:pPr>
              <w:jc w:val="both"/>
              <w:rPr>
                <w:rFonts w:eastAsia="Calibri"/>
                <w:sz w:val="20"/>
              </w:rPr>
            </w:pPr>
          </w:p>
          <w:p w:rsidR="00D8016B" w:rsidRPr="006A318F" w:rsidRDefault="00D8016B" w:rsidP="00983D4E">
            <w:pPr>
              <w:jc w:val="both"/>
              <w:rPr>
                <w:rFonts w:eastAsia="Calibri"/>
                <w:sz w:val="20"/>
              </w:rPr>
            </w:pPr>
            <w:r w:rsidRPr="006A318F">
              <w:rPr>
                <w:rFonts w:eastAsia="Calibri"/>
                <w:sz w:val="20"/>
              </w:rPr>
              <w:t>The applicants then filed an inscription in appeal and a motion for leave to appeal out of time.  The Court of Appeal held that, under arts. 29 and 511 C.C.P., leave was required to appeal the judgment of the Superior Court.  The Court of Appeal was of the opinion that leave to appeal should not be granted because an appeal would have no reasonable chance of success.</w:t>
            </w:r>
          </w:p>
          <w:p w:rsidR="00D8016B" w:rsidRPr="006A318F" w:rsidRDefault="00D8016B" w:rsidP="00983D4E">
            <w:pPr>
              <w:jc w:val="both"/>
              <w:rPr>
                <w:rFonts w:eastAsia="Calibri"/>
                <w:sz w:val="20"/>
              </w:rPr>
            </w:pPr>
          </w:p>
        </w:tc>
      </w:tr>
      <w:tr w:rsidR="00D8016B" w:rsidRPr="006A318F" w:rsidTr="00983D4E">
        <w:tc>
          <w:tcPr>
            <w:tcW w:w="2427" w:type="pct"/>
          </w:tcPr>
          <w:p w:rsidR="00D8016B" w:rsidRPr="006A318F" w:rsidRDefault="00D8016B" w:rsidP="00983D4E">
            <w:pPr>
              <w:jc w:val="both"/>
              <w:rPr>
                <w:rFonts w:eastAsia="Calibri"/>
                <w:sz w:val="20"/>
              </w:rPr>
            </w:pPr>
            <w:r w:rsidRPr="006A318F">
              <w:rPr>
                <w:rFonts w:eastAsia="Calibri"/>
                <w:sz w:val="20"/>
              </w:rPr>
              <w:t>August 22, 2011</w:t>
            </w:r>
          </w:p>
          <w:p w:rsidR="00D8016B" w:rsidRPr="006A318F" w:rsidRDefault="00D8016B" w:rsidP="00983D4E">
            <w:pPr>
              <w:jc w:val="both"/>
              <w:rPr>
                <w:rFonts w:eastAsia="Calibri"/>
                <w:sz w:val="20"/>
              </w:rPr>
            </w:pPr>
            <w:r w:rsidRPr="006A318F">
              <w:rPr>
                <w:rFonts w:eastAsia="Calibri"/>
                <w:sz w:val="20"/>
              </w:rPr>
              <w:t>Quebec Superior Court</w:t>
            </w:r>
          </w:p>
          <w:p w:rsidR="00D8016B" w:rsidRPr="006A318F" w:rsidRDefault="00D8016B" w:rsidP="00983D4E">
            <w:pPr>
              <w:jc w:val="both"/>
              <w:rPr>
                <w:rFonts w:eastAsia="Calibri"/>
                <w:sz w:val="20"/>
              </w:rPr>
            </w:pPr>
            <w:r w:rsidRPr="006A318F">
              <w:rPr>
                <w:rFonts w:eastAsia="Calibri"/>
                <w:sz w:val="20"/>
              </w:rPr>
              <w:t>(Parent J.)</w:t>
            </w:r>
          </w:p>
          <w:p w:rsidR="00D8016B" w:rsidRPr="006A318F" w:rsidRDefault="00D8016B" w:rsidP="00983D4E">
            <w:pPr>
              <w:jc w:val="both"/>
              <w:rPr>
                <w:rFonts w:eastAsia="Calibri"/>
                <w:sz w:val="20"/>
              </w:rPr>
            </w:pPr>
            <w:r w:rsidRPr="006A318F">
              <w:rPr>
                <w:rFonts w:eastAsia="Calibri"/>
                <w:sz w:val="20"/>
              </w:rPr>
              <w:t>2011 QCCS 4313</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Application for referral of case to district of Montmagny dismissed</w:t>
            </w:r>
          </w:p>
          <w:p w:rsidR="00D8016B" w:rsidRPr="006A318F" w:rsidRDefault="00D8016B" w:rsidP="00983D4E">
            <w:pPr>
              <w:jc w:val="both"/>
              <w:rPr>
                <w:rFonts w:eastAsia="Calibri"/>
                <w:sz w:val="20"/>
              </w:rPr>
            </w:pPr>
          </w:p>
        </w:tc>
      </w:tr>
      <w:tr w:rsidR="00D8016B" w:rsidRPr="006A318F" w:rsidTr="00983D4E">
        <w:tc>
          <w:tcPr>
            <w:tcW w:w="2427" w:type="pct"/>
          </w:tcPr>
          <w:p w:rsidR="00D8016B" w:rsidRPr="006A318F" w:rsidRDefault="00D8016B" w:rsidP="00983D4E">
            <w:pPr>
              <w:jc w:val="both"/>
              <w:rPr>
                <w:rFonts w:eastAsia="Calibri"/>
                <w:sz w:val="20"/>
              </w:rPr>
            </w:pPr>
            <w:r w:rsidRPr="006A318F">
              <w:rPr>
                <w:rFonts w:eastAsia="Calibri"/>
                <w:sz w:val="20"/>
              </w:rPr>
              <w:t>December 6, 2011</w:t>
            </w:r>
          </w:p>
          <w:p w:rsidR="00D8016B" w:rsidRPr="006A318F" w:rsidRDefault="00D8016B" w:rsidP="00983D4E">
            <w:pPr>
              <w:jc w:val="both"/>
              <w:rPr>
                <w:rFonts w:eastAsia="Calibri"/>
                <w:sz w:val="20"/>
              </w:rPr>
            </w:pPr>
            <w:r w:rsidRPr="006A318F">
              <w:rPr>
                <w:rFonts w:eastAsia="Calibri"/>
                <w:sz w:val="20"/>
              </w:rPr>
              <w:t>Quebec Court of Appeal (Québec)</w:t>
            </w:r>
          </w:p>
          <w:p w:rsidR="00D8016B" w:rsidRPr="006A318F" w:rsidRDefault="00D8016B" w:rsidP="00983D4E">
            <w:pPr>
              <w:jc w:val="both"/>
              <w:rPr>
                <w:rFonts w:eastAsia="Calibri"/>
                <w:sz w:val="20"/>
              </w:rPr>
            </w:pPr>
            <w:r w:rsidRPr="006A318F">
              <w:rPr>
                <w:rFonts w:eastAsia="Calibri"/>
                <w:sz w:val="20"/>
              </w:rPr>
              <w:t>(Dutil, Gagnon and Wagner JJ.A.)</w:t>
            </w:r>
          </w:p>
          <w:p w:rsidR="00D8016B" w:rsidRPr="006A318F" w:rsidRDefault="00D8016B" w:rsidP="00983D4E">
            <w:pPr>
              <w:jc w:val="both"/>
              <w:rPr>
                <w:rFonts w:eastAsia="Calibri"/>
                <w:sz w:val="20"/>
              </w:rPr>
            </w:pPr>
            <w:r w:rsidRPr="006A318F">
              <w:rPr>
                <w:rFonts w:eastAsia="Calibri"/>
                <w:sz w:val="20"/>
              </w:rPr>
              <w:t>2011 QCCA 2245; 200</w:t>
            </w:r>
            <w:r w:rsidRPr="006A318F">
              <w:rPr>
                <w:rFonts w:eastAsia="Calibri"/>
                <w:sz w:val="20"/>
              </w:rPr>
              <w:noBreakHyphen/>
              <w:t>09</w:t>
            </w:r>
            <w:r w:rsidRPr="006A318F">
              <w:rPr>
                <w:rFonts w:eastAsia="Calibri"/>
                <w:sz w:val="20"/>
              </w:rPr>
              <w:noBreakHyphen/>
              <w:t>007560</w:t>
            </w:r>
            <w:r w:rsidRPr="006A318F">
              <w:rPr>
                <w:rFonts w:eastAsia="Calibri"/>
                <w:sz w:val="20"/>
              </w:rPr>
              <w:noBreakHyphen/>
              <w:t>110</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Motion for leave to appeal out of time dismissed</w:t>
            </w:r>
          </w:p>
          <w:p w:rsidR="00D8016B" w:rsidRPr="006A318F" w:rsidRDefault="00D8016B" w:rsidP="00983D4E">
            <w:pPr>
              <w:jc w:val="both"/>
              <w:rPr>
                <w:rFonts w:eastAsia="Calibri"/>
                <w:sz w:val="20"/>
              </w:rPr>
            </w:pPr>
          </w:p>
        </w:tc>
      </w:tr>
      <w:tr w:rsidR="00D8016B" w:rsidRPr="006A318F" w:rsidTr="00983D4E">
        <w:tc>
          <w:tcPr>
            <w:tcW w:w="2427" w:type="pct"/>
          </w:tcPr>
          <w:p w:rsidR="00D8016B" w:rsidRPr="006A318F" w:rsidRDefault="00D8016B" w:rsidP="00983D4E">
            <w:pPr>
              <w:jc w:val="both"/>
              <w:rPr>
                <w:rFonts w:eastAsia="Calibri"/>
                <w:sz w:val="20"/>
              </w:rPr>
            </w:pPr>
            <w:r w:rsidRPr="006A318F">
              <w:rPr>
                <w:rFonts w:eastAsia="Calibri"/>
                <w:sz w:val="20"/>
              </w:rPr>
              <w:t>January 9, 2012</w:t>
            </w:r>
          </w:p>
          <w:p w:rsidR="00D8016B" w:rsidRPr="006A318F" w:rsidRDefault="00D8016B" w:rsidP="00983D4E">
            <w:pPr>
              <w:jc w:val="both"/>
              <w:rPr>
                <w:rFonts w:eastAsia="Calibri"/>
                <w:sz w:val="20"/>
              </w:rPr>
            </w:pPr>
            <w:r w:rsidRPr="006A318F">
              <w:rPr>
                <w:rFonts w:eastAsia="Calibri"/>
                <w:sz w:val="20"/>
              </w:rPr>
              <w:t>Supreme Court of Canada</w:t>
            </w: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Application for leave to appeal filed</w:t>
            </w:r>
          </w:p>
          <w:p w:rsidR="00D8016B" w:rsidRPr="006A318F" w:rsidRDefault="00D8016B" w:rsidP="00983D4E">
            <w:pPr>
              <w:jc w:val="both"/>
              <w:rPr>
                <w:rFonts w:eastAsia="Calibri"/>
                <w:sz w:val="20"/>
              </w:rPr>
            </w:pPr>
          </w:p>
        </w:tc>
      </w:tr>
    </w:tbl>
    <w:p w:rsidR="009B2448" w:rsidRDefault="009B2448" w:rsidP="009B2448">
      <w:pPr>
        <w:rPr>
          <w:sz w:val="20"/>
          <w:szCs w:val="20"/>
        </w:rPr>
      </w:pPr>
    </w:p>
    <w:p w:rsidR="009B2448" w:rsidRPr="00C50A5C" w:rsidRDefault="00B44839" w:rsidP="009B2448">
      <w:pPr>
        <w:rPr>
          <w:sz w:val="20"/>
          <w:szCs w:val="20"/>
        </w:rPr>
      </w:pPr>
      <w:r w:rsidRPr="00B44839">
        <w:rPr>
          <w:sz w:val="20"/>
          <w:szCs w:val="20"/>
          <w:lang w:val="fr-CA"/>
        </w:rPr>
        <w:pict>
          <v:rect id="_x0000_i1070" style="width:2in;height:1pt" o:hrpct="0" o:hralign="center" o:hrstd="t" o:hrnoshade="t" o:hr="t" fillcolor="black [3213]" stroked="f"/>
        </w:pict>
      </w:r>
    </w:p>
    <w:p w:rsidR="009B2448" w:rsidRDefault="009B2448" w:rsidP="009B2448">
      <w:pPr>
        <w:rPr>
          <w:sz w:val="20"/>
          <w:szCs w:val="20"/>
        </w:rPr>
      </w:pPr>
    </w:p>
    <w:p w:rsidR="009B2448" w:rsidRPr="001B157C" w:rsidRDefault="009B2448" w:rsidP="009B2448">
      <w:pPr>
        <w:rPr>
          <w:sz w:val="20"/>
          <w:szCs w:val="20"/>
          <w:u w:val="single"/>
          <w:lang w:val="fr-CA"/>
        </w:rPr>
      </w:pPr>
      <w:r w:rsidRPr="001B157C">
        <w:rPr>
          <w:sz w:val="20"/>
          <w:szCs w:val="20"/>
          <w:u w:val="single"/>
          <w:lang w:val="fr-CA"/>
        </w:rPr>
        <w:t>RÉSUMÉ DE L’AFFAIRE</w:t>
      </w:r>
    </w:p>
    <w:p w:rsidR="009B2448" w:rsidRDefault="009B2448" w:rsidP="009B244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8016B" w:rsidRPr="004A42A2" w:rsidTr="00983D4E">
        <w:tc>
          <w:tcPr>
            <w:tcW w:w="5000" w:type="pct"/>
            <w:gridSpan w:val="3"/>
          </w:tcPr>
          <w:p w:rsidR="00D8016B" w:rsidRPr="006A318F" w:rsidRDefault="00D8016B" w:rsidP="00983D4E">
            <w:pPr>
              <w:jc w:val="both"/>
              <w:rPr>
                <w:rFonts w:eastAsia="Calibri"/>
                <w:sz w:val="20"/>
                <w:lang w:val="fr-CA"/>
              </w:rPr>
            </w:pPr>
            <w:r w:rsidRPr="006A318F">
              <w:rPr>
                <w:rFonts w:eastAsia="Calibri"/>
                <w:sz w:val="20"/>
                <w:lang w:val="fr-CA"/>
              </w:rPr>
              <w:t>Procédure civile – Introduction de l’instance – Compétence territoriale des tribunaux – Procédure judiciaire introduite au greffe de Québec – La Cour supérieure aurait</w:t>
            </w:r>
            <w:r w:rsidRPr="006A318F">
              <w:rPr>
                <w:rFonts w:eastAsia="Calibri"/>
                <w:sz w:val="20"/>
                <w:lang w:val="fr-CA"/>
              </w:rPr>
              <w:noBreakHyphen/>
              <w:t>elle dû renvoyer le dossier dans le district judiciaire de Montmagny? – La Cour d’appel aurait</w:t>
            </w:r>
            <w:r w:rsidRPr="006A318F">
              <w:rPr>
                <w:rFonts w:eastAsia="Calibri"/>
                <w:sz w:val="20"/>
                <w:lang w:val="fr-CA"/>
              </w:rPr>
              <w:noBreakHyphen/>
              <w:t>elle dû permettre l’appel?</w:t>
            </w:r>
          </w:p>
        </w:tc>
      </w:tr>
      <w:tr w:rsidR="00D8016B" w:rsidRPr="004A42A2" w:rsidTr="00983D4E">
        <w:tc>
          <w:tcPr>
            <w:tcW w:w="5000" w:type="pct"/>
            <w:gridSpan w:val="3"/>
          </w:tcPr>
          <w:p w:rsidR="00D8016B" w:rsidRPr="006A318F" w:rsidRDefault="00D8016B" w:rsidP="00983D4E">
            <w:pPr>
              <w:jc w:val="both"/>
              <w:rPr>
                <w:rFonts w:eastAsia="Calibri"/>
                <w:sz w:val="20"/>
                <w:lang w:val="fr-CA"/>
              </w:rPr>
            </w:pPr>
          </w:p>
        </w:tc>
      </w:tr>
      <w:tr w:rsidR="00D8016B" w:rsidRPr="004A42A2" w:rsidTr="00983D4E">
        <w:tc>
          <w:tcPr>
            <w:tcW w:w="5000" w:type="pct"/>
            <w:gridSpan w:val="3"/>
          </w:tcPr>
          <w:p w:rsidR="00D8016B" w:rsidRPr="006A318F" w:rsidRDefault="00D8016B" w:rsidP="00983D4E">
            <w:pPr>
              <w:jc w:val="both"/>
              <w:rPr>
                <w:rFonts w:eastAsia="Calibri"/>
                <w:sz w:val="20"/>
                <w:lang w:val="fr-CA"/>
              </w:rPr>
            </w:pPr>
            <w:r w:rsidRPr="006A318F">
              <w:rPr>
                <w:rFonts w:eastAsia="Calibri"/>
                <w:sz w:val="20"/>
                <w:lang w:val="fr-CA"/>
              </w:rPr>
              <w:t>Les demandeurs, domiciliés à St</w:t>
            </w:r>
            <w:r w:rsidRPr="006A318F">
              <w:rPr>
                <w:rFonts w:eastAsia="Calibri"/>
                <w:sz w:val="20"/>
                <w:lang w:val="fr-CA"/>
              </w:rPr>
              <w:noBreakHyphen/>
              <w:t xml:space="preserve">Magloire, font l’objet d’une requête en vertu de l’art. 227 de la </w:t>
            </w:r>
            <w:r w:rsidRPr="006A318F">
              <w:rPr>
                <w:rFonts w:eastAsia="Calibri"/>
                <w:i/>
                <w:sz w:val="20"/>
                <w:lang w:val="fr-CA"/>
              </w:rPr>
              <w:t>Loi sur l’aménagement et l’urbanisme</w:t>
            </w:r>
            <w:r w:rsidRPr="006A318F">
              <w:rPr>
                <w:rFonts w:eastAsia="Calibri"/>
                <w:sz w:val="20"/>
                <w:lang w:val="fr-CA"/>
              </w:rPr>
              <w:t xml:space="preserve"> par laquelle leur municipalité demande la démolition d’un garage et le nettoyage d’un terrain. En réponse à la procédure déposée au greffe de Québec, ils demandent le renvoi du dossier dans le district judiciaire de Montmagny. </w:t>
            </w:r>
          </w:p>
          <w:p w:rsidR="00D8016B" w:rsidRPr="006A318F" w:rsidRDefault="00D8016B" w:rsidP="00983D4E">
            <w:pPr>
              <w:jc w:val="both"/>
              <w:rPr>
                <w:rFonts w:eastAsia="Calibri"/>
                <w:sz w:val="20"/>
                <w:lang w:val="fr-CA"/>
              </w:rPr>
            </w:pPr>
          </w:p>
          <w:p w:rsidR="00D8016B" w:rsidRPr="006A318F" w:rsidRDefault="00D8016B" w:rsidP="00983D4E">
            <w:pPr>
              <w:jc w:val="both"/>
              <w:rPr>
                <w:rFonts w:eastAsia="Calibri"/>
                <w:sz w:val="20"/>
                <w:lang w:val="fr-CA"/>
              </w:rPr>
            </w:pPr>
            <w:r w:rsidRPr="006A318F">
              <w:rPr>
                <w:rFonts w:eastAsia="Calibri"/>
                <w:sz w:val="20"/>
                <w:lang w:val="fr-CA"/>
              </w:rPr>
              <w:t xml:space="preserve">Le juge Parent de la Cour supérieure refuse la demande de transfert. Il souligne qu’en vertu de l’art. 5.5 de la </w:t>
            </w:r>
            <w:r w:rsidRPr="006A318F">
              <w:rPr>
                <w:rFonts w:eastAsia="Calibri"/>
                <w:i/>
                <w:sz w:val="20"/>
                <w:lang w:val="fr-CA"/>
              </w:rPr>
              <w:t>Loi sur les tribunaux judiciaires</w:t>
            </w:r>
            <w:r w:rsidRPr="006A318F">
              <w:rPr>
                <w:rFonts w:eastAsia="Calibri"/>
                <w:sz w:val="20"/>
                <w:lang w:val="fr-CA"/>
              </w:rPr>
              <w:t>, les districts de Québec et de Montmagny ont une compétence concurrente pour ce qui est de la municipalité de St</w:t>
            </w:r>
            <w:r w:rsidRPr="006A318F">
              <w:rPr>
                <w:rFonts w:eastAsia="Calibri"/>
                <w:sz w:val="20"/>
                <w:lang w:val="fr-CA"/>
              </w:rPr>
              <w:noBreakHyphen/>
              <w:t>Magloire. De plus, il est établi que le choix du district judiciaire comme lieu d’introduction de l’action appartient au demandeur.</w:t>
            </w:r>
          </w:p>
          <w:p w:rsidR="00D8016B" w:rsidRPr="006A318F" w:rsidRDefault="00D8016B" w:rsidP="00983D4E">
            <w:pPr>
              <w:jc w:val="both"/>
              <w:rPr>
                <w:rFonts w:eastAsia="Calibri"/>
                <w:sz w:val="20"/>
                <w:lang w:val="fr-CA"/>
              </w:rPr>
            </w:pPr>
          </w:p>
          <w:p w:rsidR="00D8016B" w:rsidRPr="006A318F" w:rsidRDefault="00D8016B" w:rsidP="00983D4E">
            <w:pPr>
              <w:jc w:val="both"/>
              <w:rPr>
                <w:rFonts w:eastAsia="Calibri"/>
                <w:sz w:val="20"/>
                <w:lang w:val="fr-CA"/>
              </w:rPr>
            </w:pPr>
            <w:r w:rsidRPr="006A318F">
              <w:rPr>
                <w:rFonts w:eastAsia="Calibri"/>
                <w:sz w:val="20"/>
                <w:lang w:val="fr-CA"/>
              </w:rPr>
              <w:t xml:space="preserve">Les demandeurs déposent alors une inscription en appel et une requête pour permission d’appeler hors délai. La Cour d’appel juge qu’au regard des art. 29 et 511 C.p.c., l’appel du jugement de la Cour supérieure est assujetti à la permission d’appel. Elle est d’avis qu’il n’y a pas lieu d’autoriser l’appel qui n’a, selon elle, aucune chance raisonnable de succès. </w:t>
            </w:r>
          </w:p>
          <w:p w:rsidR="00D8016B" w:rsidRPr="006A318F" w:rsidRDefault="00D8016B" w:rsidP="00983D4E">
            <w:pPr>
              <w:jc w:val="both"/>
              <w:rPr>
                <w:rFonts w:eastAsia="Calibri"/>
                <w:sz w:val="20"/>
                <w:lang w:val="fr-CA"/>
              </w:rPr>
            </w:pPr>
          </w:p>
        </w:tc>
      </w:tr>
      <w:tr w:rsidR="00D8016B" w:rsidRPr="004A42A2"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lastRenderedPageBreak/>
              <w:t>Le 22 août 2011</w:t>
            </w:r>
          </w:p>
          <w:p w:rsidR="00D8016B" w:rsidRPr="006A318F" w:rsidRDefault="00D8016B" w:rsidP="00983D4E">
            <w:pPr>
              <w:jc w:val="both"/>
              <w:rPr>
                <w:rFonts w:eastAsia="Calibri"/>
                <w:sz w:val="20"/>
                <w:lang w:val="fr-CA"/>
              </w:rPr>
            </w:pPr>
            <w:r w:rsidRPr="006A318F">
              <w:rPr>
                <w:rFonts w:eastAsia="Calibri"/>
                <w:sz w:val="20"/>
                <w:lang w:val="fr-CA"/>
              </w:rPr>
              <w:t>Cour supérieure du Québec</w:t>
            </w:r>
          </w:p>
          <w:p w:rsidR="00D8016B" w:rsidRPr="006A318F" w:rsidRDefault="00D8016B" w:rsidP="00983D4E">
            <w:pPr>
              <w:jc w:val="both"/>
              <w:rPr>
                <w:rFonts w:eastAsia="Calibri"/>
                <w:sz w:val="20"/>
                <w:lang w:val="fr-CA"/>
              </w:rPr>
            </w:pPr>
            <w:r w:rsidRPr="006A318F">
              <w:rPr>
                <w:rFonts w:eastAsia="Calibri"/>
                <w:sz w:val="20"/>
                <w:lang w:val="fr-CA"/>
              </w:rPr>
              <w:t>(Le juge Parent)</w:t>
            </w:r>
          </w:p>
          <w:p w:rsidR="00D8016B" w:rsidRPr="006A318F" w:rsidRDefault="00D8016B" w:rsidP="00983D4E">
            <w:pPr>
              <w:jc w:val="both"/>
              <w:rPr>
                <w:rFonts w:eastAsia="Calibri"/>
                <w:sz w:val="20"/>
                <w:lang w:val="fr-CA"/>
              </w:rPr>
            </w:pPr>
            <w:r w:rsidRPr="006A318F">
              <w:rPr>
                <w:rFonts w:eastAsia="Calibri"/>
                <w:sz w:val="20"/>
                <w:lang w:val="fr-CA"/>
              </w:rPr>
              <w:t>2011 QCCS 4313</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Demande de renvoyer le dossier dans le district de Montmagny rejetée</w:t>
            </w:r>
          </w:p>
          <w:p w:rsidR="00D8016B" w:rsidRPr="006A318F" w:rsidRDefault="00D8016B" w:rsidP="00983D4E">
            <w:pPr>
              <w:jc w:val="both"/>
              <w:rPr>
                <w:rFonts w:eastAsia="Calibri"/>
                <w:sz w:val="20"/>
                <w:lang w:val="fr-CA"/>
              </w:rPr>
            </w:pPr>
          </w:p>
        </w:tc>
      </w:tr>
      <w:tr w:rsidR="00D8016B" w:rsidRPr="004A42A2"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6 décembre 2011</w:t>
            </w:r>
          </w:p>
          <w:p w:rsidR="00D8016B" w:rsidRPr="006A318F" w:rsidRDefault="00D8016B" w:rsidP="00983D4E">
            <w:pPr>
              <w:jc w:val="both"/>
              <w:rPr>
                <w:rFonts w:eastAsia="Calibri"/>
                <w:sz w:val="20"/>
                <w:lang w:val="fr-CA"/>
              </w:rPr>
            </w:pPr>
            <w:r w:rsidRPr="006A318F">
              <w:rPr>
                <w:rFonts w:eastAsia="Calibri"/>
                <w:sz w:val="20"/>
                <w:lang w:val="fr-CA"/>
              </w:rPr>
              <w:t>Cour d’appel du Québec (Québec)</w:t>
            </w:r>
          </w:p>
          <w:p w:rsidR="00D8016B" w:rsidRPr="006A318F" w:rsidRDefault="00D8016B" w:rsidP="00983D4E">
            <w:pPr>
              <w:jc w:val="both"/>
              <w:rPr>
                <w:rFonts w:eastAsia="Calibri"/>
                <w:sz w:val="20"/>
                <w:lang w:val="fr-CA"/>
              </w:rPr>
            </w:pPr>
            <w:r w:rsidRPr="006A318F">
              <w:rPr>
                <w:rFonts w:eastAsia="Calibri"/>
                <w:sz w:val="20"/>
                <w:lang w:val="fr-CA"/>
              </w:rPr>
              <w:t>(Les juges Dutil, Gagnon et Wagner)</w:t>
            </w:r>
          </w:p>
          <w:p w:rsidR="00D8016B" w:rsidRPr="006A318F" w:rsidRDefault="00D8016B" w:rsidP="00983D4E">
            <w:pPr>
              <w:jc w:val="both"/>
              <w:rPr>
                <w:rFonts w:eastAsia="Calibri"/>
                <w:sz w:val="20"/>
                <w:lang w:val="fr-CA"/>
              </w:rPr>
            </w:pPr>
            <w:r w:rsidRPr="006A318F">
              <w:rPr>
                <w:rFonts w:eastAsia="Calibri"/>
                <w:sz w:val="20"/>
                <w:lang w:val="fr-CA"/>
              </w:rPr>
              <w:t>2011 QCCA 2245; 200</w:t>
            </w:r>
            <w:r w:rsidRPr="006A318F">
              <w:rPr>
                <w:rFonts w:eastAsia="Calibri"/>
                <w:sz w:val="20"/>
                <w:lang w:val="fr-CA"/>
              </w:rPr>
              <w:noBreakHyphen/>
              <w:t>09</w:t>
            </w:r>
            <w:r w:rsidRPr="006A318F">
              <w:rPr>
                <w:rFonts w:eastAsia="Calibri"/>
                <w:sz w:val="20"/>
                <w:lang w:val="fr-CA"/>
              </w:rPr>
              <w:noBreakHyphen/>
              <w:t>007560</w:t>
            </w:r>
            <w:r w:rsidRPr="006A318F">
              <w:rPr>
                <w:rFonts w:eastAsia="Calibri"/>
                <w:sz w:val="20"/>
                <w:lang w:val="fr-CA"/>
              </w:rPr>
              <w:noBreakHyphen/>
              <w:t>110</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Requête pour permission d’appeler hors délai rejetée</w:t>
            </w:r>
          </w:p>
          <w:p w:rsidR="00D8016B" w:rsidRPr="006A318F" w:rsidRDefault="00D8016B" w:rsidP="00983D4E">
            <w:pPr>
              <w:jc w:val="both"/>
              <w:rPr>
                <w:rFonts w:eastAsia="Calibri"/>
                <w:sz w:val="20"/>
                <w:lang w:val="fr-CA"/>
              </w:rPr>
            </w:pPr>
          </w:p>
        </w:tc>
      </w:tr>
      <w:tr w:rsidR="00D8016B" w:rsidRPr="006A318F"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9 janvier 2012</w:t>
            </w:r>
          </w:p>
          <w:p w:rsidR="00D8016B" w:rsidRPr="006A318F" w:rsidRDefault="00D8016B" w:rsidP="00983D4E">
            <w:pPr>
              <w:jc w:val="both"/>
              <w:rPr>
                <w:rFonts w:eastAsia="Calibri"/>
                <w:sz w:val="20"/>
                <w:lang w:val="fr-CA"/>
              </w:rPr>
            </w:pPr>
            <w:r w:rsidRPr="006A318F">
              <w:rPr>
                <w:rFonts w:eastAsia="Calibri"/>
                <w:sz w:val="20"/>
                <w:lang w:val="fr-CA"/>
              </w:rPr>
              <w:t>Cour suprême du Canada</w:t>
            </w:r>
          </w:p>
        </w:tc>
        <w:tc>
          <w:tcPr>
            <w:tcW w:w="243" w:type="pct"/>
          </w:tcPr>
          <w:p w:rsidR="00D8016B" w:rsidRPr="006A318F" w:rsidRDefault="00D8016B" w:rsidP="00983D4E">
            <w:pPr>
              <w:jc w:val="both"/>
              <w:rPr>
                <w:rFonts w:eastAsia="Calibri"/>
                <w:sz w:val="20"/>
                <w:lang w:val="fr-CA"/>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Demande d'autorisation d'appel déposée</w:t>
            </w:r>
          </w:p>
          <w:p w:rsidR="00D8016B" w:rsidRPr="006A318F" w:rsidRDefault="00D8016B" w:rsidP="00983D4E">
            <w:pPr>
              <w:jc w:val="both"/>
              <w:rPr>
                <w:rFonts w:eastAsia="Calibri"/>
                <w:sz w:val="20"/>
                <w:lang w:val="fr-CA"/>
              </w:rPr>
            </w:pPr>
          </w:p>
        </w:tc>
      </w:tr>
    </w:tbl>
    <w:p w:rsidR="009B2448" w:rsidRDefault="009B2448" w:rsidP="009B2448">
      <w:pPr>
        <w:rPr>
          <w:sz w:val="20"/>
          <w:szCs w:val="20"/>
        </w:rPr>
      </w:pPr>
    </w:p>
    <w:p w:rsidR="009B2448" w:rsidRDefault="00B44839" w:rsidP="009B2448">
      <w:pPr>
        <w:rPr>
          <w:sz w:val="20"/>
          <w:szCs w:val="20"/>
          <w:lang w:val="fr-CA"/>
        </w:rPr>
      </w:pPr>
      <w:r w:rsidRPr="00B44839">
        <w:rPr>
          <w:sz w:val="20"/>
          <w:szCs w:val="20"/>
          <w:lang w:val="fr-CA"/>
        </w:rPr>
        <w:pict>
          <v:rect id="_x0000_i1071" style="width:2in;height:1pt" o:hrpct="0" o:hralign="center" o:hrstd="t" o:hrnoshade="t" o:hr="t" fillcolor="black [3213]" stroked="f"/>
        </w:pict>
      </w:r>
    </w:p>
    <w:p w:rsidR="009B2448" w:rsidRDefault="009B2448" w:rsidP="009B244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652EA" w:rsidRPr="004A42A2" w:rsidTr="00560A75">
        <w:trPr>
          <w:cantSplit/>
        </w:trPr>
        <w:tc>
          <w:tcPr>
            <w:tcW w:w="1458" w:type="dxa"/>
          </w:tcPr>
          <w:p w:rsidR="000652EA" w:rsidRPr="00EC029E" w:rsidRDefault="000652EA" w:rsidP="00560A75">
            <w:pPr>
              <w:rPr>
                <w:sz w:val="20"/>
                <w:szCs w:val="20"/>
              </w:rPr>
            </w:pPr>
            <w:r w:rsidRPr="00EC029E">
              <w:rPr>
                <w:rStyle w:val="SCCFileNumberChar"/>
                <w:sz w:val="20"/>
                <w:szCs w:val="20"/>
              </w:rPr>
              <w:t>34651</w:t>
            </w:r>
          </w:p>
          <w:p w:rsidR="000652EA" w:rsidRPr="00EC029E" w:rsidRDefault="000652EA" w:rsidP="00560A75">
            <w:pPr>
              <w:rPr>
                <w:b/>
                <w:sz w:val="20"/>
                <w:szCs w:val="20"/>
                <w:lang w:val="fr-CA"/>
              </w:rPr>
            </w:pPr>
          </w:p>
        </w:tc>
        <w:tc>
          <w:tcPr>
            <w:tcW w:w="8118" w:type="dxa"/>
          </w:tcPr>
          <w:p w:rsidR="000652EA" w:rsidRPr="00EC029E" w:rsidRDefault="000652EA" w:rsidP="000652EA">
            <w:pPr>
              <w:jc w:val="both"/>
              <w:rPr>
                <w:sz w:val="20"/>
                <w:szCs w:val="20"/>
                <w:lang w:val="fr-CA"/>
              </w:rPr>
            </w:pPr>
            <w:r w:rsidRPr="00EC029E">
              <w:rPr>
                <w:rStyle w:val="SCCLsocChar"/>
                <w:sz w:val="20"/>
                <w:szCs w:val="20"/>
              </w:rPr>
              <w:t>Elza Bonhomme</w:t>
            </w:r>
            <w:r>
              <w:rPr>
                <w:rStyle w:val="SCCLsocChar"/>
                <w:sz w:val="20"/>
                <w:szCs w:val="20"/>
              </w:rPr>
              <w:t xml:space="preserve"> et </w:t>
            </w:r>
            <w:r w:rsidRPr="00EC029E">
              <w:rPr>
                <w:rStyle w:val="SCCLsocChar"/>
                <w:sz w:val="20"/>
                <w:szCs w:val="20"/>
              </w:rPr>
              <w:t>Serge Vassor c. Les Placements Jean-Philippe Ltée, André Morel et Marcel Jarry (décédé)</w:t>
            </w:r>
            <w:r w:rsidRPr="00EC029E">
              <w:rPr>
                <w:sz w:val="20"/>
                <w:szCs w:val="20"/>
                <w:lang w:val="fr-CA"/>
              </w:rPr>
              <w:t xml:space="preserve"> (Qc) (Civile) (Autorisation)</w:t>
            </w:r>
          </w:p>
          <w:p w:rsidR="000652EA" w:rsidRPr="00EC029E" w:rsidRDefault="000652EA" w:rsidP="00560A75">
            <w:pPr>
              <w:rPr>
                <w:sz w:val="20"/>
                <w:szCs w:val="20"/>
                <w:lang w:val="fr-CA"/>
              </w:rPr>
            </w:pPr>
          </w:p>
        </w:tc>
      </w:tr>
      <w:tr w:rsidR="000652EA" w:rsidRPr="004A42A2" w:rsidTr="00560A75">
        <w:trPr>
          <w:cantSplit/>
        </w:trPr>
        <w:tc>
          <w:tcPr>
            <w:tcW w:w="1458" w:type="dxa"/>
          </w:tcPr>
          <w:p w:rsidR="000652EA" w:rsidRPr="00EC029E" w:rsidRDefault="000652EA" w:rsidP="00560A75">
            <w:pPr>
              <w:rPr>
                <w:sz w:val="20"/>
                <w:szCs w:val="20"/>
              </w:rPr>
            </w:pPr>
            <w:r w:rsidRPr="00EC029E">
              <w:rPr>
                <w:sz w:val="20"/>
                <w:szCs w:val="20"/>
              </w:rPr>
              <w:t>Coram :</w:t>
            </w:r>
          </w:p>
        </w:tc>
        <w:tc>
          <w:tcPr>
            <w:tcW w:w="8118" w:type="dxa"/>
          </w:tcPr>
          <w:p w:rsidR="000652EA" w:rsidRPr="00EC029E" w:rsidRDefault="000652EA" w:rsidP="00560A75">
            <w:pPr>
              <w:rPr>
                <w:sz w:val="20"/>
                <w:szCs w:val="20"/>
                <w:lang w:val="fr-CA"/>
              </w:rPr>
            </w:pPr>
            <w:r w:rsidRPr="00EC029E">
              <w:rPr>
                <w:rStyle w:val="SCCCoramChar"/>
                <w:sz w:val="20"/>
                <w:szCs w:val="20"/>
              </w:rPr>
              <w:t>Les juges LeBel, Abella et Cromwell</w:t>
            </w:r>
          </w:p>
          <w:p w:rsidR="000652EA" w:rsidRPr="00EC029E" w:rsidRDefault="000652EA" w:rsidP="00560A75">
            <w:pPr>
              <w:rPr>
                <w:sz w:val="20"/>
                <w:szCs w:val="20"/>
                <w:u w:val="single"/>
                <w:lang w:val="fr-CA"/>
              </w:rPr>
            </w:pPr>
          </w:p>
        </w:tc>
      </w:tr>
      <w:tr w:rsidR="000652EA" w:rsidRPr="00EC029E" w:rsidTr="00560A75">
        <w:trPr>
          <w:cantSplit/>
        </w:trPr>
        <w:tc>
          <w:tcPr>
            <w:tcW w:w="9576" w:type="dxa"/>
            <w:gridSpan w:val="2"/>
          </w:tcPr>
          <w:p w:rsidR="000652EA" w:rsidRPr="00EC029E" w:rsidRDefault="000652EA" w:rsidP="00560A75">
            <w:pPr>
              <w:pStyle w:val="SCCShortJudgment"/>
              <w:rPr>
                <w:szCs w:val="20"/>
                <w:lang w:val="fr-CA"/>
              </w:rPr>
            </w:pPr>
            <w:r w:rsidRPr="00EC029E">
              <w:rPr>
                <w:szCs w:val="20"/>
                <w:lang w:val="fr-CA"/>
              </w:rPr>
              <w:t>La requête en sursis d’exécution et en annulation du jugement de la Cour supérieure est rejetée. La demande d’autorisation d’appel de l’arrêt de la Cour d’appel du Québec (Montréal), numéro 500-09-022069-116, 2011 QCCA 2261, daté du 5 décembre 2011, est rejetée avec dépens.</w:t>
            </w:r>
          </w:p>
          <w:p w:rsidR="000652EA" w:rsidRPr="00EC029E" w:rsidRDefault="000652EA" w:rsidP="00560A75">
            <w:pPr>
              <w:pStyle w:val="SCCShortJudgment"/>
              <w:ind w:firstLine="0"/>
              <w:rPr>
                <w:szCs w:val="20"/>
                <w:lang w:val="fr-CA"/>
              </w:rPr>
            </w:pPr>
          </w:p>
          <w:p w:rsidR="000652EA" w:rsidRPr="00EC029E" w:rsidRDefault="000652EA" w:rsidP="00560A75">
            <w:pPr>
              <w:pStyle w:val="SCCShortJudgment"/>
              <w:rPr>
                <w:szCs w:val="20"/>
              </w:rPr>
            </w:pPr>
            <w:r w:rsidRPr="00EC029E">
              <w:rPr>
                <w:szCs w:val="20"/>
              </w:rPr>
              <w:t>The motion for a stay of execution and to reverse the judgment of the Superior Court is dismissed. The application for leave to appeal from the judgment of the Court of Appeal of Quebec (Montréal), Number 500-09-022069-116, 2011 QCCA 2261, dated December 5, 2011, is dismissed with costs.</w:t>
            </w:r>
          </w:p>
        </w:tc>
      </w:tr>
    </w:tbl>
    <w:p w:rsidR="009B2448" w:rsidRDefault="009B2448" w:rsidP="008D292F">
      <w:pPr>
        <w:rPr>
          <w:sz w:val="20"/>
          <w:szCs w:val="20"/>
        </w:rPr>
      </w:pPr>
    </w:p>
    <w:p w:rsidR="00D8016B" w:rsidRPr="001B157C" w:rsidRDefault="00D8016B" w:rsidP="00D8016B">
      <w:pPr>
        <w:rPr>
          <w:sz w:val="20"/>
          <w:szCs w:val="20"/>
          <w:u w:val="single"/>
        </w:rPr>
      </w:pPr>
      <w:r w:rsidRPr="001B157C">
        <w:rPr>
          <w:sz w:val="20"/>
          <w:szCs w:val="20"/>
          <w:u w:val="single"/>
        </w:rPr>
        <w:t>CASE SUMMARY</w:t>
      </w:r>
    </w:p>
    <w:p w:rsidR="00D8016B" w:rsidRDefault="00D8016B" w:rsidP="00D8016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8016B" w:rsidRPr="006A318F" w:rsidTr="00983D4E">
        <w:tc>
          <w:tcPr>
            <w:tcW w:w="5000" w:type="pct"/>
            <w:gridSpan w:val="3"/>
          </w:tcPr>
          <w:p w:rsidR="00D8016B" w:rsidRPr="006A318F" w:rsidRDefault="00D8016B" w:rsidP="00983D4E">
            <w:pPr>
              <w:jc w:val="both"/>
              <w:rPr>
                <w:rFonts w:eastAsia="Calibri"/>
                <w:sz w:val="20"/>
              </w:rPr>
            </w:pPr>
            <w:r w:rsidRPr="006A318F">
              <w:rPr>
                <w:rFonts w:eastAsia="Calibri"/>
                <w:sz w:val="20"/>
              </w:rPr>
              <w:t xml:space="preserve">Civil procedure </w:t>
            </w:r>
            <w:r w:rsidRPr="006A318F">
              <w:rPr>
                <w:rFonts w:eastAsia="Calibri"/>
                <w:sz w:val="20"/>
              </w:rPr>
              <w:noBreakHyphen/>
              <w:t xml:space="preserve"> Motion to dismiss appeal granted and appeal dismissed on basis that it had no reasonable chance of success </w:t>
            </w:r>
            <w:r w:rsidRPr="006A318F">
              <w:rPr>
                <w:rFonts w:eastAsia="Calibri"/>
                <w:sz w:val="20"/>
              </w:rPr>
              <w:noBreakHyphen/>
              <w:t xml:space="preserve"> Whether Court of Appeal erred in granting motion </w:t>
            </w:r>
            <w:r w:rsidRPr="006A318F">
              <w:rPr>
                <w:rFonts w:eastAsia="Calibri"/>
                <w:sz w:val="20"/>
              </w:rPr>
              <w:noBreakHyphen/>
              <w:t xml:space="preserve"> Whether Superior Court erred in ordering surrender and taking in payment of immovable in question.</w:t>
            </w:r>
          </w:p>
        </w:tc>
      </w:tr>
      <w:tr w:rsidR="00D8016B" w:rsidRPr="006A318F" w:rsidTr="00983D4E">
        <w:tc>
          <w:tcPr>
            <w:tcW w:w="5000" w:type="pct"/>
            <w:gridSpan w:val="3"/>
          </w:tcPr>
          <w:p w:rsidR="00D8016B" w:rsidRPr="006A318F" w:rsidRDefault="00D8016B" w:rsidP="00983D4E">
            <w:pPr>
              <w:jc w:val="both"/>
              <w:rPr>
                <w:rFonts w:eastAsia="Calibri"/>
                <w:sz w:val="20"/>
              </w:rPr>
            </w:pPr>
          </w:p>
        </w:tc>
      </w:tr>
      <w:tr w:rsidR="00D8016B" w:rsidRPr="006A318F" w:rsidTr="00983D4E">
        <w:tc>
          <w:tcPr>
            <w:tcW w:w="5000" w:type="pct"/>
            <w:gridSpan w:val="3"/>
          </w:tcPr>
          <w:p w:rsidR="00D8016B" w:rsidRPr="006A318F" w:rsidRDefault="00D8016B" w:rsidP="00983D4E">
            <w:pPr>
              <w:jc w:val="both"/>
              <w:rPr>
                <w:rFonts w:eastAsia="Calibri"/>
                <w:sz w:val="20"/>
              </w:rPr>
            </w:pPr>
            <w:r w:rsidRPr="006A318F">
              <w:rPr>
                <w:rFonts w:eastAsia="Calibri"/>
                <w:sz w:val="20"/>
              </w:rPr>
              <w:t>The respondents were successful in a hypothecary proceeding against the applicants for forced surrender and taking in payment.  The Court of Appeal granted a motion by the respondents to dismiss the appeal.  In its view, the appeal had no reasonable chance of success.</w:t>
            </w:r>
          </w:p>
          <w:p w:rsidR="00D8016B" w:rsidRPr="006A318F" w:rsidRDefault="00D8016B" w:rsidP="00983D4E">
            <w:pPr>
              <w:jc w:val="both"/>
              <w:rPr>
                <w:rFonts w:eastAsia="Calibri"/>
                <w:sz w:val="20"/>
              </w:rPr>
            </w:pPr>
          </w:p>
        </w:tc>
      </w:tr>
      <w:tr w:rsidR="00D8016B" w:rsidRPr="006A318F" w:rsidTr="00983D4E">
        <w:tc>
          <w:tcPr>
            <w:tcW w:w="2427" w:type="pct"/>
          </w:tcPr>
          <w:p w:rsidR="00D8016B" w:rsidRPr="006A318F" w:rsidRDefault="00D8016B" w:rsidP="00983D4E">
            <w:pPr>
              <w:jc w:val="both"/>
              <w:rPr>
                <w:rFonts w:eastAsia="Calibri"/>
                <w:sz w:val="20"/>
              </w:rPr>
            </w:pPr>
            <w:r w:rsidRPr="006A318F">
              <w:rPr>
                <w:rFonts w:eastAsia="Calibri"/>
                <w:sz w:val="20"/>
              </w:rPr>
              <w:t>September 6, 2011</w:t>
            </w:r>
          </w:p>
          <w:p w:rsidR="00D8016B" w:rsidRPr="006A318F" w:rsidRDefault="00D8016B" w:rsidP="00983D4E">
            <w:pPr>
              <w:jc w:val="both"/>
              <w:rPr>
                <w:rFonts w:eastAsia="Calibri"/>
                <w:sz w:val="20"/>
              </w:rPr>
            </w:pPr>
            <w:r w:rsidRPr="006A318F">
              <w:rPr>
                <w:rFonts w:eastAsia="Calibri"/>
                <w:sz w:val="20"/>
              </w:rPr>
              <w:t>Quebec Superior Court</w:t>
            </w:r>
          </w:p>
          <w:p w:rsidR="00D8016B" w:rsidRPr="006A318F" w:rsidRDefault="00D8016B" w:rsidP="00983D4E">
            <w:pPr>
              <w:jc w:val="both"/>
              <w:rPr>
                <w:rFonts w:eastAsia="Calibri"/>
                <w:sz w:val="20"/>
              </w:rPr>
            </w:pPr>
            <w:r w:rsidRPr="006A318F">
              <w:rPr>
                <w:rFonts w:eastAsia="Calibri"/>
                <w:sz w:val="20"/>
              </w:rPr>
              <w:t>(Gibeau J.)</w:t>
            </w:r>
          </w:p>
          <w:p w:rsidR="00D8016B" w:rsidRPr="006A318F" w:rsidRDefault="00D8016B" w:rsidP="00983D4E">
            <w:pPr>
              <w:jc w:val="both"/>
              <w:rPr>
                <w:rFonts w:eastAsia="Calibri"/>
                <w:sz w:val="20"/>
              </w:rPr>
            </w:pPr>
            <w:r w:rsidRPr="006A318F">
              <w:rPr>
                <w:rFonts w:eastAsia="Calibri"/>
                <w:sz w:val="20"/>
              </w:rPr>
              <w:t>2011 QCCS 5259</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Motion to institute proceeding in forced surrender and taking in payment granted</w:t>
            </w:r>
          </w:p>
        </w:tc>
      </w:tr>
      <w:tr w:rsidR="00D8016B" w:rsidRPr="006A318F" w:rsidTr="00CA2962">
        <w:trPr>
          <w:cantSplit/>
        </w:trPr>
        <w:tc>
          <w:tcPr>
            <w:tcW w:w="2427" w:type="pct"/>
          </w:tcPr>
          <w:p w:rsidR="00D8016B" w:rsidRPr="006A318F" w:rsidRDefault="00D8016B" w:rsidP="00983D4E">
            <w:pPr>
              <w:jc w:val="both"/>
              <w:rPr>
                <w:rFonts w:eastAsia="Calibri"/>
                <w:sz w:val="20"/>
              </w:rPr>
            </w:pPr>
            <w:r w:rsidRPr="006A318F">
              <w:rPr>
                <w:rFonts w:eastAsia="Calibri"/>
                <w:sz w:val="20"/>
              </w:rPr>
              <w:lastRenderedPageBreak/>
              <w:t>December 5, 2011</w:t>
            </w:r>
          </w:p>
          <w:p w:rsidR="00D8016B" w:rsidRPr="006A318F" w:rsidRDefault="00D8016B" w:rsidP="00983D4E">
            <w:pPr>
              <w:jc w:val="both"/>
              <w:rPr>
                <w:rFonts w:eastAsia="Calibri"/>
                <w:sz w:val="20"/>
              </w:rPr>
            </w:pPr>
            <w:r w:rsidRPr="006A318F">
              <w:rPr>
                <w:rFonts w:eastAsia="Calibri"/>
                <w:sz w:val="20"/>
              </w:rPr>
              <w:t>Quebec Court of Appeal (Montréal)</w:t>
            </w:r>
          </w:p>
          <w:p w:rsidR="00D8016B" w:rsidRPr="006A318F" w:rsidRDefault="00D8016B" w:rsidP="00983D4E">
            <w:pPr>
              <w:jc w:val="both"/>
              <w:rPr>
                <w:rFonts w:eastAsia="Calibri"/>
                <w:sz w:val="20"/>
              </w:rPr>
            </w:pPr>
            <w:r w:rsidRPr="006A318F">
              <w:rPr>
                <w:rFonts w:eastAsia="Calibri"/>
                <w:sz w:val="20"/>
              </w:rPr>
              <w:t>(Morin, Dalphond and Léger JJ.A.)</w:t>
            </w:r>
          </w:p>
          <w:p w:rsidR="00D8016B" w:rsidRPr="006A318F" w:rsidRDefault="00D8016B" w:rsidP="00983D4E">
            <w:pPr>
              <w:jc w:val="both"/>
              <w:rPr>
                <w:rFonts w:eastAsia="Calibri"/>
                <w:sz w:val="20"/>
              </w:rPr>
            </w:pPr>
            <w:r w:rsidRPr="006A318F">
              <w:rPr>
                <w:rFonts w:eastAsia="Calibri"/>
                <w:sz w:val="20"/>
              </w:rPr>
              <w:t>2011 QCCA 2261; 500</w:t>
            </w:r>
            <w:r w:rsidRPr="006A318F">
              <w:rPr>
                <w:rFonts w:eastAsia="Calibri"/>
                <w:sz w:val="20"/>
              </w:rPr>
              <w:noBreakHyphen/>
              <w:t>09</w:t>
            </w:r>
            <w:r w:rsidRPr="006A318F">
              <w:rPr>
                <w:rFonts w:eastAsia="Calibri"/>
                <w:sz w:val="20"/>
              </w:rPr>
              <w:noBreakHyphen/>
              <w:t>022069</w:t>
            </w:r>
            <w:r w:rsidRPr="006A318F">
              <w:rPr>
                <w:rFonts w:eastAsia="Calibri"/>
                <w:sz w:val="20"/>
              </w:rPr>
              <w:noBreakHyphen/>
              <w:t>116</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Motion to dismiss appeal granted; appeal dismissed</w:t>
            </w:r>
          </w:p>
          <w:p w:rsidR="00D8016B" w:rsidRPr="006A318F" w:rsidRDefault="00D8016B" w:rsidP="00983D4E">
            <w:pPr>
              <w:jc w:val="both"/>
              <w:rPr>
                <w:rFonts w:eastAsia="Calibri"/>
                <w:sz w:val="20"/>
              </w:rPr>
            </w:pPr>
          </w:p>
        </w:tc>
      </w:tr>
      <w:tr w:rsidR="00D8016B" w:rsidRPr="006A318F" w:rsidTr="00CA2962">
        <w:trPr>
          <w:cantSplit/>
        </w:trPr>
        <w:tc>
          <w:tcPr>
            <w:tcW w:w="2427" w:type="pct"/>
          </w:tcPr>
          <w:p w:rsidR="00D8016B" w:rsidRPr="006A318F" w:rsidRDefault="00D8016B" w:rsidP="00983D4E">
            <w:pPr>
              <w:jc w:val="both"/>
              <w:rPr>
                <w:rFonts w:eastAsia="Calibri"/>
                <w:sz w:val="20"/>
              </w:rPr>
            </w:pPr>
            <w:r w:rsidRPr="006A318F">
              <w:rPr>
                <w:rFonts w:eastAsia="Calibri"/>
                <w:sz w:val="20"/>
              </w:rPr>
              <w:t>January 25, 2012</w:t>
            </w:r>
          </w:p>
          <w:p w:rsidR="00D8016B" w:rsidRPr="006A318F" w:rsidRDefault="00D8016B" w:rsidP="00983D4E">
            <w:pPr>
              <w:jc w:val="both"/>
              <w:rPr>
                <w:rFonts w:eastAsia="Calibri"/>
                <w:sz w:val="20"/>
              </w:rPr>
            </w:pPr>
            <w:r w:rsidRPr="006A318F">
              <w:rPr>
                <w:rFonts w:eastAsia="Calibri"/>
                <w:sz w:val="20"/>
              </w:rPr>
              <w:t>Supreme Court of Canada</w:t>
            </w: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rPr>
            </w:pPr>
            <w:r w:rsidRPr="006A318F">
              <w:rPr>
                <w:rFonts w:eastAsia="Calibri"/>
                <w:sz w:val="20"/>
              </w:rPr>
              <w:t>Application for leave to appeal filed</w:t>
            </w:r>
          </w:p>
          <w:p w:rsidR="00D8016B" w:rsidRPr="006A318F" w:rsidRDefault="00D8016B" w:rsidP="00983D4E">
            <w:pPr>
              <w:jc w:val="both"/>
              <w:rPr>
                <w:rFonts w:eastAsia="Calibri"/>
                <w:sz w:val="20"/>
              </w:rPr>
            </w:pPr>
          </w:p>
        </w:tc>
      </w:tr>
    </w:tbl>
    <w:p w:rsidR="00D8016B" w:rsidRDefault="00D8016B" w:rsidP="00D8016B">
      <w:pPr>
        <w:rPr>
          <w:sz w:val="20"/>
          <w:szCs w:val="20"/>
        </w:rPr>
      </w:pPr>
    </w:p>
    <w:p w:rsidR="00D8016B" w:rsidRPr="00C50A5C" w:rsidRDefault="00B44839" w:rsidP="00D8016B">
      <w:pPr>
        <w:rPr>
          <w:sz w:val="20"/>
          <w:szCs w:val="20"/>
        </w:rPr>
      </w:pPr>
      <w:r w:rsidRPr="00B44839">
        <w:rPr>
          <w:sz w:val="20"/>
          <w:szCs w:val="20"/>
          <w:lang w:val="fr-CA"/>
        </w:rPr>
        <w:pict>
          <v:rect id="_x0000_i1072" style="width:2in;height:1pt" o:hrpct="0" o:hralign="center" o:hrstd="t" o:hrnoshade="t" o:hr="t" fillcolor="black [3213]" stroked="f"/>
        </w:pict>
      </w:r>
    </w:p>
    <w:p w:rsidR="00D8016B" w:rsidRDefault="00D8016B" w:rsidP="00D8016B">
      <w:pPr>
        <w:rPr>
          <w:sz w:val="20"/>
          <w:szCs w:val="20"/>
        </w:rPr>
      </w:pPr>
    </w:p>
    <w:p w:rsidR="00D8016B" w:rsidRPr="001B157C" w:rsidRDefault="00D8016B" w:rsidP="00D8016B">
      <w:pPr>
        <w:rPr>
          <w:sz w:val="20"/>
          <w:szCs w:val="20"/>
          <w:u w:val="single"/>
          <w:lang w:val="fr-CA"/>
        </w:rPr>
      </w:pPr>
      <w:r w:rsidRPr="001B157C">
        <w:rPr>
          <w:sz w:val="20"/>
          <w:szCs w:val="20"/>
          <w:u w:val="single"/>
          <w:lang w:val="fr-CA"/>
        </w:rPr>
        <w:t>RÉSUMÉ DE L’AFFAIRE</w:t>
      </w:r>
    </w:p>
    <w:p w:rsidR="00D8016B" w:rsidRDefault="00D8016B" w:rsidP="00D8016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8016B" w:rsidRPr="004A42A2" w:rsidTr="00983D4E">
        <w:tc>
          <w:tcPr>
            <w:tcW w:w="5000" w:type="pct"/>
            <w:gridSpan w:val="3"/>
          </w:tcPr>
          <w:p w:rsidR="00D8016B" w:rsidRPr="006A318F" w:rsidRDefault="00D8016B" w:rsidP="00983D4E">
            <w:pPr>
              <w:jc w:val="both"/>
              <w:rPr>
                <w:rFonts w:eastAsia="Calibri"/>
                <w:sz w:val="20"/>
                <w:lang w:val="fr-CA"/>
              </w:rPr>
            </w:pPr>
            <w:r w:rsidRPr="006A318F">
              <w:rPr>
                <w:rFonts w:eastAsia="Calibri"/>
                <w:sz w:val="20"/>
                <w:lang w:val="fr-CA"/>
              </w:rPr>
              <w:t xml:space="preserve">Procédure civile </w:t>
            </w:r>
            <w:r w:rsidRPr="006A318F">
              <w:rPr>
                <w:rFonts w:eastAsia="Calibri"/>
                <w:sz w:val="20"/>
                <w:lang w:val="fr-CA"/>
              </w:rPr>
              <w:noBreakHyphen/>
              <w:t xml:space="preserve"> Requête en rejet d’appel accueillie et appel rejeté au motif qu’il n’avait aucune chance raisonnable de succès </w:t>
            </w:r>
            <w:r w:rsidRPr="006A318F">
              <w:rPr>
                <w:rFonts w:eastAsia="Calibri"/>
                <w:sz w:val="20"/>
                <w:lang w:val="fr-CA"/>
              </w:rPr>
              <w:noBreakHyphen/>
              <w:t xml:space="preserve"> La Cour d’appel a</w:t>
            </w:r>
            <w:r w:rsidRPr="006A318F">
              <w:rPr>
                <w:rFonts w:eastAsia="Calibri"/>
                <w:sz w:val="20"/>
                <w:lang w:val="fr-CA"/>
              </w:rPr>
              <w:noBreakHyphen/>
              <w:t>t</w:t>
            </w:r>
            <w:r w:rsidRPr="006A318F">
              <w:rPr>
                <w:rFonts w:eastAsia="Calibri"/>
                <w:sz w:val="20"/>
                <w:lang w:val="fr-CA"/>
              </w:rPr>
              <w:noBreakHyphen/>
              <w:t xml:space="preserve">elle fait erreur en accueillant la requête? </w:t>
            </w:r>
            <w:r w:rsidRPr="006A318F">
              <w:rPr>
                <w:rFonts w:eastAsia="Calibri"/>
                <w:sz w:val="20"/>
                <w:lang w:val="fr-CA"/>
              </w:rPr>
              <w:noBreakHyphen/>
              <w:t xml:space="preserve"> La Cour supérieure a</w:t>
            </w:r>
            <w:r w:rsidRPr="006A318F">
              <w:rPr>
                <w:rFonts w:eastAsia="Calibri"/>
                <w:sz w:val="20"/>
                <w:lang w:val="fr-CA"/>
              </w:rPr>
              <w:noBreakHyphen/>
              <w:t>t</w:t>
            </w:r>
            <w:r w:rsidRPr="006A318F">
              <w:rPr>
                <w:rFonts w:eastAsia="Calibri"/>
                <w:sz w:val="20"/>
                <w:lang w:val="fr-CA"/>
              </w:rPr>
              <w:noBreakHyphen/>
              <w:t>elle fait erreur en ordonnant le délaissement et la prise en paiement de l’immeuble en cause?</w:t>
            </w:r>
          </w:p>
        </w:tc>
      </w:tr>
      <w:tr w:rsidR="00D8016B" w:rsidRPr="004A42A2" w:rsidTr="00983D4E">
        <w:tc>
          <w:tcPr>
            <w:tcW w:w="5000" w:type="pct"/>
            <w:gridSpan w:val="3"/>
          </w:tcPr>
          <w:p w:rsidR="00D8016B" w:rsidRPr="006A318F" w:rsidRDefault="00D8016B" w:rsidP="00983D4E">
            <w:pPr>
              <w:jc w:val="both"/>
              <w:rPr>
                <w:rFonts w:eastAsia="Calibri"/>
                <w:sz w:val="20"/>
                <w:lang w:val="fr-CA"/>
              </w:rPr>
            </w:pPr>
          </w:p>
        </w:tc>
      </w:tr>
      <w:tr w:rsidR="00D8016B" w:rsidRPr="006A318F" w:rsidTr="00983D4E">
        <w:tc>
          <w:tcPr>
            <w:tcW w:w="5000" w:type="pct"/>
            <w:gridSpan w:val="3"/>
          </w:tcPr>
          <w:p w:rsidR="00D8016B" w:rsidRPr="006A318F" w:rsidRDefault="00D8016B" w:rsidP="00983D4E">
            <w:pPr>
              <w:jc w:val="both"/>
              <w:rPr>
                <w:rFonts w:eastAsia="Calibri"/>
                <w:sz w:val="20"/>
                <w:lang w:val="fr-CA"/>
              </w:rPr>
            </w:pPr>
            <w:r w:rsidRPr="006A318F">
              <w:rPr>
                <w:rFonts w:eastAsia="Calibri"/>
                <w:sz w:val="20"/>
                <w:lang w:val="fr-CA"/>
              </w:rPr>
              <w:t>Les intimés ont eu gain de cause à l’encontre des demandeurs dans le cadre d’une procédure hypothécaire de délaissement forcé et prise en paiement.  La Cour d’appel a accueilli une requête des intimés en rejet d’appel.  Selon elle, l’appel n’avait aucune chance raisonnable de succès.</w:t>
            </w:r>
          </w:p>
          <w:p w:rsidR="00D8016B" w:rsidRPr="006A318F" w:rsidRDefault="00D8016B" w:rsidP="00983D4E">
            <w:pPr>
              <w:jc w:val="both"/>
              <w:rPr>
                <w:rFonts w:eastAsia="Calibri"/>
                <w:sz w:val="20"/>
                <w:lang w:val="fr-CA"/>
              </w:rPr>
            </w:pPr>
          </w:p>
        </w:tc>
      </w:tr>
      <w:tr w:rsidR="00D8016B" w:rsidRPr="004A42A2"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6 septembre 2011</w:t>
            </w:r>
          </w:p>
          <w:p w:rsidR="00D8016B" w:rsidRPr="006A318F" w:rsidRDefault="00D8016B" w:rsidP="00983D4E">
            <w:pPr>
              <w:jc w:val="both"/>
              <w:rPr>
                <w:rFonts w:eastAsia="Calibri"/>
                <w:sz w:val="20"/>
                <w:lang w:val="fr-CA"/>
              </w:rPr>
            </w:pPr>
            <w:r w:rsidRPr="006A318F">
              <w:rPr>
                <w:rFonts w:eastAsia="Calibri"/>
                <w:sz w:val="20"/>
                <w:lang w:val="fr-CA"/>
              </w:rPr>
              <w:t>Cour supérieure du Québec</w:t>
            </w:r>
          </w:p>
          <w:p w:rsidR="00D8016B" w:rsidRPr="006A318F" w:rsidRDefault="00D8016B" w:rsidP="00983D4E">
            <w:pPr>
              <w:jc w:val="both"/>
              <w:rPr>
                <w:rFonts w:eastAsia="Calibri"/>
                <w:sz w:val="20"/>
                <w:lang w:val="fr-CA"/>
              </w:rPr>
            </w:pPr>
            <w:r w:rsidRPr="006A318F">
              <w:rPr>
                <w:rFonts w:eastAsia="Calibri"/>
                <w:sz w:val="20"/>
                <w:lang w:val="fr-CA"/>
              </w:rPr>
              <w:t>(La juge Gibeau)</w:t>
            </w:r>
          </w:p>
          <w:p w:rsidR="00D8016B" w:rsidRPr="006A318F" w:rsidRDefault="00D8016B" w:rsidP="00983D4E">
            <w:pPr>
              <w:jc w:val="both"/>
              <w:rPr>
                <w:rFonts w:eastAsia="Calibri"/>
                <w:sz w:val="20"/>
                <w:lang w:val="fr-CA"/>
              </w:rPr>
            </w:pPr>
            <w:r w:rsidRPr="006A318F">
              <w:rPr>
                <w:rFonts w:eastAsia="Calibri"/>
                <w:sz w:val="20"/>
                <w:lang w:val="fr-CA"/>
              </w:rPr>
              <w:t>2011 QCCS 5259</w:t>
            </w:r>
          </w:p>
          <w:p w:rsidR="00D8016B" w:rsidRPr="006A318F" w:rsidRDefault="00D8016B" w:rsidP="00983D4E">
            <w:pPr>
              <w:jc w:val="both"/>
              <w:rPr>
                <w:rFonts w:eastAsia="Calibri"/>
                <w:sz w:val="20"/>
              </w:rPr>
            </w:pPr>
          </w:p>
        </w:tc>
        <w:tc>
          <w:tcPr>
            <w:tcW w:w="243" w:type="pct"/>
          </w:tcPr>
          <w:p w:rsidR="00D8016B" w:rsidRPr="006A318F" w:rsidRDefault="00D8016B" w:rsidP="00983D4E">
            <w:pPr>
              <w:jc w:val="both"/>
              <w:rPr>
                <w:rFonts w:eastAsia="Calibri"/>
                <w:sz w:val="20"/>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 xml:space="preserve">Requête introductive d’instance en délaissement forcé et en prise en paiement accueillie </w:t>
            </w:r>
          </w:p>
        </w:tc>
      </w:tr>
      <w:tr w:rsidR="00D8016B" w:rsidRPr="004A42A2"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5 décembre 2011</w:t>
            </w:r>
          </w:p>
          <w:p w:rsidR="00D8016B" w:rsidRPr="006A318F" w:rsidRDefault="00D8016B" w:rsidP="00983D4E">
            <w:pPr>
              <w:jc w:val="both"/>
              <w:rPr>
                <w:rFonts w:eastAsia="Calibri"/>
                <w:sz w:val="20"/>
                <w:lang w:val="fr-CA"/>
              </w:rPr>
            </w:pPr>
            <w:r w:rsidRPr="006A318F">
              <w:rPr>
                <w:rFonts w:eastAsia="Calibri"/>
                <w:sz w:val="20"/>
                <w:lang w:val="fr-CA"/>
              </w:rPr>
              <w:t>Cour d’appel du Québec (Montréal)</w:t>
            </w:r>
          </w:p>
          <w:p w:rsidR="00D8016B" w:rsidRPr="006A318F" w:rsidRDefault="00D8016B" w:rsidP="00983D4E">
            <w:pPr>
              <w:jc w:val="both"/>
              <w:rPr>
                <w:rFonts w:eastAsia="Calibri"/>
                <w:sz w:val="20"/>
                <w:lang w:val="fr-CA"/>
              </w:rPr>
            </w:pPr>
            <w:r w:rsidRPr="006A318F">
              <w:rPr>
                <w:rFonts w:eastAsia="Calibri"/>
                <w:sz w:val="20"/>
                <w:lang w:val="fr-CA"/>
              </w:rPr>
              <w:t>(Les juges Morin, Dalphond et  Léger)</w:t>
            </w:r>
          </w:p>
          <w:p w:rsidR="00D8016B" w:rsidRPr="006A318F" w:rsidRDefault="00D8016B" w:rsidP="00983D4E">
            <w:pPr>
              <w:jc w:val="both"/>
              <w:rPr>
                <w:rFonts w:eastAsia="Calibri"/>
                <w:sz w:val="20"/>
                <w:lang w:val="fr-CA"/>
              </w:rPr>
            </w:pPr>
            <w:r w:rsidRPr="006A318F">
              <w:rPr>
                <w:rFonts w:eastAsia="Calibri"/>
                <w:sz w:val="20"/>
                <w:lang w:val="fr-CA"/>
              </w:rPr>
              <w:t>2011 QCCA 2261; 500</w:t>
            </w:r>
            <w:r w:rsidRPr="006A318F">
              <w:rPr>
                <w:rFonts w:eastAsia="Calibri"/>
                <w:sz w:val="20"/>
                <w:lang w:val="fr-CA"/>
              </w:rPr>
              <w:noBreakHyphen/>
              <w:t>09</w:t>
            </w:r>
            <w:r w:rsidRPr="006A318F">
              <w:rPr>
                <w:rFonts w:eastAsia="Calibri"/>
                <w:sz w:val="20"/>
                <w:lang w:val="fr-CA"/>
              </w:rPr>
              <w:noBreakHyphen/>
              <w:t>022069</w:t>
            </w:r>
            <w:r w:rsidRPr="006A318F">
              <w:rPr>
                <w:rFonts w:eastAsia="Calibri"/>
                <w:sz w:val="20"/>
                <w:lang w:val="fr-CA"/>
              </w:rPr>
              <w:noBreakHyphen/>
              <w:t>116</w:t>
            </w:r>
          </w:p>
          <w:p w:rsidR="00D8016B" w:rsidRPr="006A318F" w:rsidRDefault="00D8016B" w:rsidP="00983D4E">
            <w:pPr>
              <w:jc w:val="both"/>
              <w:rPr>
                <w:rFonts w:eastAsia="Calibri"/>
                <w:sz w:val="20"/>
                <w:lang w:val="fr-CA"/>
              </w:rPr>
            </w:pPr>
          </w:p>
        </w:tc>
        <w:tc>
          <w:tcPr>
            <w:tcW w:w="243" w:type="pct"/>
          </w:tcPr>
          <w:p w:rsidR="00D8016B" w:rsidRPr="006A318F" w:rsidRDefault="00D8016B" w:rsidP="00983D4E">
            <w:pPr>
              <w:jc w:val="both"/>
              <w:rPr>
                <w:rFonts w:eastAsia="Calibri"/>
                <w:sz w:val="20"/>
                <w:lang w:val="fr-CA"/>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Requête en rejet d’appel accueillie; appel rejeté</w:t>
            </w:r>
          </w:p>
          <w:p w:rsidR="00D8016B" w:rsidRPr="006A318F" w:rsidRDefault="00D8016B" w:rsidP="00983D4E">
            <w:pPr>
              <w:jc w:val="both"/>
              <w:rPr>
                <w:rFonts w:eastAsia="Calibri"/>
                <w:sz w:val="20"/>
                <w:lang w:val="fr-CA"/>
              </w:rPr>
            </w:pPr>
          </w:p>
        </w:tc>
      </w:tr>
      <w:tr w:rsidR="00D8016B" w:rsidRPr="006A318F" w:rsidTr="00983D4E">
        <w:tc>
          <w:tcPr>
            <w:tcW w:w="2427" w:type="pct"/>
          </w:tcPr>
          <w:p w:rsidR="00D8016B" w:rsidRPr="006A318F" w:rsidRDefault="00D8016B" w:rsidP="00983D4E">
            <w:pPr>
              <w:jc w:val="both"/>
              <w:rPr>
                <w:rFonts w:eastAsia="Calibri"/>
                <w:sz w:val="20"/>
                <w:lang w:val="fr-CA"/>
              </w:rPr>
            </w:pPr>
            <w:r w:rsidRPr="006A318F">
              <w:rPr>
                <w:rFonts w:eastAsia="Calibri"/>
                <w:sz w:val="20"/>
                <w:lang w:val="fr-CA"/>
              </w:rPr>
              <w:t>Le 25 janvier 2012</w:t>
            </w:r>
          </w:p>
          <w:p w:rsidR="00D8016B" w:rsidRPr="006A318F" w:rsidRDefault="00D8016B" w:rsidP="00983D4E">
            <w:pPr>
              <w:jc w:val="both"/>
              <w:rPr>
                <w:rFonts w:eastAsia="Calibri"/>
                <w:sz w:val="20"/>
                <w:lang w:val="fr-CA"/>
              </w:rPr>
            </w:pPr>
            <w:r w:rsidRPr="006A318F">
              <w:rPr>
                <w:rFonts w:eastAsia="Calibri"/>
                <w:sz w:val="20"/>
                <w:lang w:val="fr-CA"/>
              </w:rPr>
              <w:t>Cour suprême du Canada</w:t>
            </w:r>
          </w:p>
        </w:tc>
        <w:tc>
          <w:tcPr>
            <w:tcW w:w="243" w:type="pct"/>
          </w:tcPr>
          <w:p w:rsidR="00D8016B" w:rsidRPr="006A318F" w:rsidRDefault="00D8016B" w:rsidP="00983D4E">
            <w:pPr>
              <w:jc w:val="both"/>
              <w:rPr>
                <w:rFonts w:eastAsia="Calibri"/>
                <w:sz w:val="20"/>
                <w:lang w:val="fr-CA"/>
              </w:rPr>
            </w:pPr>
          </w:p>
        </w:tc>
        <w:tc>
          <w:tcPr>
            <w:tcW w:w="2330" w:type="pct"/>
          </w:tcPr>
          <w:p w:rsidR="00D8016B" w:rsidRPr="006A318F" w:rsidRDefault="00D8016B" w:rsidP="00983D4E">
            <w:pPr>
              <w:jc w:val="both"/>
              <w:rPr>
                <w:rFonts w:eastAsia="Calibri"/>
                <w:sz w:val="20"/>
                <w:lang w:val="fr-CA"/>
              </w:rPr>
            </w:pPr>
            <w:r w:rsidRPr="006A318F">
              <w:rPr>
                <w:rFonts w:eastAsia="Calibri"/>
                <w:sz w:val="20"/>
                <w:lang w:val="fr-CA"/>
              </w:rPr>
              <w:t>Demande d'autorisation d'appel déposée</w:t>
            </w:r>
          </w:p>
          <w:p w:rsidR="00D8016B" w:rsidRPr="006A318F" w:rsidRDefault="00D8016B" w:rsidP="00983D4E">
            <w:pPr>
              <w:jc w:val="both"/>
              <w:rPr>
                <w:rFonts w:eastAsia="Calibri"/>
                <w:sz w:val="20"/>
                <w:lang w:val="fr-CA"/>
              </w:rPr>
            </w:pPr>
          </w:p>
        </w:tc>
      </w:tr>
    </w:tbl>
    <w:p w:rsidR="00D8016B" w:rsidRDefault="00D8016B" w:rsidP="00D8016B">
      <w:pPr>
        <w:rPr>
          <w:sz w:val="20"/>
          <w:szCs w:val="20"/>
        </w:rPr>
      </w:pPr>
    </w:p>
    <w:p w:rsidR="00D8016B" w:rsidRDefault="00B44839" w:rsidP="00D8016B">
      <w:pPr>
        <w:rPr>
          <w:sz w:val="20"/>
          <w:szCs w:val="20"/>
          <w:lang w:val="fr-CA"/>
        </w:rPr>
      </w:pPr>
      <w:r w:rsidRPr="00B44839">
        <w:rPr>
          <w:sz w:val="20"/>
          <w:szCs w:val="20"/>
          <w:lang w:val="fr-CA"/>
        </w:rPr>
        <w:pict>
          <v:rect id="_x0000_i1073" style="width:2in;height:1pt" o:hrpct="0" o:hralign="center" o:hrstd="t" o:hrnoshade="t" o:hr="t" fillcolor="black [3213]" stroked="f"/>
        </w:pict>
      </w:r>
    </w:p>
    <w:p w:rsidR="00D8016B" w:rsidRDefault="00D8016B" w:rsidP="00D8016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15FAC" w:rsidRPr="004A42A2" w:rsidTr="00560A75">
        <w:trPr>
          <w:cantSplit/>
        </w:trPr>
        <w:tc>
          <w:tcPr>
            <w:tcW w:w="1458" w:type="dxa"/>
          </w:tcPr>
          <w:p w:rsidR="00015FAC" w:rsidRPr="00EC029E" w:rsidRDefault="00015FAC" w:rsidP="00560A75">
            <w:pPr>
              <w:rPr>
                <w:sz w:val="20"/>
                <w:szCs w:val="20"/>
              </w:rPr>
            </w:pPr>
            <w:r w:rsidRPr="00EC029E">
              <w:rPr>
                <w:rStyle w:val="SCCFileNumberChar"/>
                <w:sz w:val="20"/>
                <w:szCs w:val="20"/>
              </w:rPr>
              <w:t>34666</w:t>
            </w:r>
          </w:p>
          <w:p w:rsidR="00015FAC" w:rsidRPr="00EC029E" w:rsidRDefault="00015FAC" w:rsidP="00560A75">
            <w:pPr>
              <w:rPr>
                <w:b/>
                <w:sz w:val="20"/>
                <w:szCs w:val="20"/>
                <w:lang w:val="fr-CA"/>
              </w:rPr>
            </w:pPr>
          </w:p>
        </w:tc>
        <w:tc>
          <w:tcPr>
            <w:tcW w:w="8118" w:type="dxa"/>
          </w:tcPr>
          <w:p w:rsidR="00015FAC" w:rsidRPr="00EC029E" w:rsidRDefault="00015FAC" w:rsidP="00560A75">
            <w:pPr>
              <w:rPr>
                <w:sz w:val="20"/>
                <w:szCs w:val="20"/>
                <w:lang w:val="fr-CA"/>
              </w:rPr>
            </w:pPr>
            <w:r w:rsidRPr="00EC029E">
              <w:rPr>
                <w:rStyle w:val="SCCLsocChar"/>
                <w:sz w:val="20"/>
                <w:szCs w:val="20"/>
              </w:rPr>
              <w:t>Sarto Landry c. Sous-ministre du Revenu du Québec</w:t>
            </w:r>
            <w:r w:rsidRPr="00EC029E">
              <w:rPr>
                <w:sz w:val="20"/>
                <w:szCs w:val="20"/>
                <w:lang w:val="fr-CA"/>
              </w:rPr>
              <w:t xml:space="preserve"> (Qc) (Civile) (Autorisation)</w:t>
            </w:r>
          </w:p>
          <w:p w:rsidR="00015FAC" w:rsidRPr="00EC029E" w:rsidRDefault="00015FAC" w:rsidP="00560A75">
            <w:pPr>
              <w:rPr>
                <w:sz w:val="20"/>
                <w:szCs w:val="20"/>
                <w:lang w:val="fr-CA"/>
              </w:rPr>
            </w:pPr>
          </w:p>
        </w:tc>
      </w:tr>
      <w:tr w:rsidR="00015FAC" w:rsidRPr="004A42A2" w:rsidTr="00560A75">
        <w:trPr>
          <w:cantSplit/>
        </w:trPr>
        <w:tc>
          <w:tcPr>
            <w:tcW w:w="1458" w:type="dxa"/>
          </w:tcPr>
          <w:p w:rsidR="00015FAC" w:rsidRPr="00EC029E" w:rsidRDefault="00015FAC" w:rsidP="00560A75">
            <w:pPr>
              <w:rPr>
                <w:sz w:val="20"/>
                <w:szCs w:val="20"/>
              </w:rPr>
            </w:pPr>
            <w:r w:rsidRPr="00EC029E">
              <w:rPr>
                <w:sz w:val="20"/>
                <w:szCs w:val="20"/>
              </w:rPr>
              <w:t>Coram :</w:t>
            </w:r>
          </w:p>
        </w:tc>
        <w:tc>
          <w:tcPr>
            <w:tcW w:w="8118" w:type="dxa"/>
          </w:tcPr>
          <w:p w:rsidR="00015FAC" w:rsidRPr="00EC029E" w:rsidRDefault="00015FAC" w:rsidP="00560A75">
            <w:pPr>
              <w:rPr>
                <w:sz w:val="20"/>
                <w:szCs w:val="20"/>
                <w:lang w:val="fr-CA"/>
              </w:rPr>
            </w:pPr>
            <w:r w:rsidRPr="00EC029E">
              <w:rPr>
                <w:rStyle w:val="SCCCoramChar"/>
                <w:sz w:val="20"/>
                <w:szCs w:val="20"/>
              </w:rPr>
              <w:t>Les juges LeBel, Abella et Cromwell</w:t>
            </w:r>
          </w:p>
          <w:p w:rsidR="00015FAC" w:rsidRPr="00EC029E" w:rsidRDefault="00015FAC" w:rsidP="00560A75">
            <w:pPr>
              <w:rPr>
                <w:sz w:val="20"/>
                <w:szCs w:val="20"/>
                <w:u w:val="single"/>
                <w:lang w:val="fr-CA"/>
              </w:rPr>
            </w:pPr>
          </w:p>
        </w:tc>
      </w:tr>
      <w:tr w:rsidR="00015FAC" w:rsidRPr="00EC029E" w:rsidTr="00560A75">
        <w:trPr>
          <w:cantSplit/>
        </w:trPr>
        <w:tc>
          <w:tcPr>
            <w:tcW w:w="9576" w:type="dxa"/>
            <w:gridSpan w:val="2"/>
          </w:tcPr>
          <w:p w:rsidR="00015FAC" w:rsidRPr="00EC029E" w:rsidRDefault="00015FAC" w:rsidP="00560A75">
            <w:pPr>
              <w:pStyle w:val="SCCShortJudgment"/>
              <w:rPr>
                <w:szCs w:val="20"/>
                <w:lang w:val="fr-CA"/>
              </w:rPr>
            </w:pPr>
            <w:r w:rsidRPr="00EC029E">
              <w:rPr>
                <w:szCs w:val="20"/>
                <w:lang w:val="fr-CA"/>
              </w:rPr>
              <w:t>La demande d’autorisation d’appel de l’arrêt de la Cour d’appel du Québec (Québec), numéro 200-09-007300-111, 2011 QCCA 2295, daté du 13 décembre 2011, est rejetée avec dépens.</w:t>
            </w:r>
          </w:p>
          <w:p w:rsidR="00015FAC" w:rsidRPr="00EC029E" w:rsidRDefault="00015FAC" w:rsidP="00560A75">
            <w:pPr>
              <w:pStyle w:val="SCCShortJudgment"/>
              <w:ind w:firstLine="0"/>
              <w:rPr>
                <w:szCs w:val="20"/>
                <w:lang w:val="fr-CA"/>
              </w:rPr>
            </w:pPr>
          </w:p>
          <w:p w:rsidR="00015FAC" w:rsidRPr="00EC029E" w:rsidRDefault="00015FAC" w:rsidP="00560A75">
            <w:pPr>
              <w:pStyle w:val="SCCShortJudgment"/>
              <w:rPr>
                <w:szCs w:val="20"/>
              </w:rPr>
            </w:pPr>
            <w:r w:rsidRPr="00EC029E">
              <w:rPr>
                <w:szCs w:val="20"/>
              </w:rPr>
              <w:t>The application for leave to appeal from the judgment of the Court of Appeal of Quebec (Québec), Number 200-09-007300-111, 2011 QCCA 2295, dated December 13, 2011, is dismissed with costs.</w:t>
            </w:r>
          </w:p>
        </w:tc>
      </w:tr>
    </w:tbl>
    <w:p w:rsidR="000652EA" w:rsidRPr="00015FAC" w:rsidRDefault="000652EA" w:rsidP="000652EA">
      <w:pPr>
        <w:rPr>
          <w:sz w:val="20"/>
          <w:szCs w:val="20"/>
        </w:rPr>
      </w:pPr>
    </w:p>
    <w:p w:rsidR="000652EA" w:rsidRPr="001B157C" w:rsidRDefault="000652EA" w:rsidP="000652EA">
      <w:pPr>
        <w:rPr>
          <w:sz w:val="20"/>
          <w:szCs w:val="20"/>
          <w:u w:val="single"/>
        </w:rPr>
      </w:pPr>
      <w:r w:rsidRPr="001B157C">
        <w:rPr>
          <w:sz w:val="20"/>
          <w:szCs w:val="20"/>
          <w:u w:val="single"/>
        </w:rPr>
        <w:t>CASE SUMMARY</w:t>
      </w:r>
    </w:p>
    <w:p w:rsidR="000652EA" w:rsidRDefault="000652EA" w:rsidP="000652E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52EA" w:rsidRPr="006A318F" w:rsidTr="00560A75">
        <w:tc>
          <w:tcPr>
            <w:tcW w:w="5000" w:type="pct"/>
            <w:gridSpan w:val="3"/>
          </w:tcPr>
          <w:p w:rsidR="000652EA" w:rsidRPr="006A318F" w:rsidRDefault="000652EA" w:rsidP="00560A75">
            <w:pPr>
              <w:jc w:val="both"/>
              <w:rPr>
                <w:rFonts w:eastAsia="Calibri"/>
                <w:sz w:val="20"/>
              </w:rPr>
            </w:pPr>
            <w:r w:rsidRPr="006A318F">
              <w:rPr>
                <w:rFonts w:eastAsia="Calibri"/>
                <w:sz w:val="20"/>
              </w:rPr>
              <w:t xml:space="preserve">Taxation </w:t>
            </w:r>
            <w:r w:rsidRPr="006A318F">
              <w:rPr>
                <w:rFonts w:eastAsia="Calibri"/>
                <w:sz w:val="20"/>
              </w:rPr>
              <w:noBreakHyphen/>
              <w:t xml:space="preserve"> Income tax </w:t>
            </w:r>
            <w:r w:rsidRPr="006A318F">
              <w:rPr>
                <w:rFonts w:eastAsia="Calibri"/>
                <w:sz w:val="20"/>
              </w:rPr>
              <w:noBreakHyphen/>
              <w:t xml:space="preserve"> Assessment </w:t>
            </w:r>
            <w:r w:rsidRPr="006A318F">
              <w:rPr>
                <w:rFonts w:eastAsia="Calibri"/>
                <w:sz w:val="20"/>
              </w:rPr>
              <w:noBreakHyphen/>
              <w:t xml:space="preserve"> Evidence </w:t>
            </w:r>
            <w:r w:rsidRPr="006A318F">
              <w:rPr>
                <w:rFonts w:eastAsia="Calibri"/>
                <w:sz w:val="20"/>
              </w:rPr>
              <w:noBreakHyphen/>
              <w:t xml:space="preserve"> Onus </w:t>
            </w:r>
            <w:r w:rsidRPr="006A318F">
              <w:rPr>
                <w:rFonts w:eastAsia="Calibri"/>
                <w:sz w:val="20"/>
              </w:rPr>
              <w:noBreakHyphen/>
              <w:t xml:space="preserve"> Court finding that amounts deposited in taxpayer’s bank account had to be included in computing taxpayer’s income </w:t>
            </w:r>
            <w:r w:rsidRPr="006A318F">
              <w:rPr>
                <w:rFonts w:eastAsia="Calibri"/>
                <w:sz w:val="20"/>
              </w:rPr>
              <w:noBreakHyphen/>
              <w:t xml:space="preserve"> Whether taxpayer discharged onus of establishing </w:t>
            </w:r>
            <w:r w:rsidRPr="006A318F">
              <w:rPr>
                <w:rFonts w:eastAsia="Calibri"/>
                <w:i/>
                <w:sz w:val="20"/>
              </w:rPr>
              <w:t xml:space="preserve">prima </w:t>
            </w:r>
            <w:r w:rsidRPr="006A318F">
              <w:rPr>
                <w:rFonts w:eastAsia="Calibri"/>
                <w:i/>
                <w:sz w:val="20"/>
              </w:rPr>
              <w:lastRenderedPageBreak/>
              <w:t>facie</w:t>
            </w:r>
            <w:r w:rsidRPr="006A318F">
              <w:rPr>
                <w:rFonts w:eastAsia="Calibri"/>
                <w:sz w:val="20"/>
              </w:rPr>
              <w:t xml:space="preserve"> case that factual assumption underlying assessments was inaccurate or wrong </w:t>
            </w:r>
            <w:r w:rsidRPr="006A318F">
              <w:rPr>
                <w:rFonts w:eastAsia="Calibri"/>
                <w:sz w:val="20"/>
              </w:rPr>
              <w:noBreakHyphen/>
              <w:t xml:space="preserve"> Whether Court of Appeal should have intervened in circumstances.</w:t>
            </w:r>
          </w:p>
        </w:tc>
      </w:tr>
      <w:tr w:rsidR="000652EA" w:rsidRPr="006A318F" w:rsidTr="00560A75">
        <w:tc>
          <w:tcPr>
            <w:tcW w:w="5000" w:type="pct"/>
            <w:gridSpan w:val="3"/>
          </w:tcPr>
          <w:p w:rsidR="000652EA" w:rsidRPr="006A318F" w:rsidRDefault="000652EA" w:rsidP="00560A75">
            <w:pPr>
              <w:jc w:val="both"/>
              <w:rPr>
                <w:rFonts w:eastAsia="Calibri"/>
                <w:sz w:val="20"/>
              </w:rPr>
            </w:pPr>
          </w:p>
        </w:tc>
      </w:tr>
      <w:tr w:rsidR="000652EA" w:rsidRPr="006A318F" w:rsidTr="00560A75">
        <w:tc>
          <w:tcPr>
            <w:tcW w:w="5000" w:type="pct"/>
            <w:gridSpan w:val="3"/>
          </w:tcPr>
          <w:p w:rsidR="000652EA" w:rsidRPr="006A318F" w:rsidRDefault="000652EA" w:rsidP="00560A75">
            <w:pPr>
              <w:jc w:val="both"/>
              <w:rPr>
                <w:rFonts w:eastAsia="Calibri"/>
                <w:sz w:val="20"/>
              </w:rPr>
            </w:pPr>
            <w:r w:rsidRPr="006A318F">
              <w:rPr>
                <w:rFonts w:eastAsia="Calibri"/>
                <w:sz w:val="20"/>
              </w:rPr>
              <w:t xml:space="preserve">The applicant Mr. Landry was assessed by the respondent Deputy Minister for not reporting income of $134,000 in 2002 and $75,000 in 2003.  He was also assessed penalties under s. 1049 of the </w:t>
            </w:r>
            <w:r w:rsidRPr="006A318F">
              <w:rPr>
                <w:rFonts w:eastAsia="Calibri"/>
                <w:i/>
                <w:sz w:val="20"/>
              </w:rPr>
              <w:t>Taxation Act</w:t>
            </w:r>
            <w:r w:rsidRPr="006A318F">
              <w:rPr>
                <w:rFonts w:eastAsia="Calibri"/>
                <w:sz w:val="20"/>
              </w:rPr>
              <w:t>, R.S.Q., c. I</w:t>
            </w:r>
            <w:r w:rsidRPr="006A318F">
              <w:rPr>
                <w:rFonts w:eastAsia="Calibri"/>
                <w:sz w:val="20"/>
              </w:rPr>
              <w:noBreakHyphen/>
              <w:t xml:space="preserve">3.  The assessments were made on the basis of amounts deposited by Évariste Landry in the applicant’s bank account in cash or by cheque. </w:t>
            </w:r>
          </w:p>
          <w:p w:rsidR="000652EA" w:rsidRPr="006A318F" w:rsidRDefault="000652EA" w:rsidP="00560A75">
            <w:pPr>
              <w:jc w:val="both"/>
              <w:rPr>
                <w:rFonts w:eastAsia="Calibri"/>
                <w:sz w:val="20"/>
              </w:rPr>
            </w:pPr>
          </w:p>
          <w:p w:rsidR="000652EA" w:rsidRPr="006A318F" w:rsidRDefault="000652EA" w:rsidP="00560A75">
            <w:pPr>
              <w:jc w:val="both"/>
              <w:rPr>
                <w:rFonts w:eastAsia="Calibri"/>
                <w:sz w:val="20"/>
              </w:rPr>
            </w:pPr>
            <w:r w:rsidRPr="006A318F">
              <w:rPr>
                <w:rFonts w:eastAsia="Calibri"/>
                <w:sz w:val="20"/>
              </w:rPr>
              <w:t xml:space="preserve">On appeal in the Court of Québec, Mr. Landry alleged that the amounts had been loaned to him by his aunt, who was responsible for administering a relative’s property.  The judge concluded from the evidence that the amounts derived from administration mandates given to him by his relatives but that they had been misappropriated for the benefit of Mr. Landry and his spouse.  According to the judge, the funds appropriated by Mr. Landry became taxable in his hands as income based on the decision of the Tax Court of Canada in </w:t>
            </w:r>
            <w:r w:rsidRPr="006A318F">
              <w:rPr>
                <w:rFonts w:eastAsia="Calibri"/>
                <w:i/>
                <w:sz w:val="20"/>
              </w:rPr>
              <w:t>Buckman v. M.N.R.</w:t>
            </w:r>
            <w:r w:rsidRPr="006A318F">
              <w:rPr>
                <w:rFonts w:eastAsia="Calibri"/>
                <w:sz w:val="20"/>
              </w:rPr>
              <w:t>, 91 D.T.C. 1249.  The judge upheld the assessments but allowed the appeal concerning the penalties.  In his opinion, there was no evidence that the applicant had failed to include the amounts in his income knowingly or for the purpose of evading compliance with the Act.  The Court of Appeal dismissed the appeal.</w:t>
            </w:r>
          </w:p>
          <w:p w:rsidR="000652EA" w:rsidRPr="006A318F" w:rsidRDefault="000652EA" w:rsidP="00560A75">
            <w:pPr>
              <w:jc w:val="both"/>
              <w:rPr>
                <w:rFonts w:eastAsia="Calibri"/>
                <w:sz w:val="20"/>
              </w:rPr>
            </w:pPr>
          </w:p>
        </w:tc>
      </w:tr>
      <w:tr w:rsidR="000652EA" w:rsidRPr="006A318F" w:rsidTr="00560A75">
        <w:tc>
          <w:tcPr>
            <w:tcW w:w="2427" w:type="pct"/>
          </w:tcPr>
          <w:p w:rsidR="000652EA" w:rsidRPr="006A318F" w:rsidRDefault="000652EA" w:rsidP="00560A75">
            <w:pPr>
              <w:jc w:val="both"/>
              <w:rPr>
                <w:rFonts w:eastAsia="Calibri"/>
                <w:sz w:val="20"/>
              </w:rPr>
            </w:pPr>
            <w:r w:rsidRPr="006A318F">
              <w:rPr>
                <w:rFonts w:eastAsia="Calibri"/>
                <w:sz w:val="20"/>
              </w:rPr>
              <w:t>January 17, 2011</w:t>
            </w:r>
          </w:p>
          <w:p w:rsidR="000652EA" w:rsidRPr="006A318F" w:rsidRDefault="000652EA" w:rsidP="00560A75">
            <w:pPr>
              <w:jc w:val="both"/>
              <w:rPr>
                <w:rFonts w:eastAsia="Calibri"/>
                <w:sz w:val="20"/>
              </w:rPr>
            </w:pPr>
            <w:r w:rsidRPr="006A318F">
              <w:rPr>
                <w:rFonts w:eastAsia="Calibri"/>
                <w:sz w:val="20"/>
              </w:rPr>
              <w:t>Court of Québec</w:t>
            </w:r>
          </w:p>
          <w:p w:rsidR="000652EA" w:rsidRPr="006A318F" w:rsidRDefault="000652EA" w:rsidP="00560A75">
            <w:pPr>
              <w:jc w:val="both"/>
              <w:rPr>
                <w:rFonts w:eastAsia="Calibri"/>
                <w:sz w:val="20"/>
              </w:rPr>
            </w:pPr>
            <w:r w:rsidRPr="006A318F">
              <w:rPr>
                <w:rFonts w:eastAsia="Calibri"/>
                <w:sz w:val="20"/>
              </w:rPr>
              <w:t>(Judge Cloutier)</w:t>
            </w:r>
          </w:p>
          <w:p w:rsidR="000652EA" w:rsidRPr="006A318F" w:rsidRDefault="000652EA" w:rsidP="00560A75">
            <w:pPr>
              <w:jc w:val="both"/>
              <w:rPr>
                <w:rFonts w:eastAsia="Calibri"/>
                <w:sz w:val="20"/>
              </w:rPr>
            </w:pPr>
            <w:r w:rsidRPr="006A318F">
              <w:rPr>
                <w:rFonts w:eastAsia="Calibri"/>
                <w:sz w:val="20"/>
              </w:rPr>
              <w:t>2011 QCCQ 15418</w:t>
            </w:r>
          </w:p>
          <w:p w:rsidR="000652EA" w:rsidRPr="006A318F" w:rsidRDefault="000652EA" w:rsidP="00560A75">
            <w:pPr>
              <w:jc w:val="both"/>
              <w:rPr>
                <w:rFonts w:eastAsia="Calibri"/>
                <w:sz w:val="20"/>
              </w:rPr>
            </w:pPr>
          </w:p>
        </w:tc>
        <w:tc>
          <w:tcPr>
            <w:tcW w:w="243" w:type="pct"/>
          </w:tcPr>
          <w:p w:rsidR="000652EA" w:rsidRPr="006A318F" w:rsidRDefault="000652EA" w:rsidP="00560A75">
            <w:pPr>
              <w:jc w:val="both"/>
              <w:rPr>
                <w:rFonts w:eastAsia="Calibri"/>
                <w:sz w:val="20"/>
              </w:rPr>
            </w:pPr>
          </w:p>
        </w:tc>
        <w:tc>
          <w:tcPr>
            <w:tcW w:w="2330" w:type="pct"/>
          </w:tcPr>
          <w:p w:rsidR="000652EA" w:rsidRPr="006A318F" w:rsidRDefault="000652EA" w:rsidP="00560A75">
            <w:pPr>
              <w:jc w:val="both"/>
              <w:rPr>
                <w:rFonts w:eastAsia="Calibri"/>
                <w:sz w:val="20"/>
              </w:rPr>
            </w:pPr>
            <w:r w:rsidRPr="006A318F">
              <w:rPr>
                <w:rFonts w:eastAsia="Calibri"/>
                <w:sz w:val="20"/>
              </w:rPr>
              <w:t xml:space="preserve">Appeal from two assessments allowed in part; penalties assessed under s. 1049 of </w:t>
            </w:r>
            <w:r w:rsidRPr="006A318F">
              <w:rPr>
                <w:rFonts w:eastAsia="Calibri"/>
                <w:i/>
                <w:sz w:val="20"/>
              </w:rPr>
              <w:t>Taxation Act</w:t>
            </w:r>
            <w:r w:rsidRPr="006A318F">
              <w:rPr>
                <w:rFonts w:eastAsia="Calibri"/>
                <w:sz w:val="20"/>
              </w:rPr>
              <w:t xml:space="preserve"> deleted</w:t>
            </w:r>
          </w:p>
          <w:p w:rsidR="000652EA" w:rsidRPr="006A318F" w:rsidRDefault="000652EA" w:rsidP="00560A75">
            <w:pPr>
              <w:jc w:val="both"/>
              <w:rPr>
                <w:rFonts w:eastAsia="Calibri"/>
                <w:sz w:val="20"/>
              </w:rPr>
            </w:pPr>
          </w:p>
        </w:tc>
      </w:tr>
      <w:tr w:rsidR="000652EA" w:rsidRPr="006A318F" w:rsidTr="00560A75">
        <w:tc>
          <w:tcPr>
            <w:tcW w:w="2427" w:type="pct"/>
          </w:tcPr>
          <w:p w:rsidR="000652EA" w:rsidRPr="006A318F" w:rsidRDefault="000652EA" w:rsidP="00560A75">
            <w:pPr>
              <w:jc w:val="both"/>
              <w:rPr>
                <w:rFonts w:eastAsia="Calibri"/>
                <w:sz w:val="20"/>
              </w:rPr>
            </w:pPr>
            <w:r w:rsidRPr="006A318F">
              <w:rPr>
                <w:rFonts w:eastAsia="Calibri"/>
                <w:sz w:val="20"/>
              </w:rPr>
              <w:t>December 13, 2011</w:t>
            </w:r>
          </w:p>
          <w:p w:rsidR="000652EA" w:rsidRPr="006A318F" w:rsidRDefault="000652EA" w:rsidP="00560A75">
            <w:pPr>
              <w:jc w:val="both"/>
              <w:rPr>
                <w:rFonts w:eastAsia="Calibri"/>
                <w:sz w:val="20"/>
              </w:rPr>
            </w:pPr>
            <w:r w:rsidRPr="006A318F">
              <w:rPr>
                <w:rFonts w:eastAsia="Calibri"/>
                <w:sz w:val="20"/>
              </w:rPr>
              <w:t>Quebec Court of Appeal (Québec)</w:t>
            </w:r>
          </w:p>
          <w:p w:rsidR="000652EA" w:rsidRPr="006A318F" w:rsidRDefault="000652EA" w:rsidP="00560A75">
            <w:pPr>
              <w:jc w:val="both"/>
              <w:rPr>
                <w:rFonts w:eastAsia="Calibri"/>
                <w:sz w:val="20"/>
              </w:rPr>
            </w:pPr>
            <w:r w:rsidRPr="006A318F">
              <w:rPr>
                <w:rFonts w:eastAsia="Calibri"/>
                <w:sz w:val="20"/>
              </w:rPr>
              <w:t>(Vézina, Giroux and Viens JJ.A.)</w:t>
            </w:r>
          </w:p>
          <w:p w:rsidR="000652EA" w:rsidRPr="006A318F" w:rsidRDefault="000652EA" w:rsidP="00560A75">
            <w:pPr>
              <w:jc w:val="both"/>
              <w:rPr>
                <w:rFonts w:eastAsia="Calibri"/>
                <w:sz w:val="20"/>
              </w:rPr>
            </w:pPr>
            <w:r w:rsidRPr="006A318F">
              <w:rPr>
                <w:rFonts w:eastAsia="Calibri"/>
                <w:sz w:val="20"/>
              </w:rPr>
              <w:t>2011 QCCA 2295; 200</w:t>
            </w:r>
            <w:r w:rsidRPr="006A318F">
              <w:rPr>
                <w:rFonts w:eastAsia="Calibri"/>
                <w:sz w:val="20"/>
              </w:rPr>
              <w:noBreakHyphen/>
              <w:t>09</w:t>
            </w:r>
            <w:r w:rsidRPr="006A318F">
              <w:rPr>
                <w:rFonts w:eastAsia="Calibri"/>
                <w:sz w:val="20"/>
              </w:rPr>
              <w:noBreakHyphen/>
              <w:t>007300</w:t>
            </w:r>
          </w:p>
          <w:p w:rsidR="000652EA" w:rsidRPr="006A318F" w:rsidRDefault="000652EA" w:rsidP="00560A75">
            <w:pPr>
              <w:jc w:val="both"/>
              <w:rPr>
                <w:rFonts w:eastAsia="Calibri"/>
                <w:sz w:val="20"/>
              </w:rPr>
            </w:pPr>
          </w:p>
        </w:tc>
        <w:tc>
          <w:tcPr>
            <w:tcW w:w="243" w:type="pct"/>
          </w:tcPr>
          <w:p w:rsidR="000652EA" w:rsidRPr="006A318F" w:rsidRDefault="000652EA" w:rsidP="00560A75">
            <w:pPr>
              <w:jc w:val="both"/>
              <w:rPr>
                <w:rFonts w:eastAsia="Calibri"/>
                <w:sz w:val="20"/>
              </w:rPr>
            </w:pPr>
          </w:p>
        </w:tc>
        <w:tc>
          <w:tcPr>
            <w:tcW w:w="2330" w:type="pct"/>
          </w:tcPr>
          <w:p w:rsidR="000652EA" w:rsidRPr="006A318F" w:rsidRDefault="000652EA" w:rsidP="00560A75">
            <w:pPr>
              <w:jc w:val="both"/>
              <w:rPr>
                <w:rFonts w:eastAsia="Calibri"/>
                <w:sz w:val="20"/>
              </w:rPr>
            </w:pPr>
            <w:r w:rsidRPr="006A318F">
              <w:rPr>
                <w:rFonts w:eastAsia="Calibri"/>
                <w:sz w:val="20"/>
              </w:rPr>
              <w:t>Appeal dismissed</w:t>
            </w:r>
          </w:p>
          <w:p w:rsidR="000652EA" w:rsidRPr="006A318F" w:rsidRDefault="000652EA" w:rsidP="00560A75">
            <w:pPr>
              <w:jc w:val="both"/>
              <w:rPr>
                <w:rFonts w:eastAsia="Calibri"/>
                <w:sz w:val="20"/>
              </w:rPr>
            </w:pPr>
          </w:p>
        </w:tc>
      </w:tr>
      <w:tr w:rsidR="000652EA" w:rsidRPr="006A318F" w:rsidTr="00560A75">
        <w:tc>
          <w:tcPr>
            <w:tcW w:w="2427" w:type="pct"/>
          </w:tcPr>
          <w:p w:rsidR="000652EA" w:rsidRPr="006A318F" w:rsidRDefault="000652EA" w:rsidP="00560A75">
            <w:pPr>
              <w:jc w:val="both"/>
              <w:rPr>
                <w:rFonts w:eastAsia="Calibri"/>
                <w:sz w:val="20"/>
              </w:rPr>
            </w:pPr>
            <w:r w:rsidRPr="006A318F">
              <w:rPr>
                <w:rFonts w:eastAsia="Calibri"/>
                <w:sz w:val="20"/>
              </w:rPr>
              <w:t>February 13, 2012</w:t>
            </w:r>
          </w:p>
          <w:p w:rsidR="000652EA" w:rsidRPr="006A318F" w:rsidRDefault="000652EA" w:rsidP="00560A75">
            <w:pPr>
              <w:jc w:val="both"/>
              <w:rPr>
                <w:rFonts w:eastAsia="Calibri"/>
                <w:sz w:val="20"/>
              </w:rPr>
            </w:pPr>
            <w:r w:rsidRPr="006A318F">
              <w:rPr>
                <w:rFonts w:eastAsia="Calibri"/>
                <w:sz w:val="20"/>
              </w:rPr>
              <w:t>Supreme Court of Canada</w:t>
            </w:r>
          </w:p>
        </w:tc>
        <w:tc>
          <w:tcPr>
            <w:tcW w:w="243" w:type="pct"/>
          </w:tcPr>
          <w:p w:rsidR="000652EA" w:rsidRPr="006A318F" w:rsidRDefault="000652EA" w:rsidP="00560A75">
            <w:pPr>
              <w:jc w:val="both"/>
              <w:rPr>
                <w:rFonts w:eastAsia="Calibri"/>
                <w:sz w:val="20"/>
              </w:rPr>
            </w:pPr>
          </w:p>
        </w:tc>
        <w:tc>
          <w:tcPr>
            <w:tcW w:w="2330" w:type="pct"/>
          </w:tcPr>
          <w:p w:rsidR="000652EA" w:rsidRPr="006A318F" w:rsidRDefault="000652EA" w:rsidP="00560A75">
            <w:pPr>
              <w:jc w:val="both"/>
              <w:rPr>
                <w:rFonts w:eastAsia="Calibri"/>
                <w:sz w:val="20"/>
              </w:rPr>
            </w:pPr>
            <w:r w:rsidRPr="006A318F">
              <w:rPr>
                <w:rFonts w:eastAsia="Calibri"/>
                <w:sz w:val="20"/>
              </w:rPr>
              <w:t>Application for leave to appeal filed</w:t>
            </w:r>
          </w:p>
          <w:p w:rsidR="000652EA" w:rsidRPr="006A318F" w:rsidRDefault="000652EA" w:rsidP="00560A75">
            <w:pPr>
              <w:jc w:val="both"/>
              <w:rPr>
                <w:rFonts w:eastAsia="Calibri"/>
                <w:sz w:val="20"/>
              </w:rPr>
            </w:pPr>
          </w:p>
        </w:tc>
      </w:tr>
    </w:tbl>
    <w:p w:rsidR="000652EA" w:rsidRDefault="000652EA" w:rsidP="000652EA">
      <w:pPr>
        <w:rPr>
          <w:sz w:val="20"/>
          <w:szCs w:val="20"/>
        </w:rPr>
      </w:pPr>
    </w:p>
    <w:p w:rsidR="000652EA" w:rsidRPr="00C50A5C" w:rsidRDefault="00B44839" w:rsidP="000652EA">
      <w:pPr>
        <w:rPr>
          <w:sz w:val="20"/>
          <w:szCs w:val="20"/>
        </w:rPr>
      </w:pPr>
      <w:r w:rsidRPr="00B44839">
        <w:rPr>
          <w:sz w:val="20"/>
          <w:szCs w:val="20"/>
          <w:lang w:val="fr-CA"/>
        </w:rPr>
        <w:pict>
          <v:rect id="_x0000_i1074" style="width:2in;height:1pt" o:hrpct="0" o:hralign="center" o:hrstd="t" o:hrnoshade="t" o:hr="t" fillcolor="black [3213]" stroked="f"/>
        </w:pict>
      </w:r>
    </w:p>
    <w:p w:rsidR="000652EA" w:rsidRDefault="000652EA" w:rsidP="000652EA">
      <w:pPr>
        <w:rPr>
          <w:sz w:val="20"/>
          <w:szCs w:val="20"/>
        </w:rPr>
      </w:pPr>
    </w:p>
    <w:p w:rsidR="000652EA" w:rsidRPr="001B157C" w:rsidRDefault="000652EA" w:rsidP="000652EA">
      <w:pPr>
        <w:rPr>
          <w:sz w:val="20"/>
          <w:szCs w:val="20"/>
          <w:u w:val="single"/>
          <w:lang w:val="fr-CA"/>
        </w:rPr>
      </w:pPr>
      <w:r w:rsidRPr="001B157C">
        <w:rPr>
          <w:sz w:val="20"/>
          <w:szCs w:val="20"/>
          <w:u w:val="single"/>
          <w:lang w:val="fr-CA"/>
        </w:rPr>
        <w:t>RÉSUMÉ DE L’AFFAIRE</w:t>
      </w:r>
    </w:p>
    <w:p w:rsidR="000652EA" w:rsidRDefault="000652EA" w:rsidP="000652E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652EA" w:rsidRPr="004A42A2" w:rsidTr="00560A75">
        <w:tc>
          <w:tcPr>
            <w:tcW w:w="5000" w:type="pct"/>
            <w:gridSpan w:val="3"/>
          </w:tcPr>
          <w:p w:rsidR="000652EA" w:rsidRPr="006A318F" w:rsidRDefault="000652EA" w:rsidP="00560A75">
            <w:pPr>
              <w:jc w:val="both"/>
              <w:rPr>
                <w:rFonts w:eastAsia="Calibri"/>
                <w:sz w:val="20"/>
                <w:lang w:val="fr-CA"/>
              </w:rPr>
            </w:pPr>
            <w:r w:rsidRPr="006A318F">
              <w:rPr>
                <w:rFonts w:eastAsia="Calibri"/>
                <w:sz w:val="20"/>
                <w:lang w:val="fr-CA"/>
              </w:rPr>
              <w:t xml:space="preserve">Droit fiscal </w:t>
            </w:r>
            <w:r w:rsidRPr="006A318F">
              <w:rPr>
                <w:rFonts w:eastAsia="Calibri"/>
                <w:sz w:val="20"/>
                <w:lang w:val="fr-CA"/>
              </w:rPr>
              <w:noBreakHyphen/>
              <w:t xml:space="preserve"> Impôt sur le revenu </w:t>
            </w:r>
            <w:r w:rsidRPr="006A318F">
              <w:rPr>
                <w:rFonts w:eastAsia="Calibri"/>
                <w:sz w:val="20"/>
                <w:lang w:val="fr-CA"/>
              </w:rPr>
              <w:noBreakHyphen/>
              <w:t xml:space="preserve"> Cotisation </w:t>
            </w:r>
            <w:r w:rsidRPr="006A318F">
              <w:rPr>
                <w:rFonts w:eastAsia="Calibri"/>
                <w:sz w:val="20"/>
                <w:lang w:val="fr-CA"/>
              </w:rPr>
              <w:noBreakHyphen/>
              <w:t xml:space="preserve"> Preuve </w:t>
            </w:r>
            <w:r w:rsidRPr="006A318F">
              <w:rPr>
                <w:rFonts w:eastAsia="Calibri"/>
                <w:sz w:val="20"/>
                <w:lang w:val="fr-CA"/>
              </w:rPr>
              <w:noBreakHyphen/>
              <w:t xml:space="preserve"> Fardeau </w:t>
            </w:r>
            <w:r w:rsidRPr="006A318F">
              <w:rPr>
                <w:rFonts w:eastAsia="Calibri"/>
                <w:sz w:val="20"/>
                <w:lang w:val="fr-CA"/>
              </w:rPr>
              <w:noBreakHyphen/>
              <w:t xml:space="preserve"> Tribunal concluant que des sommes déposées dans un compte bancaire d’un contribuable devaient être incluses dans le calcul du revenu de ce contribuable </w:t>
            </w:r>
            <w:r w:rsidRPr="006A318F">
              <w:rPr>
                <w:rFonts w:eastAsia="Calibri"/>
                <w:sz w:val="20"/>
                <w:lang w:val="fr-CA"/>
              </w:rPr>
              <w:noBreakHyphen/>
              <w:t xml:space="preserve"> Le contribuable s’était</w:t>
            </w:r>
            <w:r w:rsidRPr="006A318F">
              <w:rPr>
                <w:rFonts w:eastAsia="Calibri"/>
                <w:sz w:val="20"/>
                <w:lang w:val="fr-CA"/>
              </w:rPr>
              <w:noBreakHyphen/>
              <w:t xml:space="preserve">il déchargé de son fardeau de démontrer, au moyen d’une preuve </w:t>
            </w:r>
            <w:r w:rsidRPr="006A318F">
              <w:rPr>
                <w:rFonts w:eastAsia="Calibri"/>
                <w:i/>
                <w:sz w:val="20"/>
                <w:lang w:val="fr-CA"/>
              </w:rPr>
              <w:t>prima facie</w:t>
            </w:r>
            <w:r w:rsidRPr="006A318F">
              <w:rPr>
                <w:rFonts w:eastAsia="Calibri"/>
                <w:sz w:val="20"/>
                <w:lang w:val="fr-CA"/>
              </w:rPr>
              <w:t>, que l’hypothèse factuelle sous</w:t>
            </w:r>
            <w:r w:rsidRPr="006A318F">
              <w:rPr>
                <w:rFonts w:eastAsia="Calibri"/>
                <w:sz w:val="20"/>
                <w:lang w:val="fr-CA"/>
              </w:rPr>
              <w:noBreakHyphen/>
              <w:t xml:space="preserve">tendant les cotisations était inexacte ou fausse? </w:t>
            </w:r>
            <w:r w:rsidRPr="006A318F">
              <w:rPr>
                <w:rFonts w:eastAsia="Calibri"/>
                <w:sz w:val="20"/>
                <w:lang w:val="fr-CA"/>
              </w:rPr>
              <w:noBreakHyphen/>
              <w:t xml:space="preserve"> La Cour d’appel aurait</w:t>
            </w:r>
            <w:r w:rsidRPr="006A318F">
              <w:rPr>
                <w:rFonts w:eastAsia="Calibri"/>
                <w:sz w:val="20"/>
                <w:lang w:val="fr-CA"/>
              </w:rPr>
              <w:noBreakHyphen/>
              <w:t>elle dû intervenir dans les circonstances?</w:t>
            </w:r>
          </w:p>
        </w:tc>
      </w:tr>
      <w:tr w:rsidR="000652EA" w:rsidRPr="004A42A2" w:rsidTr="00560A75">
        <w:tc>
          <w:tcPr>
            <w:tcW w:w="5000" w:type="pct"/>
            <w:gridSpan w:val="3"/>
          </w:tcPr>
          <w:p w:rsidR="000652EA" w:rsidRPr="006A318F" w:rsidRDefault="000652EA" w:rsidP="00560A75">
            <w:pPr>
              <w:jc w:val="both"/>
              <w:rPr>
                <w:rFonts w:eastAsia="Calibri"/>
                <w:sz w:val="20"/>
                <w:lang w:val="fr-CA"/>
              </w:rPr>
            </w:pPr>
          </w:p>
        </w:tc>
      </w:tr>
      <w:tr w:rsidR="000652EA" w:rsidRPr="006A318F" w:rsidTr="00560A75">
        <w:tc>
          <w:tcPr>
            <w:tcW w:w="5000" w:type="pct"/>
            <w:gridSpan w:val="3"/>
          </w:tcPr>
          <w:p w:rsidR="000652EA" w:rsidRPr="006A318F" w:rsidRDefault="000652EA" w:rsidP="00560A75">
            <w:pPr>
              <w:jc w:val="both"/>
              <w:rPr>
                <w:rFonts w:eastAsia="Calibri"/>
                <w:sz w:val="20"/>
                <w:lang w:val="fr-CA"/>
              </w:rPr>
            </w:pPr>
            <w:r w:rsidRPr="006A318F">
              <w:rPr>
                <w:rFonts w:eastAsia="Calibri"/>
                <w:sz w:val="20"/>
                <w:lang w:val="fr-CA"/>
              </w:rPr>
              <w:t>Le demandeur, M. Landry, a été cotisé par le sous</w:t>
            </w:r>
            <w:r w:rsidRPr="006A318F">
              <w:rPr>
                <w:rFonts w:eastAsia="Calibri"/>
                <w:sz w:val="20"/>
                <w:lang w:val="fr-CA"/>
              </w:rPr>
              <w:noBreakHyphen/>
              <w:t xml:space="preserve">ministre intimé pour n’avoir pas déclaré 134 000 $ de revenus en 2002 et 75 000 $ en 2003.  On lui a aussi imposé la pénalité prévue à l’art. 1049 de la </w:t>
            </w:r>
            <w:r w:rsidRPr="006A318F">
              <w:rPr>
                <w:rFonts w:eastAsia="Calibri"/>
                <w:i/>
                <w:sz w:val="20"/>
                <w:lang w:val="fr-CA"/>
              </w:rPr>
              <w:t>Loi sur les impôts</w:t>
            </w:r>
            <w:r w:rsidRPr="006A318F">
              <w:rPr>
                <w:rFonts w:eastAsia="Calibri"/>
                <w:sz w:val="20"/>
                <w:lang w:val="fr-CA"/>
              </w:rPr>
              <w:t>, L.R.Q., ch. I</w:t>
            </w:r>
            <w:r w:rsidRPr="006A318F">
              <w:rPr>
                <w:rFonts w:eastAsia="Calibri"/>
                <w:sz w:val="20"/>
                <w:lang w:val="fr-CA"/>
              </w:rPr>
              <w:noBreakHyphen/>
              <w:t xml:space="preserve">3.  Les cotisations ont été établies sur la base de montants déposés en espèces ou par chèques par M. Évariste Landry dans le compte de banque du demandeur. </w:t>
            </w:r>
          </w:p>
          <w:p w:rsidR="000652EA" w:rsidRPr="006A318F" w:rsidRDefault="000652EA" w:rsidP="00560A75">
            <w:pPr>
              <w:jc w:val="both"/>
              <w:rPr>
                <w:rFonts w:eastAsia="Calibri"/>
                <w:sz w:val="20"/>
                <w:lang w:val="fr-CA"/>
              </w:rPr>
            </w:pPr>
          </w:p>
          <w:p w:rsidR="000652EA" w:rsidRPr="006A318F" w:rsidRDefault="000652EA" w:rsidP="00560A75">
            <w:pPr>
              <w:jc w:val="both"/>
              <w:rPr>
                <w:rFonts w:eastAsia="Calibri"/>
                <w:sz w:val="20"/>
                <w:lang w:val="fr-CA"/>
              </w:rPr>
            </w:pPr>
            <w:r w:rsidRPr="006A318F">
              <w:rPr>
                <w:rFonts w:eastAsia="Calibri"/>
                <w:sz w:val="20"/>
                <w:lang w:val="fr-CA"/>
              </w:rPr>
              <w:t xml:space="preserve">En appel devant la Cour du Québec, M. Landry a allégué que ces sommes lui avaient été prêtées par sa tante, qui était chargée de l’administration des biens d’un parent.  De la preuve, le juge a conclu que les sommes provenaient de mandats d’administration qui lui avaient été confiés par ses parents, mais que les sommes avaient été détournées à l’avantage de M. Landry et de sa conjointe.  À ce titre, selon le juge, les fonds appropriés par M. Landry devenaient taxables entre ses mains à titre de revenus, vu la décision de la Cour canadienne de l’impôt dans </w:t>
            </w:r>
            <w:r w:rsidRPr="006A318F">
              <w:rPr>
                <w:rFonts w:eastAsia="Calibri"/>
                <w:i/>
                <w:sz w:val="20"/>
                <w:lang w:val="fr-CA"/>
              </w:rPr>
              <w:t>Buckman c. M.N.R.</w:t>
            </w:r>
            <w:r w:rsidRPr="006A318F">
              <w:rPr>
                <w:rFonts w:eastAsia="Calibri"/>
                <w:sz w:val="20"/>
                <w:lang w:val="fr-CA"/>
              </w:rPr>
              <w:t xml:space="preserve">, </w:t>
            </w:r>
            <w:r w:rsidRPr="006A318F">
              <w:rPr>
                <w:rFonts w:eastAsia="Calibri"/>
                <w:sz w:val="20"/>
                <w:lang w:val="fr-CA"/>
              </w:rPr>
              <w:lastRenderedPageBreak/>
              <w:t xml:space="preserve">91 D.T.C. 1249.  Le juge a confirmé les cotisations, mais a accueilli l’appel concernant les pénalités.  Selon lui, il n’y avait pas de preuve que l’omission d’inclure les sommes au revenu avait été faite sciemment ou dans le but d’éluder l’observation de la loi.  La Cour d’appel a rejeté l’appel. </w:t>
            </w:r>
          </w:p>
          <w:p w:rsidR="000652EA" w:rsidRPr="006A318F" w:rsidRDefault="000652EA" w:rsidP="00560A75">
            <w:pPr>
              <w:jc w:val="both"/>
              <w:rPr>
                <w:rFonts w:eastAsia="Calibri"/>
                <w:sz w:val="20"/>
                <w:lang w:val="fr-CA"/>
              </w:rPr>
            </w:pPr>
          </w:p>
        </w:tc>
      </w:tr>
      <w:tr w:rsidR="000652EA" w:rsidRPr="004A42A2" w:rsidTr="00560A75">
        <w:tc>
          <w:tcPr>
            <w:tcW w:w="2427" w:type="pct"/>
          </w:tcPr>
          <w:p w:rsidR="000652EA" w:rsidRPr="006A318F" w:rsidRDefault="000652EA" w:rsidP="00560A75">
            <w:pPr>
              <w:jc w:val="both"/>
              <w:rPr>
                <w:rFonts w:eastAsia="Calibri"/>
                <w:sz w:val="20"/>
                <w:lang w:val="fr-CA"/>
              </w:rPr>
            </w:pPr>
            <w:r w:rsidRPr="006A318F">
              <w:rPr>
                <w:rFonts w:eastAsia="Calibri"/>
                <w:sz w:val="20"/>
                <w:lang w:val="fr-CA"/>
              </w:rPr>
              <w:lastRenderedPageBreak/>
              <w:t>Le 17 janvier 2011</w:t>
            </w:r>
          </w:p>
          <w:p w:rsidR="000652EA" w:rsidRPr="006A318F" w:rsidRDefault="000652EA" w:rsidP="00560A75">
            <w:pPr>
              <w:jc w:val="both"/>
              <w:rPr>
                <w:rFonts w:eastAsia="Calibri"/>
                <w:sz w:val="20"/>
                <w:lang w:val="fr-CA"/>
              </w:rPr>
            </w:pPr>
            <w:r w:rsidRPr="006A318F">
              <w:rPr>
                <w:rFonts w:eastAsia="Calibri"/>
                <w:sz w:val="20"/>
                <w:lang w:val="fr-CA"/>
              </w:rPr>
              <w:t>Cour du Québec</w:t>
            </w:r>
          </w:p>
          <w:p w:rsidR="000652EA" w:rsidRPr="006A318F" w:rsidRDefault="000652EA" w:rsidP="00560A75">
            <w:pPr>
              <w:jc w:val="both"/>
              <w:rPr>
                <w:rFonts w:eastAsia="Calibri"/>
                <w:sz w:val="20"/>
                <w:lang w:val="fr-CA"/>
              </w:rPr>
            </w:pPr>
            <w:r w:rsidRPr="006A318F">
              <w:rPr>
                <w:rFonts w:eastAsia="Calibri"/>
                <w:sz w:val="20"/>
                <w:lang w:val="fr-CA"/>
              </w:rPr>
              <w:t>(Le juge Cloutier)</w:t>
            </w:r>
          </w:p>
          <w:p w:rsidR="000652EA" w:rsidRPr="006A318F" w:rsidRDefault="000652EA" w:rsidP="00560A75">
            <w:pPr>
              <w:jc w:val="both"/>
              <w:rPr>
                <w:rFonts w:eastAsia="Calibri"/>
                <w:sz w:val="20"/>
                <w:lang w:val="fr-CA"/>
              </w:rPr>
            </w:pPr>
            <w:r w:rsidRPr="006A318F">
              <w:rPr>
                <w:rFonts w:eastAsia="Calibri"/>
                <w:sz w:val="20"/>
                <w:lang w:val="fr-CA"/>
              </w:rPr>
              <w:t>2011 QCCQ 15418</w:t>
            </w:r>
          </w:p>
          <w:p w:rsidR="000652EA" w:rsidRPr="006A318F" w:rsidRDefault="000652EA" w:rsidP="00560A75">
            <w:pPr>
              <w:jc w:val="both"/>
              <w:rPr>
                <w:rFonts w:eastAsia="Calibri"/>
                <w:sz w:val="20"/>
              </w:rPr>
            </w:pPr>
          </w:p>
        </w:tc>
        <w:tc>
          <w:tcPr>
            <w:tcW w:w="243" w:type="pct"/>
          </w:tcPr>
          <w:p w:rsidR="000652EA" w:rsidRPr="006A318F" w:rsidRDefault="000652EA" w:rsidP="00560A75">
            <w:pPr>
              <w:jc w:val="both"/>
              <w:rPr>
                <w:rFonts w:eastAsia="Calibri"/>
                <w:sz w:val="20"/>
              </w:rPr>
            </w:pPr>
          </w:p>
        </w:tc>
        <w:tc>
          <w:tcPr>
            <w:tcW w:w="2330" w:type="pct"/>
          </w:tcPr>
          <w:p w:rsidR="000652EA" w:rsidRPr="006A318F" w:rsidRDefault="000652EA" w:rsidP="00560A75">
            <w:pPr>
              <w:jc w:val="both"/>
              <w:rPr>
                <w:rFonts w:eastAsia="Calibri"/>
                <w:sz w:val="20"/>
                <w:lang w:val="fr-CA"/>
              </w:rPr>
            </w:pPr>
            <w:r w:rsidRPr="006A318F">
              <w:rPr>
                <w:rFonts w:eastAsia="Calibri"/>
                <w:sz w:val="20"/>
                <w:lang w:val="fr-CA"/>
              </w:rPr>
              <w:t xml:space="preserve">Appel de deux cotisations accueilli en partie; pénalités imposées en vertu de l’art. 1049 de la </w:t>
            </w:r>
            <w:r w:rsidRPr="006A318F">
              <w:rPr>
                <w:rFonts w:eastAsia="Calibri"/>
                <w:i/>
                <w:sz w:val="20"/>
                <w:lang w:val="fr-CA"/>
              </w:rPr>
              <w:t xml:space="preserve">Loi sur les impôts </w:t>
            </w:r>
            <w:r w:rsidRPr="006A318F">
              <w:rPr>
                <w:rFonts w:eastAsia="Calibri"/>
                <w:sz w:val="20"/>
                <w:lang w:val="fr-CA"/>
              </w:rPr>
              <w:t>annulées</w:t>
            </w:r>
          </w:p>
          <w:p w:rsidR="000652EA" w:rsidRPr="006A318F" w:rsidRDefault="000652EA" w:rsidP="00560A75">
            <w:pPr>
              <w:jc w:val="both"/>
              <w:rPr>
                <w:rFonts w:eastAsia="Calibri"/>
                <w:sz w:val="20"/>
                <w:lang w:val="fr-CA"/>
              </w:rPr>
            </w:pPr>
          </w:p>
        </w:tc>
      </w:tr>
      <w:tr w:rsidR="000652EA" w:rsidRPr="006A318F" w:rsidTr="00560A75">
        <w:tc>
          <w:tcPr>
            <w:tcW w:w="2427" w:type="pct"/>
          </w:tcPr>
          <w:p w:rsidR="000652EA" w:rsidRPr="006A318F" w:rsidRDefault="000652EA" w:rsidP="00560A75">
            <w:pPr>
              <w:jc w:val="both"/>
              <w:rPr>
                <w:rFonts w:eastAsia="Calibri"/>
                <w:sz w:val="20"/>
                <w:lang w:val="fr-CA"/>
              </w:rPr>
            </w:pPr>
            <w:r w:rsidRPr="006A318F">
              <w:rPr>
                <w:rFonts w:eastAsia="Calibri"/>
                <w:sz w:val="20"/>
                <w:lang w:val="fr-CA"/>
              </w:rPr>
              <w:t>Le 13 décembre 2011</w:t>
            </w:r>
          </w:p>
          <w:p w:rsidR="000652EA" w:rsidRPr="006A318F" w:rsidRDefault="000652EA" w:rsidP="00560A75">
            <w:pPr>
              <w:jc w:val="both"/>
              <w:rPr>
                <w:rFonts w:eastAsia="Calibri"/>
                <w:sz w:val="20"/>
                <w:lang w:val="fr-CA"/>
              </w:rPr>
            </w:pPr>
            <w:r w:rsidRPr="006A318F">
              <w:rPr>
                <w:rFonts w:eastAsia="Calibri"/>
                <w:sz w:val="20"/>
                <w:lang w:val="fr-CA"/>
              </w:rPr>
              <w:t>Cour d’appel du Québec (Québec)</w:t>
            </w:r>
          </w:p>
          <w:p w:rsidR="000652EA" w:rsidRPr="006A318F" w:rsidRDefault="000652EA" w:rsidP="00560A75">
            <w:pPr>
              <w:jc w:val="both"/>
              <w:rPr>
                <w:rFonts w:eastAsia="Calibri"/>
                <w:sz w:val="20"/>
                <w:lang w:val="fr-CA"/>
              </w:rPr>
            </w:pPr>
            <w:r w:rsidRPr="006A318F">
              <w:rPr>
                <w:rFonts w:eastAsia="Calibri"/>
                <w:sz w:val="20"/>
                <w:lang w:val="fr-CA"/>
              </w:rPr>
              <w:t>(Les juges Vézina, Giroux et Viens)</w:t>
            </w:r>
          </w:p>
          <w:p w:rsidR="000652EA" w:rsidRPr="006A318F" w:rsidRDefault="000652EA" w:rsidP="00560A75">
            <w:pPr>
              <w:jc w:val="both"/>
              <w:rPr>
                <w:rFonts w:eastAsia="Calibri"/>
                <w:sz w:val="20"/>
                <w:lang w:val="fr-CA"/>
              </w:rPr>
            </w:pPr>
            <w:r w:rsidRPr="006A318F">
              <w:rPr>
                <w:rFonts w:eastAsia="Calibri"/>
                <w:sz w:val="20"/>
                <w:lang w:val="fr-CA"/>
              </w:rPr>
              <w:t>2011 QCCA 2295; 200</w:t>
            </w:r>
            <w:r w:rsidRPr="006A318F">
              <w:rPr>
                <w:rFonts w:eastAsia="Calibri"/>
                <w:sz w:val="20"/>
                <w:lang w:val="fr-CA"/>
              </w:rPr>
              <w:noBreakHyphen/>
              <w:t>09</w:t>
            </w:r>
            <w:r w:rsidRPr="006A318F">
              <w:rPr>
                <w:rFonts w:eastAsia="Calibri"/>
                <w:sz w:val="20"/>
                <w:lang w:val="fr-CA"/>
              </w:rPr>
              <w:noBreakHyphen/>
              <w:t>007300</w:t>
            </w:r>
          </w:p>
          <w:p w:rsidR="000652EA" w:rsidRPr="006A318F" w:rsidRDefault="000652EA" w:rsidP="00560A75">
            <w:pPr>
              <w:jc w:val="both"/>
              <w:rPr>
                <w:rFonts w:eastAsia="Calibri"/>
                <w:sz w:val="20"/>
                <w:lang w:val="fr-CA"/>
              </w:rPr>
            </w:pPr>
          </w:p>
        </w:tc>
        <w:tc>
          <w:tcPr>
            <w:tcW w:w="243" w:type="pct"/>
          </w:tcPr>
          <w:p w:rsidR="000652EA" w:rsidRPr="006A318F" w:rsidRDefault="000652EA" w:rsidP="00560A75">
            <w:pPr>
              <w:jc w:val="both"/>
              <w:rPr>
                <w:rFonts w:eastAsia="Calibri"/>
                <w:sz w:val="20"/>
                <w:lang w:val="fr-CA"/>
              </w:rPr>
            </w:pPr>
          </w:p>
        </w:tc>
        <w:tc>
          <w:tcPr>
            <w:tcW w:w="2330" w:type="pct"/>
          </w:tcPr>
          <w:p w:rsidR="000652EA" w:rsidRPr="006A318F" w:rsidRDefault="000652EA" w:rsidP="00560A75">
            <w:pPr>
              <w:jc w:val="both"/>
              <w:rPr>
                <w:rFonts w:eastAsia="Calibri"/>
                <w:sz w:val="20"/>
                <w:lang w:val="fr-CA"/>
              </w:rPr>
            </w:pPr>
            <w:r w:rsidRPr="006A318F">
              <w:rPr>
                <w:rFonts w:eastAsia="Calibri"/>
                <w:sz w:val="20"/>
                <w:lang w:val="fr-CA"/>
              </w:rPr>
              <w:t>Appel rejeté</w:t>
            </w:r>
          </w:p>
          <w:p w:rsidR="000652EA" w:rsidRPr="006A318F" w:rsidRDefault="000652EA" w:rsidP="00560A75">
            <w:pPr>
              <w:jc w:val="both"/>
              <w:rPr>
                <w:rFonts w:eastAsia="Calibri"/>
                <w:sz w:val="20"/>
                <w:lang w:val="fr-CA"/>
              </w:rPr>
            </w:pPr>
          </w:p>
        </w:tc>
      </w:tr>
      <w:tr w:rsidR="000652EA" w:rsidRPr="006A318F" w:rsidTr="00560A75">
        <w:tc>
          <w:tcPr>
            <w:tcW w:w="2427" w:type="pct"/>
          </w:tcPr>
          <w:p w:rsidR="000652EA" w:rsidRPr="006A318F" w:rsidRDefault="000652EA" w:rsidP="00560A75">
            <w:pPr>
              <w:jc w:val="both"/>
              <w:rPr>
                <w:rFonts w:eastAsia="Calibri"/>
                <w:sz w:val="20"/>
                <w:lang w:val="fr-CA"/>
              </w:rPr>
            </w:pPr>
            <w:r w:rsidRPr="006A318F">
              <w:rPr>
                <w:rFonts w:eastAsia="Calibri"/>
                <w:sz w:val="20"/>
                <w:lang w:val="fr-CA"/>
              </w:rPr>
              <w:t>Le 13 février 2012</w:t>
            </w:r>
          </w:p>
          <w:p w:rsidR="000652EA" w:rsidRPr="006A318F" w:rsidRDefault="000652EA" w:rsidP="00560A75">
            <w:pPr>
              <w:jc w:val="both"/>
              <w:rPr>
                <w:rFonts w:eastAsia="Calibri"/>
                <w:sz w:val="20"/>
                <w:lang w:val="fr-CA"/>
              </w:rPr>
            </w:pPr>
            <w:r w:rsidRPr="006A318F">
              <w:rPr>
                <w:rFonts w:eastAsia="Calibri"/>
                <w:sz w:val="20"/>
                <w:lang w:val="fr-CA"/>
              </w:rPr>
              <w:t>Cour suprême du Canada</w:t>
            </w:r>
          </w:p>
        </w:tc>
        <w:tc>
          <w:tcPr>
            <w:tcW w:w="243" w:type="pct"/>
          </w:tcPr>
          <w:p w:rsidR="000652EA" w:rsidRPr="006A318F" w:rsidRDefault="000652EA" w:rsidP="00560A75">
            <w:pPr>
              <w:jc w:val="both"/>
              <w:rPr>
                <w:rFonts w:eastAsia="Calibri"/>
                <w:sz w:val="20"/>
                <w:lang w:val="fr-CA"/>
              </w:rPr>
            </w:pPr>
          </w:p>
        </w:tc>
        <w:tc>
          <w:tcPr>
            <w:tcW w:w="2330" w:type="pct"/>
          </w:tcPr>
          <w:p w:rsidR="000652EA" w:rsidRPr="006A318F" w:rsidRDefault="000652EA" w:rsidP="00560A75">
            <w:pPr>
              <w:jc w:val="both"/>
              <w:rPr>
                <w:rFonts w:eastAsia="Calibri"/>
                <w:sz w:val="20"/>
                <w:lang w:val="fr-CA"/>
              </w:rPr>
            </w:pPr>
            <w:r w:rsidRPr="006A318F">
              <w:rPr>
                <w:rFonts w:eastAsia="Calibri"/>
                <w:sz w:val="20"/>
                <w:lang w:val="fr-CA"/>
              </w:rPr>
              <w:t>Demande d'autorisation d'appel déposée</w:t>
            </w:r>
          </w:p>
          <w:p w:rsidR="000652EA" w:rsidRPr="006A318F" w:rsidRDefault="000652EA" w:rsidP="00560A75">
            <w:pPr>
              <w:jc w:val="both"/>
              <w:rPr>
                <w:rFonts w:eastAsia="Calibri"/>
                <w:sz w:val="20"/>
                <w:lang w:val="fr-CA"/>
              </w:rPr>
            </w:pPr>
          </w:p>
        </w:tc>
      </w:tr>
    </w:tbl>
    <w:p w:rsidR="000652EA" w:rsidRDefault="000652EA" w:rsidP="000652EA">
      <w:pPr>
        <w:rPr>
          <w:sz w:val="20"/>
          <w:szCs w:val="20"/>
        </w:rPr>
      </w:pPr>
    </w:p>
    <w:p w:rsidR="000652EA" w:rsidRDefault="00B44839" w:rsidP="000652EA">
      <w:pPr>
        <w:rPr>
          <w:sz w:val="20"/>
          <w:szCs w:val="20"/>
          <w:lang w:val="fr-CA"/>
        </w:rPr>
      </w:pPr>
      <w:r w:rsidRPr="00B44839">
        <w:rPr>
          <w:sz w:val="20"/>
          <w:szCs w:val="20"/>
          <w:lang w:val="fr-CA"/>
        </w:rPr>
        <w:pict>
          <v:rect id="_x0000_i1075" style="width:2in;height:1pt" o:hrpct="0" o:hralign="center" o:hrstd="t" o:hrnoshade="t" o:hr="t" fillcolor="black [3213]" stroked="f"/>
        </w:pict>
      </w:r>
    </w:p>
    <w:p w:rsidR="000652EA" w:rsidRDefault="000652EA" w:rsidP="000652EA">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E1B19" w:rsidRPr="001E1B77" w:rsidRDefault="00FE1B19" w:rsidP="00FE1B19">
      <w:pPr>
        <w:tabs>
          <w:tab w:val="left" w:pos="-1440"/>
          <w:tab w:val="left" w:pos="-720"/>
        </w:tabs>
        <w:jc w:val="both"/>
        <w:rPr>
          <w:sz w:val="20"/>
          <w:szCs w:val="20"/>
        </w:rPr>
      </w:pPr>
      <w:r w:rsidRPr="001E1B77">
        <w:rPr>
          <w:sz w:val="20"/>
          <w:szCs w:val="20"/>
        </w:rPr>
        <w:t>27.04.2012</w:t>
      </w:r>
    </w:p>
    <w:p w:rsidR="00FE1B19" w:rsidRPr="001E1B77" w:rsidRDefault="00FE1B19" w:rsidP="00FE1B19">
      <w:pPr>
        <w:tabs>
          <w:tab w:val="left" w:pos="-1440"/>
          <w:tab w:val="left" w:pos="-720"/>
        </w:tabs>
        <w:jc w:val="both"/>
        <w:rPr>
          <w:sz w:val="20"/>
          <w:szCs w:val="20"/>
        </w:rPr>
      </w:pPr>
    </w:p>
    <w:p w:rsidR="00FE1B19" w:rsidRPr="001E1B77" w:rsidRDefault="00FE1B19" w:rsidP="00FE1B19">
      <w:pPr>
        <w:tabs>
          <w:tab w:val="left" w:pos="-1440"/>
          <w:tab w:val="left" w:pos="-720"/>
        </w:tabs>
        <w:jc w:val="both"/>
        <w:rPr>
          <w:sz w:val="20"/>
          <w:szCs w:val="20"/>
        </w:rPr>
      </w:pPr>
      <w:r w:rsidRPr="001E1B77">
        <w:rPr>
          <w:sz w:val="20"/>
          <w:szCs w:val="20"/>
        </w:rPr>
        <w:t>Before / Devant :   THE REGISTRAR / LE REGISTRAIRE</w:t>
      </w:r>
    </w:p>
    <w:p w:rsidR="00FE1B19" w:rsidRPr="001E1B77" w:rsidRDefault="00FE1B19" w:rsidP="00FE1B1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E1B19" w:rsidRPr="004A42A2" w:rsidTr="00870DD7">
        <w:tc>
          <w:tcPr>
            <w:tcW w:w="4338" w:type="dxa"/>
          </w:tcPr>
          <w:p w:rsidR="00FE1B19" w:rsidRPr="001E1B77" w:rsidRDefault="00B44839" w:rsidP="00870DD7">
            <w:pPr>
              <w:tabs>
                <w:tab w:val="left" w:pos="-1440"/>
                <w:tab w:val="left" w:pos="-720"/>
              </w:tabs>
              <w:jc w:val="both"/>
              <w:rPr>
                <w:sz w:val="20"/>
                <w:szCs w:val="20"/>
              </w:rPr>
            </w:pPr>
            <w:r w:rsidRPr="001E1B77">
              <w:rPr>
                <w:sz w:val="20"/>
                <w:szCs w:val="20"/>
              </w:rPr>
              <w:fldChar w:fldCharType="begin"/>
            </w:r>
            <w:r w:rsidR="00FE1B19" w:rsidRPr="001E1B77">
              <w:rPr>
                <w:sz w:val="20"/>
                <w:szCs w:val="20"/>
              </w:rPr>
              <w:instrText xml:space="preserve"> SEQ CHAPTER \h \r 1</w:instrText>
            </w:r>
            <w:r w:rsidRPr="001E1B77">
              <w:rPr>
                <w:sz w:val="20"/>
                <w:szCs w:val="20"/>
              </w:rPr>
              <w:fldChar w:fldCharType="end"/>
            </w:r>
            <w:r w:rsidR="00FE1B19" w:rsidRPr="001E1B77">
              <w:rPr>
                <w:b/>
                <w:bCs/>
                <w:sz w:val="20"/>
                <w:szCs w:val="20"/>
              </w:rPr>
              <w:t>Motion to extend the time to serve and file the respondent’s response until July 31, 2012</w:t>
            </w:r>
          </w:p>
        </w:tc>
        <w:tc>
          <w:tcPr>
            <w:tcW w:w="1170" w:type="dxa"/>
          </w:tcPr>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tc>
        <w:tc>
          <w:tcPr>
            <w:tcW w:w="4327" w:type="dxa"/>
          </w:tcPr>
          <w:p w:rsidR="00FE1B19" w:rsidRPr="001E1B77" w:rsidRDefault="00B44839" w:rsidP="00870DD7">
            <w:pPr>
              <w:tabs>
                <w:tab w:val="left" w:pos="-1440"/>
                <w:tab w:val="left" w:pos="-720"/>
              </w:tabs>
              <w:jc w:val="both"/>
              <w:rPr>
                <w:sz w:val="20"/>
                <w:szCs w:val="20"/>
                <w:lang w:val="fr-CA"/>
              </w:rPr>
            </w:pP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00FE1B19" w:rsidRPr="001E1B77">
              <w:rPr>
                <w:b/>
                <w:bCs/>
                <w:sz w:val="20"/>
                <w:szCs w:val="20"/>
                <w:lang w:val="fr-CA"/>
              </w:rPr>
              <w:t>Requête en prorogation du délai de signification et de dépôt de la réponse de l’intimée jusqu’au 31 juillet 2012</w:t>
            </w:r>
            <w:r w:rsidR="00FE1B19" w:rsidRPr="001E1B77">
              <w:rPr>
                <w:sz w:val="20"/>
                <w:szCs w:val="20"/>
                <w:lang w:val="fr-CA"/>
              </w:rPr>
              <w:t xml:space="preserve"> </w:t>
            </w:r>
            <w:r w:rsidR="00FE1B19" w:rsidRPr="001E1B77">
              <w:rPr>
                <w:b/>
                <w:bCs/>
                <w:sz w:val="20"/>
                <w:szCs w:val="20"/>
                <w:lang w:val="fr-CA"/>
              </w:rPr>
              <w:t xml:space="preserve"> </w:t>
            </w:r>
          </w:p>
        </w:tc>
      </w:tr>
      <w:tr w:rsidR="00FE1B19" w:rsidRPr="001E1B77" w:rsidTr="00870DD7">
        <w:tc>
          <w:tcPr>
            <w:tcW w:w="4338" w:type="dxa"/>
          </w:tcPr>
          <w:p w:rsidR="00FE1B19" w:rsidRPr="001E1B77" w:rsidRDefault="00FE1B19" w:rsidP="00870DD7">
            <w:pPr>
              <w:tabs>
                <w:tab w:val="left" w:pos="-1440"/>
                <w:tab w:val="left" w:pos="-720"/>
              </w:tabs>
              <w:jc w:val="both"/>
              <w:rPr>
                <w:sz w:val="20"/>
                <w:szCs w:val="20"/>
              </w:rPr>
            </w:pPr>
            <w:r w:rsidRPr="001E1B77">
              <w:rPr>
                <w:sz w:val="20"/>
                <w:szCs w:val="20"/>
              </w:rPr>
              <w:t>Michael Peier</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r w:rsidRPr="001E1B77">
              <w:rPr>
                <w:sz w:val="20"/>
                <w:szCs w:val="20"/>
              </w:rPr>
              <w:tab/>
              <w:t>v. (34722)</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lang w:val="fr-CA"/>
              </w:rPr>
            </w:pPr>
            <w:r w:rsidRPr="001E1B77">
              <w:rPr>
                <w:sz w:val="20"/>
                <w:szCs w:val="20"/>
              </w:rPr>
              <w:t xml:space="preserve">Cressey Whistler Townhomes Limited Partnership et al. </w:t>
            </w:r>
            <w:r w:rsidRPr="001E1B77">
              <w:rPr>
                <w:sz w:val="20"/>
                <w:szCs w:val="20"/>
                <w:lang w:val="fr-CA"/>
              </w:rPr>
              <w:t>(B.C.)</w:t>
            </w:r>
          </w:p>
        </w:tc>
        <w:tc>
          <w:tcPr>
            <w:tcW w:w="1170" w:type="dxa"/>
          </w:tcPr>
          <w:p w:rsidR="00FE1B19" w:rsidRPr="001E1B77" w:rsidRDefault="00FE1B19" w:rsidP="00870DD7">
            <w:pPr>
              <w:tabs>
                <w:tab w:val="left" w:pos="-1440"/>
                <w:tab w:val="left" w:pos="-720"/>
              </w:tabs>
              <w:jc w:val="both"/>
              <w:rPr>
                <w:sz w:val="20"/>
                <w:szCs w:val="20"/>
                <w:lang w:val="fr-CA"/>
              </w:rPr>
            </w:pPr>
          </w:p>
        </w:tc>
        <w:tc>
          <w:tcPr>
            <w:tcW w:w="4327" w:type="dxa"/>
          </w:tcPr>
          <w:p w:rsidR="00FE1B19" w:rsidRPr="001E1B77" w:rsidRDefault="00FE1B19" w:rsidP="00870DD7">
            <w:pPr>
              <w:tabs>
                <w:tab w:val="left" w:pos="-1440"/>
                <w:tab w:val="left" w:pos="-720"/>
              </w:tabs>
              <w:jc w:val="both"/>
              <w:rPr>
                <w:sz w:val="20"/>
                <w:szCs w:val="20"/>
                <w:lang w:val="fr-CA"/>
              </w:rPr>
            </w:pPr>
          </w:p>
        </w:tc>
      </w:tr>
    </w:tbl>
    <w:p w:rsidR="00FE1B19" w:rsidRPr="001E1B77" w:rsidRDefault="00FE1B19" w:rsidP="00FE1B19">
      <w:pPr>
        <w:tabs>
          <w:tab w:val="left" w:pos="-1440"/>
          <w:tab w:val="left" w:pos="-720"/>
        </w:tabs>
        <w:jc w:val="both"/>
        <w:rPr>
          <w:b/>
          <w:sz w:val="20"/>
          <w:szCs w:val="20"/>
          <w:lang w:val="fr-CA"/>
        </w:rPr>
      </w:pPr>
    </w:p>
    <w:p w:rsidR="00FE1B19" w:rsidRPr="001E1B77" w:rsidRDefault="00FE1B19" w:rsidP="00FE1B19">
      <w:pPr>
        <w:tabs>
          <w:tab w:val="left" w:pos="-1440"/>
          <w:tab w:val="left" w:pos="-720"/>
        </w:tabs>
        <w:jc w:val="both"/>
        <w:rPr>
          <w:sz w:val="20"/>
          <w:szCs w:val="20"/>
        </w:rPr>
      </w:pPr>
      <w:r w:rsidRPr="001E1B77">
        <w:rPr>
          <w:b/>
          <w:sz w:val="20"/>
          <w:szCs w:val="20"/>
        </w:rPr>
        <w:t>GRANTED / ACCORDÉE</w:t>
      </w:r>
    </w:p>
    <w:p w:rsidR="00FE1B19" w:rsidRPr="001E1B77" w:rsidRDefault="00FE1B19" w:rsidP="00FE1B19">
      <w:pPr>
        <w:tabs>
          <w:tab w:val="left" w:pos="-1440"/>
          <w:tab w:val="left" w:pos="-720"/>
        </w:tabs>
        <w:jc w:val="both"/>
        <w:rPr>
          <w:sz w:val="20"/>
          <w:szCs w:val="20"/>
        </w:rPr>
      </w:pPr>
    </w:p>
    <w:p w:rsidR="00FE1B19" w:rsidRPr="001E1B77" w:rsidRDefault="00FE1B19" w:rsidP="00FE1B19">
      <w:pPr>
        <w:tabs>
          <w:tab w:val="left" w:pos="-1440"/>
          <w:tab w:val="left" w:pos="-720"/>
        </w:tabs>
        <w:spacing w:line="-19" w:lineRule="auto"/>
        <w:jc w:val="both"/>
        <w:rPr>
          <w:sz w:val="20"/>
          <w:szCs w:val="20"/>
          <w:lang w:val="fr-CA"/>
        </w:rPr>
      </w:pPr>
    </w:p>
    <w:p w:rsidR="00FE1B19" w:rsidRPr="001E1B77" w:rsidRDefault="00B44839" w:rsidP="00FE1B19">
      <w:pPr>
        <w:tabs>
          <w:tab w:val="left" w:pos="-1440"/>
          <w:tab w:val="left" w:pos="-720"/>
        </w:tabs>
        <w:jc w:val="both"/>
        <w:rPr>
          <w:sz w:val="20"/>
          <w:szCs w:val="20"/>
        </w:rPr>
      </w:pPr>
      <w:r w:rsidRPr="00B44839">
        <w:rPr>
          <w:sz w:val="20"/>
          <w:szCs w:val="20"/>
          <w:lang w:val="fr-CA"/>
        </w:rPr>
        <w:pict>
          <v:rect id="_x0000_i1078"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rPr>
      </w:pPr>
      <w:r w:rsidRPr="001E1B77">
        <w:rPr>
          <w:sz w:val="20"/>
          <w:szCs w:val="20"/>
        </w:rPr>
        <w:t>27.04.2012</w:t>
      </w:r>
    </w:p>
    <w:p w:rsidR="00FE1B19" w:rsidRPr="001E1B77" w:rsidRDefault="00FE1B19" w:rsidP="00FE1B19">
      <w:pPr>
        <w:tabs>
          <w:tab w:val="left" w:pos="-1440"/>
          <w:tab w:val="left" w:pos="-720"/>
        </w:tabs>
        <w:jc w:val="both"/>
        <w:rPr>
          <w:sz w:val="20"/>
          <w:szCs w:val="20"/>
        </w:rPr>
      </w:pPr>
    </w:p>
    <w:p w:rsidR="00FE1B19" w:rsidRPr="001E1B77" w:rsidRDefault="00FE1B19" w:rsidP="00FE1B19">
      <w:pPr>
        <w:tabs>
          <w:tab w:val="left" w:pos="-1440"/>
          <w:tab w:val="left" w:pos="-720"/>
        </w:tabs>
        <w:jc w:val="both"/>
        <w:rPr>
          <w:sz w:val="20"/>
          <w:szCs w:val="20"/>
        </w:rPr>
      </w:pPr>
      <w:r w:rsidRPr="001E1B77">
        <w:rPr>
          <w:sz w:val="20"/>
          <w:szCs w:val="20"/>
        </w:rPr>
        <w:t>Before / Devant :   THE REGISTRAR / LE REGISTRAIRE</w:t>
      </w:r>
    </w:p>
    <w:p w:rsidR="00FE1B19" w:rsidRPr="001E1B77" w:rsidRDefault="00FE1B19" w:rsidP="00FE1B1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E1B19" w:rsidRPr="004A42A2" w:rsidTr="00870DD7">
        <w:tc>
          <w:tcPr>
            <w:tcW w:w="4338" w:type="dxa"/>
          </w:tcPr>
          <w:p w:rsidR="00FE1B19" w:rsidRPr="001E1B77" w:rsidRDefault="00B44839" w:rsidP="00870DD7">
            <w:pPr>
              <w:tabs>
                <w:tab w:val="left" w:pos="-1440"/>
                <w:tab w:val="left" w:pos="-720"/>
              </w:tabs>
              <w:jc w:val="both"/>
              <w:rPr>
                <w:sz w:val="20"/>
                <w:szCs w:val="20"/>
              </w:rPr>
            </w:pPr>
            <w:r w:rsidRPr="001E1B77">
              <w:rPr>
                <w:sz w:val="20"/>
                <w:szCs w:val="20"/>
              </w:rPr>
              <w:fldChar w:fldCharType="begin"/>
            </w:r>
            <w:r w:rsidR="00FE1B19" w:rsidRPr="001E1B77">
              <w:rPr>
                <w:sz w:val="20"/>
                <w:szCs w:val="20"/>
              </w:rPr>
              <w:instrText xml:space="preserve"> SEQ CHAPTER \h \r 1</w:instrText>
            </w:r>
            <w:r w:rsidRPr="001E1B77">
              <w:rPr>
                <w:sz w:val="20"/>
                <w:szCs w:val="20"/>
              </w:rPr>
              <w:fldChar w:fldCharType="end"/>
            </w:r>
            <w:r w:rsidR="00FE1B19" w:rsidRPr="001E1B77">
              <w:rPr>
                <w:b/>
                <w:bCs/>
                <w:sz w:val="20"/>
                <w:szCs w:val="20"/>
              </w:rPr>
              <w:t>Motion to extend the time to serve the respondent, Air Canada’s response until April 11, 2012</w:t>
            </w:r>
          </w:p>
        </w:tc>
        <w:tc>
          <w:tcPr>
            <w:tcW w:w="1170" w:type="dxa"/>
          </w:tcPr>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tc>
        <w:tc>
          <w:tcPr>
            <w:tcW w:w="4327" w:type="dxa"/>
          </w:tcPr>
          <w:p w:rsidR="00FE1B19" w:rsidRPr="001E1B77" w:rsidRDefault="00B44839" w:rsidP="00870DD7">
            <w:pPr>
              <w:tabs>
                <w:tab w:val="left" w:pos="-1440"/>
                <w:tab w:val="left" w:pos="-720"/>
              </w:tabs>
              <w:jc w:val="both"/>
              <w:rPr>
                <w:b/>
                <w:bCs/>
                <w:sz w:val="20"/>
                <w:szCs w:val="20"/>
                <w:lang w:val="fr-CA"/>
              </w:rPr>
            </w:pP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00FE1B19" w:rsidRPr="001E1B77">
              <w:rPr>
                <w:b/>
                <w:bCs/>
                <w:sz w:val="20"/>
                <w:szCs w:val="20"/>
                <w:lang w:val="fr-CA"/>
              </w:rPr>
              <w:t>Requête en prorogation du délai de signification de la réponse de l’intimée, Air Canada, jusqu’au 11 avril 2012</w:t>
            </w:r>
          </w:p>
          <w:p w:rsidR="00FE1B19" w:rsidRPr="001E1B77" w:rsidRDefault="00FE1B19" w:rsidP="00870DD7">
            <w:pPr>
              <w:tabs>
                <w:tab w:val="left" w:pos="-1440"/>
                <w:tab w:val="left" w:pos="-720"/>
              </w:tabs>
              <w:jc w:val="both"/>
              <w:rPr>
                <w:sz w:val="20"/>
                <w:szCs w:val="20"/>
                <w:lang w:val="fr-CA"/>
              </w:rPr>
            </w:pPr>
          </w:p>
        </w:tc>
      </w:tr>
      <w:tr w:rsidR="00FE1B19" w:rsidRPr="001E1B77" w:rsidTr="00870DD7">
        <w:tc>
          <w:tcPr>
            <w:tcW w:w="4338" w:type="dxa"/>
          </w:tcPr>
          <w:p w:rsidR="00FE1B19" w:rsidRPr="001E1B77" w:rsidRDefault="00FE1B19" w:rsidP="00870DD7">
            <w:pPr>
              <w:tabs>
                <w:tab w:val="left" w:pos="-1440"/>
                <w:tab w:val="left" w:pos="-720"/>
              </w:tabs>
              <w:jc w:val="both"/>
              <w:rPr>
                <w:sz w:val="20"/>
                <w:szCs w:val="20"/>
              </w:rPr>
            </w:pPr>
            <w:r w:rsidRPr="001E1B77">
              <w:rPr>
                <w:sz w:val="20"/>
                <w:szCs w:val="20"/>
              </w:rPr>
              <w:t>Rakel Elbilia</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r w:rsidRPr="001E1B77">
              <w:rPr>
                <w:sz w:val="20"/>
                <w:szCs w:val="20"/>
              </w:rPr>
              <w:tab/>
              <w:t>v. (34683)</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r w:rsidRPr="001E1B77">
              <w:rPr>
                <w:sz w:val="20"/>
                <w:szCs w:val="20"/>
              </w:rPr>
              <w:t>National Automobile, Aerospace, Transportation and General Workers Union of Canada (CAW Canada), Local 2002 et al. (F.C.)</w:t>
            </w:r>
          </w:p>
        </w:tc>
        <w:tc>
          <w:tcPr>
            <w:tcW w:w="1170" w:type="dxa"/>
          </w:tcPr>
          <w:p w:rsidR="00FE1B19" w:rsidRPr="001E1B77" w:rsidRDefault="00FE1B19" w:rsidP="00870DD7">
            <w:pPr>
              <w:tabs>
                <w:tab w:val="left" w:pos="-1440"/>
                <w:tab w:val="left" w:pos="-720"/>
              </w:tabs>
              <w:jc w:val="both"/>
              <w:rPr>
                <w:sz w:val="20"/>
                <w:szCs w:val="20"/>
              </w:rPr>
            </w:pPr>
          </w:p>
        </w:tc>
        <w:tc>
          <w:tcPr>
            <w:tcW w:w="4327" w:type="dxa"/>
          </w:tcPr>
          <w:p w:rsidR="00FE1B19" w:rsidRPr="001E1B77" w:rsidRDefault="00FE1B19" w:rsidP="00870DD7">
            <w:pPr>
              <w:tabs>
                <w:tab w:val="left" w:pos="-1440"/>
                <w:tab w:val="left" w:pos="-720"/>
              </w:tabs>
              <w:jc w:val="both"/>
              <w:rPr>
                <w:sz w:val="20"/>
                <w:szCs w:val="20"/>
              </w:rPr>
            </w:pPr>
          </w:p>
        </w:tc>
      </w:tr>
    </w:tbl>
    <w:p w:rsidR="00FE1B19" w:rsidRPr="001E1B77" w:rsidRDefault="00FE1B19" w:rsidP="00FE1B19">
      <w:pPr>
        <w:tabs>
          <w:tab w:val="left" w:pos="-1440"/>
          <w:tab w:val="left" w:pos="-720"/>
        </w:tabs>
        <w:jc w:val="both"/>
        <w:rPr>
          <w:b/>
          <w:sz w:val="20"/>
          <w:szCs w:val="20"/>
        </w:rPr>
      </w:pPr>
    </w:p>
    <w:p w:rsidR="00FE1B19" w:rsidRPr="001E1B77" w:rsidRDefault="00FE1B19" w:rsidP="00FE1B19">
      <w:pPr>
        <w:tabs>
          <w:tab w:val="left" w:pos="-1440"/>
          <w:tab w:val="left" w:pos="-720"/>
        </w:tabs>
        <w:jc w:val="both"/>
        <w:rPr>
          <w:sz w:val="20"/>
          <w:szCs w:val="20"/>
        </w:rPr>
      </w:pPr>
      <w:r w:rsidRPr="001E1B77">
        <w:rPr>
          <w:b/>
          <w:sz w:val="20"/>
          <w:szCs w:val="20"/>
        </w:rPr>
        <w:t>GRANTED / ACCORDÉE</w:t>
      </w:r>
    </w:p>
    <w:p w:rsidR="00FE1B19" w:rsidRPr="001E1B77" w:rsidRDefault="00FE1B19" w:rsidP="00FE1B19">
      <w:pPr>
        <w:tabs>
          <w:tab w:val="left" w:pos="-1440"/>
          <w:tab w:val="left" w:pos="-720"/>
        </w:tabs>
        <w:jc w:val="both"/>
        <w:rPr>
          <w:sz w:val="20"/>
          <w:szCs w:val="20"/>
        </w:rPr>
      </w:pPr>
    </w:p>
    <w:p w:rsidR="00FE1B19" w:rsidRPr="001E1B77" w:rsidRDefault="00FE1B19" w:rsidP="00FE1B19">
      <w:pPr>
        <w:tabs>
          <w:tab w:val="left" w:pos="-1440"/>
          <w:tab w:val="left" w:pos="-720"/>
        </w:tabs>
        <w:spacing w:line="-19" w:lineRule="auto"/>
        <w:jc w:val="both"/>
        <w:rPr>
          <w:sz w:val="20"/>
          <w:szCs w:val="20"/>
          <w:lang w:val="fr-CA"/>
        </w:rPr>
      </w:pPr>
    </w:p>
    <w:p w:rsidR="00FE1B19" w:rsidRPr="001E1B77" w:rsidRDefault="00B44839" w:rsidP="00FE1B19">
      <w:pPr>
        <w:tabs>
          <w:tab w:val="left" w:pos="-1440"/>
          <w:tab w:val="left" w:pos="-720"/>
        </w:tabs>
        <w:jc w:val="both"/>
        <w:rPr>
          <w:sz w:val="20"/>
          <w:szCs w:val="20"/>
        </w:rPr>
      </w:pPr>
      <w:r w:rsidRPr="00B44839">
        <w:rPr>
          <w:sz w:val="20"/>
          <w:szCs w:val="20"/>
          <w:lang w:val="fr-CA"/>
        </w:rPr>
        <w:pict>
          <v:rect id="_x0000_i1079"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rPr>
      </w:pPr>
      <w:r w:rsidRPr="001E1B77">
        <w:rPr>
          <w:sz w:val="20"/>
          <w:szCs w:val="20"/>
        </w:rPr>
        <w:t>30.04.2012</w:t>
      </w:r>
    </w:p>
    <w:p w:rsidR="00FE1B19" w:rsidRPr="001E1B77" w:rsidRDefault="00FE1B19" w:rsidP="00FE1B19">
      <w:pPr>
        <w:tabs>
          <w:tab w:val="left" w:pos="-1440"/>
          <w:tab w:val="left" w:pos="-720"/>
        </w:tabs>
        <w:jc w:val="both"/>
        <w:rPr>
          <w:sz w:val="20"/>
          <w:szCs w:val="20"/>
        </w:rPr>
      </w:pPr>
    </w:p>
    <w:p w:rsidR="00FE1B19" w:rsidRPr="001E1B77" w:rsidRDefault="00FE1B19" w:rsidP="00FE1B19">
      <w:pPr>
        <w:tabs>
          <w:tab w:val="left" w:pos="-1440"/>
          <w:tab w:val="left" w:pos="-720"/>
        </w:tabs>
        <w:jc w:val="both"/>
        <w:rPr>
          <w:sz w:val="20"/>
          <w:szCs w:val="20"/>
        </w:rPr>
      </w:pPr>
      <w:r w:rsidRPr="001E1B77">
        <w:rPr>
          <w:sz w:val="20"/>
          <w:szCs w:val="20"/>
        </w:rPr>
        <w:t>Before / Devant :   THE DEPUTY REGISTRAR / LA REGISTRAIRE ADJOINTE</w:t>
      </w:r>
    </w:p>
    <w:p w:rsidR="00FE1B19" w:rsidRPr="001E1B77" w:rsidRDefault="00FE1B19" w:rsidP="00FE1B19">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E1B19" w:rsidRPr="004A42A2" w:rsidTr="00870DD7">
        <w:tc>
          <w:tcPr>
            <w:tcW w:w="4338" w:type="dxa"/>
          </w:tcPr>
          <w:p w:rsidR="00FE1B19" w:rsidRPr="001E1B77" w:rsidRDefault="00B44839" w:rsidP="00870DD7">
            <w:pPr>
              <w:tabs>
                <w:tab w:val="left" w:pos="-1440"/>
                <w:tab w:val="left" w:pos="-720"/>
              </w:tabs>
              <w:jc w:val="both"/>
              <w:rPr>
                <w:b/>
                <w:sz w:val="20"/>
                <w:szCs w:val="20"/>
              </w:rPr>
            </w:pPr>
            <w:r w:rsidRPr="001E1B77">
              <w:rPr>
                <w:sz w:val="20"/>
                <w:szCs w:val="20"/>
              </w:rPr>
              <w:fldChar w:fldCharType="begin"/>
            </w:r>
            <w:r w:rsidR="00FE1B19" w:rsidRPr="001E1B77">
              <w:rPr>
                <w:sz w:val="20"/>
                <w:szCs w:val="20"/>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rPr>
              <w:instrText xml:space="preserve"> SEQ CHAPTER \h \r 1</w:instrText>
            </w:r>
            <w:r w:rsidRPr="001E1B77">
              <w:rPr>
                <w:sz w:val="20"/>
                <w:szCs w:val="20"/>
              </w:rPr>
              <w:fldChar w:fldCharType="end"/>
            </w:r>
            <w:r w:rsidR="00FE1B19" w:rsidRPr="001E1B77">
              <w:rPr>
                <w:b/>
                <w:bCs/>
                <w:sz w:val="20"/>
                <w:szCs w:val="20"/>
              </w:rPr>
              <w:t>Motion to allow the applicant to file a single leave application from two judgments of the British Columbia Court of Appeal</w:t>
            </w:r>
          </w:p>
        </w:tc>
        <w:tc>
          <w:tcPr>
            <w:tcW w:w="1170" w:type="dxa"/>
          </w:tcPr>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tc>
        <w:tc>
          <w:tcPr>
            <w:tcW w:w="4327" w:type="dxa"/>
          </w:tcPr>
          <w:p w:rsidR="00FE1B19" w:rsidRPr="001E1B77" w:rsidRDefault="00B44839" w:rsidP="00870DD7">
            <w:pPr>
              <w:tabs>
                <w:tab w:val="left" w:pos="-1440"/>
                <w:tab w:val="left" w:pos="-720"/>
              </w:tabs>
              <w:jc w:val="both"/>
              <w:rPr>
                <w:sz w:val="20"/>
                <w:szCs w:val="20"/>
                <w:lang w:val="fr-CA"/>
              </w:rPr>
            </w:pP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00FE1B19" w:rsidRPr="001E1B77">
              <w:rPr>
                <w:b/>
                <w:bCs/>
                <w:sz w:val="20"/>
                <w:szCs w:val="20"/>
                <w:lang w:val="fr-CA"/>
              </w:rPr>
              <w:t xml:space="preserve">Requête en vue de déposer une seule demande d'autorisation d'appel à l'égard de deux jugements de la Cour d'appel de la Colombie-Britannique </w:t>
            </w:r>
            <w:r w:rsidR="00FE1B19" w:rsidRPr="001E1B77">
              <w:rPr>
                <w:sz w:val="20"/>
                <w:szCs w:val="20"/>
                <w:lang w:val="fr-CA"/>
              </w:rPr>
              <w:t xml:space="preserve"> </w:t>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p>
        </w:tc>
      </w:tr>
      <w:tr w:rsidR="00FE1B19" w:rsidRPr="001E1B77" w:rsidTr="00870DD7">
        <w:tc>
          <w:tcPr>
            <w:tcW w:w="4338" w:type="dxa"/>
          </w:tcPr>
          <w:p w:rsidR="00FE1B19" w:rsidRPr="001E1B77" w:rsidRDefault="00FE1B19" w:rsidP="00870DD7">
            <w:pPr>
              <w:tabs>
                <w:tab w:val="left" w:pos="-1440"/>
                <w:tab w:val="left" w:pos="-720"/>
              </w:tabs>
              <w:jc w:val="both"/>
              <w:rPr>
                <w:sz w:val="20"/>
                <w:szCs w:val="20"/>
              </w:rPr>
            </w:pPr>
            <w:r w:rsidRPr="001E1B77">
              <w:rPr>
                <w:sz w:val="20"/>
                <w:szCs w:val="20"/>
              </w:rPr>
              <w:t>Teal Cedar Products Ltd. et al.</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r w:rsidRPr="001E1B77">
              <w:rPr>
                <w:sz w:val="20"/>
                <w:szCs w:val="20"/>
              </w:rPr>
              <w:tab/>
              <w:t>v. (34773)</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r w:rsidRPr="001E1B77">
              <w:rPr>
                <w:sz w:val="20"/>
                <w:szCs w:val="20"/>
              </w:rPr>
              <w:t>Her Majesty the Queen in Right of the Province of British Columbia as represented by the Ministry of Forests et al. (B.C.)</w:t>
            </w:r>
          </w:p>
        </w:tc>
        <w:tc>
          <w:tcPr>
            <w:tcW w:w="1170" w:type="dxa"/>
          </w:tcPr>
          <w:p w:rsidR="00FE1B19" w:rsidRPr="001E1B77" w:rsidRDefault="00FE1B19" w:rsidP="00870DD7">
            <w:pPr>
              <w:tabs>
                <w:tab w:val="left" w:pos="-1440"/>
                <w:tab w:val="left" w:pos="-720"/>
              </w:tabs>
              <w:jc w:val="both"/>
              <w:rPr>
                <w:sz w:val="20"/>
                <w:szCs w:val="20"/>
              </w:rPr>
            </w:pPr>
          </w:p>
        </w:tc>
        <w:tc>
          <w:tcPr>
            <w:tcW w:w="4327" w:type="dxa"/>
          </w:tcPr>
          <w:p w:rsidR="00FE1B19" w:rsidRPr="001E1B77" w:rsidRDefault="00FE1B19" w:rsidP="00870DD7">
            <w:pPr>
              <w:tabs>
                <w:tab w:val="left" w:pos="-1440"/>
                <w:tab w:val="left" w:pos="-720"/>
              </w:tabs>
              <w:jc w:val="both"/>
              <w:rPr>
                <w:sz w:val="20"/>
                <w:szCs w:val="20"/>
              </w:rPr>
            </w:pPr>
          </w:p>
        </w:tc>
      </w:tr>
    </w:tbl>
    <w:p w:rsidR="00FE1B19" w:rsidRPr="001E1B77" w:rsidRDefault="00FE1B19" w:rsidP="00FE1B19">
      <w:pPr>
        <w:tabs>
          <w:tab w:val="left" w:pos="-1440"/>
          <w:tab w:val="left" w:pos="-720"/>
        </w:tabs>
        <w:jc w:val="both"/>
        <w:rPr>
          <w:sz w:val="20"/>
          <w:szCs w:val="20"/>
        </w:rPr>
      </w:pPr>
    </w:p>
    <w:p w:rsidR="00FE1B19" w:rsidRPr="001E1B77" w:rsidRDefault="00FE1B19" w:rsidP="00FE1B19">
      <w:pPr>
        <w:tabs>
          <w:tab w:val="left" w:pos="-1440"/>
          <w:tab w:val="left" w:pos="-720"/>
        </w:tabs>
        <w:jc w:val="both"/>
        <w:rPr>
          <w:b/>
          <w:sz w:val="20"/>
          <w:szCs w:val="20"/>
          <w:lang w:val="fr-CA"/>
        </w:rPr>
      </w:pPr>
      <w:r w:rsidRPr="001E1B77">
        <w:rPr>
          <w:b/>
          <w:sz w:val="20"/>
          <w:szCs w:val="20"/>
          <w:lang w:val="fr-CA"/>
        </w:rPr>
        <w:t>GRANTED / ACCORDÉE</w: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jc w:val="both"/>
        <w:rPr>
          <w:sz w:val="20"/>
          <w:szCs w:val="20"/>
        </w:rPr>
      </w:pPr>
      <w:r w:rsidRPr="001E1B77">
        <w:rPr>
          <w:b/>
          <w:bCs/>
          <w:sz w:val="20"/>
          <w:szCs w:val="20"/>
        </w:rPr>
        <w:t>UPON APPLICATION</w:t>
      </w:r>
      <w:r w:rsidRPr="001E1B77">
        <w:rPr>
          <w:sz w:val="20"/>
          <w:szCs w:val="20"/>
        </w:rPr>
        <w:t xml:space="preserve"> by the applicants for an order allowing the applicants to file a single joint application for leave to appeal from two judgments of the British Columbia Court of Appeal File Numbers CA038979 and CA038983;</w:t>
      </w:r>
    </w:p>
    <w:p w:rsidR="00FE1B19" w:rsidRPr="001E1B77" w:rsidRDefault="00FE1B19" w:rsidP="00FE1B19">
      <w:pPr>
        <w:rPr>
          <w:b/>
          <w:bCs/>
          <w:sz w:val="20"/>
          <w:szCs w:val="20"/>
        </w:rPr>
      </w:pPr>
    </w:p>
    <w:p w:rsidR="00FE1B19" w:rsidRPr="001E1B77" w:rsidRDefault="00FE1B19" w:rsidP="00FE1B19">
      <w:pPr>
        <w:rPr>
          <w:sz w:val="20"/>
          <w:szCs w:val="20"/>
        </w:rPr>
      </w:pPr>
      <w:r w:rsidRPr="001E1B77">
        <w:rPr>
          <w:b/>
          <w:bCs/>
          <w:sz w:val="20"/>
          <w:szCs w:val="20"/>
        </w:rPr>
        <w:t>AND HAVING READ</w:t>
      </w:r>
      <w:r w:rsidRPr="001E1B77">
        <w:rPr>
          <w:sz w:val="20"/>
          <w:szCs w:val="20"/>
        </w:rPr>
        <w:t xml:space="preserve"> the material filed;</w:t>
      </w:r>
    </w:p>
    <w:p w:rsidR="00FE1B19" w:rsidRPr="001E1B77" w:rsidRDefault="00FE1B19" w:rsidP="00FE1B19">
      <w:pPr>
        <w:rPr>
          <w:sz w:val="20"/>
          <w:szCs w:val="20"/>
        </w:rPr>
      </w:pPr>
    </w:p>
    <w:p w:rsidR="00FE1B19" w:rsidRPr="001E1B77" w:rsidRDefault="00FE1B19" w:rsidP="00FE1B19">
      <w:pPr>
        <w:rPr>
          <w:b/>
          <w:bCs/>
          <w:sz w:val="20"/>
          <w:szCs w:val="20"/>
        </w:rPr>
      </w:pPr>
      <w:r w:rsidRPr="001E1B77">
        <w:rPr>
          <w:b/>
          <w:bCs/>
          <w:sz w:val="20"/>
          <w:szCs w:val="20"/>
        </w:rPr>
        <w:t>IT IS HEREBY ORDERED THAT:</w:t>
      </w:r>
    </w:p>
    <w:p w:rsidR="00FE1B19" w:rsidRPr="001E1B77" w:rsidRDefault="00FE1B19" w:rsidP="00FE1B19">
      <w:pPr>
        <w:rPr>
          <w:b/>
          <w:bCs/>
          <w:sz w:val="20"/>
          <w:szCs w:val="20"/>
        </w:rPr>
      </w:pPr>
    </w:p>
    <w:p w:rsidR="00FE1B19" w:rsidRPr="001E1B77" w:rsidRDefault="00FE1B19" w:rsidP="00FE1B19">
      <w:pPr>
        <w:rPr>
          <w:sz w:val="20"/>
          <w:szCs w:val="20"/>
          <w:lang w:val="fr-CA"/>
        </w:rPr>
      </w:pPr>
      <w:r w:rsidRPr="001E1B77">
        <w:rPr>
          <w:sz w:val="20"/>
          <w:szCs w:val="20"/>
        </w:rPr>
        <w:tab/>
      </w:r>
      <w:r w:rsidRPr="001E1B77">
        <w:rPr>
          <w:sz w:val="20"/>
          <w:szCs w:val="20"/>
          <w:lang w:val="fr-CA"/>
        </w:rPr>
        <w:t>The motion is granted.</w:t>
      </w:r>
    </w:p>
    <w:p w:rsidR="00FE1B19" w:rsidRPr="001E1B77" w:rsidRDefault="00FE1B19" w:rsidP="00FE1B19">
      <w:pPr>
        <w:rPr>
          <w:sz w:val="20"/>
          <w:szCs w:val="20"/>
          <w:lang w:val="fr-CA"/>
        </w:rPr>
      </w:pPr>
    </w:p>
    <w:p w:rsidR="00FE1B19" w:rsidRPr="001E1B77" w:rsidRDefault="00FE1B19" w:rsidP="00FE1B19">
      <w:pPr>
        <w:rPr>
          <w:sz w:val="20"/>
          <w:szCs w:val="20"/>
          <w:lang w:val="fr-CA"/>
        </w:rPr>
      </w:pPr>
    </w:p>
    <w:p w:rsidR="00FE1B19" w:rsidRPr="001E1B77" w:rsidRDefault="00FE1B19" w:rsidP="00FE1B19">
      <w:pPr>
        <w:rPr>
          <w:sz w:val="20"/>
          <w:szCs w:val="20"/>
          <w:lang w:val="fr-CA"/>
        </w:rPr>
      </w:pPr>
    </w:p>
    <w:p w:rsidR="00FE1B19" w:rsidRPr="001E1B77" w:rsidRDefault="00FE1B19" w:rsidP="00FE1B19">
      <w:pPr>
        <w:jc w:val="both"/>
        <w:rPr>
          <w:sz w:val="20"/>
          <w:szCs w:val="20"/>
          <w:lang w:val="fr-CA"/>
        </w:rPr>
      </w:pPr>
      <w:r w:rsidRPr="001E1B77">
        <w:rPr>
          <w:b/>
          <w:sz w:val="20"/>
          <w:szCs w:val="20"/>
          <w:lang w:val="fr-CA"/>
        </w:rPr>
        <w:t>À LA SUITE DE LA REQUÊTE</w:t>
      </w:r>
      <w:r w:rsidRPr="001E1B77">
        <w:rPr>
          <w:sz w:val="20"/>
          <w:szCs w:val="20"/>
          <w:lang w:val="fr-CA"/>
        </w:rPr>
        <w:t xml:space="preserve"> des demanderesses sollicitant l’autorisation de déposer une seule demande conjointe d’autorisation d’appel de deux jugements de la Cour d’appel de la Colombie-Britannique; numéros de dossiers CA038979 et CA038983;</w:t>
      </w:r>
    </w:p>
    <w:p w:rsidR="00FE1B19" w:rsidRPr="001E1B77" w:rsidRDefault="00FE1B19" w:rsidP="00FE1B19">
      <w:pPr>
        <w:jc w:val="both"/>
        <w:rPr>
          <w:sz w:val="20"/>
          <w:szCs w:val="20"/>
          <w:lang w:val="fr-CA"/>
        </w:rPr>
      </w:pPr>
    </w:p>
    <w:p w:rsidR="00FE1B19" w:rsidRPr="001E1B77" w:rsidRDefault="00FE1B19" w:rsidP="00FE1B19">
      <w:pPr>
        <w:rPr>
          <w:sz w:val="20"/>
          <w:szCs w:val="20"/>
          <w:lang w:val="fr-CA"/>
        </w:rPr>
      </w:pPr>
      <w:r w:rsidRPr="001E1B77">
        <w:rPr>
          <w:b/>
          <w:sz w:val="20"/>
          <w:szCs w:val="20"/>
          <w:lang w:val="fr-CA"/>
        </w:rPr>
        <w:t>ET APRÈS EXAMEN</w:t>
      </w:r>
      <w:r w:rsidRPr="001E1B77">
        <w:rPr>
          <w:sz w:val="20"/>
          <w:szCs w:val="20"/>
          <w:lang w:val="fr-CA"/>
        </w:rPr>
        <w:t xml:space="preserve"> des documents déposés; </w:t>
      </w:r>
    </w:p>
    <w:p w:rsidR="00FE1B19" w:rsidRPr="001E1B77" w:rsidRDefault="00FE1B19" w:rsidP="00FE1B19">
      <w:pPr>
        <w:rPr>
          <w:sz w:val="20"/>
          <w:szCs w:val="20"/>
          <w:lang w:val="fr-CA"/>
        </w:rPr>
      </w:pPr>
    </w:p>
    <w:p w:rsidR="00FE1B19" w:rsidRPr="001E1B77" w:rsidRDefault="00FE1B19" w:rsidP="00FE1B19">
      <w:pPr>
        <w:rPr>
          <w:b/>
          <w:sz w:val="20"/>
          <w:szCs w:val="20"/>
          <w:lang w:val="fr-CA"/>
        </w:rPr>
      </w:pPr>
      <w:r w:rsidRPr="001E1B77">
        <w:rPr>
          <w:b/>
          <w:sz w:val="20"/>
          <w:szCs w:val="20"/>
          <w:lang w:val="fr-CA"/>
        </w:rPr>
        <w:t>IL EST ORDONNÉ CE QUI SUIT :</w:t>
      </w:r>
    </w:p>
    <w:p w:rsidR="00FE1B19" w:rsidRPr="001E1B77" w:rsidRDefault="00FE1B19" w:rsidP="00FE1B19">
      <w:pPr>
        <w:rPr>
          <w:b/>
          <w:sz w:val="20"/>
          <w:szCs w:val="20"/>
          <w:lang w:val="fr-CA"/>
        </w:rPr>
      </w:pPr>
    </w:p>
    <w:p w:rsidR="00FE1B19" w:rsidRPr="001E1B77" w:rsidRDefault="00FE1B19" w:rsidP="00FE1B19">
      <w:pPr>
        <w:rPr>
          <w:sz w:val="20"/>
          <w:szCs w:val="20"/>
        </w:rPr>
      </w:pPr>
      <w:r w:rsidRPr="001E1B77">
        <w:rPr>
          <w:b/>
          <w:sz w:val="20"/>
          <w:szCs w:val="20"/>
          <w:lang w:val="fr-CA"/>
        </w:rPr>
        <w:tab/>
      </w:r>
      <w:r w:rsidRPr="001E1B77">
        <w:rPr>
          <w:sz w:val="20"/>
          <w:szCs w:val="20"/>
        </w:rPr>
        <w:t>La requête est accordée.</w:t>
      </w:r>
    </w:p>
    <w:p w:rsidR="00FE1B19" w:rsidRPr="001E1B77" w:rsidRDefault="00FE1B19" w:rsidP="00FE1B19">
      <w:pPr>
        <w:tabs>
          <w:tab w:val="left" w:pos="-1440"/>
          <w:tab w:val="left" w:pos="-720"/>
        </w:tabs>
        <w:jc w:val="both"/>
        <w:rPr>
          <w:sz w:val="20"/>
          <w:szCs w:val="20"/>
          <w:lang w:val="fr-CA"/>
        </w:rPr>
      </w:pPr>
    </w:p>
    <w:p w:rsidR="00FE1B19" w:rsidRPr="001E1B77" w:rsidRDefault="00B44839" w:rsidP="00FE1B19">
      <w:pPr>
        <w:tabs>
          <w:tab w:val="left" w:pos="-1440"/>
          <w:tab w:val="left" w:pos="-720"/>
        </w:tabs>
        <w:jc w:val="both"/>
        <w:rPr>
          <w:sz w:val="20"/>
          <w:szCs w:val="20"/>
          <w:lang w:val="fr-CA"/>
        </w:rPr>
      </w:pPr>
      <w:r w:rsidRPr="00B44839">
        <w:rPr>
          <w:sz w:val="20"/>
          <w:szCs w:val="20"/>
          <w:lang w:val="fr-CA"/>
        </w:rPr>
        <w:pict>
          <v:rect id="_x0000_i1080"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30.04.2012</w: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Before / Devant :   ROTHSTEIN J. / LE JUGE ROTHSTEIN</w:t>
      </w:r>
    </w:p>
    <w:p w:rsidR="00FE1B19" w:rsidRPr="001E1B77" w:rsidRDefault="00FE1B19" w:rsidP="00FE1B1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330"/>
        <w:gridCol w:w="810"/>
        <w:gridCol w:w="4417"/>
      </w:tblGrid>
      <w:tr w:rsidR="00FE1B19" w:rsidRPr="004A42A2" w:rsidTr="00870DD7">
        <w:tc>
          <w:tcPr>
            <w:tcW w:w="4608" w:type="dxa"/>
            <w:gridSpan w:val="2"/>
          </w:tcPr>
          <w:p w:rsidR="00FE1B19" w:rsidRPr="001E1B77" w:rsidRDefault="00FE1B19" w:rsidP="00870DD7">
            <w:pPr>
              <w:jc w:val="both"/>
              <w:rPr>
                <w:b/>
                <w:sz w:val="20"/>
                <w:szCs w:val="20"/>
              </w:rPr>
            </w:pPr>
            <w:r w:rsidRPr="001E1B77">
              <w:rPr>
                <w:b/>
                <w:sz w:val="20"/>
                <w:szCs w:val="20"/>
              </w:rPr>
              <w:t xml:space="preserve">Order on interventions with respect to oral argument </w:t>
            </w:r>
            <w:r w:rsidR="00B44839" w:rsidRPr="001E1B77">
              <w:rPr>
                <w:b/>
                <w:sz w:val="20"/>
                <w:szCs w:val="20"/>
              </w:rPr>
              <w:fldChar w:fldCharType="begin"/>
            </w:r>
            <w:r w:rsidRPr="001E1B77">
              <w:rPr>
                <w:b/>
                <w:sz w:val="20"/>
                <w:szCs w:val="20"/>
              </w:rPr>
              <w:instrText xml:space="preserve"> SEQ CHAPTER \h \r 1</w:instrText>
            </w:r>
            <w:r w:rsidR="00B44839" w:rsidRPr="001E1B77">
              <w:rPr>
                <w:b/>
                <w:sz w:val="20"/>
                <w:szCs w:val="20"/>
              </w:rPr>
              <w:fldChar w:fldCharType="end"/>
            </w:r>
          </w:p>
        </w:tc>
        <w:tc>
          <w:tcPr>
            <w:tcW w:w="810" w:type="dxa"/>
          </w:tcPr>
          <w:p w:rsidR="00FE1B19" w:rsidRPr="001E1B77" w:rsidRDefault="00FE1B19" w:rsidP="00870DD7">
            <w:pPr>
              <w:rPr>
                <w:sz w:val="20"/>
                <w:szCs w:val="20"/>
              </w:rPr>
            </w:pPr>
          </w:p>
          <w:p w:rsidR="00FE1B19" w:rsidRPr="001E1B77" w:rsidRDefault="00FE1B19" w:rsidP="00870DD7">
            <w:pPr>
              <w:rPr>
                <w:sz w:val="20"/>
                <w:szCs w:val="20"/>
              </w:rPr>
            </w:pPr>
          </w:p>
          <w:p w:rsidR="00FE1B19" w:rsidRPr="001E1B77" w:rsidRDefault="00FE1B19" w:rsidP="00870DD7">
            <w:pPr>
              <w:rPr>
                <w:sz w:val="20"/>
                <w:szCs w:val="20"/>
              </w:rPr>
            </w:pPr>
          </w:p>
        </w:tc>
        <w:tc>
          <w:tcPr>
            <w:tcW w:w="4417" w:type="dxa"/>
          </w:tcPr>
          <w:p w:rsidR="00FE1B19" w:rsidRPr="001E1B77" w:rsidRDefault="00FE1B19" w:rsidP="00870DD7">
            <w:pPr>
              <w:jc w:val="both"/>
              <w:rPr>
                <w:b/>
                <w:sz w:val="20"/>
                <w:szCs w:val="20"/>
                <w:lang w:val="fr-CA"/>
              </w:rPr>
            </w:pPr>
            <w:r w:rsidRPr="001E1B77">
              <w:rPr>
                <w:b/>
                <w:sz w:val="20"/>
                <w:szCs w:val="20"/>
                <w:lang w:val="fr-CA"/>
              </w:rPr>
              <w:t>Ordonnance relative à la présentation d’une plaidoirie orale par les intervenants</w:t>
            </w:r>
            <w:r w:rsidR="00B44839" w:rsidRPr="001E1B77">
              <w:rPr>
                <w:b/>
                <w:sz w:val="20"/>
                <w:szCs w:val="20"/>
              </w:rPr>
              <w:fldChar w:fldCharType="begin"/>
            </w:r>
            <w:r w:rsidRPr="001E1B77">
              <w:rPr>
                <w:b/>
                <w:sz w:val="20"/>
                <w:szCs w:val="20"/>
                <w:lang w:val="fr-CA"/>
              </w:rPr>
              <w:instrText xml:space="preserve"> SEQ CHAPTER \h \r 1</w:instrText>
            </w:r>
            <w:r w:rsidR="00B44839" w:rsidRPr="001E1B77">
              <w:rPr>
                <w:b/>
                <w:sz w:val="20"/>
                <w:szCs w:val="20"/>
              </w:rPr>
              <w:fldChar w:fldCharType="end"/>
            </w:r>
          </w:p>
        </w:tc>
      </w:tr>
      <w:tr w:rsidR="00FE1B19" w:rsidRPr="001E1B77" w:rsidTr="00870DD7">
        <w:tc>
          <w:tcPr>
            <w:tcW w:w="1278" w:type="dxa"/>
          </w:tcPr>
          <w:p w:rsidR="00FE1B19" w:rsidRPr="001E1B77" w:rsidRDefault="00FE1B19" w:rsidP="00870DD7">
            <w:pPr>
              <w:rPr>
                <w:sz w:val="20"/>
                <w:szCs w:val="20"/>
              </w:rPr>
            </w:pPr>
            <w:r w:rsidRPr="001E1B77">
              <w:rPr>
                <w:sz w:val="20"/>
                <w:szCs w:val="20"/>
              </w:rPr>
              <w:t>RE:</w:t>
            </w:r>
          </w:p>
        </w:tc>
        <w:tc>
          <w:tcPr>
            <w:tcW w:w="3330" w:type="dxa"/>
          </w:tcPr>
          <w:p w:rsidR="00FE1B19" w:rsidRPr="001E1B77" w:rsidRDefault="00FE1B19" w:rsidP="00870DD7">
            <w:pPr>
              <w:rPr>
                <w:sz w:val="20"/>
                <w:szCs w:val="20"/>
              </w:rPr>
            </w:pPr>
            <w:r w:rsidRPr="001E1B77">
              <w:rPr>
                <w:sz w:val="20"/>
                <w:szCs w:val="20"/>
              </w:rPr>
              <w:t>British Columbia Civil Liberties Association;</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r w:rsidRPr="001E1B77">
              <w:rPr>
                <w:sz w:val="20"/>
                <w:szCs w:val="20"/>
              </w:rPr>
              <w:t>Kids Help Phone;</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r w:rsidRPr="001E1B77">
              <w:rPr>
                <w:sz w:val="20"/>
                <w:szCs w:val="20"/>
              </w:rPr>
              <w:t>Canadian Civil Liberties Association;</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r w:rsidRPr="001E1B77">
              <w:rPr>
                <w:sz w:val="20"/>
                <w:szCs w:val="20"/>
              </w:rPr>
              <w:t>Privacy Commissioner of Canada;</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r w:rsidRPr="001E1B77">
              <w:rPr>
                <w:sz w:val="20"/>
                <w:szCs w:val="20"/>
              </w:rPr>
              <w:t>Newspaper Canada,</w:t>
            </w:r>
          </w:p>
          <w:p w:rsidR="00FE1B19" w:rsidRPr="001E1B77" w:rsidRDefault="00FE1B19" w:rsidP="00870DD7">
            <w:pPr>
              <w:rPr>
                <w:sz w:val="20"/>
                <w:szCs w:val="20"/>
              </w:rPr>
            </w:pPr>
            <w:r w:rsidRPr="001E1B77">
              <w:rPr>
                <w:sz w:val="20"/>
                <w:szCs w:val="20"/>
              </w:rPr>
              <w:t>Ad IDEM/Canadian Media Lawyers Association, Canadian Association of Journalists, Professional Writers Association of Canada and Book and Periodical Council;</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r w:rsidRPr="001E1B77">
              <w:rPr>
                <w:sz w:val="20"/>
                <w:szCs w:val="20"/>
              </w:rPr>
              <w:t>Canadian Unicef Committee;</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r w:rsidRPr="001E1B77">
              <w:rPr>
                <w:sz w:val="20"/>
                <w:szCs w:val="20"/>
              </w:rPr>
              <w:t>IN / DANS :</w:t>
            </w:r>
          </w:p>
        </w:tc>
        <w:tc>
          <w:tcPr>
            <w:tcW w:w="3330" w:type="dxa"/>
          </w:tcPr>
          <w:p w:rsidR="00FE1B19" w:rsidRPr="001E1B77" w:rsidRDefault="00FE1B19" w:rsidP="00870DD7">
            <w:pPr>
              <w:rPr>
                <w:sz w:val="20"/>
                <w:szCs w:val="20"/>
              </w:rPr>
            </w:pPr>
            <w:r w:rsidRPr="001E1B77">
              <w:rPr>
                <w:sz w:val="20"/>
                <w:szCs w:val="20"/>
              </w:rPr>
              <w:t>A.B. by her Litigation Guardian, C.D.</w:t>
            </w:r>
          </w:p>
          <w:p w:rsidR="00FE1B19" w:rsidRPr="001E1B77" w:rsidRDefault="00FE1B19" w:rsidP="00870DD7">
            <w:pPr>
              <w:rPr>
                <w:sz w:val="20"/>
                <w:szCs w:val="20"/>
              </w:rPr>
            </w:pP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rPr>
                <w:sz w:val="20"/>
                <w:szCs w:val="20"/>
              </w:rPr>
            </w:pPr>
            <w:r w:rsidRPr="001E1B77">
              <w:rPr>
                <w:sz w:val="20"/>
                <w:szCs w:val="20"/>
              </w:rPr>
              <w:tab/>
              <w:t>v. (34240)</w:t>
            </w:r>
          </w:p>
          <w:p w:rsidR="00FE1B19" w:rsidRPr="001E1B77" w:rsidRDefault="00FE1B19" w:rsidP="00870DD7">
            <w:pPr>
              <w:rPr>
                <w:sz w:val="20"/>
                <w:szCs w:val="20"/>
              </w:rPr>
            </w:pP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330" w:type="dxa"/>
          </w:tcPr>
          <w:p w:rsidR="00FE1B19" w:rsidRPr="001E1B77" w:rsidRDefault="00FE1B19" w:rsidP="00870DD7">
            <w:pPr>
              <w:jc w:val="both"/>
              <w:rPr>
                <w:sz w:val="20"/>
                <w:szCs w:val="20"/>
              </w:rPr>
            </w:pPr>
            <w:r w:rsidRPr="001E1B77">
              <w:rPr>
                <w:sz w:val="20"/>
                <w:szCs w:val="20"/>
              </w:rPr>
              <w:t>Bragg Communications Incorporated, a body corporate et al. (N.S.)</w:t>
            </w:r>
          </w:p>
        </w:tc>
        <w:tc>
          <w:tcPr>
            <w:tcW w:w="81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bl>
    <w:p w:rsidR="00FE1B19" w:rsidRPr="001E1B77" w:rsidRDefault="00FE1B19" w:rsidP="00FE1B19">
      <w:pPr>
        <w:tabs>
          <w:tab w:val="left" w:pos="-1440"/>
          <w:tab w:val="left" w:pos="-720"/>
        </w:tabs>
        <w:jc w:val="both"/>
        <w:rPr>
          <w:sz w:val="20"/>
          <w:szCs w:val="20"/>
        </w:rPr>
      </w:pPr>
    </w:p>
    <w:p w:rsidR="00FE1B19" w:rsidRPr="001E1B77" w:rsidRDefault="00FE1B19" w:rsidP="00FE1B19">
      <w:pPr>
        <w:spacing w:line="233" w:lineRule="auto"/>
        <w:jc w:val="both"/>
        <w:rPr>
          <w:sz w:val="20"/>
          <w:szCs w:val="20"/>
        </w:rPr>
      </w:pPr>
      <w:r w:rsidRPr="001E1B77">
        <w:rPr>
          <w:b/>
          <w:bCs/>
          <w:sz w:val="20"/>
          <w:szCs w:val="20"/>
        </w:rPr>
        <w:t>FURTHER TO THE ORDER</w:t>
      </w:r>
      <w:r w:rsidRPr="001E1B77">
        <w:rPr>
          <w:sz w:val="20"/>
          <w:szCs w:val="20"/>
        </w:rPr>
        <w:t xml:space="preserve"> dated April 3, 2012, granting leave to intervene to the British Columbia Civil Liberties Association, the Kids Help Phone, the Canadian Civil Liberties Association, the Privacy Commissioner of Canada, the </w:t>
      </w:r>
      <w:r w:rsidRPr="001E1B77">
        <w:rPr>
          <w:sz w:val="20"/>
          <w:szCs w:val="20"/>
        </w:rPr>
        <w:lastRenderedPageBreak/>
        <w:t>Newspaper Canada, Ad IDEM/Canadian Media Lawyers Association, Canadian Association of Journalists, Professional Writers Association of Canada and Book and Periodical Council, the Samuelson-Glushko Canadian Internet Policy and Public Interest Clinic, the Canadian Unicef Committee, the Information and Privacy Commissioner of Ontario, Beyond Borders and BullyingCanada Inc. in the above appeal;</w:t>
      </w:r>
    </w:p>
    <w:p w:rsidR="00FE1B19" w:rsidRPr="001E1B77" w:rsidRDefault="00FE1B19" w:rsidP="00FE1B19">
      <w:pPr>
        <w:spacing w:line="233" w:lineRule="auto"/>
        <w:rPr>
          <w:sz w:val="20"/>
          <w:szCs w:val="20"/>
        </w:rPr>
      </w:pPr>
    </w:p>
    <w:p w:rsidR="00FE1B19" w:rsidRPr="001E1B77" w:rsidRDefault="00FE1B19" w:rsidP="00FE1B19">
      <w:pPr>
        <w:spacing w:line="233" w:lineRule="auto"/>
        <w:jc w:val="both"/>
        <w:rPr>
          <w:sz w:val="20"/>
          <w:szCs w:val="20"/>
        </w:rPr>
      </w:pPr>
      <w:r w:rsidRPr="001E1B77">
        <w:rPr>
          <w:b/>
          <w:bCs/>
          <w:sz w:val="20"/>
          <w:szCs w:val="20"/>
        </w:rPr>
        <w:t xml:space="preserve">IT IS HEREBY FURTHER ORDERED THAT </w:t>
      </w:r>
      <w:r w:rsidRPr="001E1B77">
        <w:rPr>
          <w:bCs/>
          <w:sz w:val="20"/>
          <w:szCs w:val="20"/>
        </w:rPr>
        <w:t>only</w:t>
      </w:r>
      <w:r w:rsidRPr="001E1B77">
        <w:rPr>
          <w:b/>
          <w:bCs/>
          <w:sz w:val="20"/>
          <w:szCs w:val="20"/>
        </w:rPr>
        <w:t xml:space="preserve"> </w:t>
      </w:r>
      <w:r w:rsidRPr="001E1B77">
        <w:rPr>
          <w:sz w:val="20"/>
          <w:szCs w:val="20"/>
        </w:rPr>
        <w:t>the following six groups of interveners, the British Columbia Civil Liberties Association, the Kids Help Phone, the Canadian Civil Liberties Association, the Privacy Commissioner of Canada, the Newspaper Canada, Ad IDEM/Canadian Media Lawyers Association, Canadian Association of Journalists, Professional Writers Association of Canada and Book and Periodical Council and the Canadian Unicef Committee, are each granted permission to present oral argument not exceeding ten (10) minutes at the hearing of this appeal.</w:t>
      </w:r>
    </w:p>
    <w:p w:rsidR="00FE1B19" w:rsidRPr="001E1B77" w:rsidRDefault="00FE1B19" w:rsidP="00FE1B19">
      <w:pPr>
        <w:spacing w:line="233" w:lineRule="auto"/>
        <w:rPr>
          <w:sz w:val="20"/>
          <w:szCs w:val="20"/>
        </w:rPr>
      </w:pPr>
    </w:p>
    <w:p w:rsidR="00FE1B19" w:rsidRPr="001E1B77" w:rsidRDefault="00FE1B19" w:rsidP="00FE1B19">
      <w:pPr>
        <w:spacing w:line="233" w:lineRule="auto"/>
        <w:rPr>
          <w:sz w:val="20"/>
          <w:szCs w:val="20"/>
        </w:rPr>
      </w:pPr>
    </w:p>
    <w:p w:rsidR="00FE1B19" w:rsidRPr="001E1B77" w:rsidRDefault="00FE1B19" w:rsidP="00FE1B19">
      <w:pPr>
        <w:spacing w:line="233" w:lineRule="auto"/>
        <w:rPr>
          <w:sz w:val="20"/>
          <w:szCs w:val="20"/>
        </w:rPr>
      </w:pPr>
    </w:p>
    <w:p w:rsidR="00FE1B19" w:rsidRPr="001E1B77" w:rsidRDefault="00FE1B19" w:rsidP="00FE1B19">
      <w:pPr>
        <w:jc w:val="both"/>
        <w:rPr>
          <w:sz w:val="20"/>
          <w:szCs w:val="20"/>
          <w:lang w:val="fr-FR"/>
        </w:rPr>
      </w:pPr>
      <w:r w:rsidRPr="001E1B77">
        <w:rPr>
          <w:b/>
          <w:sz w:val="20"/>
          <w:szCs w:val="20"/>
          <w:lang w:val="fr-FR"/>
        </w:rPr>
        <w:t xml:space="preserve">À LA SUITE DE L’ORDONNANCE </w:t>
      </w:r>
      <w:r w:rsidRPr="001E1B77">
        <w:rPr>
          <w:sz w:val="20"/>
          <w:szCs w:val="20"/>
          <w:lang w:val="fr-FR"/>
        </w:rPr>
        <w:t>datée du 3 avril 2012 autorisant l’Association des libertés civiles de la Colombie-Britannique; Jeunesse J'écoute; l’Association canadienne des libertés civiles; le Commissaire à la protection de la vie privée du Canada; Journaux Canadiens, l’Ad IDEM/Canadian Media Lawyers Association, l’Association canadienne des journalistes, la Professional Writers Association of Canada et le Book and Periodical Council; la Clinique d’intérêt public et de politique d’internet du Canada Samuelson-Glushko; le Canadian Unicef Committee; le Bureau du commissaire à l'information et à la protection de la vie privée de l'Ontario; Au-delà des frontières et BullyingCanada Inc. à intervenir dans l'appel;</w:t>
      </w:r>
    </w:p>
    <w:p w:rsidR="00FE1B19" w:rsidRPr="001E1B77" w:rsidRDefault="00FE1B19" w:rsidP="00FE1B19">
      <w:pPr>
        <w:jc w:val="both"/>
        <w:rPr>
          <w:sz w:val="20"/>
          <w:szCs w:val="20"/>
          <w:lang w:val="fr-FR"/>
        </w:rPr>
      </w:pPr>
    </w:p>
    <w:p w:rsidR="00FE1B19" w:rsidRPr="001E1B77" w:rsidRDefault="00FE1B19" w:rsidP="00FE1B19">
      <w:pPr>
        <w:jc w:val="both"/>
        <w:rPr>
          <w:sz w:val="20"/>
          <w:szCs w:val="20"/>
          <w:lang w:val="fr-FR"/>
        </w:rPr>
      </w:pPr>
      <w:r w:rsidRPr="001E1B77">
        <w:rPr>
          <w:b/>
          <w:sz w:val="20"/>
          <w:szCs w:val="20"/>
          <w:lang w:val="fr-FR"/>
        </w:rPr>
        <w:t>ET APRÈS EXAMEN</w:t>
      </w:r>
      <w:r w:rsidRPr="001E1B77">
        <w:rPr>
          <w:sz w:val="20"/>
          <w:szCs w:val="20"/>
          <w:lang w:val="fr-FR"/>
        </w:rPr>
        <w:t xml:space="preserve"> des documents déposés; </w:t>
      </w:r>
    </w:p>
    <w:p w:rsidR="00FE1B19" w:rsidRPr="001E1B77" w:rsidRDefault="00FE1B19" w:rsidP="00FE1B19">
      <w:pPr>
        <w:jc w:val="both"/>
        <w:rPr>
          <w:sz w:val="20"/>
          <w:szCs w:val="20"/>
          <w:lang w:val="fr-FR"/>
        </w:rPr>
      </w:pPr>
    </w:p>
    <w:p w:rsidR="00FE1B19" w:rsidRPr="001E1B77" w:rsidRDefault="00FE1B19" w:rsidP="00FE1B19">
      <w:pPr>
        <w:spacing w:line="233" w:lineRule="auto"/>
        <w:jc w:val="both"/>
        <w:rPr>
          <w:sz w:val="20"/>
          <w:szCs w:val="20"/>
          <w:lang w:val="fr-FR"/>
        </w:rPr>
      </w:pPr>
      <w:r w:rsidRPr="001E1B77">
        <w:rPr>
          <w:b/>
          <w:sz w:val="20"/>
          <w:szCs w:val="20"/>
          <w:lang w:val="fr-FR"/>
        </w:rPr>
        <w:t>IL EST EN OUTRE ORDONNÉ QUE</w:t>
      </w:r>
      <w:r w:rsidRPr="001E1B77">
        <w:rPr>
          <w:sz w:val="20"/>
          <w:szCs w:val="20"/>
          <w:lang w:val="fr-FR"/>
        </w:rPr>
        <w:t xml:space="preserve"> seuls les six groupes d’intervenants suivants l’Association des libertés civiles de la Colombie-Britannique; Jeunesse J'écoute; l’Association canadienne des libertés civiles; le Commissaire à la protection de la vie privée du Canada; Journaux Canadiens, l’Ad IDEM/Canadian Media Lawyers Association, l’Association canadienne des journalistes, la Professional Writers Association of Canada et le Book and Periodical Council ; et le Canadian Unicef Committee soient autorisés à présenter chacun une plaidoirie orale d’au plus dix (10) minutes lors de l’audition de l’appel.</w:t>
      </w:r>
    </w:p>
    <w:p w:rsidR="00FE1B19" w:rsidRPr="001E1B77" w:rsidRDefault="00FE1B19" w:rsidP="00FE1B19">
      <w:pPr>
        <w:spacing w:line="233" w:lineRule="auto"/>
        <w:jc w:val="both"/>
        <w:rPr>
          <w:sz w:val="20"/>
          <w:szCs w:val="20"/>
          <w:lang w:val="fr-FR"/>
        </w:rPr>
      </w:pPr>
    </w:p>
    <w:p w:rsidR="00FE1B19" w:rsidRPr="001E1B77" w:rsidRDefault="00B44839" w:rsidP="00FE1B19">
      <w:pPr>
        <w:tabs>
          <w:tab w:val="left" w:pos="-1440"/>
          <w:tab w:val="left" w:pos="-720"/>
        </w:tabs>
        <w:jc w:val="both"/>
        <w:rPr>
          <w:sz w:val="20"/>
          <w:szCs w:val="20"/>
          <w:lang w:val="fr-CA"/>
        </w:rPr>
      </w:pPr>
      <w:r w:rsidRPr="00B44839">
        <w:rPr>
          <w:sz w:val="20"/>
          <w:szCs w:val="20"/>
          <w:lang w:val="fr-CA"/>
        </w:rPr>
        <w:pict>
          <v:rect id="_x0000_i1081"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01.05.2012</w: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Before / Devant :   FISH J. / LE JUGE FISH</w:t>
      </w:r>
    </w:p>
    <w:p w:rsidR="00FE1B19" w:rsidRPr="001E1B77" w:rsidRDefault="00FE1B19" w:rsidP="00FE1B1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E1B19" w:rsidRPr="004A42A2" w:rsidTr="00870DD7">
        <w:tc>
          <w:tcPr>
            <w:tcW w:w="4338" w:type="dxa"/>
          </w:tcPr>
          <w:p w:rsidR="00FE1B19" w:rsidRPr="001E1B77" w:rsidRDefault="00B44839" w:rsidP="00870DD7">
            <w:pPr>
              <w:tabs>
                <w:tab w:val="left" w:pos="-1440"/>
                <w:tab w:val="left" w:pos="-720"/>
              </w:tabs>
              <w:jc w:val="both"/>
              <w:rPr>
                <w:b/>
                <w:sz w:val="20"/>
                <w:szCs w:val="20"/>
              </w:rPr>
            </w:pPr>
            <w:r w:rsidRPr="001E1B77">
              <w:rPr>
                <w:sz w:val="20"/>
                <w:szCs w:val="20"/>
              </w:rPr>
              <w:fldChar w:fldCharType="begin"/>
            </w:r>
            <w:r w:rsidR="00FE1B19" w:rsidRPr="001E1B77">
              <w:rPr>
                <w:sz w:val="20"/>
                <w:szCs w:val="20"/>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rPr>
              <w:instrText xml:space="preserve"> SEQ CHAPTER \h \r 1</w:instrText>
            </w:r>
            <w:r w:rsidRPr="001E1B77">
              <w:rPr>
                <w:sz w:val="20"/>
                <w:szCs w:val="20"/>
              </w:rPr>
              <w:fldChar w:fldCharType="end"/>
            </w:r>
            <w:r w:rsidR="00FE1B19" w:rsidRPr="001E1B77">
              <w:rPr>
                <w:b/>
                <w:bCs/>
                <w:sz w:val="20"/>
                <w:szCs w:val="20"/>
              </w:rPr>
              <w:t>Motion to extend the time to serve and file the respondent's factum and book of authorities to April 17, 2012, and for an order pursuant to Rule 71(3) permitting oral argument at the hearing  of the appeal</w:t>
            </w:r>
          </w:p>
        </w:tc>
        <w:tc>
          <w:tcPr>
            <w:tcW w:w="1170" w:type="dxa"/>
          </w:tcPr>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p>
        </w:tc>
        <w:tc>
          <w:tcPr>
            <w:tcW w:w="4327" w:type="dxa"/>
          </w:tcPr>
          <w:p w:rsidR="00FE1B19" w:rsidRPr="001E1B77" w:rsidRDefault="00B44839" w:rsidP="00870DD7">
            <w:pPr>
              <w:tabs>
                <w:tab w:val="left" w:pos="-1440"/>
                <w:tab w:val="left" w:pos="-720"/>
              </w:tabs>
              <w:jc w:val="both"/>
              <w:rPr>
                <w:sz w:val="20"/>
                <w:szCs w:val="20"/>
                <w:lang w:val="fr-CA"/>
              </w:rPr>
            </w:pP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r w:rsidR="00FE1B19" w:rsidRPr="001E1B77">
              <w:rPr>
                <w:b/>
                <w:bCs/>
                <w:sz w:val="20"/>
                <w:szCs w:val="20"/>
                <w:lang w:val="fr-CA"/>
              </w:rPr>
              <w:t xml:space="preserve">Requête de l'intimé en prorogation du délai de signification et de dépôt de ses mémoire et recueil de sources jusqu'au 17 avril 2012, et en vue de présenter une plaidoirie orale à l'audition en vertu du par. 71(3) des </w:t>
            </w:r>
            <w:r w:rsidR="00FE1B19" w:rsidRPr="001E1B77">
              <w:rPr>
                <w:b/>
                <w:bCs/>
                <w:i/>
                <w:sz w:val="20"/>
                <w:szCs w:val="20"/>
                <w:lang w:val="fr-CA"/>
              </w:rPr>
              <w:t>Règles</w:t>
            </w:r>
            <w:r w:rsidR="00FE1B19" w:rsidRPr="001E1B77">
              <w:rPr>
                <w:sz w:val="20"/>
                <w:szCs w:val="20"/>
                <w:lang w:val="fr-CA"/>
              </w:rPr>
              <w:t xml:space="preserve"> </w:t>
            </w:r>
            <w:r w:rsidRPr="001E1B77">
              <w:rPr>
                <w:sz w:val="20"/>
                <w:szCs w:val="20"/>
              </w:rPr>
              <w:fldChar w:fldCharType="begin"/>
            </w:r>
            <w:r w:rsidR="00FE1B19" w:rsidRPr="001E1B77">
              <w:rPr>
                <w:sz w:val="20"/>
                <w:szCs w:val="20"/>
                <w:lang w:val="fr-CA"/>
              </w:rPr>
              <w:instrText xml:space="preserve"> SEQ CHAPTER \h \r 1</w:instrText>
            </w:r>
            <w:r w:rsidRPr="001E1B77">
              <w:rPr>
                <w:sz w:val="20"/>
                <w:szCs w:val="20"/>
              </w:rPr>
              <w:fldChar w:fldCharType="end"/>
            </w:r>
          </w:p>
        </w:tc>
      </w:tr>
      <w:tr w:rsidR="00FE1B19" w:rsidRPr="001E1B77" w:rsidTr="00870DD7">
        <w:tc>
          <w:tcPr>
            <w:tcW w:w="4338" w:type="dxa"/>
          </w:tcPr>
          <w:p w:rsidR="00FE1B19" w:rsidRPr="001E1B77" w:rsidRDefault="00FE1B19" w:rsidP="00870DD7">
            <w:pPr>
              <w:tabs>
                <w:tab w:val="left" w:pos="-1440"/>
                <w:tab w:val="left" w:pos="-720"/>
              </w:tabs>
              <w:jc w:val="both"/>
              <w:rPr>
                <w:sz w:val="20"/>
                <w:szCs w:val="20"/>
              </w:rPr>
            </w:pPr>
            <w:r w:rsidRPr="001E1B77">
              <w:rPr>
                <w:sz w:val="20"/>
                <w:szCs w:val="20"/>
              </w:rPr>
              <w:t>Her Majesty the Queen</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rPr>
            </w:pPr>
            <w:r w:rsidRPr="001E1B77">
              <w:rPr>
                <w:sz w:val="20"/>
                <w:szCs w:val="20"/>
              </w:rPr>
              <w:tab/>
              <w:t>v. (34268)</w:t>
            </w:r>
          </w:p>
          <w:p w:rsidR="00FE1B19" w:rsidRPr="001E1B77" w:rsidRDefault="00FE1B19" w:rsidP="00870DD7">
            <w:pPr>
              <w:tabs>
                <w:tab w:val="left" w:pos="-1440"/>
                <w:tab w:val="left" w:pos="-720"/>
              </w:tabs>
              <w:jc w:val="both"/>
              <w:rPr>
                <w:sz w:val="20"/>
                <w:szCs w:val="20"/>
              </w:rPr>
            </w:pPr>
          </w:p>
          <w:p w:rsidR="00FE1B19" w:rsidRPr="001E1B77" w:rsidRDefault="00FE1B19" w:rsidP="00870DD7">
            <w:pPr>
              <w:tabs>
                <w:tab w:val="left" w:pos="-1440"/>
                <w:tab w:val="left" w:pos="-720"/>
              </w:tabs>
              <w:jc w:val="both"/>
              <w:rPr>
                <w:sz w:val="20"/>
                <w:szCs w:val="20"/>
                <w:lang w:val="fr-CA"/>
              </w:rPr>
            </w:pPr>
            <w:r w:rsidRPr="001E1B77">
              <w:rPr>
                <w:sz w:val="20"/>
                <w:szCs w:val="20"/>
                <w:lang w:val="fr-CA"/>
              </w:rPr>
              <w:t>Richard Cole (Crim.) (Ont.)</w:t>
            </w:r>
          </w:p>
        </w:tc>
        <w:tc>
          <w:tcPr>
            <w:tcW w:w="1170" w:type="dxa"/>
          </w:tcPr>
          <w:p w:rsidR="00FE1B19" w:rsidRPr="001E1B77" w:rsidRDefault="00FE1B19" w:rsidP="00870DD7">
            <w:pPr>
              <w:tabs>
                <w:tab w:val="left" w:pos="-1440"/>
                <w:tab w:val="left" w:pos="-720"/>
              </w:tabs>
              <w:jc w:val="both"/>
              <w:rPr>
                <w:sz w:val="20"/>
                <w:szCs w:val="20"/>
                <w:lang w:val="fr-CA"/>
              </w:rPr>
            </w:pPr>
          </w:p>
        </w:tc>
        <w:tc>
          <w:tcPr>
            <w:tcW w:w="4327" w:type="dxa"/>
          </w:tcPr>
          <w:p w:rsidR="00FE1B19" w:rsidRPr="001E1B77" w:rsidRDefault="00FE1B19" w:rsidP="00870DD7">
            <w:pPr>
              <w:tabs>
                <w:tab w:val="left" w:pos="-1440"/>
                <w:tab w:val="left" w:pos="-720"/>
              </w:tabs>
              <w:jc w:val="both"/>
              <w:rPr>
                <w:sz w:val="20"/>
                <w:szCs w:val="20"/>
                <w:lang w:val="fr-CA"/>
              </w:rPr>
            </w:pPr>
          </w:p>
        </w:tc>
      </w:tr>
    </w:tbl>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b/>
          <w:sz w:val="20"/>
          <w:szCs w:val="20"/>
          <w:lang w:val="fr-CA"/>
        </w:rPr>
      </w:pPr>
      <w:r w:rsidRPr="001E1B77">
        <w:rPr>
          <w:b/>
          <w:sz w:val="20"/>
          <w:szCs w:val="20"/>
          <w:lang w:val="fr-CA"/>
        </w:rPr>
        <w:t>GRANTED / ACCORDÉE</w:t>
      </w:r>
    </w:p>
    <w:p w:rsidR="00FE1B19" w:rsidRPr="001E1B77" w:rsidRDefault="00FE1B19" w:rsidP="00FE1B19">
      <w:pPr>
        <w:tabs>
          <w:tab w:val="left" w:pos="-1440"/>
          <w:tab w:val="left" w:pos="-720"/>
        </w:tabs>
        <w:jc w:val="both"/>
        <w:rPr>
          <w:sz w:val="20"/>
          <w:szCs w:val="20"/>
          <w:lang w:val="fr-CA"/>
        </w:rPr>
      </w:pPr>
    </w:p>
    <w:p w:rsidR="00FE1B19" w:rsidRPr="001E1B77" w:rsidRDefault="00B44839" w:rsidP="00FE1B19">
      <w:pPr>
        <w:tabs>
          <w:tab w:val="left" w:pos="-1440"/>
          <w:tab w:val="left" w:pos="-720"/>
        </w:tabs>
        <w:jc w:val="both"/>
        <w:rPr>
          <w:sz w:val="20"/>
          <w:szCs w:val="20"/>
        </w:rPr>
      </w:pPr>
      <w:r w:rsidRPr="00B44839">
        <w:rPr>
          <w:sz w:val="20"/>
          <w:szCs w:val="20"/>
          <w:lang w:val="fr-CA"/>
        </w:rPr>
        <w:pict>
          <v:rect id="_x0000_i1082"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rPr>
      </w:pPr>
    </w:p>
    <w:p w:rsidR="00FE1B19" w:rsidRPr="001E1B77" w:rsidRDefault="00FE1B19" w:rsidP="00FE1B19">
      <w:pPr>
        <w:rPr>
          <w:sz w:val="20"/>
          <w:szCs w:val="20"/>
          <w:lang w:val="fr-CA"/>
        </w:rPr>
      </w:pPr>
      <w:r w:rsidRPr="001E1B77">
        <w:rPr>
          <w:sz w:val="20"/>
          <w:szCs w:val="20"/>
          <w:lang w:val="fr-CA"/>
        </w:rPr>
        <w:br w:type="page"/>
      </w:r>
    </w:p>
    <w:p w:rsidR="00FE1B19" w:rsidRPr="001E1B77" w:rsidRDefault="00FE1B19" w:rsidP="00FE1B19">
      <w:pPr>
        <w:tabs>
          <w:tab w:val="left" w:pos="-1440"/>
          <w:tab w:val="left" w:pos="-720"/>
        </w:tabs>
        <w:jc w:val="both"/>
        <w:rPr>
          <w:sz w:val="20"/>
          <w:szCs w:val="20"/>
          <w:lang w:val="fr-CA"/>
        </w:rPr>
      </w:pPr>
      <w:r w:rsidRPr="001E1B77">
        <w:rPr>
          <w:sz w:val="20"/>
          <w:szCs w:val="20"/>
          <w:lang w:val="fr-CA"/>
        </w:rPr>
        <w:lastRenderedPageBreak/>
        <w:t>02.05.2012</w: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Before / Devant :   ROTHSTEIN J. / LE JUGE ROTHSTEIN</w:t>
      </w:r>
    </w:p>
    <w:p w:rsidR="00FE1B19" w:rsidRPr="001E1B77" w:rsidRDefault="00FE1B19" w:rsidP="00FE1B1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240"/>
        <w:gridCol w:w="900"/>
        <w:gridCol w:w="4417"/>
      </w:tblGrid>
      <w:tr w:rsidR="00FE1B19" w:rsidRPr="004A42A2" w:rsidTr="00870DD7">
        <w:tc>
          <w:tcPr>
            <w:tcW w:w="4518" w:type="dxa"/>
            <w:gridSpan w:val="2"/>
          </w:tcPr>
          <w:p w:rsidR="00FE1B19" w:rsidRPr="001E1B77" w:rsidRDefault="00FE1B19" w:rsidP="00870DD7">
            <w:pPr>
              <w:jc w:val="both"/>
              <w:rPr>
                <w:b/>
                <w:sz w:val="20"/>
                <w:szCs w:val="20"/>
              </w:rPr>
            </w:pPr>
            <w:r w:rsidRPr="001E1B77">
              <w:rPr>
                <w:b/>
                <w:sz w:val="20"/>
                <w:szCs w:val="20"/>
              </w:rPr>
              <w:t xml:space="preserve">Order on interventions with respect to oral argument </w:t>
            </w:r>
            <w:r w:rsidR="00B44839" w:rsidRPr="001E1B77">
              <w:rPr>
                <w:b/>
                <w:sz w:val="20"/>
                <w:szCs w:val="20"/>
              </w:rPr>
              <w:fldChar w:fldCharType="begin"/>
            </w:r>
            <w:r w:rsidRPr="001E1B77">
              <w:rPr>
                <w:b/>
                <w:sz w:val="20"/>
                <w:szCs w:val="20"/>
              </w:rPr>
              <w:instrText xml:space="preserve"> SEQ CHAPTER \h \r 1</w:instrText>
            </w:r>
            <w:r w:rsidR="00B44839" w:rsidRPr="001E1B77">
              <w:rPr>
                <w:b/>
                <w:sz w:val="20"/>
                <w:szCs w:val="20"/>
              </w:rPr>
              <w:fldChar w:fldCharType="end"/>
            </w:r>
          </w:p>
        </w:tc>
        <w:tc>
          <w:tcPr>
            <w:tcW w:w="900" w:type="dxa"/>
          </w:tcPr>
          <w:p w:rsidR="00FE1B19" w:rsidRPr="001E1B77" w:rsidRDefault="00FE1B19" w:rsidP="00870DD7">
            <w:pPr>
              <w:rPr>
                <w:sz w:val="20"/>
                <w:szCs w:val="20"/>
              </w:rPr>
            </w:pPr>
          </w:p>
          <w:p w:rsidR="00FE1B19" w:rsidRPr="001E1B77" w:rsidRDefault="00FE1B19" w:rsidP="00870DD7">
            <w:pPr>
              <w:rPr>
                <w:sz w:val="20"/>
                <w:szCs w:val="20"/>
              </w:rPr>
            </w:pPr>
          </w:p>
          <w:p w:rsidR="00FE1B19" w:rsidRPr="001E1B77" w:rsidRDefault="00FE1B19" w:rsidP="00870DD7">
            <w:pPr>
              <w:rPr>
                <w:sz w:val="20"/>
                <w:szCs w:val="20"/>
              </w:rPr>
            </w:pPr>
          </w:p>
        </w:tc>
        <w:tc>
          <w:tcPr>
            <w:tcW w:w="4417" w:type="dxa"/>
          </w:tcPr>
          <w:p w:rsidR="00FE1B19" w:rsidRPr="001E1B77" w:rsidRDefault="00FE1B19" w:rsidP="00870DD7">
            <w:pPr>
              <w:jc w:val="both"/>
              <w:rPr>
                <w:b/>
                <w:sz w:val="20"/>
                <w:szCs w:val="20"/>
                <w:lang w:val="fr-CA"/>
              </w:rPr>
            </w:pPr>
            <w:r w:rsidRPr="001E1B77">
              <w:rPr>
                <w:b/>
                <w:sz w:val="20"/>
                <w:szCs w:val="20"/>
                <w:lang w:val="fr-CA"/>
              </w:rPr>
              <w:t>Ordonnance relative à la présentation d’une plaidoirie orale par les intervenants</w:t>
            </w:r>
            <w:r w:rsidR="00B44839" w:rsidRPr="001E1B77">
              <w:rPr>
                <w:b/>
                <w:sz w:val="20"/>
                <w:szCs w:val="20"/>
              </w:rPr>
              <w:fldChar w:fldCharType="begin"/>
            </w:r>
            <w:r w:rsidRPr="001E1B77">
              <w:rPr>
                <w:b/>
                <w:sz w:val="20"/>
                <w:szCs w:val="20"/>
                <w:lang w:val="fr-CA"/>
              </w:rPr>
              <w:instrText xml:space="preserve"> SEQ CHAPTER \h \r 1</w:instrText>
            </w:r>
            <w:r w:rsidR="00B44839" w:rsidRPr="001E1B77">
              <w:rPr>
                <w:b/>
                <w:sz w:val="20"/>
                <w:szCs w:val="20"/>
              </w:rPr>
              <w:fldChar w:fldCharType="end"/>
            </w:r>
          </w:p>
        </w:tc>
      </w:tr>
      <w:tr w:rsidR="00FE1B19" w:rsidRPr="001E1B77" w:rsidTr="00870DD7">
        <w:tc>
          <w:tcPr>
            <w:tcW w:w="1278" w:type="dxa"/>
          </w:tcPr>
          <w:p w:rsidR="00FE1B19" w:rsidRPr="001E1B77" w:rsidRDefault="00FE1B19" w:rsidP="00870DD7">
            <w:pPr>
              <w:rPr>
                <w:sz w:val="20"/>
                <w:szCs w:val="20"/>
              </w:rPr>
            </w:pPr>
            <w:r w:rsidRPr="001E1B77">
              <w:rPr>
                <w:sz w:val="20"/>
                <w:szCs w:val="20"/>
              </w:rPr>
              <w:t>RE:</w:t>
            </w:r>
          </w:p>
        </w:tc>
        <w:tc>
          <w:tcPr>
            <w:tcW w:w="3240" w:type="dxa"/>
          </w:tcPr>
          <w:p w:rsidR="00FE1B19" w:rsidRPr="001E1B77" w:rsidRDefault="00FE1B19" w:rsidP="00870DD7">
            <w:pPr>
              <w:rPr>
                <w:sz w:val="20"/>
                <w:szCs w:val="20"/>
              </w:rPr>
            </w:pPr>
            <w:r w:rsidRPr="001E1B77">
              <w:rPr>
                <w:sz w:val="20"/>
                <w:szCs w:val="20"/>
              </w:rPr>
              <w:t>Director of Public Prosecutions;</w:t>
            </w: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rPr>
                <w:sz w:val="20"/>
                <w:szCs w:val="20"/>
              </w:rPr>
            </w:pPr>
            <w:r w:rsidRPr="001E1B77">
              <w:rPr>
                <w:sz w:val="20"/>
                <w:szCs w:val="20"/>
              </w:rPr>
              <w:t>Attorney General of Quebec;</w:t>
            </w: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rPr>
                <w:sz w:val="20"/>
                <w:szCs w:val="20"/>
              </w:rPr>
            </w:pPr>
            <w:r w:rsidRPr="001E1B77">
              <w:rPr>
                <w:sz w:val="20"/>
                <w:szCs w:val="20"/>
              </w:rPr>
              <w:t>Criminal Lawyers' Association (Ontario)</w:t>
            </w: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rPr>
                <w:sz w:val="20"/>
                <w:szCs w:val="20"/>
              </w:rPr>
            </w:pPr>
            <w:r w:rsidRPr="001E1B77">
              <w:rPr>
                <w:sz w:val="20"/>
                <w:szCs w:val="20"/>
              </w:rPr>
              <w:t>Canadian Civil Liberties Association;</w:t>
            </w: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rPr>
                <w:sz w:val="20"/>
                <w:szCs w:val="20"/>
              </w:rPr>
            </w:pPr>
            <w:r w:rsidRPr="001E1B77">
              <w:rPr>
                <w:sz w:val="20"/>
                <w:szCs w:val="20"/>
              </w:rPr>
              <w:t>Canadian Association of Counsel to Employers</w:t>
            </w: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rPr>
                <w:sz w:val="20"/>
                <w:szCs w:val="20"/>
              </w:rPr>
            </w:pP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r w:rsidRPr="001E1B77">
              <w:rPr>
                <w:sz w:val="20"/>
                <w:szCs w:val="20"/>
              </w:rPr>
              <w:t>IN / DANS :</w:t>
            </w:r>
          </w:p>
        </w:tc>
        <w:tc>
          <w:tcPr>
            <w:tcW w:w="3240" w:type="dxa"/>
          </w:tcPr>
          <w:p w:rsidR="00FE1B19" w:rsidRPr="001E1B77" w:rsidRDefault="00FE1B19" w:rsidP="00870DD7">
            <w:pPr>
              <w:tabs>
                <w:tab w:val="left" w:pos="-1440"/>
                <w:tab w:val="left" w:pos="-720"/>
              </w:tabs>
              <w:jc w:val="both"/>
              <w:rPr>
                <w:sz w:val="20"/>
                <w:szCs w:val="20"/>
              </w:rPr>
            </w:pPr>
            <w:r w:rsidRPr="001E1B77">
              <w:rPr>
                <w:sz w:val="20"/>
                <w:szCs w:val="20"/>
              </w:rPr>
              <w:t>Her Majesty the Queen</w:t>
            </w:r>
          </w:p>
          <w:p w:rsidR="00FE1B19" w:rsidRPr="001E1B77" w:rsidRDefault="00FE1B19" w:rsidP="00870DD7">
            <w:pPr>
              <w:rPr>
                <w:sz w:val="20"/>
                <w:szCs w:val="20"/>
              </w:rPr>
            </w:pP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rPr>
                <w:sz w:val="20"/>
                <w:szCs w:val="20"/>
              </w:rPr>
            </w:pPr>
            <w:r w:rsidRPr="001E1B77">
              <w:rPr>
                <w:sz w:val="20"/>
                <w:szCs w:val="20"/>
              </w:rPr>
              <w:tab/>
              <w:t>v. (34268)</w:t>
            </w:r>
          </w:p>
          <w:p w:rsidR="00FE1B19" w:rsidRPr="001E1B77" w:rsidRDefault="00FE1B19" w:rsidP="00870DD7">
            <w:pPr>
              <w:rPr>
                <w:sz w:val="20"/>
                <w:szCs w:val="20"/>
              </w:rPr>
            </w:pP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r w:rsidR="00FE1B19" w:rsidRPr="001E1B77" w:rsidTr="00870DD7">
        <w:tc>
          <w:tcPr>
            <w:tcW w:w="1278" w:type="dxa"/>
          </w:tcPr>
          <w:p w:rsidR="00FE1B19" w:rsidRPr="001E1B77" w:rsidRDefault="00FE1B19" w:rsidP="00870DD7">
            <w:pPr>
              <w:rPr>
                <w:sz w:val="20"/>
                <w:szCs w:val="20"/>
              </w:rPr>
            </w:pPr>
          </w:p>
        </w:tc>
        <w:tc>
          <w:tcPr>
            <w:tcW w:w="3240" w:type="dxa"/>
          </w:tcPr>
          <w:p w:rsidR="00FE1B19" w:rsidRPr="001E1B77" w:rsidRDefault="00FE1B19" w:rsidP="00870DD7">
            <w:pPr>
              <w:jc w:val="both"/>
              <w:rPr>
                <w:sz w:val="20"/>
                <w:szCs w:val="20"/>
              </w:rPr>
            </w:pPr>
            <w:r w:rsidRPr="001E1B77">
              <w:rPr>
                <w:sz w:val="20"/>
                <w:szCs w:val="20"/>
                <w:lang w:val="fr-CA"/>
              </w:rPr>
              <w:t>Richard Cole (Crim.) (Ont.)</w:t>
            </w:r>
          </w:p>
        </w:tc>
        <w:tc>
          <w:tcPr>
            <w:tcW w:w="900" w:type="dxa"/>
          </w:tcPr>
          <w:p w:rsidR="00FE1B19" w:rsidRPr="001E1B77" w:rsidRDefault="00FE1B19" w:rsidP="00870DD7">
            <w:pPr>
              <w:rPr>
                <w:sz w:val="20"/>
                <w:szCs w:val="20"/>
              </w:rPr>
            </w:pPr>
          </w:p>
        </w:tc>
        <w:tc>
          <w:tcPr>
            <w:tcW w:w="4417" w:type="dxa"/>
          </w:tcPr>
          <w:p w:rsidR="00FE1B19" w:rsidRPr="001E1B77" w:rsidRDefault="00FE1B19" w:rsidP="00870DD7">
            <w:pPr>
              <w:rPr>
                <w:sz w:val="20"/>
                <w:szCs w:val="20"/>
              </w:rPr>
            </w:pPr>
          </w:p>
        </w:tc>
      </w:tr>
    </w:tbl>
    <w:p w:rsidR="00FE1B19" w:rsidRPr="001E1B77" w:rsidRDefault="00FE1B19" w:rsidP="00FE1B19">
      <w:pPr>
        <w:tabs>
          <w:tab w:val="left" w:pos="-1440"/>
          <w:tab w:val="left" w:pos="-720"/>
        </w:tabs>
        <w:jc w:val="both"/>
        <w:rPr>
          <w:sz w:val="20"/>
          <w:szCs w:val="20"/>
        </w:rPr>
      </w:pPr>
    </w:p>
    <w:p w:rsidR="00FE1B19" w:rsidRPr="001E1B77" w:rsidRDefault="00FE1B19" w:rsidP="00FE1B19">
      <w:pPr>
        <w:spacing w:line="230" w:lineRule="auto"/>
        <w:jc w:val="both"/>
        <w:rPr>
          <w:sz w:val="20"/>
          <w:szCs w:val="20"/>
        </w:rPr>
      </w:pPr>
      <w:r w:rsidRPr="001E1B77">
        <w:rPr>
          <w:b/>
          <w:bCs/>
          <w:sz w:val="20"/>
          <w:szCs w:val="20"/>
        </w:rPr>
        <w:t>FURTHER TO THE ORDER</w:t>
      </w:r>
      <w:r w:rsidRPr="001E1B77">
        <w:rPr>
          <w:sz w:val="20"/>
          <w:szCs w:val="20"/>
        </w:rPr>
        <w:t xml:space="preserve"> dated April 11, 2012, granting leave to intervene to</w:t>
      </w:r>
      <w:r w:rsidRPr="001E1B77">
        <w:rPr>
          <w:b/>
          <w:bCs/>
          <w:sz w:val="20"/>
          <w:szCs w:val="20"/>
        </w:rPr>
        <w:t xml:space="preserve"> </w:t>
      </w:r>
      <w:r w:rsidRPr="001E1B77">
        <w:rPr>
          <w:sz w:val="20"/>
          <w:szCs w:val="20"/>
        </w:rPr>
        <w:t>the Director of Public Prosecutions, the Attorney General of Quebec, the Criminal Lawyers' Association (Ontario), the Canadian Civil Liberties Association and the Canadian Association of Counsel to Employers;</w:t>
      </w:r>
    </w:p>
    <w:p w:rsidR="00FE1B19" w:rsidRPr="001E1B77" w:rsidRDefault="00FE1B19" w:rsidP="00FE1B19">
      <w:pPr>
        <w:spacing w:line="233" w:lineRule="auto"/>
        <w:jc w:val="both"/>
        <w:rPr>
          <w:sz w:val="20"/>
          <w:szCs w:val="20"/>
        </w:rPr>
      </w:pPr>
    </w:p>
    <w:p w:rsidR="00FE1B19" w:rsidRPr="001E1B77" w:rsidRDefault="00FE1B19" w:rsidP="00FE1B19">
      <w:pPr>
        <w:spacing w:line="233" w:lineRule="auto"/>
        <w:jc w:val="both"/>
        <w:rPr>
          <w:sz w:val="20"/>
          <w:szCs w:val="20"/>
        </w:rPr>
      </w:pPr>
      <w:r w:rsidRPr="001E1B77">
        <w:rPr>
          <w:b/>
          <w:bCs/>
          <w:sz w:val="20"/>
          <w:szCs w:val="20"/>
        </w:rPr>
        <w:t>IT IS HEREBY FURTHER ORDERED THAT:</w:t>
      </w:r>
      <w:r w:rsidRPr="001E1B77">
        <w:rPr>
          <w:sz w:val="20"/>
          <w:szCs w:val="20"/>
        </w:rPr>
        <w:t xml:space="preserve"> each of the said interveners is granted permission to present oral argument not exceeding ten (10) minutes at the hearing of the appeal.</w:t>
      </w:r>
    </w:p>
    <w:p w:rsidR="00FE1B19" w:rsidRPr="001E1B77" w:rsidRDefault="00FE1B19" w:rsidP="00FE1B19">
      <w:pPr>
        <w:spacing w:line="225" w:lineRule="auto"/>
        <w:jc w:val="both"/>
        <w:rPr>
          <w:sz w:val="20"/>
          <w:szCs w:val="20"/>
        </w:rPr>
      </w:pPr>
    </w:p>
    <w:p w:rsidR="00FE1B19" w:rsidRPr="001E1B77" w:rsidRDefault="00FE1B19" w:rsidP="00FE1B19">
      <w:pPr>
        <w:jc w:val="both"/>
        <w:rPr>
          <w:sz w:val="20"/>
          <w:szCs w:val="20"/>
        </w:rPr>
      </w:pPr>
    </w:p>
    <w:p w:rsidR="00FE1B19" w:rsidRPr="001E1B77" w:rsidRDefault="00FE1B19" w:rsidP="00FE1B19">
      <w:pPr>
        <w:jc w:val="both"/>
        <w:rPr>
          <w:sz w:val="20"/>
          <w:szCs w:val="20"/>
        </w:rPr>
      </w:pPr>
    </w:p>
    <w:p w:rsidR="00FE1B19" w:rsidRPr="001E1B77" w:rsidRDefault="00B44839" w:rsidP="00FE1B19">
      <w:pPr>
        <w:jc w:val="both"/>
        <w:rPr>
          <w:sz w:val="20"/>
          <w:szCs w:val="20"/>
          <w:lang w:val="fr-CA"/>
        </w:rPr>
      </w:pPr>
      <w:r w:rsidRPr="001E1B77">
        <w:rPr>
          <w:sz w:val="20"/>
          <w:szCs w:val="20"/>
        </w:rPr>
        <w:fldChar w:fldCharType="begin"/>
      </w:r>
      <w:r w:rsidR="00FE1B19" w:rsidRPr="001E1B77">
        <w:rPr>
          <w:sz w:val="20"/>
          <w:szCs w:val="20"/>
          <w:lang w:val="fr-FR"/>
        </w:rPr>
        <w:instrText xml:space="preserve"> SEQ CHAPTER \h \r 1</w:instrText>
      </w:r>
      <w:r w:rsidRPr="001E1B77">
        <w:rPr>
          <w:sz w:val="20"/>
          <w:szCs w:val="20"/>
        </w:rPr>
        <w:fldChar w:fldCharType="end"/>
      </w:r>
      <w:r w:rsidR="00FE1B19" w:rsidRPr="001E1B77">
        <w:rPr>
          <w:b/>
          <w:bCs/>
          <w:sz w:val="20"/>
          <w:szCs w:val="20"/>
          <w:lang w:val="fr-CA"/>
        </w:rPr>
        <w:t>À LA SUITE DE L'ORDONNANCE</w:t>
      </w:r>
      <w:r w:rsidR="00FE1B19" w:rsidRPr="001E1B77">
        <w:rPr>
          <w:sz w:val="20"/>
          <w:szCs w:val="20"/>
          <w:lang w:val="fr-CA"/>
        </w:rPr>
        <w:t xml:space="preserve"> datée du 11 avril 2012 </w:t>
      </w:r>
      <w:r w:rsidR="00FE1B19" w:rsidRPr="001E1B77">
        <w:rPr>
          <w:sz w:val="20"/>
          <w:szCs w:val="20"/>
          <w:lang w:val="fr-FR"/>
        </w:rPr>
        <w:t>autorisant le</w:t>
      </w:r>
      <w:r w:rsidR="00FE1B19" w:rsidRPr="001E1B77">
        <w:rPr>
          <w:sz w:val="20"/>
          <w:szCs w:val="20"/>
          <w:lang w:val="fr-CA"/>
        </w:rPr>
        <w:t xml:space="preserve"> </w:t>
      </w:r>
      <w:r w:rsidR="00FE1B19" w:rsidRPr="001E1B77">
        <w:rPr>
          <w:bCs/>
          <w:sz w:val="20"/>
          <w:szCs w:val="20"/>
          <w:lang w:val="fr-FR"/>
        </w:rPr>
        <w:t>Directeur des poursuites pénales</w:t>
      </w:r>
      <w:r w:rsidR="00FE1B19" w:rsidRPr="001E1B77">
        <w:rPr>
          <w:sz w:val="20"/>
          <w:szCs w:val="20"/>
          <w:lang w:val="fr-CA"/>
        </w:rPr>
        <w:t xml:space="preserve">, le Procureur général du Québec, la </w:t>
      </w:r>
      <w:r w:rsidR="00FE1B19" w:rsidRPr="001E1B77">
        <w:rPr>
          <w:sz w:val="20"/>
          <w:szCs w:val="20"/>
          <w:lang w:val="fr-FR"/>
        </w:rPr>
        <w:t xml:space="preserve">Criminal Lawyers' Association (Ontario), l’Association canadienne des libertés civiles et la Canadian Association of Counsel to Employers </w:t>
      </w:r>
      <w:r w:rsidR="00FE1B19" w:rsidRPr="001E1B77">
        <w:rPr>
          <w:sz w:val="20"/>
          <w:szCs w:val="20"/>
          <w:lang w:val="fr-CA"/>
        </w:rPr>
        <w:t>à intervenir;</w:t>
      </w:r>
    </w:p>
    <w:p w:rsidR="00FE1B19" w:rsidRPr="001E1B77" w:rsidRDefault="00FE1B19" w:rsidP="00FE1B19">
      <w:pPr>
        <w:spacing w:line="225" w:lineRule="auto"/>
        <w:rPr>
          <w:sz w:val="20"/>
          <w:szCs w:val="20"/>
          <w:lang w:val="fr-CA"/>
        </w:rPr>
      </w:pPr>
    </w:p>
    <w:p w:rsidR="00FE1B19" w:rsidRPr="001E1B77" w:rsidRDefault="00B44839" w:rsidP="00FE1B19">
      <w:pPr>
        <w:spacing w:line="225" w:lineRule="auto"/>
        <w:jc w:val="both"/>
        <w:rPr>
          <w:sz w:val="20"/>
          <w:szCs w:val="20"/>
          <w:lang w:val="fr-CA"/>
        </w:rPr>
      </w:pPr>
      <w:r w:rsidRPr="001E1B77">
        <w:rPr>
          <w:sz w:val="20"/>
          <w:szCs w:val="20"/>
        </w:rPr>
        <w:fldChar w:fldCharType="begin"/>
      </w:r>
      <w:r w:rsidR="00FE1B19" w:rsidRPr="001E1B77">
        <w:rPr>
          <w:sz w:val="20"/>
          <w:szCs w:val="20"/>
          <w:lang w:val="fr-FR"/>
        </w:rPr>
        <w:instrText xml:space="preserve"> SEQ CHAPTER \h \r 1</w:instrText>
      </w:r>
      <w:r w:rsidRPr="001E1B77">
        <w:rPr>
          <w:sz w:val="20"/>
          <w:szCs w:val="20"/>
        </w:rPr>
        <w:fldChar w:fldCharType="end"/>
      </w:r>
      <w:r w:rsidR="00FE1B19" w:rsidRPr="001E1B77">
        <w:rPr>
          <w:b/>
          <w:bCs/>
          <w:sz w:val="20"/>
          <w:szCs w:val="20"/>
          <w:lang w:val="fr-CA"/>
        </w:rPr>
        <w:t xml:space="preserve">IL EST EN OUTRE ORDONNÉ CE QUI SUIT : </w:t>
      </w:r>
      <w:r w:rsidR="00FE1B19" w:rsidRPr="001E1B77">
        <w:rPr>
          <w:sz w:val="20"/>
          <w:szCs w:val="20"/>
          <w:lang w:val="fr-CA"/>
        </w:rPr>
        <w:t>chacun desdits intervenants est autorisé à présenter une plaidoirie orale d'au plus dix (10) minutes lors de l'audition de l'appel.</w:t>
      </w:r>
    </w:p>
    <w:p w:rsidR="00FE1B19" w:rsidRPr="001E1B77" w:rsidRDefault="00FE1B19" w:rsidP="00FE1B19">
      <w:pPr>
        <w:tabs>
          <w:tab w:val="left" w:pos="-1440"/>
          <w:tab w:val="left" w:pos="-720"/>
        </w:tabs>
        <w:jc w:val="both"/>
        <w:rPr>
          <w:sz w:val="20"/>
          <w:szCs w:val="20"/>
          <w:lang w:val="fr-CA"/>
        </w:rPr>
      </w:pPr>
    </w:p>
    <w:p w:rsidR="00FE1B19" w:rsidRPr="001E1B77" w:rsidRDefault="00B44839" w:rsidP="00FE1B19">
      <w:pPr>
        <w:tabs>
          <w:tab w:val="left" w:pos="-1440"/>
          <w:tab w:val="left" w:pos="-720"/>
        </w:tabs>
        <w:jc w:val="both"/>
        <w:rPr>
          <w:sz w:val="20"/>
          <w:szCs w:val="20"/>
          <w:lang w:val="fr-CA"/>
        </w:rPr>
      </w:pPr>
      <w:r w:rsidRPr="00B44839">
        <w:rPr>
          <w:sz w:val="20"/>
          <w:szCs w:val="20"/>
          <w:lang w:val="fr-CA"/>
        </w:rPr>
        <w:pict>
          <v:rect id="_x0000_i1083"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02.05.2012</w:t>
      </w:r>
    </w:p>
    <w:p w:rsidR="00FE1B19" w:rsidRPr="001E1B77" w:rsidRDefault="00FE1B19" w:rsidP="00FE1B19">
      <w:pPr>
        <w:tabs>
          <w:tab w:val="left" w:pos="-1440"/>
          <w:tab w:val="left" w:pos="-720"/>
        </w:tabs>
        <w:jc w:val="both"/>
        <w:rPr>
          <w:sz w:val="20"/>
          <w:szCs w:val="20"/>
          <w:lang w:val="fr-CA"/>
        </w:rPr>
      </w:pPr>
    </w:p>
    <w:p w:rsidR="00FE1B19" w:rsidRPr="001E1B77" w:rsidRDefault="00FE1B19" w:rsidP="00FE1B19">
      <w:pPr>
        <w:tabs>
          <w:tab w:val="left" w:pos="-1440"/>
          <w:tab w:val="left" w:pos="-720"/>
        </w:tabs>
        <w:jc w:val="both"/>
        <w:rPr>
          <w:sz w:val="20"/>
          <w:szCs w:val="20"/>
          <w:lang w:val="fr-CA"/>
        </w:rPr>
      </w:pPr>
      <w:r w:rsidRPr="001E1B77">
        <w:rPr>
          <w:sz w:val="20"/>
          <w:szCs w:val="20"/>
          <w:lang w:val="fr-CA"/>
        </w:rPr>
        <w:t>Before / Devant :   ROTHSTEIN J. / LE JUGE ROTHSTEIN</w:t>
      </w:r>
    </w:p>
    <w:p w:rsidR="00FE1B19" w:rsidRPr="001E1B77" w:rsidRDefault="00FE1B19" w:rsidP="00FE1B1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E1B19" w:rsidRPr="004A42A2" w:rsidTr="00870DD7">
        <w:tc>
          <w:tcPr>
            <w:tcW w:w="4338" w:type="dxa"/>
            <w:gridSpan w:val="2"/>
          </w:tcPr>
          <w:p w:rsidR="00FE1B19" w:rsidRPr="001E1B77" w:rsidRDefault="00FE1B19" w:rsidP="00870DD7">
            <w:pPr>
              <w:jc w:val="both"/>
              <w:rPr>
                <w:b/>
                <w:sz w:val="20"/>
                <w:szCs w:val="20"/>
              </w:rPr>
            </w:pPr>
            <w:r w:rsidRPr="001E1B77">
              <w:rPr>
                <w:b/>
                <w:sz w:val="20"/>
                <w:szCs w:val="20"/>
              </w:rPr>
              <w:t xml:space="preserve">Order on intervention with respect to oral argument </w:t>
            </w:r>
            <w:r w:rsidR="00B44839" w:rsidRPr="001E1B77">
              <w:rPr>
                <w:b/>
                <w:sz w:val="20"/>
                <w:szCs w:val="20"/>
              </w:rPr>
              <w:fldChar w:fldCharType="begin"/>
            </w:r>
            <w:r w:rsidRPr="001E1B77">
              <w:rPr>
                <w:b/>
                <w:sz w:val="20"/>
                <w:szCs w:val="20"/>
              </w:rPr>
              <w:instrText xml:space="preserve"> SEQ CHAPTER \h \r 1</w:instrText>
            </w:r>
            <w:r w:rsidR="00B44839" w:rsidRPr="001E1B77">
              <w:rPr>
                <w:b/>
                <w:sz w:val="20"/>
                <w:szCs w:val="20"/>
              </w:rPr>
              <w:fldChar w:fldCharType="end"/>
            </w:r>
          </w:p>
        </w:tc>
        <w:tc>
          <w:tcPr>
            <w:tcW w:w="1170" w:type="dxa"/>
          </w:tcPr>
          <w:p w:rsidR="00FE1B19" w:rsidRPr="001E1B77" w:rsidRDefault="00FE1B19" w:rsidP="00870DD7">
            <w:pPr>
              <w:rPr>
                <w:sz w:val="20"/>
                <w:szCs w:val="20"/>
              </w:rPr>
            </w:pPr>
          </w:p>
          <w:p w:rsidR="00FE1B19" w:rsidRPr="001E1B77" w:rsidRDefault="00FE1B19" w:rsidP="00870DD7">
            <w:pPr>
              <w:rPr>
                <w:sz w:val="20"/>
                <w:szCs w:val="20"/>
              </w:rPr>
            </w:pPr>
          </w:p>
          <w:p w:rsidR="00FE1B19" w:rsidRPr="001E1B77" w:rsidRDefault="00FE1B19" w:rsidP="00870DD7">
            <w:pPr>
              <w:rPr>
                <w:sz w:val="20"/>
                <w:szCs w:val="20"/>
              </w:rPr>
            </w:pPr>
          </w:p>
        </w:tc>
        <w:tc>
          <w:tcPr>
            <w:tcW w:w="4327" w:type="dxa"/>
          </w:tcPr>
          <w:p w:rsidR="00FE1B19" w:rsidRPr="001E1B77" w:rsidRDefault="00FE1B19" w:rsidP="00870DD7">
            <w:pPr>
              <w:jc w:val="both"/>
              <w:rPr>
                <w:b/>
                <w:sz w:val="20"/>
                <w:szCs w:val="20"/>
                <w:lang w:val="fr-CA"/>
              </w:rPr>
            </w:pPr>
            <w:r w:rsidRPr="001E1B77">
              <w:rPr>
                <w:b/>
                <w:sz w:val="20"/>
                <w:szCs w:val="20"/>
                <w:lang w:val="fr-CA"/>
              </w:rPr>
              <w:t>Ordonnance relative à la présentation d’une plaidoirie orale par l’intervenant</w:t>
            </w:r>
            <w:r w:rsidR="00B44839" w:rsidRPr="001E1B77">
              <w:rPr>
                <w:b/>
                <w:sz w:val="20"/>
                <w:szCs w:val="20"/>
              </w:rPr>
              <w:fldChar w:fldCharType="begin"/>
            </w:r>
            <w:r w:rsidRPr="001E1B77">
              <w:rPr>
                <w:b/>
                <w:sz w:val="20"/>
                <w:szCs w:val="20"/>
                <w:lang w:val="fr-CA"/>
              </w:rPr>
              <w:instrText xml:space="preserve"> SEQ CHAPTER \h \r 1</w:instrText>
            </w:r>
            <w:r w:rsidR="00B44839" w:rsidRPr="001E1B77">
              <w:rPr>
                <w:b/>
                <w:sz w:val="20"/>
                <w:szCs w:val="20"/>
              </w:rPr>
              <w:fldChar w:fldCharType="end"/>
            </w:r>
          </w:p>
        </w:tc>
      </w:tr>
      <w:tr w:rsidR="00FE1B19" w:rsidRPr="001E1B77" w:rsidTr="00870DD7">
        <w:tc>
          <w:tcPr>
            <w:tcW w:w="1368" w:type="dxa"/>
          </w:tcPr>
          <w:p w:rsidR="00FE1B19" w:rsidRPr="001E1B77" w:rsidRDefault="00FE1B19" w:rsidP="00870DD7">
            <w:pPr>
              <w:rPr>
                <w:sz w:val="20"/>
                <w:szCs w:val="20"/>
              </w:rPr>
            </w:pPr>
            <w:r w:rsidRPr="001E1B77">
              <w:rPr>
                <w:sz w:val="20"/>
                <w:szCs w:val="20"/>
              </w:rPr>
              <w:t>RE:</w:t>
            </w:r>
          </w:p>
        </w:tc>
        <w:tc>
          <w:tcPr>
            <w:tcW w:w="2970" w:type="dxa"/>
          </w:tcPr>
          <w:p w:rsidR="00FE1B19" w:rsidRPr="001E1B77" w:rsidRDefault="00FE1B19" w:rsidP="00870DD7">
            <w:pPr>
              <w:rPr>
                <w:sz w:val="20"/>
                <w:szCs w:val="20"/>
              </w:rPr>
            </w:pPr>
            <w:r w:rsidRPr="001E1B77">
              <w:rPr>
                <w:sz w:val="20"/>
                <w:szCs w:val="20"/>
              </w:rPr>
              <w:t>Attorney General of Ontario</w:t>
            </w:r>
          </w:p>
        </w:tc>
        <w:tc>
          <w:tcPr>
            <w:tcW w:w="1170" w:type="dxa"/>
          </w:tcPr>
          <w:p w:rsidR="00FE1B19" w:rsidRPr="001E1B77" w:rsidRDefault="00FE1B19" w:rsidP="00870DD7">
            <w:pPr>
              <w:rPr>
                <w:sz w:val="20"/>
                <w:szCs w:val="20"/>
              </w:rPr>
            </w:pPr>
          </w:p>
        </w:tc>
        <w:tc>
          <w:tcPr>
            <w:tcW w:w="4327" w:type="dxa"/>
          </w:tcPr>
          <w:p w:rsidR="00FE1B19" w:rsidRPr="001E1B77" w:rsidRDefault="00FE1B19" w:rsidP="00870DD7">
            <w:pPr>
              <w:rPr>
                <w:sz w:val="20"/>
                <w:szCs w:val="20"/>
              </w:rPr>
            </w:pPr>
          </w:p>
        </w:tc>
      </w:tr>
      <w:tr w:rsidR="00FE1B19" w:rsidRPr="001E1B77" w:rsidTr="00870DD7">
        <w:tc>
          <w:tcPr>
            <w:tcW w:w="1368" w:type="dxa"/>
          </w:tcPr>
          <w:p w:rsidR="00FE1B19" w:rsidRPr="001E1B77" w:rsidRDefault="00FE1B19" w:rsidP="00870DD7">
            <w:pPr>
              <w:rPr>
                <w:sz w:val="20"/>
                <w:szCs w:val="20"/>
              </w:rPr>
            </w:pPr>
          </w:p>
        </w:tc>
        <w:tc>
          <w:tcPr>
            <w:tcW w:w="2970" w:type="dxa"/>
          </w:tcPr>
          <w:p w:rsidR="00FE1B19" w:rsidRPr="001E1B77" w:rsidRDefault="00FE1B19" w:rsidP="00870DD7">
            <w:pPr>
              <w:rPr>
                <w:sz w:val="20"/>
                <w:szCs w:val="20"/>
              </w:rPr>
            </w:pPr>
          </w:p>
        </w:tc>
        <w:tc>
          <w:tcPr>
            <w:tcW w:w="1170" w:type="dxa"/>
          </w:tcPr>
          <w:p w:rsidR="00FE1B19" w:rsidRPr="001E1B77" w:rsidRDefault="00FE1B19" w:rsidP="00870DD7">
            <w:pPr>
              <w:rPr>
                <w:sz w:val="20"/>
                <w:szCs w:val="20"/>
              </w:rPr>
            </w:pPr>
          </w:p>
        </w:tc>
        <w:tc>
          <w:tcPr>
            <w:tcW w:w="4327" w:type="dxa"/>
          </w:tcPr>
          <w:p w:rsidR="00FE1B19" w:rsidRPr="001E1B77" w:rsidRDefault="00FE1B19" w:rsidP="00870DD7">
            <w:pPr>
              <w:rPr>
                <w:sz w:val="20"/>
                <w:szCs w:val="20"/>
              </w:rPr>
            </w:pPr>
          </w:p>
        </w:tc>
      </w:tr>
      <w:tr w:rsidR="00FE1B19" w:rsidRPr="001E1B77" w:rsidTr="00870DD7">
        <w:tc>
          <w:tcPr>
            <w:tcW w:w="1368" w:type="dxa"/>
          </w:tcPr>
          <w:p w:rsidR="00FE1B19" w:rsidRPr="001E1B77" w:rsidRDefault="00FE1B19" w:rsidP="00870DD7">
            <w:pPr>
              <w:rPr>
                <w:sz w:val="20"/>
                <w:szCs w:val="20"/>
              </w:rPr>
            </w:pPr>
            <w:r w:rsidRPr="001E1B77">
              <w:rPr>
                <w:sz w:val="20"/>
                <w:szCs w:val="20"/>
              </w:rPr>
              <w:t>IN / DANS :</w:t>
            </w:r>
          </w:p>
        </w:tc>
        <w:tc>
          <w:tcPr>
            <w:tcW w:w="2970" w:type="dxa"/>
          </w:tcPr>
          <w:p w:rsidR="00FE1B19" w:rsidRPr="001E1B77" w:rsidRDefault="00FE1B19" w:rsidP="00870DD7">
            <w:pPr>
              <w:rPr>
                <w:sz w:val="20"/>
                <w:szCs w:val="20"/>
              </w:rPr>
            </w:pPr>
            <w:r w:rsidRPr="001E1B77">
              <w:rPr>
                <w:sz w:val="20"/>
                <w:szCs w:val="20"/>
              </w:rPr>
              <w:t>Her Majesty the Queen</w:t>
            </w:r>
          </w:p>
          <w:p w:rsidR="00FE1B19" w:rsidRPr="001E1B77" w:rsidRDefault="00FE1B19" w:rsidP="00870DD7">
            <w:pPr>
              <w:rPr>
                <w:sz w:val="20"/>
                <w:szCs w:val="20"/>
              </w:rPr>
            </w:pPr>
          </w:p>
        </w:tc>
        <w:tc>
          <w:tcPr>
            <w:tcW w:w="1170" w:type="dxa"/>
          </w:tcPr>
          <w:p w:rsidR="00FE1B19" w:rsidRPr="001E1B77" w:rsidRDefault="00FE1B19" w:rsidP="00870DD7">
            <w:pPr>
              <w:rPr>
                <w:sz w:val="20"/>
                <w:szCs w:val="20"/>
              </w:rPr>
            </w:pPr>
          </w:p>
        </w:tc>
        <w:tc>
          <w:tcPr>
            <w:tcW w:w="4327" w:type="dxa"/>
          </w:tcPr>
          <w:p w:rsidR="00FE1B19" w:rsidRPr="001E1B77" w:rsidRDefault="00FE1B19" w:rsidP="00870DD7">
            <w:pPr>
              <w:rPr>
                <w:sz w:val="20"/>
                <w:szCs w:val="20"/>
              </w:rPr>
            </w:pPr>
          </w:p>
        </w:tc>
      </w:tr>
      <w:tr w:rsidR="00FE1B19" w:rsidRPr="001E1B77" w:rsidTr="00870DD7">
        <w:tc>
          <w:tcPr>
            <w:tcW w:w="1368" w:type="dxa"/>
          </w:tcPr>
          <w:p w:rsidR="00FE1B19" w:rsidRPr="001E1B77" w:rsidRDefault="00FE1B19" w:rsidP="00870DD7">
            <w:pPr>
              <w:rPr>
                <w:sz w:val="20"/>
                <w:szCs w:val="20"/>
              </w:rPr>
            </w:pPr>
          </w:p>
        </w:tc>
        <w:tc>
          <w:tcPr>
            <w:tcW w:w="2970" w:type="dxa"/>
          </w:tcPr>
          <w:p w:rsidR="00FE1B19" w:rsidRPr="001E1B77" w:rsidRDefault="00FE1B19" w:rsidP="00870DD7">
            <w:pPr>
              <w:rPr>
                <w:sz w:val="20"/>
                <w:szCs w:val="20"/>
              </w:rPr>
            </w:pPr>
            <w:r w:rsidRPr="001E1B77">
              <w:rPr>
                <w:sz w:val="20"/>
                <w:szCs w:val="20"/>
              </w:rPr>
              <w:tab/>
              <w:t>v. (34132)</w:t>
            </w:r>
          </w:p>
          <w:p w:rsidR="00FE1B19" w:rsidRPr="001E1B77" w:rsidRDefault="00FE1B19" w:rsidP="00870DD7">
            <w:pPr>
              <w:rPr>
                <w:sz w:val="20"/>
                <w:szCs w:val="20"/>
              </w:rPr>
            </w:pPr>
          </w:p>
        </w:tc>
        <w:tc>
          <w:tcPr>
            <w:tcW w:w="1170" w:type="dxa"/>
          </w:tcPr>
          <w:p w:rsidR="00FE1B19" w:rsidRPr="001E1B77" w:rsidRDefault="00FE1B19" w:rsidP="00870DD7">
            <w:pPr>
              <w:rPr>
                <w:sz w:val="20"/>
                <w:szCs w:val="20"/>
              </w:rPr>
            </w:pPr>
          </w:p>
        </w:tc>
        <w:tc>
          <w:tcPr>
            <w:tcW w:w="4327" w:type="dxa"/>
          </w:tcPr>
          <w:p w:rsidR="00FE1B19" w:rsidRPr="001E1B77" w:rsidRDefault="00FE1B19" w:rsidP="00870DD7">
            <w:pPr>
              <w:rPr>
                <w:sz w:val="20"/>
                <w:szCs w:val="20"/>
              </w:rPr>
            </w:pPr>
          </w:p>
        </w:tc>
      </w:tr>
      <w:tr w:rsidR="00FE1B19" w:rsidRPr="001E1B77" w:rsidTr="00870DD7">
        <w:tc>
          <w:tcPr>
            <w:tcW w:w="1368" w:type="dxa"/>
          </w:tcPr>
          <w:p w:rsidR="00FE1B19" w:rsidRPr="001E1B77" w:rsidRDefault="00FE1B19" w:rsidP="00870DD7">
            <w:pPr>
              <w:rPr>
                <w:sz w:val="20"/>
                <w:szCs w:val="20"/>
              </w:rPr>
            </w:pPr>
          </w:p>
        </w:tc>
        <w:tc>
          <w:tcPr>
            <w:tcW w:w="2970" w:type="dxa"/>
          </w:tcPr>
          <w:p w:rsidR="00FE1B19" w:rsidRPr="001E1B77" w:rsidRDefault="00FE1B19" w:rsidP="00870DD7">
            <w:pPr>
              <w:jc w:val="both"/>
              <w:rPr>
                <w:sz w:val="20"/>
                <w:szCs w:val="20"/>
              </w:rPr>
            </w:pPr>
            <w:r w:rsidRPr="001E1B77">
              <w:rPr>
                <w:sz w:val="20"/>
                <w:szCs w:val="20"/>
              </w:rPr>
              <w:t>A.D.H. (Crim.) (Sask.)</w:t>
            </w:r>
          </w:p>
        </w:tc>
        <w:tc>
          <w:tcPr>
            <w:tcW w:w="1170" w:type="dxa"/>
          </w:tcPr>
          <w:p w:rsidR="00FE1B19" w:rsidRPr="001E1B77" w:rsidRDefault="00FE1B19" w:rsidP="00870DD7">
            <w:pPr>
              <w:rPr>
                <w:sz w:val="20"/>
                <w:szCs w:val="20"/>
              </w:rPr>
            </w:pPr>
          </w:p>
        </w:tc>
        <w:tc>
          <w:tcPr>
            <w:tcW w:w="4327" w:type="dxa"/>
          </w:tcPr>
          <w:p w:rsidR="00FE1B19" w:rsidRPr="001E1B77" w:rsidRDefault="00FE1B19" w:rsidP="00870DD7">
            <w:pPr>
              <w:rPr>
                <w:sz w:val="20"/>
                <w:szCs w:val="20"/>
              </w:rPr>
            </w:pPr>
          </w:p>
        </w:tc>
      </w:tr>
    </w:tbl>
    <w:p w:rsidR="00FE1B19" w:rsidRPr="001E1B77" w:rsidRDefault="00FE1B19" w:rsidP="00FE1B19">
      <w:pPr>
        <w:tabs>
          <w:tab w:val="left" w:pos="-1440"/>
          <w:tab w:val="left" w:pos="-720"/>
        </w:tabs>
        <w:jc w:val="both"/>
        <w:rPr>
          <w:sz w:val="20"/>
          <w:szCs w:val="20"/>
        </w:rPr>
      </w:pPr>
    </w:p>
    <w:p w:rsidR="00FE1B19" w:rsidRPr="001E1B77" w:rsidRDefault="00FE1B19" w:rsidP="00FE1B19">
      <w:pPr>
        <w:spacing w:line="230" w:lineRule="auto"/>
        <w:jc w:val="both"/>
        <w:rPr>
          <w:sz w:val="20"/>
          <w:szCs w:val="20"/>
        </w:rPr>
      </w:pPr>
      <w:r w:rsidRPr="001E1B77">
        <w:rPr>
          <w:b/>
          <w:bCs/>
          <w:sz w:val="20"/>
          <w:szCs w:val="20"/>
        </w:rPr>
        <w:t>FURTHER TO THE ORDER</w:t>
      </w:r>
      <w:r w:rsidRPr="001E1B77">
        <w:rPr>
          <w:sz w:val="20"/>
          <w:szCs w:val="20"/>
        </w:rPr>
        <w:t xml:space="preserve"> dated March 7, 2012, granting leave to intervene to the Attorney General of Ontario;</w:t>
      </w:r>
    </w:p>
    <w:p w:rsidR="00FE1B19" w:rsidRPr="001E1B77" w:rsidRDefault="00FE1B19" w:rsidP="00FE1B19">
      <w:pPr>
        <w:spacing w:line="233" w:lineRule="auto"/>
        <w:jc w:val="both"/>
        <w:rPr>
          <w:sz w:val="20"/>
          <w:szCs w:val="20"/>
        </w:rPr>
      </w:pPr>
    </w:p>
    <w:p w:rsidR="00FE1B19" w:rsidRPr="001E1B77" w:rsidRDefault="00FE1B19" w:rsidP="00FE1B19">
      <w:pPr>
        <w:spacing w:line="233" w:lineRule="auto"/>
        <w:jc w:val="both"/>
        <w:rPr>
          <w:sz w:val="20"/>
          <w:szCs w:val="20"/>
        </w:rPr>
      </w:pPr>
      <w:r w:rsidRPr="001E1B77">
        <w:rPr>
          <w:b/>
          <w:bCs/>
          <w:sz w:val="20"/>
          <w:szCs w:val="20"/>
        </w:rPr>
        <w:lastRenderedPageBreak/>
        <w:t>IT IS HEREBY FURTHER ORDERED THAT:</w:t>
      </w:r>
      <w:r w:rsidRPr="001E1B77">
        <w:rPr>
          <w:sz w:val="20"/>
          <w:szCs w:val="20"/>
        </w:rPr>
        <w:t xml:space="preserve"> the said intervener is granted permission to present oral argument not exceeding ten (10) minutes at the hearing of the appeal.</w:t>
      </w:r>
    </w:p>
    <w:p w:rsidR="00FE1B19" w:rsidRPr="001E1B77" w:rsidRDefault="00FE1B19" w:rsidP="00FE1B19">
      <w:pPr>
        <w:spacing w:line="225" w:lineRule="auto"/>
        <w:jc w:val="both"/>
        <w:rPr>
          <w:b/>
          <w:sz w:val="20"/>
          <w:szCs w:val="20"/>
        </w:rPr>
      </w:pPr>
    </w:p>
    <w:p w:rsidR="00FE1B19" w:rsidRPr="001E1B77" w:rsidRDefault="00FE1B19" w:rsidP="00FE1B19">
      <w:pPr>
        <w:jc w:val="both"/>
        <w:rPr>
          <w:sz w:val="20"/>
          <w:szCs w:val="20"/>
        </w:rPr>
      </w:pPr>
    </w:p>
    <w:p w:rsidR="00FE1B19" w:rsidRPr="001E1B77" w:rsidRDefault="00FE1B19" w:rsidP="00FE1B19">
      <w:pPr>
        <w:spacing w:line="233" w:lineRule="auto"/>
        <w:jc w:val="both"/>
        <w:rPr>
          <w:sz w:val="20"/>
          <w:szCs w:val="20"/>
        </w:rPr>
      </w:pPr>
    </w:p>
    <w:p w:rsidR="00FE1B19" w:rsidRPr="001E1B77" w:rsidRDefault="00FE1B19" w:rsidP="00FE1B19">
      <w:pPr>
        <w:spacing w:line="233" w:lineRule="auto"/>
        <w:jc w:val="both"/>
        <w:rPr>
          <w:sz w:val="20"/>
          <w:szCs w:val="20"/>
          <w:lang w:val="fr-FR"/>
        </w:rPr>
      </w:pPr>
      <w:r w:rsidRPr="001E1B77">
        <w:rPr>
          <w:b/>
          <w:sz w:val="20"/>
          <w:szCs w:val="20"/>
          <w:lang w:val="fr-FR"/>
        </w:rPr>
        <w:t>À LA SUITE DE L’ORDONNANCE</w:t>
      </w:r>
      <w:r w:rsidRPr="001E1B77">
        <w:rPr>
          <w:sz w:val="20"/>
          <w:szCs w:val="20"/>
          <w:lang w:val="fr-FR"/>
        </w:rPr>
        <w:t xml:space="preserve"> datée du 7 mars 2012 autorisant le procureur général de l’Ontario à intervenir;</w:t>
      </w:r>
    </w:p>
    <w:p w:rsidR="00FE1B19" w:rsidRPr="001E1B77" w:rsidRDefault="00FE1B19" w:rsidP="00FE1B19">
      <w:pPr>
        <w:spacing w:line="233" w:lineRule="auto"/>
        <w:jc w:val="both"/>
        <w:rPr>
          <w:sz w:val="20"/>
          <w:szCs w:val="20"/>
          <w:lang w:val="fr-FR"/>
        </w:rPr>
      </w:pPr>
    </w:p>
    <w:p w:rsidR="00FE1B19" w:rsidRPr="001E1B77" w:rsidRDefault="00FE1B19" w:rsidP="00FE1B19">
      <w:pPr>
        <w:spacing w:line="233" w:lineRule="auto"/>
        <w:jc w:val="both"/>
        <w:rPr>
          <w:sz w:val="20"/>
          <w:szCs w:val="20"/>
          <w:lang w:val="fr-FR"/>
        </w:rPr>
      </w:pPr>
      <w:r w:rsidRPr="001E1B77">
        <w:rPr>
          <w:b/>
          <w:sz w:val="20"/>
          <w:szCs w:val="20"/>
          <w:lang w:val="fr-FR"/>
        </w:rPr>
        <w:t>IL EST EN OUTRE ORDONNÉ QUE</w:t>
      </w:r>
      <w:r w:rsidRPr="001E1B77">
        <w:rPr>
          <w:sz w:val="20"/>
          <w:szCs w:val="20"/>
          <w:lang w:val="fr-FR"/>
        </w:rPr>
        <w:t xml:space="preserve"> cet intervenant pourra présenter une plaidoirie orale d’au plus dix (10) minutes lors de l’audition de l’appel.</w:t>
      </w:r>
    </w:p>
    <w:p w:rsidR="00FE1B19" w:rsidRPr="001E1B77" w:rsidRDefault="00FE1B19" w:rsidP="00FE1B19">
      <w:pPr>
        <w:spacing w:line="225" w:lineRule="auto"/>
        <w:jc w:val="both"/>
        <w:rPr>
          <w:sz w:val="20"/>
          <w:szCs w:val="20"/>
          <w:lang w:val="fr-FR"/>
        </w:rPr>
      </w:pPr>
    </w:p>
    <w:p w:rsidR="00FE1B19" w:rsidRPr="001E1B77" w:rsidRDefault="00B44839" w:rsidP="00FE1B19">
      <w:pPr>
        <w:tabs>
          <w:tab w:val="left" w:pos="-1440"/>
          <w:tab w:val="left" w:pos="-720"/>
        </w:tabs>
        <w:jc w:val="both"/>
        <w:rPr>
          <w:sz w:val="20"/>
          <w:szCs w:val="20"/>
          <w:lang w:val="fr-CA"/>
        </w:rPr>
      </w:pPr>
      <w:r w:rsidRPr="00B44839">
        <w:rPr>
          <w:sz w:val="20"/>
          <w:szCs w:val="20"/>
          <w:lang w:val="fr-CA"/>
        </w:rPr>
        <w:pict>
          <v:rect id="_x0000_i1084" style="width:2in;height:1pt" o:hrpct="0" o:hralign="center" o:hrstd="t" o:hrnoshade="t" o:hr="t" fillcolor="black [3213]" stroked="f"/>
        </w:pict>
      </w:r>
    </w:p>
    <w:p w:rsidR="00FE1B19" w:rsidRPr="001E1B77" w:rsidRDefault="00FE1B19" w:rsidP="00FE1B19">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A42A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560A75" w:rsidRDefault="00150A40" w:rsidP="003B3977">
            <w:pPr>
              <w:rPr>
                <w:sz w:val="20"/>
                <w:szCs w:val="20"/>
                <w:lang w:val="fr-CA"/>
              </w:rPr>
            </w:pPr>
            <w:r w:rsidRPr="00560A75">
              <w:rPr>
                <w:sz w:val="20"/>
                <w:szCs w:val="20"/>
                <w:lang w:val="fr-CA"/>
              </w:rPr>
              <w:t>26</w:t>
            </w:r>
            <w:r w:rsidR="0010587F" w:rsidRPr="00560A75">
              <w:rPr>
                <w:sz w:val="20"/>
                <w:szCs w:val="20"/>
                <w:lang w:val="fr-CA"/>
              </w:rPr>
              <w:t>.0</w:t>
            </w:r>
            <w:r w:rsidRPr="00560A75">
              <w:rPr>
                <w:sz w:val="20"/>
                <w:szCs w:val="20"/>
                <w:lang w:val="fr-CA"/>
              </w:rPr>
              <w:t>4</w:t>
            </w:r>
            <w:r w:rsidR="0010587F" w:rsidRPr="00560A75">
              <w:rPr>
                <w:sz w:val="20"/>
                <w:szCs w:val="20"/>
                <w:lang w:val="fr-CA"/>
              </w:rPr>
              <w:t>.201</w:t>
            </w:r>
            <w:r w:rsidR="00B61A22" w:rsidRPr="00560A75">
              <w:rPr>
                <w:sz w:val="20"/>
                <w:szCs w:val="20"/>
                <w:lang w:val="fr-CA"/>
              </w:rPr>
              <w:t>2</w:t>
            </w:r>
          </w:p>
          <w:p w:rsidR="0010587F" w:rsidRPr="00560A75" w:rsidRDefault="0010587F" w:rsidP="003B3977">
            <w:pPr>
              <w:rPr>
                <w:sz w:val="20"/>
                <w:szCs w:val="20"/>
                <w:lang w:val="fr-CA"/>
              </w:rPr>
            </w:pPr>
          </w:p>
          <w:p w:rsidR="0010587F" w:rsidRPr="00560A75" w:rsidRDefault="00150A40" w:rsidP="003B3977">
            <w:pPr>
              <w:rPr>
                <w:b/>
                <w:sz w:val="20"/>
                <w:szCs w:val="20"/>
                <w:lang w:val="fr-CA"/>
              </w:rPr>
            </w:pPr>
            <w:r w:rsidRPr="00560A75">
              <w:rPr>
                <w:b/>
                <w:sz w:val="20"/>
                <w:szCs w:val="20"/>
                <w:lang w:val="fr-CA"/>
              </w:rPr>
              <w:t>Cathie Gauthier</w:t>
            </w:r>
          </w:p>
          <w:p w:rsidR="0010587F" w:rsidRPr="00560A75" w:rsidRDefault="0010587F" w:rsidP="003B3977">
            <w:pPr>
              <w:rPr>
                <w:b/>
                <w:sz w:val="20"/>
                <w:szCs w:val="20"/>
                <w:lang w:val="fr-CA"/>
              </w:rPr>
            </w:pPr>
          </w:p>
          <w:p w:rsidR="0010587F" w:rsidRPr="00560A75" w:rsidRDefault="0010587F" w:rsidP="003B3977">
            <w:pPr>
              <w:rPr>
                <w:b/>
                <w:sz w:val="20"/>
                <w:szCs w:val="20"/>
                <w:lang w:val="fr-CA"/>
              </w:rPr>
            </w:pPr>
            <w:r w:rsidRPr="00560A75">
              <w:rPr>
                <w:b/>
                <w:sz w:val="20"/>
                <w:szCs w:val="20"/>
                <w:lang w:val="fr-CA"/>
              </w:rPr>
              <w:tab/>
            </w:r>
            <w:r w:rsidR="00150A40" w:rsidRPr="00560A75">
              <w:rPr>
                <w:b/>
                <w:sz w:val="20"/>
                <w:szCs w:val="20"/>
                <w:lang w:val="fr-CA"/>
              </w:rPr>
              <w:t>c</w:t>
            </w:r>
            <w:r w:rsidRPr="00560A75">
              <w:rPr>
                <w:b/>
                <w:sz w:val="20"/>
                <w:szCs w:val="20"/>
                <w:lang w:val="fr-CA"/>
              </w:rPr>
              <w:t>. (34</w:t>
            </w:r>
            <w:r w:rsidR="00150A40" w:rsidRPr="00560A75">
              <w:rPr>
                <w:b/>
                <w:sz w:val="20"/>
                <w:szCs w:val="20"/>
                <w:lang w:val="fr-CA"/>
              </w:rPr>
              <w:t>444)</w:t>
            </w:r>
          </w:p>
          <w:p w:rsidR="0010587F" w:rsidRPr="00560A75" w:rsidRDefault="0010587F" w:rsidP="003B3977">
            <w:pPr>
              <w:rPr>
                <w:b/>
                <w:sz w:val="20"/>
                <w:szCs w:val="20"/>
                <w:lang w:val="fr-CA"/>
              </w:rPr>
            </w:pPr>
          </w:p>
          <w:p w:rsidR="0010587F" w:rsidRPr="00150A40" w:rsidRDefault="00150A40" w:rsidP="003B3977">
            <w:pPr>
              <w:rPr>
                <w:b/>
                <w:sz w:val="20"/>
                <w:szCs w:val="20"/>
                <w:lang w:val="fr-CA"/>
              </w:rPr>
            </w:pPr>
            <w:r w:rsidRPr="00150A40">
              <w:rPr>
                <w:b/>
                <w:sz w:val="20"/>
                <w:szCs w:val="20"/>
                <w:lang w:val="fr-CA"/>
              </w:rPr>
              <w:t>Sa Majesté la Reine</w:t>
            </w:r>
            <w:r w:rsidR="0010587F" w:rsidRPr="00150A40">
              <w:rPr>
                <w:b/>
                <w:sz w:val="20"/>
                <w:szCs w:val="20"/>
                <w:lang w:val="fr-CA"/>
              </w:rPr>
              <w:t xml:space="preserve"> (</w:t>
            </w:r>
            <w:r w:rsidRPr="00150A40">
              <w:rPr>
                <w:b/>
                <w:sz w:val="20"/>
                <w:szCs w:val="20"/>
                <w:lang w:val="fr-CA"/>
              </w:rPr>
              <w:t>Qc</w:t>
            </w:r>
            <w:r w:rsidR="0010587F" w:rsidRPr="00150A40">
              <w:rPr>
                <w:b/>
                <w:sz w:val="20"/>
                <w:szCs w:val="20"/>
                <w:lang w:val="fr-CA"/>
              </w:rPr>
              <w:t>)</w:t>
            </w:r>
          </w:p>
          <w:p w:rsidR="0010587F" w:rsidRPr="00150A40"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150A40">
              <w:rPr>
                <w:sz w:val="20"/>
                <w:szCs w:val="20"/>
              </w:rPr>
              <w:t>Autorisation</w:t>
            </w:r>
            <w:r w:rsidRPr="003B3977">
              <w:rPr>
                <w:sz w:val="20"/>
                <w:szCs w:val="20"/>
              </w:rPr>
              <w:t>)</w:t>
            </w:r>
          </w:p>
          <w:p w:rsidR="0010587F" w:rsidRPr="003B3977" w:rsidRDefault="0010587F" w:rsidP="003B3977">
            <w:pPr>
              <w:rPr>
                <w:sz w:val="20"/>
                <w:szCs w:val="20"/>
              </w:rPr>
            </w:pPr>
          </w:p>
          <w:p w:rsidR="0010587F" w:rsidRPr="003B3977" w:rsidRDefault="00B44839" w:rsidP="003B3977">
            <w:pPr>
              <w:rPr>
                <w:sz w:val="20"/>
                <w:szCs w:val="20"/>
                <w:lang w:val="fr-CA"/>
              </w:rPr>
            </w:pPr>
            <w:r w:rsidRPr="00B44839">
              <w:rPr>
                <w:sz w:val="20"/>
                <w:szCs w:val="20"/>
                <w:lang w:val="fr-CA"/>
              </w:rPr>
              <w:pict>
                <v:rect id="_x0000_i1087"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560A75" w:rsidRDefault="00B61A22" w:rsidP="003B3977">
            <w:pPr>
              <w:rPr>
                <w:sz w:val="20"/>
                <w:szCs w:val="20"/>
                <w:lang w:val="fr-CA"/>
              </w:rPr>
            </w:pPr>
            <w:r w:rsidRPr="00560A75">
              <w:rPr>
                <w:sz w:val="20"/>
                <w:szCs w:val="20"/>
                <w:lang w:val="fr-CA"/>
              </w:rPr>
              <w:t>2</w:t>
            </w:r>
            <w:r w:rsidR="00150A40" w:rsidRPr="00560A75">
              <w:rPr>
                <w:sz w:val="20"/>
                <w:szCs w:val="20"/>
                <w:lang w:val="fr-CA"/>
              </w:rPr>
              <w:t>7</w:t>
            </w:r>
            <w:r w:rsidR="0010587F" w:rsidRPr="00560A75">
              <w:rPr>
                <w:sz w:val="20"/>
                <w:szCs w:val="20"/>
                <w:lang w:val="fr-CA"/>
              </w:rPr>
              <w:t>.0</w:t>
            </w:r>
            <w:r w:rsidR="00150A40" w:rsidRPr="00560A75">
              <w:rPr>
                <w:sz w:val="20"/>
                <w:szCs w:val="20"/>
                <w:lang w:val="fr-CA"/>
              </w:rPr>
              <w:t>4</w:t>
            </w:r>
            <w:r w:rsidR="0010587F" w:rsidRPr="00560A75">
              <w:rPr>
                <w:sz w:val="20"/>
                <w:szCs w:val="20"/>
                <w:lang w:val="fr-CA"/>
              </w:rPr>
              <w:t>.201</w:t>
            </w:r>
            <w:r w:rsidRPr="00560A75">
              <w:rPr>
                <w:sz w:val="20"/>
                <w:szCs w:val="20"/>
                <w:lang w:val="fr-CA"/>
              </w:rPr>
              <w:t>2</w:t>
            </w:r>
          </w:p>
          <w:p w:rsidR="0010587F" w:rsidRPr="00560A75" w:rsidRDefault="0010587F" w:rsidP="003B3977">
            <w:pPr>
              <w:rPr>
                <w:sz w:val="20"/>
                <w:szCs w:val="20"/>
                <w:lang w:val="fr-CA"/>
              </w:rPr>
            </w:pPr>
          </w:p>
          <w:p w:rsidR="0010587F" w:rsidRPr="00560A75" w:rsidRDefault="00150A40" w:rsidP="003B3977">
            <w:pPr>
              <w:rPr>
                <w:b/>
                <w:sz w:val="20"/>
                <w:szCs w:val="20"/>
                <w:lang w:val="fr-CA"/>
              </w:rPr>
            </w:pPr>
            <w:r w:rsidRPr="00560A75">
              <w:rPr>
                <w:b/>
                <w:sz w:val="20"/>
                <w:szCs w:val="20"/>
                <w:lang w:val="fr-CA"/>
              </w:rPr>
              <w:t>Régie des rentes du Québec</w:t>
            </w:r>
          </w:p>
          <w:p w:rsidR="0010587F" w:rsidRPr="00560A75" w:rsidRDefault="0010587F" w:rsidP="003B3977">
            <w:pPr>
              <w:rPr>
                <w:b/>
                <w:sz w:val="20"/>
                <w:szCs w:val="20"/>
                <w:lang w:val="fr-CA"/>
              </w:rPr>
            </w:pPr>
          </w:p>
          <w:p w:rsidR="0010587F" w:rsidRPr="00560A75" w:rsidRDefault="0010587F" w:rsidP="003B3977">
            <w:pPr>
              <w:rPr>
                <w:b/>
                <w:sz w:val="20"/>
                <w:szCs w:val="20"/>
                <w:lang w:val="fr-CA"/>
              </w:rPr>
            </w:pPr>
            <w:r w:rsidRPr="00560A75">
              <w:rPr>
                <w:b/>
                <w:sz w:val="20"/>
                <w:szCs w:val="20"/>
                <w:lang w:val="fr-CA"/>
              </w:rPr>
              <w:tab/>
            </w:r>
            <w:r w:rsidR="00150A40" w:rsidRPr="00560A75">
              <w:rPr>
                <w:b/>
                <w:sz w:val="20"/>
                <w:szCs w:val="20"/>
                <w:lang w:val="fr-CA"/>
              </w:rPr>
              <w:t>c</w:t>
            </w:r>
            <w:r w:rsidRPr="00560A75">
              <w:rPr>
                <w:b/>
                <w:sz w:val="20"/>
                <w:szCs w:val="20"/>
                <w:lang w:val="fr-CA"/>
              </w:rPr>
              <w:t>. (3</w:t>
            </w:r>
            <w:r w:rsidR="00B61A22" w:rsidRPr="00560A75">
              <w:rPr>
                <w:b/>
                <w:sz w:val="20"/>
                <w:szCs w:val="20"/>
                <w:lang w:val="fr-CA"/>
              </w:rPr>
              <w:t>4</w:t>
            </w:r>
            <w:r w:rsidR="00150A40" w:rsidRPr="00560A75">
              <w:rPr>
                <w:b/>
                <w:sz w:val="20"/>
                <w:szCs w:val="20"/>
                <w:lang w:val="fr-CA"/>
              </w:rPr>
              <w:t>505</w:t>
            </w:r>
            <w:r w:rsidRPr="00560A75">
              <w:rPr>
                <w:b/>
                <w:sz w:val="20"/>
                <w:szCs w:val="20"/>
                <w:lang w:val="fr-CA"/>
              </w:rPr>
              <w:t>)</w:t>
            </w:r>
          </w:p>
          <w:p w:rsidR="0010587F" w:rsidRPr="00560A75" w:rsidRDefault="0010587F" w:rsidP="003B3977">
            <w:pPr>
              <w:rPr>
                <w:b/>
                <w:sz w:val="20"/>
                <w:szCs w:val="20"/>
                <w:lang w:val="fr-CA"/>
              </w:rPr>
            </w:pPr>
          </w:p>
          <w:p w:rsidR="0010587F" w:rsidRPr="00B61A22" w:rsidRDefault="00150A40" w:rsidP="003B3977">
            <w:pPr>
              <w:rPr>
                <w:b/>
                <w:sz w:val="20"/>
                <w:szCs w:val="20"/>
              </w:rPr>
            </w:pPr>
            <w:r>
              <w:rPr>
                <w:b/>
                <w:sz w:val="20"/>
                <w:szCs w:val="20"/>
              </w:rPr>
              <w:t>Canada Bread Company Ltd et autres</w:t>
            </w:r>
            <w:r w:rsidRPr="00B61A22">
              <w:rPr>
                <w:b/>
                <w:sz w:val="20"/>
                <w:szCs w:val="20"/>
              </w:rPr>
              <w:t xml:space="preserve"> </w:t>
            </w:r>
            <w:r w:rsidR="0010587F" w:rsidRPr="00B61A22">
              <w:rPr>
                <w:b/>
                <w:sz w:val="20"/>
                <w:szCs w:val="20"/>
              </w:rPr>
              <w:t>(</w:t>
            </w:r>
            <w:r>
              <w:rPr>
                <w:b/>
                <w:sz w:val="20"/>
                <w:szCs w:val="20"/>
              </w:rPr>
              <w:t>Qc</w:t>
            </w:r>
            <w:r w:rsidR="0010587F" w:rsidRPr="00B61A22">
              <w:rPr>
                <w:b/>
                <w:sz w:val="20"/>
                <w:szCs w:val="20"/>
              </w:rPr>
              <w:t>)</w:t>
            </w:r>
          </w:p>
          <w:p w:rsidR="0010587F" w:rsidRPr="00B61A22" w:rsidRDefault="0010587F" w:rsidP="003B3977">
            <w:pPr>
              <w:rPr>
                <w:sz w:val="20"/>
                <w:szCs w:val="20"/>
              </w:rPr>
            </w:pPr>
          </w:p>
          <w:p w:rsidR="0010587F" w:rsidRPr="003B3977" w:rsidRDefault="0010587F" w:rsidP="003B3977">
            <w:pPr>
              <w:rPr>
                <w:sz w:val="20"/>
                <w:szCs w:val="20"/>
              </w:rPr>
            </w:pPr>
            <w:r w:rsidRPr="003B3977">
              <w:rPr>
                <w:sz w:val="20"/>
                <w:szCs w:val="20"/>
              </w:rPr>
              <w:t>(</w:t>
            </w:r>
            <w:r w:rsidR="00150A40">
              <w:rPr>
                <w:sz w:val="20"/>
                <w:szCs w:val="20"/>
              </w:rPr>
              <w:t>Autorisation</w:t>
            </w:r>
            <w:r w:rsidRPr="003B3977">
              <w:rPr>
                <w:sz w:val="20"/>
                <w:szCs w:val="20"/>
              </w:rPr>
              <w:t>)</w:t>
            </w:r>
          </w:p>
          <w:p w:rsidR="0010587F" w:rsidRPr="003B3977" w:rsidRDefault="0010587F" w:rsidP="003B3977">
            <w:pPr>
              <w:rPr>
                <w:sz w:val="20"/>
                <w:szCs w:val="20"/>
              </w:rPr>
            </w:pPr>
          </w:p>
          <w:p w:rsidR="0010587F" w:rsidRPr="003B3977" w:rsidRDefault="00B44839" w:rsidP="003B3977">
            <w:pPr>
              <w:rPr>
                <w:sz w:val="20"/>
                <w:szCs w:val="20"/>
              </w:rPr>
            </w:pPr>
            <w:r w:rsidRPr="00B44839">
              <w:rPr>
                <w:sz w:val="20"/>
                <w:szCs w:val="20"/>
                <w:lang w:val="fr-CA"/>
              </w:rPr>
              <w:pict>
                <v:rect id="_x0000_i1088" style="width:106.1pt;height:1pt" o:hrpct="500" o:hralign="center" o:hrstd="t" o:hrnoshade="t" o:hr="t" fillcolor="black [3213]" stroked="f"/>
              </w:pict>
            </w:r>
          </w:p>
        </w:tc>
      </w:tr>
      <w:tr w:rsidR="00150A40" w:rsidRPr="003B3977" w:rsidTr="0010587F">
        <w:trPr>
          <w:cantSplit/>
        </w:trPr>
        <w:tc>
          <w:tcPr>
            <w:tcW w:w="2206" w:type="pct"/>
            <w:tcMar>
              <w:left w:w="0" w:type="dxa"/>
              <w:right w:w="0" w:type="dxa"/>
            </w:tcMar>
          </w:tcPr>
          <w:p w:rsidR="00150A40" w:rsidRPr="003B3977" w:rsidRDefault="00150A40" w:rsidP="00150A40">
            <w:pPr>
              <w:rPr>
                <w:sz w:val="20"/>
                <w:szCs w:val="20"/>
              </w:rPr>
            </w:pPr>
            <w:r w:rsidRPr="003B3977">
              <w:rPr>
                <w:sz w:val="20"/>
                <w:szCs w:val="20"/>
              </w:rPr>
              <w:t>0</w:t>
            </w:r>
            <w:r>
              <w:rPr>
                <w:sz w:val="20"/>
                <w:szCs w:val="20"/>
              </w:rPr>
              <w:t>1</w:t>
            </w:r>
            <w:r w:rsidRPr="003B3977">
              <w:rPr>
                <w:sz w:val="20"/>
                <w:szCs w:val="20"/>
              </w:rPr>
              <w:t>.0</w:t>
            </w:r>
            <w:r>
              <w:rPr>
                <w:sz w:val="20"/>
                <w:szCs w:val="20"/>
              </w:rPr>
              <w:t>5</w:t>
            </w:r>
            <w:r w:rsidRPr="003B3977">
              <w:rPr>
                <w:sz w:val="20"/>
                <w:szCs w:val="20"/>
              </w:rPr>
              <w:t>.201</w:t>
            </w:r>
            <w:r>
              <w:rPr>
                <w:sz w:val="20"/>
                <w:szCs w:val="20"/>
              </w:rPr>
              <w:t>2</w:t>
            </w:r>
          </w:p>
          <w:p w:rsidR="00150A40" w:rsidRPr="003B3977" w:rsidRDefault="00150A40" w:rsidP="00150A40">
            <w:pPr>
              <w:rPr>
                <w:sz w:val="20"/>
                <w:szCs w:val="20"/>
              </w:rPr>
            </w:pPr>
          </w:p>
          <w:p w:rsidR="00150A40" w:rsidRPr="003B3977" w:rsidRDefault="00150A40" w:rsidP="00150A40">
            <w:pPr>
              <w:rPr>
                <w:b/>
                <w:sz w:val="20"/>
                <w:szCs w:val="20"/>
              </w:rPr>
            </w:pPr>
            <w:r>
              <w:rPr>
                <w:b/>
                <w:sz w:val="20"/>
                <w:szCs w:val="20"/>
              </w:rPr>
              <w:t>Her Majesty the Queen</w:t>
            </w:r>
          </w:p>
          <w:p w:rsidR="00150A40" w:rsidRPr="003B3977" w:rsidRDefault="00150A40" w:rsidP="00150A40">
            <w:pPr>
              <w:rPr>
                <w:b/>
                <w:sz w:val="20"/>
                <w:szCs w:val="20"/>
              </w:rPr>
            </w:pPr>
          </w:p>
          <w:p w:rsidR="00150A40" w:rsidRPr="003B3977" w:rsidRDefault="00150A40" w:rsidP="00150A40">
            <w:pPr>
              <w:rPr>
                <w:b/>
                <w:sz w:val="20"/>
                <w:szCs w:val="20"/>
              </w:rPr>
            </w:pPr>
            <w:r w:rsidRPr="003B3977">
              <w:rPr>
                <w:b/>
                <w:sz w:val="20"/>
                <w:szCs w:val="20"/>
              </w:rPr>
              <w:tab/>
              <w:t>v. (34</w:t>
            </w:r>
            <w:r>
              <w:rPr>
                <w:b/>
                <w:sz w:val="20"/>
                <w:szCs w:val="20"/>
              </w:rPr>
              <w:t>317</w:t>
            </w:r>
            <w:r w:rsidRPr="003B3977">
              <w:rPr>
                <w:b/>
                <w:sz w:val="20"/>
                <w:szCs w:val="20"/>
              </w:rPr>
              <w:t>)</w:t>
            </w:r>
          </w:p>
          <w:p w:rsidR="00150A40" w:rsidRPr="003B3977" w:rsidRDefault="00150A40" w:rsidP="00150A40">
            <w:pPr>
              <w:rPr>
                <w:b/>
                <w:sz w:val="20"/>
                <w:szCs w:val="20"/>
              </w:rPr>
            </w:pPr>
          </w:p>
          <w:p w:rsidR="00150A40" w:rsidRPr="003B3977" w:rsidRDefault="00150A40" w:rsidP="00150A40">
            <w:pPr>
              <w:rPr>
                <w:b/>
                <w:sz w:val="20"/>
                <w:szCs w:val="20"/>
              </w:rPr>
            </w:pPr>
            <w:r>
              <w:rPr>
                <w:b/>
                <w:sz w:val="20"/>
                <w:szCs w:val="20"/>
              </w:rPr>
              <w:t>Criminal Lawyers’ Association of Ontario</w:t>
            </w:r>
            <w:r w:rsidRPr="003B3977">
              <w:rPr>
                <w:b/>
                <w:sz w:val="20"/>
                <w:szCs w:val="20"/>
              </w:rPr>
              <w:t xml:space="preserve"> (</w:t>
            </w:r>
            <w:r>
              <w:rPr>
                <w:b/>
                <w:sz w:val="20"/>
                <w:szCs w:val="20"/>
              </w:rPr>
              <w:t>On</w:t>
            </w:r>
            <w:r w:rsidRPr="003B3977">
              <w:rPr>
                <w:b/>
                <w:sz w:val="20"/>
                <w:szCs w:val="20"/>
              </w:rPr>
              <w:t>t.)</w:t>
            </w:r>
          </w:p>
          <w:p w:rsidR="00150A40" w:rsidRPr="003B3977" w:rsidRDefault="00150A40" w:rsidP="00150A40">
            <w:pPr>
              <w:rPr>
                <w:sz w:val="20"/>
                <w:szCs w:val="20"/>
              </w:rPr>
            </w:pPr>
          </w:p>
          <w:p w:rsidR="00150A40" w:rsidRPr="003B3977" w:rsidRDefault="00150A40" w:rsidP="00150A40">
            <w:pPr>
              <w:rPr>
                <w:sz w:val="20"/>
                <w:szCs w:val="20"/>
              </w:rPr>
            </w:pPr>
            <w:r w:rsidRPr="003B3977">
              <w:rPr>
                <w:sz w:val="20"/>
                <w:szCs w:val="20"/>
              </w:rPr>
              <w:t>(</w:t>
            </w:r>
            <w:r>
              <w:rPr>
                <w:sz w:val="20"/>
                <w:szCs w:val="20"/>
              </w:rPr>
              <w:t>By Leave</w:t>
            </w:r>
            <w:r w:rsidRPr="003B3977">
              <w:rPr>
                <w:sz w:val="20"/>
                <w:szCs w:val="20"/>
              </w:rPr>
              <w:t>)</w:t>
            </w:r>
          </w:p>
          <w:p w:rsidR="00150A40" w:rsidRPr="003B3977" w:rsidRDefault="00150A40" w:rsidP="00150A40">
            <w:pPr>
              <w:rPr>
                <w:sz w:val="20"/>
                <w:szCs w:val="20"/>
              </w:rPr>
            </w:pPr>
          </w:p>
          <w:p w:rsidR="00150A40" w:rsidRPr="003B3977" w:rsidRDefault="00B44839" w:rsidP="00150A40">
            <w:pPr>
              <w:rPr>
                <w:sz w:val="20"/>
                <w:szCs w:val="20"/>
              </w:rPr>
            </w:pPr>
            <w:r w:rsidRPr="00B44839">
              <w:rPr>
                <w:sz w:val="20"/>
                <w:szCs w:val="20"/>
                <w:lang w:val="fr-CA"/>
              </w:rPr>
              <w:pict>
                <v:rect id="_x0000_i1089" style="width:106.1pt;height:1pt" o:hrpct="500" o:hralign="center" o:hrstd="t" o:hrnoshade="t" o:hr="t" fillcolor="black [3213]" stroked="f"/>
              </w:pict>
            </w:r>
          </w:p>
        </w:tc>
        <w:tc>
          <w:tcPr>
            <w:tcW w:w="588" w:type="pct"/>
          </w:tcPr>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Default="00150A40" w:rsidP="0010587F">
            <w:pPr>
              <w:jc w:val="center"/>
              <w:rPr>
                <w:sz w:val="20"/>
                <w:szCs w:val="20"/>
              </w:rPr>
            </w:pPr>
          </w:p>
          <w:p w:rsidR="00150A40" w:rsidRPr="003B3977" w:rsidRDefault="00150A40" w:rsidP="0010587F">
            <w:pPr>
              <w:jc w:val="center"/>
              <w:rPr>
                <w:sz w:val="20"/>
                <w:szCs w:val="20"/>
              </w:rPr>
            </w:pPr>
          </w:p>
        </w:tc>
        <w:tc>
          <w:tcPr>
            <w:tcW w:w="2206" w:type="pct"/>
          </w:tcPr>
          <w:p w:rsidR="00150A40" w:rsidRPr="003B3977" w:rsidRDefault="00150A40" w:rsidP="00150A40">
            <w:pPr>
              <w:rPr>
                <w:sz w:val="20"/>
                <w:szCs w:val="20"/>
              </w:rPr>
            </w:pPr>
            <w:r w:rsidRPr="003B3977">
              <w:rPr>
                <w:sz w:val="20"/>
                <w:szCs w:val="20"/>
              </w:rPr>
              <w:t>0</w:t>
            </w:r>
            <w:r>
              <w:rPr>
                <w:sz w:val="20"/>
                <w:szCs w:val="20"/>
              </w:rPr>
              <w:t>2</w:t>
            </w:r>
            <w:r w:rsidRPr="003B3977">
              <w:rPr>
                <w:sz w:val="20"/>
                <w:szCs w:val="20"/>
              </w:rPr>
              <w:t>.0</w:t>
            </w:r>
            <w:r>
              <w:rPr>
                <w:sz w:val="20"/>
                <w:szCs w:val="20"/>
              </w:rPr>
              <w:t>5</w:t>
            </w:r>
            <w:r w:rsidRPr="003B3977">
              <w:rPr>
                <w:sz w:val="20"/>
                <w:szCs w:val="20"/>
              </w:rPr>
              <w:t>.201</w:t>
            </w:r>
            <w:r>
              <w:rPr>
                <w:sz w:val="20"/>
                <w:szCs w:val="20"/>
              </w:rPr>
              <w:t>2</w:t>
            </w:r>
          </w:p>
          <w:p w:rsidR="00150A40" w:rsidRPr="003B3977" w:rsidRDefault="00150A40" w:rsidP="00150A40">
            <w:pPr>
              <w:rPr>
                <w:sz w:val="20"/>
                <w:szCs w:val="20"/>
              </w:rPr>
            </w:pPr>
          </w:p>
          <w:p w:rsidR="00150A40" w:rsidRPr="003B3977" w:rsidRDefault="00150A40" w:rsidP="00150A40">
            <w:pPr>
              <w:rPr>
                <w:b/>
                <w:sz w:val="20"/>
                <w:szCs w:val="20"/>
              </w:rPr>
            </w:pPr>
            <w:r>
              <w:rPr>
                <w:b/>
                <w:sz w:val="20"/>
                <w:szCs w:val="20"/>
              </w:rPr>
              <w:t>IBM Canada Limited</w:t>
            </w:r>
          </w:p>
          <w:p w:rsidR="00150A40" w:rsidRPr="003B3977" w:rsidRDefault="00150A40" w:rsidP="00150A40">
            <w:pPr>
              <w:rPr>
                <w:b/>
                <w:sz w:val="20"/>
                <w:szCs w:val="20"/>
              </w:rPr>
            </w:pPr>
          </w:p>
          <w:p w:rsidR="00150A40" w:rsidRPr="003B3977" w:rsidRDefault="00150A40" w:rsidP="00150A40">
            <w:pPr>
              <w:rPr>
                <w:b/>
                <w:sz w:val="20"/>
                <w:szCs w:val="20"/>
              </w:rPr>
            </w:pPr>
            <w:r w:rsidRPr="003B3977">
              <w:rPr>
                <w:b/>
                <w:sz w:val="20"/>
                <w:szCs w:val="20"/>
              </w:rPr>
              <w:tab/>
              <w:t>v. (3</w:t>
            </w:r>
            <w:r>
              <w:rPr>
                <w:b/>
                <w:sz w:val="20"/>
                <w:szCs w:val="20"/>
              </w:rPr>
              <w:t>44</w:t>
            </w:r>
            <w:r w:rsidRPr="003B3977">
              <w:rPr>
                <w:b/>
                <w:sz w:val="20"/>
                <w:szCs w:val="20"/>
              </w:rPr>
              <w:t>7</w:t>
            </w:r>
            <w:r>
              <w:rPr>
                <w:b/>
                <w:sz w:val="20"/>
                <w:szCs w:val="20"/>
              </w:rPr>
              <w:t>2</w:t>
            </w:r>
            <w:r w:rsidRPr="003B3977">
              <w:rPr>
                <w:b/>
                <w:sz w:val="20"/>
                <w:szCs w:val="20"/>
              </w:rPr>
              <w:t>)</w:t>
            </w:r>
          </w:p>
          <w:p w:rsidR="00150A40" w:rsidRPr="003B3977" w:rsidRDefault="00150A40" w:rsidP="00150A40">
            <w:pPr>
              <w:rPr>
                <w:b/>
                <w:sz w:val="20"/>
                <w:szCs w:val="20"/>
              </w:rPr>
            </w:pPr>
          </w:p>
          <w:p w:rsidR="00150A40" w:rsidRPr="00B61A22" w:rsidRDefault="00150A40" w:rsidP="00150A40">
            <w:pPr>
              <w:rPr>
                <w:b/>
                <w:sz w:val="20"/>
                <w:szCs w:val="20"/>
              </w:rPr>
            </w:pPr>
            <w:r w:rsidRPr="00B61A22">
              <w:rPr>
                <w:b/>
                <w:sz w:val="20"/>
                <w:szCs w:val="20"/>
              </w:rPr>
              <w:t>Richard Waterman (B.C.)</w:t>
            </w:r>
          </w:p>
          <w:p w:rsidR="00150A40" w:rsidRPr="00B61A22" w:rsidRDefault="00150A40" w:rsidP="00150A40">
            <w:pPr>
              <w:rPr>
                <w:sz w:val="20"/>
                <w:szCs w:val="20"/>
              </w:rPr>
            </w:pPr>
          </w:p>
          <w:p w:rsidR="00150A40" w:rsidRPr="003B3977" w:rsidRDefault="00150A40" w:rsidP="00150A40">
            <w:pPr>
              <w:rPr>
                <w:sz w:val="20"/>
                <w:szCs w:val="20"/>
              </w:rPr>
            </w:pPr>
            <w:r w:rsidRPr="003B3977">
              <w:rPr>
                <w:sz w:val="20"/>
                <w:szCs w:val="20"/>
              </w:rPr>
              <w:t>(</w:t>
            </w:r>
            <w:r>
              <w:rPr>
                <w:sz w:val="20"/>
                <w:szCs w:val="20"/>
              </w:rPr>
              <w:t>By Leave</w:t>
            </w:r>
            <w:r w:rsidRPr="003B3977">
              <w:rPr>
                <w:sz w:val="20"/>
                <w:szCs w:val="20"/>
              </w:rPr>
              <w:t>)</w:t>
            </w:r>
          </w:p>
          <w:p w:rsidR="00150A40" w:rsidRPr="003B3977" w:rsidRDefault="00150A40" w:rsidP="00150A40">
            <w:pPr>
              <w:rPr>
                <w:sz w:val="20"/>
                <w:szCs w:val="20"/>
              </w:rPr>
            </w:pPr>
          </w:p>
          <w:p w:rsidR="00150A40" w:rsidRPr="003B3977" w:rsidRDefault="00B44839" w:rsidP="00150A40">
            <w:pPr>
              <w:rPr>
                <w:sz w:val="20"/>
                <w:szCs w:val="20"/>
              </w:rPr>
            </w:pPr>
            <w:r w:rsidRPr="00B44839">
              <w:rPr>
                <w:sz w:val="20"/>
                <w:szCs w:val="20"/>
                <w:lang w:val="fr-CA"/>
              </w:rPr>
              <w:pict>
                <v:rect id="_x0000_i1090"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4A42A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983D4E" w:rsidP="00732DB7">
      <w:pPr>
        <w:widowControl w:val="0"/>
        <w:rPr>
          <w:sz w:val="20"/>
          <w:szCs w:val="20"/>
        </w:rPr>
      </w:pPr>
      <w:r>
        <w:rPr>
          <w:sz w:val="20"/>
          <w:szCs w:val="20"/>
        </w:rPr>
        <w:t>08</w:t>
      </w:r>
      <w:r w:rsidR="00732DB7" w:rsidRPr="00C50A5C">
        <w:rPr>
          <w:sz w:val="20"/>
          <w:szCs w:val="20"/>
        </w:rPr>
        <w:t>.0</w:t>
      </w:r>
      <w:r>
        <w:rPr>
          <w:sz w:val="20"/>
          <w:szCs w:val="20"/>
        </w:rPr>
        <w:t>5</w:t>
      </w:r>
      <w:r w:rsidR="00732DB7" w:rsidRPr="00C50A5C">
        <w:rPr>
          <w:sz w:val="20"/>
          <w:szCs w:val="20"/>
        </w:rPr>
        <w:t>.201</w:t>
      </w:r>
      <w:r>
        <w:rPr>
          <w:sz w:val="20"/>
          <w:szCs w:val="20"/>
        </w:rPr>
        <w:t>2</w:t>
      </w:r>
    </w:p>
    <w:p w:rsidR="00732DB7" w:rsidRDefault="00732DB7" w:rsidP="00732DB7">
      <w:pPr>
        <w:widowControl w:val="0"/>
        <w:rPr>
          <w:sz w:val="20"/>
          <w:szCs w:val="20"/>
        </w:rPr>
      </w:pPr>
    </w:p>
    <w:p w:rsidR="00EF74C1" w:rsidRPr="00747010" w:rsidRDefault="00EF74C1" w:rsidP="00EF74C1">
      <w:pPr>
        <w:widowControl w:val="0"/>
        <w:ind w:left="720" w:hanging="720"/>
        <w:rPr>
          <w:sz w:val="20"/>
          <w:szCs w:val="20"/>
        </w:rPr>
      </w:pPr>
      <w:r w:rsidRPr="00747010">
        <w:rPr>
          <w:sz w:val="20"/>
          <w:szCs w:val="20"/>
        </w:rPr>
        <w:t xml:space="preserve">Coram: </w:t>
      </w:r>
      <w:r w:rsidRPr="00747010">
        <w:rPr>
          <w:sz w:val="20"/>
          <w:szCs w:val="20"/>
        </w:rPr>
        <w:tab/>
      </w:r>
      <w:r w:rsidRPr="00747010">
        <w:rPr>
          <w:sz w:val="20"/>
          <w:szCs w:val="20"/>
          <w:u w:val="single"/>
        </w:rPr>
        <w:t>McLachlin C.J. and Deschamps, Abella, Rothstein, Cromwell, Moldaver and Karakatsanis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EF74C1" w:rsidRPr="00EF74C1" w:rsidRDefault="00EF74C1" w:rsidP="00EF74C1">
            <w:pPr>
              <w:jc w:val="both"/>
              <w:rPr>
                <w:rStyle w:val="SCCSsocChar"/>
                <w:b/>
                <w:i w:val="0"/>
              </w:rPr>
            </w:pPr>
            <w:r w:rsidRPr="00EF74C1">
              <w:rPr>
                <w:rStyle w:val="SCCSsocChar"/>
                <w:b/>
                <w:i w:val="0"/>
              </w:rPr>
              <w:t xml:space="preserve">Annapolis County District School Board et al. </w:t>
            </w:r>
          </w:p>
          <w:p w:rsidR="00EF74C1" w:rsidRPr="00EF74C1" w:rsidRDefault="00EF74C1" w:rsidP="00EF74C1">
            <w:pPr>
              <w:jc w:val="both"/>
              <w:rPr>
                <w:rStyle w:val="SCCSsocChar"/>
                <w:b/>
                <w:i w:val="0"/>
              </w:rPr>
            </w:pPr>
          </w:p>
          <w:p w:rsidR="00EF74C1" w:rsidRPr="00EF74C1" w:rsidRDefault="00EF74C1" w:rsidP="00EF74C1">
            <w:pPr>
              <w:jc w:val="both"/>
              <w:rPr>
                <w:rStyle w:val="SCCSsocChar"/>
                <w:b/>
                <w:i w:val="0"/>
              </w:rPr>
            </w:pPr>
            <w:r w:rsidRPr="00EF74C1">
              <w:rPr>
                <w:rStyle w:val="SCCSsocChar"/>
                <w:b/>
                <w:i w:val="0"/>
              </w:rPr>
              <w:tab/>
              <w:t>v. (34189)</w:t>
            </w:r>
          </w:p>
          <w:p w:rsidR="00EF74C1" w:rsidRPr="00EF74C1" w:rsidRDefault="00EF74C1" w:rsidP="00EF74C1">
            <w:pPr>
              <w:jc w:val="both"/>
              <w:rPr>
                <w:rStyle w:val="SCCSsocChar"/>
                <w:b/>
                <w:i w:val="0"/>
              </w:rPr>
            </w:pPr>
          </w:p>
          <w:p w:rsidR="00732DB7" w:rsidRPr="00C50A5C" w:rsidRDefault="00EF74C1" w:rsidP="00F26F03">
            <w:pPr>
              <w:jc w:val="both"/>
              <w:rPr>
                <w:sz w:val="20"/>
                <w:szCs w:val="20"/>
                <w:lang w:val="fr-CA"/>
              </w:rPr>
            </w:pPr>
            <w:r w:rsidRPr="00EF74C1">
              <w:rPr>
                <w:rStyle w:val="SCCSsocChar"/>
                <w:b/>
                <w:i w:val="0"/>
              </w:rPr>
              <w:t xml:space="preserve">Jonathan Lee Marshall, represented by his Guardian Vaughan Caldwell </w:t>
            </w:r>
            <w:r w:rsidRPr="00EF74C1">
              <w:rPr>
                <w:b/>
                <w:sz w:val="20"/>
                <w:szCs w:val="20"/>
              </w:rPr>
              <w:t>(N.S.) (Civil) (By</w:t>
            </w:r>
            <w:r w:rsidR="00F26F03">
              <w:rPr>
                <w:b/>
                <w:sz w:val="20"/>
                <w:szCs w:val="20"/>
              </w:rPr>
              <w:t> </w:t>
            </w:r>
            <w:r w:rsidRPr="00EF74C1">
              <w:rPr>
                <w:b/>
                <w:sz w:val="20"/>
                <w:szCs w:val="20"/>
              </w:rPr>
              <w:t xml:space="preserve">Leave) </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F26F03" w:rsidRPr="00111728" w:rsidRDefault="00F26F03" w:rsidP="00F26F03">
            <w:pPr>
              <w:tabs>
                <w:tab w:val="left" w:pos="-2970"/>
              </w:tabs>
              <w:jc w:val="both"/>
              <w:rPr>
                <w:sz w:val="20"/>
                <w:szCs w:val="20"/>
                <w:lang w:val="en-US"/>
              </w:rPr>
            </w:pPr>
            <w:r w:rsidRPr="00111728">
              <w:rPr>
                <w:sz w:val="20"/>
                <w:szCs w:val="20"/>
                <w:lang w:val="en-US"/>
              </w:rPr>
              <w:t>Scott C. Norton, Q.C.</w:t>
            </w:r>
            <w:r>
              <w:rPr>
                <w:sz w:val="20"/>
                <w:szCs w:val="20"/>
                <w:lang w:val="en-US"/>
              </w:rPr>
              <w:t xml:space="preserve">, </w:t>
            </w:r>
            <w:r w:rsidRPr="00111728">
              <w:rPr>
                <w:sz w:val="20"/>
                <w:szCs w:val="20"/>
                <w:lang w:val="en-US"/>
              </w:rPr>
              <w:t>G. Grant Machum</w:t>
            </w:r>
            <w:r>
              <w:rPr>
                <w:sz w:val="20"/>
                <w:szCs w:val="20"/>
                <w:lang w:val="en-US"/>
              </w:rPr>
              <w:t xml:space="preserve">, </w:t>
            </w:r>
            <w:r w:rsidRPr="00111728">
              <w:rPr>
                <w:sz w:val="20"/>
                <w:szCs w:val="20"/>
                <w:lang w:val="en-US"/>
              </w:rPr>
              <w:t>Sara Scott</w:t>
            </w:r>
            <w:r>
              <w:rPr>
                <w:sz w:val="20"/>
                <w:szCs w:val="20"/>
                <w:lang w:val="en-US"/>
              </w:rPr>
              <w:t xml:space="preserve"> and </w:t>
            </w:r>
            <w:r w:rsidRPr="00111728">
              <w:rPr>
                <w:sz w:val="20"/>
                <w:szCs w:val="20"/>
                <w:lang w:val="en-US"/>
              </w:rPr>
              <w:t>Scott R. Campbell</w:t>
            </w:r>
            <w:r>
              <w:rPr>
                <w:sz w:val="20"/>
                <w:szCs w:val="20"/>
                <w:lang w:val="en-US"/>
              </w:rPr>
              <w:t xml:space="preserve"> f</w:t>
            </w:r>
            <w:r w:rsidRPr="00111728">
              <w:rPr>
                <w:sz w:val="20"/>
                <w:szCs w:val="20"/>
                <w:lang w:val="en-US"/>
              </w:rPr>
              <w:t xml:space="preserve">or the </w:t>
            </w:r>
            <w:r>
              <w:rPr>
                <w:sz w:val="20"/>
                <w:szCs w:val="20"/>
                <w:lang w:val="en-US"/>
              </w:rPr>
              <w:t>a</w:t>
            </w:r>
            <w:r w:rsidRPr="00111728">
              <w:rPr>
                <w:sz w:val="20"/>
                <w:szCs w:val="20"/>
                <w:lang w:val="en-US"/>
              </w:rPr>
              <w:t>ppellants.</w:t>
            </w:r>
          </w:p>
          <w:p w:rsidR="00F26F03" w:rsidRPr="00111728" w:rsidRDefault="00F26F03" w:rsidP="00F26F03">
            <w:pPr>
              <w:tabs>
                <w:tab w:val="left" w:pos="-2970"/>
              </w:tabs>
              <w:jc w:val="both"/>
              <w:rPr>
                <w:sz w:val="20"/>
                <w:szCs w:val="20"/>
                <w:lang w:val="en-US"/>
              </w:rPr>
            </w:pPr>
          </w:p>
          <w:p w:rsidR="00732DB7" w:rsidRPr="00C50A5C" w:rsidRDefault="00F26F03" w:rsidP="00F26F03">
            <w:pPr>
              <w:widowControl w:val="0"/>
              <w:jc w:val="both"/>
              <w:rPr>
                <w:sz w:val="20"/>
                <w:szCs w:val="20"/>
              </w:rPr>
            </w:pPr>
            <w:r w:rsidRPr="00111728">
              <w:rPr>
                <w:sz w:val="20"/>
                <w:szCs w:val="20"/>
                <w:lang w:val="en-US"/>
              </w:rPr>
              <w:t>R. Malcolm Macleod, Q.C.</w:t>
            </w:r>
            <w:r>
              <w:rPr>
                <w:sz w:val="20"/>
                <w:szCs w:val="20"/>
                <w:lang w:val="en-US"/>
              </w:rPr>
              <w:t xml:space="preserve"> and </w:t>
            </w:r>
            <w:r w:rsidRPr="00111728">
              <w:rPr>
                <w:sz w:val="20"/>
                <w:szCs w:val="20"/>
                <w:lang w:val="en-US"/>
              </w:rPr>
              <w:t>Robert K. Dickson, Q.C.</w:t>
            </w:r>
            <w:r>
              <w:rPr>
                <w:sz w:val="20"/>
                <w:szCs w:val="20"/>
                <w:lang w:val="en-US"/>
              </w:rPr>
              <w:t xml:space="preserve"> f</w:t>
            </w:r>
            <w:r w:rsidRPr="00111728">
              <w:rPr>
                <w:sz w:val="20"/>
                <w:szCs w:val="20"/>
                <w:lang w:val="en-US"/>
              </w:rPr>
              <w:t xml:space="preserve">or the </w:t>
            </w:r>
            <w:r>
              <w:rPr>
                <w:sz w:val="20"/>
                <w:szCs w:val="20"/>
                <w:lang w:val="en-US"/>
              </w:rPr>
              <w:t>r</w:t>
            </w:r>
            <w:r w:rsidRPr="00111728">
              <w:rPr>
                <w:sz w:val="20"/>
                <w:szCs w:val="20"/>
                <w:lang w:val="en-US"/>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4A42A2"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E7424B" w:rsidP="00C1697B">
            <w:pPr>
              <w:widowControl w:val="0"/>
              <w:jc w:val="both"/>
              <w:rPr>
                <w:b/>
                <w:sz w:val="20"/>
                <w:szCs w:val="20"/>
              </w:rPr>
            </w:pPr>
            <w:r w:rsidRPr="00E81914">
              <w:rPr>
                <w:sz w:val="20"/>
                <w:szCs w:val="20"/>
              </w:rPr>
              <w:t xml:space="preserve">Appeals </w:t>
            </w:r>
            <w:r w:rsidRPr="00E81914">
              <w:rPr>
                <w:sz w:val="20"/>
                <w:szCs w:val="20"/>
              </w:rPr>
              <w:noBreakHyphen/>
              <w:t xml:space="preserve"> Judgments and Orders </w:t>
            </w:r>
            <w:r w:rsidRPr="00E81914">
              <w:rPr>
                <w:sz w:val="20"/>
                <w:szCs w:val="20"/>
              </w:rPr>
              <w:noBreakHyphen/>
              <w:t xml:space="preserve"> Jury Trial </w:t>
            </w:r>
            <w:r w:rsidRPr="00E81914">
              <w:rPr>
                <w:sz w:val="20"/>
                <w:szCs w:val="20"/>
              </w:rPr>
              <w:noBreakHyphen/>
              <w:t xml:space="preserve"> Charge to the jury </w:t>
            </w:r>
            <w:r w:rsidRPr="00E81914">
              <w:rPr>
                <w:sz w:val="20"/>
                <w:szCs w:val="20"/>
              </w:rPr>
              <w:noBreakHyphen/>
              <w:t xml:space="preserve"> New trial ordered due to misdirection by trial judge </w:t>
            </w:r>
            <w:r w:rsidRPr="00E81914">
              <w:rPr>
                <w:sz w:val="20"/>
                <w:szCs w:val="20"/>
              </w:rPr>
              <w:noBreakHyphen/>
              <w:t xml:space="preserve"> Torts </w:t>
            </w:r>
            <w:r w:rsidRPr="00E81914">
              <w:rPr>
                <w:sz w:val="20"/>
                <w:szCs w:val="20"/>
              </w:rPr>
              <w:noBreakHyphen/>
              <w:t xml:space="preserve"> Motor Vehicles </w:t>
            </w:r>
            <w:r w:rsidRPr="00E81914">
              <w:rPr>
                <w:sz w:val="20"/>
                <w:szCs w:val="20"/>
              </w:rPr>
              <w:noBreakHyphen/>
              <w:t xml:space="preserve"> Negligence </w:t>
            </w:r>
            <w:r w:rsidRPr="00E81914">
              <w:rPr>
                <w:sz w:val="20"/>
                <w:szCs w:val="20"/>
              </w:rPr>
              <w:noBreakHyphen/>
              <w:t xml:space="preserve"> Standard of care </w:t>
            </w:r>
            <w:r w:rsidRPr="00E81914">
              <w:rPr>
                <w:sz w:val="20"/>
                <w:szCs w:val="20"/>
              </w:rPr>
              <w:noBreakHyphen/>
              <w:t xml:space="preserve"> No contributory negligence by minor </w:t>
            </w:r>
            <w:r w:rsidRPr="00E81914">
              <w:rPr>
                <w:sz w:val="20"/>
                <w:szCs w:val="20"/>
              </w:rPr>
              <w:noBreakHyphen/>
              <w:t xml:space="preserve"> Bus driver hitting child who ran across highway </w:t>
            </w:r>
            <w:r w:rsidRPr="00E81914">
              <w:rPr>
                <w:sz w:val="20"/>
                <w:szCs w:val="20"/>
              </w:rPr>
              <w:noBreakHyphen/>
              <w:t xml:space="preserve"> Whether driver was negligent </w:t>
            </w:r>
            <w:r w:rsidRPr="00E81914">
              <w:rPr>
                <w:sz w:val="20"/>
                <w:szCs w:val="20"/>
              </w:rPr>
              <w:noBreakHyphen/>
              <w:t xml:space="preserve"> Standard of care owed in circumstances </w:t>
            </w:r>
            <w:r w:rsidRPr="00E81914">
              <w:rPr>
                <w:sz w:val="20"/>
                <w:szCs w:val="20"/>
              </w:rPr>
              <w:noBreakHyphen/>
              <w:t xml:space="preserve"> Whether the Court of Appeal erred in concluding that the trial judge may not charge a civil jury on pedestrian and vehicle right</w:t>
            </w:r>
            <w:r w:rsidRPr="00E81914">
              <w:rPr>
                <w:sz w:val="20"/>
                <w:szCs w:val="20"/>
              </w:rPr>
              <w:noBreakHyphen/>
              <w:t>of</w:t>
            </w:r>
            <w:r w:rsidRPr="00E81914">
              <w:rPr>
                <w:sz w:val="20"/>
                <w:szCs w:val="20"/>
              </w:rPr>
              <w:noBreakHyphen/>
              <w:t xml:space="preserve">way provisions in cases where the trial judge has already concluded that the plaintiff cannot be held contributorily negligent </w:t>
            </w:r>
            <w:r w:rsidRPr="00E81914">
              <w:rPr>
                <w:sz w:val="20"/>
                <w:szCs w:val="20"/>
              </w:rPr>
              <w:noBreakHyphen/>
              <w:t xml:space="preserve"> Whether the Court of Appeal erred in declining to make a finding of liability against the appellants rather than ordering a new trial.</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E7424B" w:rsidP="00C1697B">
            <w:pPr>
              <w:widowControl w:val="0"/>
              <w:jc w:val="both"/>
              <w:rPr>
                <w:sz w:val="20"/>
                <w:szCs w:val="20"/>
                <w:lang w:val="fr-CA"/>
              </w:rPr>
            </w:pPr>
            <w:r w:rsidRPr="00A61500">
              <w:rPr>
                <w:sz w:val="20"/>
                <w:szCs w:val="20"/>
                <w:lang w:val="fr-CA"/>
              </w:rPr>
              <w:t xml:space="preserve">Appels </w:t>
            </w:r>
            <w:r w:rsidRPr="00A61500">
              <w:rPr>
                <w:sz w:val="20"/>
                <w:szCs w:val="20"/>
                <w:lang w:val="fr-CA"/>
              </w:rPr>
              <w:noBreakHyphen/>
              <w:t xml:space="preserve"> Jugements et ordonnances </w:t>
            </w:r>
            <w:r w:rsidRPr="00A61500">
              <w:rPr>
                <w:sz w:val="20"/>
                <w:szCs w:val="20"/>
                <w:lang w:val="fr-CA"/>
              </w:rPr>
              <w:noBreakHyphen/>
              <w:t xml:space="preserve"> Procès avec jury </w:t>
            </w:r>
            <w:r w:rsidRPr="00A61500">
              <w:rPr>
                <w:sz w:val="20"/>
                <w:szCs w:val="20"/>
                <w:lang w:val="fr-CA"/>
              </w:rPr>
              <w:noBreakHyphen/>
              <w:t xml:space="preserve"> Exposé au jury </w:t>
            </w:r>
            <w:r w:rsidRPr="00A61500">
              <w:rPr>
                <w:sz w:val="20"/>
                <w:szCs w:val="20"/>
                <w:lang w:val="fr-CA"/>
              </w:rPr>
              <w:noBreakHyphen/>
              <w:t xml:space="preserve"> Nouveau procès ordonné en raison d’une directive erronée du juge du procès </w:t>
            </w:r>
            <w:r w:rsidRPr="00A61500">
              <w:rPr>
                <w:sz w:val="20"/>
                <w:szCs w:val="20"/>
                <w:lang w:val="fr-CA"/>
              </w:rPr>
              <w:noBreakHyphen/>
              <w:t xml:space="preserve"> Responsabilité délictuelle </w:t>
            </w:r>
            <w:r w:rsidRPr="00A61500">
              <w:rPr>
                <w:sz w:val="20"/>
                <w:szCs w:val="20"/>
                <w:lang w:val="fr-CA"/>
              </w:rPr>
              <w:noBreakHyphen/>
              <w:t xml:space="preserve"> Véhicules automobiles </w:t>
            </w:r>
            <w:r w:rsidRPr="00A61500">
              <w:rPr>
                <w:sz w:val="20"/>
                <w:szCs w:val="20"/>
                <w:lang w:val="fr-CA"/>
              </w:rPr>
              <w:noBreakHyphen/>
              <w:t xml:space="preserve"> Négligence </w:t>
            </w:r>
            <w:r w:rsidRPr="00A61500">
              <w:rPr>
                <w:sz w:val="20"/>
                <w:szCs w:val="20"/>
                <w:lang w:val="fr-CA"/>
              </w:rPr>
              <w:noBreakHyphen/>
              <w:t xml:space="preserve"> Norme de diligence </w:t>
            </w:r>
            <w:r w:rsidRPr="00A61500">
              <w:rPr>
                <w:sz w:val="20"/>
                <w:szCs w:val="20"/>
                <w:lang w:val="fr-CA"/>
              </w:rPr>
              <w:noBreakHyphen/>
              <w:t xml:space="preserve"> Aucune négligence contributive de la victime mineure </w:t>
            </w:r>
            <w:r w:rsidRPr="00A61500">
              <w:rPr>
                <w:sz w:val="20"/>
                <w:szCs w:val="20"/>
                <w:lang w:val="fr-CA"/>
              </w:rPr>
              <w:noBreakHyphen/>
              <w:t xml:space="preserve"> Un chauffeur d’autobus a heurté un enfant qui traversait la route en courant </w:t>
            </w:r>
            <w:r w:rsidRPr="00A61500">
              <w:rPr>
                <w:sz w:val="20"/>
                <w:szCs w:val="20"/>
                <w:lang w:val="fr-CA"/>
              </w:rPr>
              <w:noBreakHyphen/>
              <w:t xml:space="preserve"> Le chauffeur a</w:t>
            </w:r>
            <w:r w:rsidRPr="00A61500">
              <w:rPr>
                <w:sz w:val="20"/>
                <w:szCs w:val="20"/>
                <w:lang w:val="fr-CA"/>
              </w:rPr>
              <w:noBreakHyphen/>
              <w:t>t</w:t>
            </w:r>
            <w:r w:rsidRPr="00A61500">
              <w:rPr>
                <w:sz w:val="20"/>
                <w:szCs w:val="20"/>
                <w:lang w:val="fr-CA"/>
              </w:rPr>
              <w:noBreakHyphen/>
              <w:t xml:space="preserve">il été négligent? </w:t>
            </w:r>
            <w:r w:rsidRPr="00A61500">
              <w:rPr>
                <w:sz w:val="20"/>
                <w:szCs w:val="20"/>
                <w:lang w:val="fr-CA"/>
              </w:rPr>
              <w:noBreakHyphen/>
              <w:t xml:space="preserve"> Norme de diligence applicable en l’espèce </w:t>
            </w:r>
            <w:r w:rsidRPr="00A61500">
              <w:rPr>
                <w:sz w:val="20"/>
                <w:szCs w:val="20"/>
                <w:lang w:val="fr-CA"/>
              </w:rPr>
              <w:noBreakHyphen/>
              <w:t xml:space="preserve"> La Cour d’appel a</w:t>
            </w:r>
            <w:r w:rsidRPr="00A61500">
              <w:rPr>
                <w:sz w:val="20"/>
                <w:szCs w:val="20"/>
                <w:lang w:val="fr-CA"/>
              </w:rPr>
              <w:noBreakHyphen/>
              <w:t>t</w:t>
            </w:r>
            <w:r w:rsidRPr="00A61500">
              <w:rPr>
                <w:sz w:val="20"/>
                <w:szCs w:val="20"/>
                <w:lang w:val="fr-CA"/>
              </w:rPr>
              <w:noBreakHyphen/>
              <w:t xml:space="preserve">elle commis une erreur en concluant que les juges qui président des procès civils ne peuvent exposer au jury les dispositions relatives aux priorités de passage des piétons et des véhicules lorsqu’il a été statué que le plaignant ne peut être tenu coupable de négligence contributive? </w:t>
            </w:r>
            <w:r w:rsidRPr="00A61500">
              <w:rPr>
                <w:sz w:val="20"/>
                <w:szCs w:val="20"/>
                <w:lang w:val="fr-CA"/>
              </w:rPr>
              <w:noBreakHyphen/>
              <w:t xml:space="preserve"> La Cour d’appel a</w:t>
            </w:r>
            <w:r w:rsidRPr="00A61500">
              <w:rPr>
                <w:sz w:val="20"/>
                <w:szCs w:val="20"/>
                <w:lang w:val="fr-CA"/>
              </w:rPr>
              <w:noBreakHyphen/>
              <w:t>t</w:t>
            </w:r>
            <w:r w:rsidRPr="00A61500">
              <w:rPr>
                <w:sz w:val="20"/>
                <w:szCs w:val="20"/>
                <w:lang w:val="fr-CA"/>
              </w:rPr>
              <w:noBreakHyphen/>
              <w:t>elle commis une erreur en concluant à l’absence de responsabilité des appelants au lieu d’ordonner la tenue d’un nouveau procès?</w:t>
            </w:r>
          </w:p>
        </w:tc>
      </w:tr>
    </w:tbl>
    <w:p w:rsidR="00732DB7" w:rsidRDefault="00732DB7" w:rsidP="00732DB7">
      <w:pPr>
        <w:widowControl w:val="0"/>
        <w:rPr>
          <w:sz w:val="20"/>
          <w:szCs w:val="20"/>
          <w:lang w:val="fr-CA"/>
        </w:rPr>
      </w:pPr>
    </w:p>
    <w:p w:rsidR="002A27D1" w:rsidRDefault="00B44839" w:rsidP="002A27D1">
      <w:pPr>
        <w:widowControl w:val="0"/>
        <w:rPr>
          <w:sz w:val="20"/>
          <w:szCs w:val="20"/>
        </w:rPr>
      </w:pPr>
      <w:r w:rsidRPr="00B44839">
        <w:rPr>
          <w:sz w:val="20"/>
          <w:szCs w:val="20"/>
          <w:lang w:val="fr-CA"/>
        </w:rPr>
        <w:pict>
          <v:rect id="_x0000_i1093" style="width:2in;height:1pt" o:hrpct="0" o:hralign="center" o:hrstd="t" o:hrnoshade="t" o:hr="t" fillcolor="black [3213]" stroked="f"/>
        </w:pict>
      </w:r>
    </w:p>
    <w:p w:rsidR="002A27D1" w:rsidRDefault="002A27D1" w:rsidP="002A27D1">
      <w:pPr>
        <w:widowControl w:val="0"/>
        <w:rPr>
          <w:sz w:val="20"/>
          <w:szCs w:val="20"/>
        </w:rPr>
      </w:pPr>
    </w:p>
    <w:p w:rsidR="002A27D1" w:rsidRDefault="00EF74C1" w:rsidP="002A27D1">
      <w:pPr>
        <w:widowControl w:val="0"/>
        <w:rPr>
          <w:sz w:val="20"/>
          <w:szCs w:val="20"/>
        </w:rPr>
      </w:pPr>
      <w:r>
        <w:rPr>
          <w:sz w:val="20"/>
          <w:szCs w:val="20"/>
        </w:rPr>
        <w:t>1</w:t>
      </w:r>
      <w:r w:rsidR="002A27D1">
        <w:rPr>
          <w:sz w:val="20"/>
          <w:szCs w:val="20"/>
        </w:rPr>
        <w:t>0.</w:t>
      </w:r>
      <w:r>
        <w:rPr>
          <w:sz w:val="20"/>
          <w:szCs w:val="20"/>
        </w:rPr>
        <w:t>05</w:t>
      </w:r>
      <w:r w:rsidR="002A27D1">
        <w:rPr>
          <w:sz w:val="20"/>
          <w:szCs w:val="20"/>
        </w:rPr>
        <w:t>.201</w:t>
      </w:r>
      <w:r>
        <w:rPr>
          <w:sz w:val="20"/>
          <w:szCs w:val="20"/>
        </w:rPr>
        <w:t>2</w:t>
      </w:r>
    </w:p>
    <w:p w:rsidR="002A27D1" w:rsidRDefault="002A27D1" w:rsidP="002A27D1">
      <w:pPr>
        <w:widowControl w:val="0"/>
        <w:rPr>
          <w:sz w:val="20"/>
          <w:szCs w:val="20"/>
        </w:rPr>
      </w:pPr>
    </w:p>
    <w:p w:rsidR="0038059D" w:rsidRPr="008E1523" w:rsidRDefault="0038059D" w:rsidP="00842049">
      <w:pPr>
        <w:widowControl w:val="0"/>
        <w:ind w:left="720" w:hanging="720"/>
        <w:rPr>
          <w:sz w:val="20"/>
          <w:szCs w:val="20"/>
        </w:rPr>
      </w:pPr>
      <w:r w:rsidRPr="008E1523">
        <w:rPr>
          <w:sz w:val="20"/>
          <w:szCs w:val="20"/>
        </w:rPr>
        <w:t xml:space="preserve">Coram: </w:t>
      </w:r>
      <w:r w:rsidRPr="008E1523">
        <w:rPr>
          <w:sz w:val="20"/>
          <w:szCs w:val="20"/>
        </w:rPr>
        <w:tab/>
      </w:r>
      <w:r w:rsidRPr="008E1523">
        <w:rPr>
          <w:sz w:val="20"/>
          <w:szCs w:val="20"/>
          <w:u w:val="single"/>
        </w:rPr>
        <w:t>McLachlin C.J. and LeBel, Deschamps, Fish, Abella, Rothstein and Karakatsanis JJ.</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C50A5C" w:rsidTr="002A4AFA">
        <w:tc>
          <w:tcPr>
            <w:tcW w:w="4380" w:type="dxa"/>
            <w:tcMar>
              <w:left w:w="0" w:type="dxa"/>
              <w:right w:w="0" w:type="dxa"/>
            </w:tcMar>
          </w:tcPr>
          <w:p w:rsidR="00BD730A" w:rsidRPr="00BD730A" w:rsidRDefault="00BD730A" w:rsidP="00BD730A">
            <w:pPr>
              <w:jc w:val="both"/>
              <w:rPr>
                <w:rStyle w:val="SCCSsocChar"/>
                <w:b/>
                <w:i w:val="0"/>
              </w:rPr>
            </w:pPr>
            <w:r w:rsidRPr="00BD730A">
              <w:rPr>
                <w:rStyle w:val="SCCSsocChar"/>
                <w:b/>
                <w:i w:val="0"/>
              </w:rPr>
              <w:t xml:space="preserve">A.B. by her Litigation Guardian, C.D. </w:t>
            </w:r>
          </w:p>
          <w:p w:rsidR="00BD730A" w:rsidRPr="00BD730A" w:rsidRDefault="00BD730A" w:rsidP="00BD730A">
            <w:pPr>
              <w:jc w:val="both"/>
              <w:rPr>
                <w:rStyle w:val="SCCSsocChar"/>
                <w:b/>
                <w:i w:val="0"/>
              </w:rPr>
            </w:pPr>
          </w:p>
          <w:p w:rsidR="00BD730A" w:rsidRPr="00BD730A" w:rsidRDefault="00BD730A" w:rsidP="00BD730A">
            <w:pPr>
              <w:jc w:val="both"/>
              <w:rPr>
                <w:rStyle w:val="SCCSsocChar"/>
                <w:b/>
                <w:i w:val="0"/>
              </w:rPr>
            </w:pPr>
            <w:r w:rsidRPr="00BD730A">
              <w:rPr>
                <w:rStyle w:val="SCCSsocChar"/>
                <w:b/>
                <w:i w:val="0"/>
              </w:rPr>
              <w:tab/>
              <w:t>v. (34240)</w:t>
            </w:r>
          </w:p>
          <w:p w:rsidR="00BD730A" w:rsidRPr="00BD730A" w:rsidRDefault="00BD730A" w:rsidP="00BD730A">
            <w:pPr>
              <w:jc w:val="both"/>
              <w:rPr>
                <w:rStyle w:val="SCCSsocChar"/>
                <w:b/>
                <w:i w:val="0"/>
              </w:rPr>
            </w:pPr>
          </w:p>
          <w:p w:rsidR="002A27D1" w:rsidRPr="0093057E" w:rsidRDefault="00BD730A" w:rsidP="00BD730A">
            <w:pPr>
              <w:jc w:val="both"/>
              <w:rPr>
                <w:sz w:val="20"/>
                <w:szCs w:val="20"/>
              </w:rPr>
            </w:pPr>
            <w:r w:rsidRPr="00BD730A">
              <w:rPr>
                <w:rStyle w:val="SCCSsocChar"/>
                <w:b/>
                <w:i w:val="0"/>
              </w:rPr>
              <w:t>Bragg Communications Incorporated, a body corporate et al. (N.S.) (Civil) (By Leave)</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6C2F03" w:rsidRPr="00526080" w:rsidRDefault="006C2F03" w:rsidP="006C2F03">
            <w:pPr>
              <w:tabs>
                <w:tab w:val="left" w:pos="-2970"/>
              </w:tabs>
              <w:jc w:val="both"/>
              <w:rPr>
                <w:sz w:val="20"/>
                <w:szCs w:val="20"/>
                <w:lang w:val="en-US"/>
              </w:rPr>
            </w:pPr>
            <w:r w:rsidRPr="00526080">
              <w:rPr>
                <w:sz w:val="20"/>
                <w:szCs w:val="20"/>
                <w:lang w:val="en-US"/>
              </w:rPr>
              <w:t>Michelle Awad</w:t>
            </w:r>
            <w:r>
              <w:rPr>
                <w:sz w:val="20"/>
                <w:szCs w:val="20"/>
                <w:lang w:val="en-US"/>
              </w:rPr>
              <w:t xml:space="preserve"> and </w:t>
            </w:r>
            <w:r w:rsidRPr="00526080">
              <w:rPr>
                <w:sz w:val="20"/>
                <w:szCs w:val="20"/>
                <w:lang w:val="en-US"/>
              </w:rPr>
              <w:t>Jane O’Neill</w:t>
            </w:r>
            <w:r>
              <w:rPr>
                <w:sz w:val="20"/>
                <w:szCs w:val="20"/>
                <w:lang w:val="en-US"/>
              </w:rPr>
              <w:t xml:space="preserve"> f</w:t>
            </w:r>
            <w:r w:rsidRPr="00526080">
              <w:rPr>
                <w:sz w:val="20"/>
                <w:szCs w:val="20"/>
                <w:lang w:val="en-US"/>
              </w:rPr>
              <w:t xml:space="preserve">or the </w:t>
            </w:r>
            <w:r>
              <w:rPr>
                <w:sz w:val="20"/>
                <w:szCs w:val="20"/>
                <w:lang w:val="en-US"/>
              </w:rPr>
              <w:t>a</w:t>
            </w:r>
            <w:r w:rsidRPr="00526080">
              <w:rPr>
                <w:sz w:val="20"/>
                <w:szCs w:val="20"/>
                <w:lang w:val="en-US"/>
              </w:rPr>
              <w:t>ppellant.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Mahmud Jamal</w:t>
            </w:r>
            <w:r>
              <w:rPr>
                <w:sz w:val="20"/>
                <w:szCs w:val="20"/>
                <w:lang w:val="en-US"/>
              </w:rPr>
              <w:t xml:space="preserve">, </w:t>
            </w:r>
            <w:r w:rsidRPr="00526080">
              <w:rPr>
                <w:sz w:val="20"/>
                <w:szCs w:val="20"/>
                <w:lang w:val="en-US"/>
              </w:rPr>
              <w:t>Jason MacLean</w:t>
            </w:r>
            <w:r>
              <w:rPr>
                <w:sz w:val="20"/>
                <w:szCs w:val="20"/>
                <w:lang w:val="en-US"/>
              </w:rPr>
              <w:t xml:space="preserve">, </w:t>
            </w:r>
            <w:r w:rsidRPr="00526080">
              <w:rPr>
                <w:sz w:val="20"/>
                <w:szCs w:val="20"/>
                <w:lang w:val="en-US"/>
              </w:rPr>
              <w:t>Carly Fidler</w:t>
            </w:r>
            <w:r>
              <w:rPr>
                <w:sz w:val="20"/>
                <w:szCs w:val="20"/>
                <w:lang w:val="en-US"/>
              </w:rPr>
              <w:t xml:space="preserve"> and </w:t>
            </w:r>
            <w:r w:rsidRPr="00526080">
              <w:rPr>
                <w:sz w:val="20"/>
                <w:szCs w:val="20"/>
                <w:lang w:val="en-US"/>
              </w:rPr>
              <w:t>Steven Golick</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Kids Help Phone</w:t>
            </w:r>
            <w:r>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Joseph E. Magnet</w:t>
            </w:r>
            <w:r w:rsidRPr="00526080">
              <w:rPr>
                <w:sz w:val="20"/>
                <w:szCs w:val="20"/>
                <w:lang w:val="en-US"/>
              </w:rPr>
              <w:tab/>
            </w:r>
            <w:r>
              <w:rPr>
                <w:sz w:val="20"/>
                <w:szCs w:val="20"/>
                <w:lang w:val="en-US"/>
              </w:rPr>
              <w:t xml:space="preserve"> and </w:t>
            </w:r>
            <w:r w:rsidRPr="00526080">
              <w:rPr>
                <w:sz w:val="20"/>
                <w:szCs w:val="20"/>
                <w:lang w:val="en-US"/>
              </w:rPr>
              <w:t>Patricia Kosseim</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Privacy Commission of Canada</w:t>
            </w:r>
            <w:r>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Written submissions</w:t>
            </w:r>
            <w:r>
              <w:rPr>
                <w:sz w:val="20"/>
                <w:szCs w:val="20"/>
                <w:lang w:val="en-US"/>
              </w:rPr>
              <w:t xml:space="preserve"> only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Information and Privacy Commissioner Ontario</w:t>
            </w:r>
            <w:r>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lastRenderedPageBreak/>
              <w:t>Jeffrey S. Leon</w:t>
            </w:r>
            <w:r>
              <w:rPr>
                <w:sz w:val="20"/>
                <w:szCs w:val="20"/>
                <w:lang w:val="en-US"/>
              </w:rPr>
              <w:t xml:space="preserve">, </w:t>
            </w:r>
            <w:r w:rsidRPr="00526080">
              <w:rPr>
                <w:sz w:val="20"/>
                <w:szCs w:val="20"/>
                <w:lang w:val="en-US"/>
              </w:rPr>
              <w:t>Ranjan K. Agarwal</w:t>
            </w:r>
            <w:r>
              <w:rPr>
                <w:sz w:val="20"/>
                <w:szCs w:val="20"/>
                <w:lang w:val="en-US"/>
              </w:rPr>
              <w:t xml:space="preserve"> and </w:t>
            </w:r>
            <w:r w:rsidRPr="00526080">
              <w:rPr>
                <w:sz w:val="20"/>
                <w:szCs w:val="20"/>
                <w:lang w:val="en-US"/>
              </w:rPr>
              <w:t>Daniel Holden</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Canadian Unicef Committee</w:t>
            </w:r>
            <w:r>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Written submissions</w:t>
            </w:r>
            <w:r>
              <w:rPr>
                <w:sz w:val="20"/>
                <w:szCs w:val="20"/>
                <w:lang w:val="en-US"/>
              </w:rPr>
              <w:t xml:space="preserve"> only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Bullying Canada Inc.</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Written submissions</w:t>
            </w:r>
            <w:r>
              <w:rPr>
                <w:sz w:val="20"/>
                <w:szCs w:val="20"/>
                <w:lang w:val="en-US"/>
              </w:rPr>
              <w:t xml:space="preserve"> only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Beyond Borders</w:t>
            </w:r>
            <w:r>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 xml:space="preserve">Written submissions </w:t>
            </w:r>
            <w:r>
              <w:rPr>
                <w:sz w:val="20"/>
                <w:szCs w:val="20"/>
                <w:lang w:val="en-US"/>
              </w:rPr>
              <w:t>only by</w:t>
            </w:r>
            <w:r w:rsidRPr="00526080">
              <w:rPr>
                <w:sz w:val="20"/>
                <w:szCs w:val="20"/>
                <w:lang w:val="en-US"/>
              </w:rPr>
              <w:t>Tamir Israel</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Samuelson-Glushko Internet</w:t>
            </w:r>
            <w:r>
              <w:rPr>
                <w:sz w:val="20"/>
                <w:szCs w:val="20"/>
                <w:lang w:val="en-US"/>
              </w:rPr>
              <w:t xml:space="preserve"> </w:t>
            </w:r>
            <w:r w:rsidRPr="00526080">
              <w:rPr>
                <w:sz w:val="20"/>
                <w:szCs w:val="20"/>
                <w:lang w:val="en-US"/>
              </w:rPr>
              <w:t>Policy and Public Interest Clinic</w:t>
            </w:r>
            <w:r>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Daniel W. Burnett</w:t>
            </w:r>
            <w:r>
              <w:rPr>
                <w:sz w:val="20"/>
                <w:szCs w:val="20"/>
                <w:lang w:val="en-US"/>
              </w:rPr>
              <w:t xml:space="preserve"> and </w:t>
            </w:r>
            <w:r w:rsidRPr="00526080">
              <w:rPr>
                <w:sz w:val="20"/>
                <w:szCs w:val="20"/>
                <w:lang w:val="en-US"/>
              </w:rPr>
              <w:t>Paul Brackstone</w:t>
            </w:r>
            <w:r>
              <w:rPr>
                <w:sz w:val="20"/>
                <w:szCs w:val="20"/>
                <w:lang w:val="en-US"/>
              </w:rPr>
              <w:t xml:space="preserve"> </w:t>
            </w:r>
            <w:r w:rsidRPr="006454C7">
              <w:rPr>
                <w:i/>
                <w:sz w:val="20"/>
                <w:szCs w:val="20"/>
                <w:lang w:val="en-US"/>
              </w:rPr>
              <w:t>Amicus Curiae</w:t>
            </w:r>
            <w:r w:rsidRPr="00526080">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Iris Fischer</w:t>
            </w:r>
            <w:r>
              <w:rPr>
                <w:sz w:val="20"/>
                <w:szCs w:val="20"/>
                <w:lang w:val="en-US"/>
              </w:rPr>
              <w:t xml:space="preserve"> and </w:t>
            </w:r>
            <w:r w:rsidRPr="00526080">
              <w:rPr>
                <w:sz w:val="20"/>
                <w:szCs w:val="20"/>
                <w:lang w:val="en-US"/>
              </w:rPr>
              <w:t>Dustin Kenall</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Canadian Civil Liberties Assoc</w:t>
            </w:r>
            <w:r>
              <w:rPr>
                <w:sz w:val="20"/>
                <w:szCs w:val="20"/>
                <w:lang w:val="en-US"/>
              </w:rPr>
              <w:t>iation</w:t>
            </w:r>
            <w:r w:rsidRPr="00526080">
              <w:rPr>
                <w:sz w:val="20"/>
                <w:szCs w:val="20"/>
                <w:lang w:val="en-US"/>
              </w:rPr>
              <w:t>.</w:t>
            </w:r>
          </w:p>
          <w:p w:rsidR="006C2F03" w:rsidRPr="00526080" w:rsidRDefault="006C2F03" w:rsidP="006C2F03">
            <w:pPr>
              <w:tabs>
                <w:tab w:val="left" w:pos="-2970"/>
              </w:tabs>
              <w:jc w:val="both"/>
              <w:rPr>
                <w:sz w:val="20"/>
                <w:szCs w:val="20"/>
                <w:lang w:val="en-US"/>
              </w:rPr>
            </w:pPr>
          </w:p>
          <w:p w:rsidR="006C2F03" w:rsidRPr="00526080" w:rsidRDefault="006C2F03" w:rsidP="006C2F03">
            <w:pPr>
              <w:tabs>
                <w:tab w:val="left" w:pos="-2970"/>
              </w:tabs>
              <w:jc w:val="both"/>
              <w:rPr>
                <w:sz w:val="20"/>
                <w:szCs w:val="20"/>
                <w:lang w:val="en-US"/>
              </w:rPr>
            </w:pPr>
            <w:r w:rsidRPr="00526080">
              <w:rPr>
                <w:sz w:val="20"/>
                <w:szCs w:val="20"/>
                <w:lang w:val="en-US"/>
              </w:rPr>
              <w:t>Marko Vesely</w:t>
            </w:r>
            <w:r>
              <w:rPr>
                <w:sz w:val="20"/>
                <w:szCs w:val="20"/>
                <w:lang w:val="en-US"/>
              </w:rPr>
              <w:t xml:space="preserve"> and </w:t>
            </w:r>
            <w:r w:rsidRPr="00526080">
              <w:rPr>
                <w:sz w:val="20"/>
                <w:szCs w:val="20"/>
                <w:lang w:val="en-US"/>
              </w:rPr>
              <w:t>. Toby Kruger</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British Columbia Civil Liberties Assoc</w:t>
            </w:r>
            <w:r>
              <w:rPr>
                <w:sz w:val="20"/>
                <w:szCs w:val="20"/>
                <w:lang w:val="en-US"/>
              </w:rPr>
              <w:t>iation</w:t>
            </w:r>
            <w:r w:rsidRPr="00526080">
              <w:rPr>
                <w:sz w:val="20"/>
                <w:szCs w:val="20"/>
                <w:lang w:val="en-US"/>
              </w:rPr>
              <w:t>.</w:t>
            </w:r>
          </w:p>
          <w:p w:rsidR="006C2F03" w:rsidRPr="00526080" w:rsidRDefault="006C2F03" w:rsidP="006C2F03">
            <w:pPr>
              <w:tabs>
                <w:tab w:val="left" w:pos="-2970"/>
              </w:tabs>
              <w:jc w:val="both"/>
              <w:rPr>
                <w:sz w:val="20"/>
                <w:szCs w:val="20"/>
                <w:lang w:val="en-US"/>
              </w:rPr>
            </w:pPr>
          </w:p>
          <w:p w:rsidR="002A27D1" w:rsidRPr="006C2F03" w:rsidRDefault="006C2F03" w:rsidP="006C2F03">
            <w:pPr>
              <w:tabs>
                <w:tab w:val="left" w:pos="-2970"/>
              </w:tabs>
              <w:jc w:val="both"/>
              <w:rPr>
                <w:sz w:val="20"/>
                <w:szCs w:val="20"/>
                <w:lang w:val="en-US"/>
              </w:rPr>
            </w:pPr>
            <w:r w:rsidRPr="00526080">
              <w:rPr>
                <w:sz w:val="20"/>
                <w:szCs w:val="20"/>
                <w:lang w:val="en-US"/>
              </w:rPr>
              <w:t>Ryder Gilliland</w:t>
            </w:r>
            <w:r>
              <w:rPr>
                <w:sz w:val="20"/>
                <w:szCs w:val="20"/>
                <w:lang w:val="en-US"/>
              </w:rPr>
              <w:t xml:space="preserve"> and </w:t>
            </w:r>
            <w:r w:rsidRPr="00526080">
              <w:rPr>
                <w:sz w:val="20"/>
                <w:szCs w:val="20"/>
                <w:lang w:val="en-US"/>
              </w:rPr>
              <w:t>Adam Lazier</w:t>
            </w:r>
            <w:r>
              <w:rPr>
                <w:sz w:val="20"/>
                <w:szCs w:val="20"/>
                <w:lang w:val="en-US"/>
              </w:rPr>
              <w:t xml:space="preserve"> f</w:t>
            </w:r>
            <w:r w:rsidRPr="00526080">
              <w:rPr>
                <w:sz w:val="20"/>
                <w:szCs w:val="20"/>
                <w:lang w:val="en-US"/>
              </w:rPr>
              <w:t xml:space="preserve">or the </w:t>
            </w:r>
            <w:r>
              <w:rPr>
                <w:sz w:val="20"/>
                <w:szCs w:val="20"/>
                <w:lang w:val="en-US"/>
              </w:rPr>
              <w:t>i</w:t>
            </w:r>
            <w:r w:rsidRPr="00526080">
              <w:rPr>
                <w:sz w:val="20"/>
                <w:szCs w:val="20"/>
                <w:lang w:val="en-US"/>
              </w:rPr>
              <w:t>ntervener</w:t>
            </w:r>
            <w:r>
              <w:rPr>
                <w:sz w:val="20"/>
                <w:szCs w:val="20"/>
                <w:lang w:val="en-US"/>
              </w:rPr>
              <w:t xml:space="preserve"> </w:t>
            </w:r>
            <w:r w:rsidRPr="00526080">
              <w:rPr>
                <w:sz w:val="20"/>
                <w:szCs w:val="20"/>
                <w:lang w:val="en-US"/>
              </w:rPr>
              <w:t>Newspaper Canada Inc.</w:t>
            </w:r>
          </w:p>
        </w:tc>
      </w:tr>
    </w:tbl>
    <w:p w:rsidR="002A27D1" w:rsidRDefault="002A27D1" w:rsidP="002A27D1">
      <w:pPr>
        <w:widowControl w:val="0"/>
        <w:rPr>
          <w:sz w:val="20"/>
          <w:szCs w:val="20"/>
        </w:rPr>
      </w:pPr>
    </w:p>
    <w:p w:rsidR="00EF74C1" w:rsidRPr="0085476B" w:rsidRDefault="00EF74C1" w:rsidP="00EF74C1">
      <w:pPr>
        <w:widowControl w:val="0"/>
        <w:rPr>
          <w:sz w:val="20"/>
          <w:szCs w:val="20"/>
        </w:rPr>
      </w:pPr>
      <w:r w:rsidRPr="0085476B">
        <w:rPr>
          <w:b/>
          <w:sz w:val="20"/>
          <w:szCs w:val="20"/>
        </w:rPr>
        <w:t xml:space="preserve">RESERVED / </w:t>
      </w:r>
      <w:r w:rsidRPr="0085476B">
        <w:rPr>
          <w:b/>
          <w:sz w:val="20"/>
          <w:szCs w:val="20"/>
          <w:lang w:val="fr-CA"/>
        </w:rPr>
        <w:t>EN DÉLIBÉRÉ</w:t>
      </w:r>
    </w:p>
    <w:p w:rsidR="00EF74C1" w:rsidRDefault="00EF74C1" w:rsidP="00EF74C1"/>
    <w:tbl>
      <w:tblPr>
        <w:tblW w:w="0" w:type="auto"/>
        <w:tblLayout w:type="fixed"/>
        <w:tblCellMar>
          <w:left w:w="0" w:type="dxa"/>
          <w:right w:w="0" w:type="dxa"/>
        </w:tblCellMar>
        <w:tblLook w:val="0000"/>
      </w:tblPr>
      <w:tblGrid>
        <w:gridCol w:w="4380"/>
        <w:gridCol w:w="720"/>
        <w:gridCol w:w="4380"/>
      </w:tblGrid>
      <w:tr w:rsidR="00EF74C1" w:rsidRPr="004A42A2" w:rsidTr="00EF74C1">
        <w:tc>
          <w:tcPr>
            <w:tcW w:w="4380" w:type="dxa"/>
            <w:tcMar>
              <w:left w:w="0" w:type="dxa"/>
              <w:right w:w="0" w:type="dxa"/>
            </w:tcMar>
          </w:tcPr>
          <w:p w:rsidR="00EF74C1" w:rsidRPr="00CC4D84" w:rsidRDefault="00EF74C1" w:rsidP="00EF74C1">
            <w:pPr>
              <w:widowControl w:val="0"/>
              <w:jc w:val="both"/>
              <w:rPr>
                <w:b/>
                <w:sz w:val="20"/>
                <w:szCs w:val="20"/>
                <w:u w:val="single"/>
              </w:rPr>
            </w:pPr>
            <w:r w:rsidRPr="00CC4D84">
              <w:rPr>
                <w:b/>
                <w:sz w:val="20"/>
                <w:szCs w:val="20"/>
                <w:u w:val="single"/>
              </w:rPr>
              <w:t>Nature of the case:</w:t>
            </w:r>
          </w:p>
          <w:p w:rsidR="00EF74C1" w:rsidRPr="00C1697B" w:rsidRDefault="00EF74C1" w:rsidP="00EF74C1">
            <w:pPr>
              <w:widowControl w:val="0"/>
              <w:jc w:val="both"/>
              <w:rPr>
                <w:b/>
                <w:sz w:val="20"/>
                <w:szCs w:val="20"/>
              </w:rPr>
            </w:pPr>
          </w:p>
          <w:p w:rsidR="00363081" w:rsidRPr="007830B4" w:rsidRDefault="00363081" w:rsidP="00363081">
            <w:pPr>
              <w:widowControl w:val="0"/>
              <w:jc w:val="both"/>
              <w:rPr>
                <w:smallCaps/>
                <w:sz w:val="20"/>
                <w:szCs w:val="20"/>
              </w:rPr>
            </w:pPr>
            <w:r w:rsidRPr="007830B4">
              <w:rPr>
                <w:smallCaps/>
                <w:sz w:val="20"/>
                <w:szCs w:val="20"/>
              </w:rPr>
              <w:t>(Publication Ban in Case) (Sealing Order)</w:t>
            </w:r>
          </w:p>
          <w:p w:rsidR="00363081" w:rsidRPr="007830B4" w:rsidRDefault="00363081" w:rsidP="00363081">
            <w:pPr>
              <w:widowControl w:val="0"/>
              <w:jc w:val="both"/>
              <w:rPr>
                <w:sz w:val="20"/>
                <w:szCs w:val="20"/>
              </w:rPr>
            </w:pPr>
          </w:p>
          <w:p w:rsidR="00363081" w:rsidRDefault="00363081" w:rsidP="00363081">
            <w:pPr>
              <w:widowControl w:val="0"/>
              <w:jc w:val="both"/>
              <w:rPr>
                <w:sz w:val="20"/>
                <w:szCs w:val="20"/>
              </w:rPr>
            </w:pPr>
          </w:p>
          <w:p w:rsidR="00EF74C1" w:rsidRPr="00C1697B" w:rsidRDefault="00363081" w:rsidP="00363081">
            <w:pPr>
              <w:widowControl w:val="0"/>
              <w:jc w:val="both"/>
              <w:rPr>
                <w:b/>
                <w:sz w:val="20"/>
                <w:szCs w:val="20"/>
              </w:rPr>
            </w:pPr>
            <w:r w:rsidRPr="007830B4">
              <w:rPr>
                <w:sz w:val="20"/>
                <w:szCs w:val="20"/>
              </w:rPr>
              <w:t xml:space="preserve">Civil procedure </w:t>
            </w:r>
            <w:r w:rsidRPr="007830B4">
              <w:rPr>
                <w:sz w:val="20"/>
                <w:szCs w:val="20"/>
              </w:rPr>
              <w:noBreakHyphen/>
              <w:t xml:space="preserve"> Confidentiality orders </w:t>
            </w:r>
            <w:r w:rsidRPr="007830B4">
              <w:rPr>
                <w:sz w:val="20"/>
                <w:szCs w:val="20"/>
              </w:rPr>
              <w:noBreakHyphen/>
              <w:t xml:space="preserve"> Defamation </w:t>
            </w:r>
            <w:r w:rsidRPr="007830B4">
              <w:rPr>
                <w:sz w:val="20"/>
                <w:szCs w:val="20"/>
              </w:rPr>
              <w:noBreakHyphen/>
              <w:t xml:space="preserve"> Appellant applying for order requiring disclosure of identity of persons who used particular IP address to create fake profile on Facebook </w:t>
            </w:r>
            <w:r w:rsidRPr="007830B4">
              <w:rPr>
                <w:sz w:val="20"/>
                <w:szCs w:val="20"/>
              </w:rPr>
              <w:noBreakHyphen/>
              <w:t xml:space="preserve"> Appellant also applying for permission to proceed by way of initials and for order prohibiting publication of allegedly defamatory statements in profile </w:t>
            </w:r>
            <w:r w:rsidRPr="007830B4">
              <w:rPr>
                <w:sz w:val="20"/>
                <w:szCs w:val="20"/>
              </w:rPr>
              <w:noBreakHyphen/>
              <w:t xml:space="preserve"> Whether a minor seeking a civil remedy for online sexualized bullying should be entitled to bring a motion to determine the identity of the intended defendant using a pseudonym and under a publication ban concerning the substance of the statement </w:t>
            </w:r>
            <w:r w:rsidRPr="007830B4">
              <w:rPr>
                <w:sz w:val="20"/>
                <w:szCs w:val="20"/>
              </w:rPr>
              <w:noBreakHyphen/>
              <w:t xml:space="preserve"> Whether a court should take notice of the inherent vulnerability of young people subject to online sexualized bullying and the serious risk of harm to them if they are required to republish the comments and reveal their identity to seek a remedy, in considering if a confidentiality order and publication ban should be granted </w:t>
            </w:r>
            <w:r w:rsidRPr="007830B4">
              <w:rPr>
                <w:sz w:val="20"/>
                <w:szCs w:val="20"/>
              </w:rPr>
              <w:noBreakHyphen/>
              <w:t xml:space="preserve"> Whether a court can invoke its </w:t>
            </w:r>
            <w:r w:rsidRPr="007830B4">
              <w:rPr>
                <w:i/>
                <w:sz w:val="20"/>
                <w:szCs w:val="20"/>
              </w:rPr>
              <w:t>parens patriae</w:t>
            </w:r>
            <w:r w:rsidRPr="007830B4">
              <w:rPr>
                <w:sz w:val="20"/>
                <w:szCs w:val="20"/>
              </w:rPr>
              <w:t xml:space="preserve"> jurisdiction to protect a child, in considering whether a confidentiality order and publication ban should be granted for a child </w:t>
            </w:r>
            <w:r w:rsidRPr="007830B4">
              <w:rPr>
                <w:sz w:val="20"/>
                <w:szCs w:val="20"/>
              </w:rPr>
              <w:lastRenderedPageBreak/>
              <w:t xml:space="preserve">subject to online sexualized bullying </w:t>
            </w:r>
            <w:r w:rsidRPr="007830B4">
              <w:rPr>
                <w:sz w:val="20"/>
                <w:szCs w:val="20"/>
              </w:rPr>
              <w:noBreakHyphen/>
              <w:t xml:space="preserve"> Whether media that choose to intervene in a motion for a publication ban should be entitled to costs if the motion is not successful, particularly when the motion involves interests broader than those of the applicant.</w:t>
            </w:r>
          </w:p>
        </w:tc>
        <w:tc>
          <w:tcPr>
            <w:tcW w:w="720" w:type="dxa"/>
            <w:tcMar>
              <w:left w:w="0" w:type="dxa"/>
              <w:right w:w="0" w:type="dxa"/>
            </w:tcMar>
          </w:tcPr>
          <w:p w:rsidR="00EF74C1" w:rsidRPr="00C1697B" w:rsidRDefault="00EF74C1" w:rsidP="00EF74C1">
            <w:pPr>
              <w:widowControl w:val="0"/>
              <w:jc w:val="center"/>
              <w:rPr>
                <w:sz w:val="20"/>
                <w:szCs w:val="20"/>
              </w:rPr>
            </w:pPr>
          </w:p>
        </w:tc>
        <w:tc>
          <w:tcPr>
            <w:tcW w:w="4380" w:type="dxa"/>
            <w:tcMar>
              <w:left w:w="0" w:type="dxa"/>
              <w:right w:w="0" w:type="dxa"/>
            </w:tcMar>
          </w:tcPr>
          <w:p w:rsidR="00EF74C1" w:rsidRPr="00CC4D84" w:rsidRDefault="00EF74C1" w:rsidP="00EF74C1">
            <w:pPr>
              <w:widowControl w:val="0"/>
              <w:jc w:val="both"/>
              <w:rPr>
                <w:b/>
                <w:sz w:val="20"/>
                <w:szCs w:val="20"/>
                <w:u w:val="single"/>
                <w:lang w:val="fr-CA"/>
              </w:rPr>
            </w:pPr>
            <w:r w:rsidRPr="00CC4D84">
              <w:rPr>
                <w:b/>
                <w:sz w:val="20"/>
                <w:szCs w:val="20"/>
                <w:u w:val="single"/>
                <w:lang w:val="fr-CA"/>
              </w:rPr>
              <w:t>Nature de la cause :</w:t>
            </w:r>
          </w:p>
          <w:p w:rsidR="00EF74C1" w:rsidRPr="00C1697B" w:rsidRDefault="00EF74C1" w:rsidP="00EF74C1">
            <w:pPr>
              <w:widowControl w:val="0"/>
              <w:jc w:val="both"/>
              <w:rPr>
                <w:sz w:val="20"/>
                <w:szCs w:val="20"/>
                <w:lang w:val="fr-CA"/>
              </w:rPr>
            </w:pPr>
          </w:p>
          <w:p w:rsidR="00363081" w:rsidRPr="00C60D80" w:rsidRDefault="00363081" w:rsidP="00363081">
            <w:pPr>
              <w:widowControl w:val="0"/>
              <w:jc w:val="both"/>
              <w:rPr>
                <w:smallCaps/>
                <w:sz w:val="20"/>
                <w:szCs w:val="20"/>
                <w:lang w:val="fr-CA"/>
              </w:rPr>
            </w:pPr>
            <w:r w:rsidRPr="00C60D80">
              <w:rPr>
                <w:smallCaps/>
                <w:sz w:val="20"/>
                <w:szCs w:val="20"/>
                <w:lang w:val="fr-CA"/>
              </w:rPr>
              <w:t>(Ordonnance de non</w:t>
            </w:r>
            <w:r w:rsidRPr="00C60D80">
              <w:rPr>
                <w:smallCaps/>
                <w:sz w:val="20"/>
                <w:szCs w:val="20"/>
                <w:lang w:val="fr-CA"/>
              </w:rPr>
              <w:noBreakHyphen/>
              <w:t>publication dans le dossier) (Ordonnance de mise sous scellés)</w:t>
            </w:r>
          </w:p>
          <w:p w:rsidR="00363081" w:rsidRPr="00C60D80" w:rsidRDefault="00363081" w:rsidP="00363081">
            <w:pPr>
              <w:widowControl w:val="0"/>
              <w:jc w:val="both"/>
              <w:rPr>
                <w:sz w:val="20"/>
                <w:szCs w:val="20"/>
                <w:lang w:val="fr-CA"/>
              </w:rPr>
            </w:pPr>
          </w:p>
          <w:p w:rsidR="00EF74C1" w:rsidRPr="00C1697B" w:rsidRDefault="00363081" w:rsidP="00363081">
            <w:pPr>
              <w:widowControl w:val="0"/>
              <w:jc w:val="both"/>
              <w:rPr>
                <w:sz w:val="20"/>
                <w:szCs w:val="20"/>
                <w:lang w:val="fr-CA"/>
              </w:rPr>
            </w:pPr>
            <w:r w:rsidRPr="00C60D80">
              <w:rPr>
                <w:sz w:val="20"/>
                <w:szCs w:val="20"/>
                <w:lang w:val="fr-CA"/>
              </w:rPr>
              <w:t xml:space="preserve">Procédure civile </w:t>
            </w:r>
            <w:r w:rsidRPr="00C60D80">
              <w:rPr>
                <w:sz w:val="20"/>
                <w:szCs w:val="20"/>
                <w:lang w:val="fr-CA"/>
              </w:rPr>
              <w:noBreakHyphen/>
              <w:t xml:space="preserve"> Ordonnances de confidentialité </w:t>
            </w:r>
            <w:r w:rsidRPr="00C60D80">
              <w:rPr>
                <w:sz w:val="20"/>
                <w:szCs w:val="20"/>
                <w:lang w:val="fr-CA"/>
              </w:rPr>
              <w:noBreakHyphen/>
              <w:t xml:space="preserve"> Diffamation </w:t>
            </w:r>
            <w:r w:rsidRPr="00C60D80">
              <w:rPr>
                <w:sz w:val="20"/>
                <w:szCs w:val="20"/>
                <w:lang w:val="fr-CA"/>
              </w:rPr>
              <w:noBreakHyphen/>
              <w:t xml:space="preserve"> L’appelante sollicite une ordonnance de divulgation de l’identité des personnes qui ont utilisé une adresse IP particulière pour créer un faux profil sur Facebook </w:t>
            </w:r>
            <w:r w:rsidRPr="00C60D80">
              <w:rPr>
                <w:sz w:val="20"/>
                <w:szCs w:val="20"/>
                <w:lang w:val="fr-CA"/>
              </w:rPr>
              <w:noBreakHyphen/>
              <w:t xml:space="preserve"> L’appelante sollicite également la permission de procéder par voie d’initiales et une ordonnance de non</w:t>
            </w:r>
            <w:r w:rsidRPr="00C60D80">
              <w:rPr>
                <w:sz w:val="20"/>
                <w:szCs w:val="20"/>
                <w:lang w:val="fr-CA"/>
              </w:rPr>
              <w:noBreakHyphen/>
              <w:t xml:space="preserve">publication de déclarations censément diffamatoires dans le profil </w:t>
            </w:r>
            <w:r w:rsidRPr="00C60D80">
              <w:rPr>
                <w:sz w:val="20"/>
                <w:szCs w:val="20"/>
                <w:lang w:val="fr-CA"/>
              </w:rPr>
              <w:noBreakHyphen/>
              <w:t xml:space="preserve"> Un mineur qui demande une réparation civile pour harcèlement à caractère sexuel en ligne devrait</w:t>
            </w:r>
            <w:r w:rsidRPr="00C60D80">
              <w:rPr>
                <w:sz w:val="20"/>
                <w:szCs w:val="20"/>
                <w:lang w:val="fr-CA"/>
              </w:rPr>
              <w:noBreakHyphen/>
              <w:t>il avoir le droit de présenter une requête pour déterminer l’identité du défendeur visé sous un pseudonyme et sous le régime d’une ordonnance de non</w:t>
            </w:r>
            <w:r w:rsidRPr="00C60D80">
              <w:rPr>
                <w:sz w:val="20"/>
                <w:szCs w:val="20"/>
                <w:lang w:val="fr-CA"/>
              </w:rPr>
              <w:noBreakHyphen/>
              <w:t xml:space="preserve">publication portant sur la substance de la déclaration? </w:t>
            </w:r>
            <w:r w:rsidRPr="00C60D80">
              <w:rPr>
                <w:sz w:val="20"/>
                <w:szCs w:val="20"/>
                <w:lang w:val="fr-CA"/>
              </w:rPr>
              <w:noBreakHyphen/>
              <w:t xml:space="preserve"> En considérant la question de savoir s’il y a lieu de prononcer une ordonnance de confidentialité et une ordonnance de non</w:t>
            </w:r>
            <w:r w:rsidRPr="00C60D80">
              <w:rPr>
                <w:sz w:val="20"/>
                <w:szCs w:val="20"/>
                <w:lang w:val="fr-CA"/>
              </w:rPr>
              <w:noBreakHyphen/>
              <w:t>publication, le tribunal doit</w:t>
            </w:r>
            <w:r w:rsidRPr="00C60D80">
              <w:rPr>
                <w:sz w:val="20"/>
                <w:szCs w:val="20"/>
                <w:lang w:val="fr-CA"/>
              </w:rPr>
              <w:noBreakHyphen/>
              <w:t xml:space="preserve">il admettre d’office la vulnérabilité inhérente des adolescents qui font l’objet de harcèlement à caractère sexuel en ligne et du risque grave de préjudice qu’ils peuvent subir s’ils sont tenus de publier de nouveau les commentaires et de révéler </w:t>
            </w:r>
            <w:r w:rsidRPr="00C60D80">
              <w:rPr>
                <w:sz w:val="20"/>
                <w:szCs w:val="20"/>
                <w:lang w:val="fr-CA"/>
              </w:rPr>
              <w:lastRenderedPageBreak/>
              <w:t xml:space="preserve">leur identité pour obtenir une réparation? </w:t>
            </w:r>
            <w:r w:rsidRPr="00C60D80">
              <w:rPr>
                <w:sz w:val="20"/>
                <w:szCs w:val="20"/>
                <w:lang w:val="fr-CA"/>
              </w:rPr>
              <w:noBreakHyphen/>
              <w:t xml:space="preserve"> En considérant la question de savoir s’il y a lieu de prononcer une ordonnance de confidentialité et une ordonnance de non</w:t>
            </w:r>
            <w:r w:rsidRPr="00C60D80">
              <w:rPr>
                <w:sz w:val="20"/>
                <w:szCs w:val="20"/>
                <w:lang w:val="fr-CA"/>
              </w:rPr>
              <w:noBreakHyphen/>
              <w:t>publication en faveur d’un enfant qui fait l’objet de harcèlement à caractère sexuel en ligne, le tribunal peut</w:t>
            </w:r>
            <w:r w:rsidRPr="00C60D80">
              <w:rPr>
                <w:sz w:val="20"/>
                <w:szCs w:val="20"/>
                <w:lang w:val="fr-CA"/>
              </w:rPr>
              <w:noBreakHyphen/>
              <w:t xml:space="preserve">il invoquer sa compétence </w:t>
            </w:r>
            <w:r w:rsidRPr="00C60D80">
              <w:rPr>
                <w:i/>
                <w:sz w:val="20"/>
                <w:szCs w:val="20"/>
                <w:lang w:val="fr-CA"/>
              </w:rPr>
              <w:t>parens patriae</w:t>
            </w:r>
            <w:r w:rsidRPr="00C60D80">
              <w:rPr>
                <w:sz w:val="20"/>
                <w:szCs w:val="20"/>
                <w:lang w:val="fr-CA"/>
              </w:rPr>
              <w:t xml:space="preserve"> pour protéger l’enfant? </w:t>
            </w:r>
            <w:r w:rsidRPr="00C60D80">
              <w:rPr>
                <w:sz w:val="20"/>
                <w:szCs w:val="20"/>
                <w:lang w:val="fr-CA"/>
              </w:rPr>
              <w:noBreakHyphen/>
              <w:t xml:space="preserve"> Les médias qui choisissent d’intervenir dans une requête visant à obtenir une ordonnance de non</w:t>
            </w:r>
            <w:r w:rsidRPr="00C60D80">
              <w:rPr>
                <w:sz w:val="20"/>
                <w:szCs w:val="20"/>
                <w:lang w:val="fr-CA"/>
              </w:rPr>
              <w:noBreakHyphen/>
              <w:t>publication devraient</w:t>
            </w:r>
            <w:r w:rsidRPr="00C60D80">
              <w:rPr>
                <w:sz w:val="20"/>
                <w:szCs w:val="20"/>
                <w:lang w:val="fr-CA"/>
              </w:rPr>
              <w:noBreakHyphen/>
              <w:t>ils avoir le droit aux dépens si la requête est rejetée, en particulier lorsque la requête porte sur des intérêts qui dépassent ceux du requérant?</w:t>
            </w:r>
          </w:p>
        </w:tc>
      </w:tr>
    </w:tbl>
    <w:p w:rsidR="00EF74C1" w:rsidRDefault="00EF74C1" w:rsidP="00EF74C1">
      <w:pPr>
        <w:widowControl w:val="0"/>
        <w:rPr>
          <w:sz w:val="20"/>
          <w:szCs w:val="20"/>
          <w:lang w:val="fr-CA"/>
        </w:rPr>
      </w:pPr>
    </w:p>
    <w:p w:rsidR="00EF74C1" w:rsidRDefault="00B44839" w:rsidP="00EF74C1">
      <w:pPr>
        <w:widowControl w:val="0"/>
        <w:rPr>
          <w:sz w:val="20"/>
          <w:szCs w:val="20"/>
        </w:rPr>
      </w:pPr>
      <w:r w:rsidRPr="00B44839">
        <w:rPr>
          <w:sz w:val="20"/>
          <w:szCs w:val="20"/>
          <w:lang w:val="fr-CA"/>
        </w:rPr>
        <w:pict>
          <v:rect id="_x0000_i1094" style="width:2in;height:1pt" o:hrpct="0" o:hralign="center" o:hrstd="t" o:hrnoshade="t" o:hr="t" fillcolor="black [3213]" stroked="f"/>
        </w:pict>
      </w:r>
    </w:p>
    <w:p w:rsidR="00EF74C1" w:rsidRDefault="00EF74C1" w:rsidP="00EF74C1">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A42A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2A323F" w:rsidRDefault="00AF1715" w:rsidP="00AF1715">
      <w:pPr>
        <w:rPr>
          <w:b/>
          <w:sz w:val="20"/>
          <w:szCs w:val="20"/>
          <w:lang w:val="fr-CA"/>
        </w:rPr>
      </w:pPr>
      <w:r w:rsidRPr="002A323F">
        <w:rPr>
          <w:b/>
          <w:sz w:val="20"/>
          <w:szCs w:val="20"/>
          <w:lang w:val="fr-CA"/>
        </w:rPr>
        <w:t>M</w:t>
      </w:r>
      <w:r w:rsidR="00B70530" w:rsidRPr="002A323F">
        <w:rPr>
          <w:b/>
          <w:sz w:val="20"/>
          <w:szCs w:val="20"/>
          <w:lang w:val="fr-CA"/>
        </w:rPr>
        <w:t>AY 11</w:t>
      </w:r>
      <w:r w:rsidRPr="002A323F">
        <w:rPr>
          <w:b/>
          <w:sz w:val="20"/>
          <w:szCs w:val="20"/>
          <w:lang w:val="fr-CA"/>
        </w:rPr>
        <w:t>, 201</w:t>
      </w:r>
      <w:r w:rsidR="00B70530" w:rsidRPr="002A323F">
        <w:rPr>
          <w:b/>
          <w:sz w:val="20"/>
          <w:szCs w:val="20"/>
          <w:lang w:val="fr-CA"/>
        </w:rPr>
        <w:t>2</w:t>
      </w:r>
      <w:r w:rsidRPr="002A323F">
        <w:rPr>
          <w:b/>
          <w:sz w:val="20"/>
          <w:szCs w:val="20"/>
          <w:lang w:val="fr-CA"/>
        </w:rPr>
        <w:t xml:space="preserve"> / LE </w:t>
      </w:r>
      <w:r w:rsidR="00B70530" w:rsidRPr="002A323F">
        <w:rPr>
          <w:b/>
          <w:sz w:val="20"/>
          <w:szCs w:val="20"/>
          <w:lang w:val="fr-CA"/>
        </w:rPr>
        <w:t>11</w:t>
      </w:r>
      <w:r w:rsidRPr="002A323F">
        <w:rPr>
          <w:b/>
          <w:sz w:val="20"/>
          <w:szCs w:val="20"/>
          <w:lang w:val="fr-CA"/>
        </w:rPr>
        <w:t xml:space="preserve"> M</w:t>
      </w:r>
      <w:r w:rsidR="00B70530" w:rsidRPr="002A323F">
        <w:rPr>
          <w:b/>
          <w:sz w:val="20"/>
          <w:szCs w:val="20"/>
          <w:lang w:val="fr-CA"/>
        </w:rPr>
        <w:t>AI</w:t>
      </w:r>
      <w:r w:rsidRPr="002A323F">
        <w:rPr>
          <w:b/>
          <w:sz w:val="20"/>
          <w:szCs w:val="20"/>
          <w:lang w:val="fr-CA"/>
        </w:rPr>
        <w:t xml:space="preserve"> 201</w:t>
      </w:r>
      <w:r w:rsidR="00B70530" w:rsidRPr="002A323F">
        <w:rPr>
          <w:b/>
          <w:sz w:val="20"/>
          <w:szCs w:val="20"/>
          <w:lang w:val="fr-CA"/>
        </w:rPr>
        <w:t>2</w:t>
      </w:r>
    </w:p>
    <w:p w:rsidR="00AF1715" w:rsidRPr="002A323F" w:rsidRDefault="00AF1715" w:rsidP="00AF1715">
      <w:pPr>
        <w:rPr>
          <w:sz w:val="20"/>
          <w:szCs w:val="20"/>
          <w:lang w:val="fr-CA"/>
        </w:rPr>
      </w:pPr>
    </w:p>
    <w:p w:rsidR="008B2358" w:rsidRPr="008B2358" w:rsidRDefault="008B2358" w:rsidP="008B2358">
      <w:pPr>
        <w:ind w:left="1440" w:hanging="1440"/>
        <w:jc w:val="both"/>
        <w:rPr>
          <w:sz w:val="20"/>
          <w:szCs w:val="20"/>
          <w:lang w:val="fr-CA"/>
        </w:rPr>
      </w:pPr>
      <w:r w:rsidRPr="008B2358">
        <w:rPr>
          <w:b/>
          <w:sz w:val="20"/>
          <w:szCs w:val="20"/>
          <w:lang w:val="fr-CA"/>
        </w:rPr>
        <w:t>34038</w:t>
      </w:r>
      <w:r w:rsidRPr="008B2358">
        <w:rPr>
          <w:b/>
          <w:sz w:val="20"/>
          <w:szCs w:val="20"/>
          <w:lang w:val="fr-CA"/>
        </w:rPr>
        <w:tab/>
      </w:r>
      <w:r w:rsidRPr="008B2358">
        <w:rPr>
          <w:b/>
          <w:sz w:val="20"/>
          <w:szCs w:val="20"/>
          <w:u w:val="single"/>
          <w:lang w:val="fr-CA"/>
        </w:rPr>
        <w:t>Sa Majesté la Reine c. R.P.</w:t>
      </w:r>
      <w:r w:rsidRPr="008B2358">
        <w:rPr>
          <w:b/>
          <w:sz w:val="20"/>
          <w:szCs w:val="20"/>
          <w:lang w:val="fr-CA"/>
        </w:rPr>
        <w:t xml:space="preserve"> </w:t>
      </w:r>
      <w:r w:rsidRPr="008B2358">
        <w:rPr>
          <w:sz w:val="20"/>
          <w:szCs w:val="20"/>
          <w:lang w:val="fr-CA"/>
        </w:rPr>
        <w:t xml:space="preserve">(Qc) </w:t>
      </w:r>
    </w:p>
    <w:p w:rsidR="008B2358" w:rsidRPr="008B2358" w:rsidRDefault="008B2358" w:rsidP="008B2358">
      <w:pPr>
        <w:ind w:left="1440" w:hanging="1440"/>
        <w:jc w:val="both"/>
        <w:rPr>
          <w:b/>
          <w:sz w:val="20"/>
          <w:szCs w:val="20"/>
          <w:lang w:val="fr-CA"/>
        </w:rPr>
      </w:pPr>
      <w:r w:rsidRPr="008B2358">
        <w:rPr>
          <w:b/>
          <w:sz w:val="20"/>
          <w:szCs w:val="20"/>
          <w:lang w:val="fr-CA"/>
        </w:rPr>
        <w:tab/>
        <w:t>2012 SCC 22 / 2012 CSC 22</w:t>
      </w:r>
    </w:p>
    <w:p w:rsidR="008B2358" w:rsidRPr="008B2358" w:rsidRDefault="008B2358" w:rsidP="008B2358">
      <w:pPr>
        <w:ind w:left="1440" w:hanging="1440"/>
        <w:jc w:val="both"/>
        <w:rPr>
          <w:b/>
          <w:sz w:val="20"/>
          <w:szCs w:val="20"/>
          <w:lang w:val="fr-CA"/>
        </w:rPr>
      </w:pPr>
    </w:p>
    <w:p w:rsidR="008B2358" w:rsidRPr="0046020A" w:rsidRDefault="008B2358" w:rsidP="008B2358">
      <w:pPr>
        <w:ind w:left="1440" w:hanging="1440"/>
        <w:jc w:val="both"/>
        <w:rPr>
          <w:sz w:val="20"/>
          <w:szCs w:val="20"/>
          <w:u w:val="single"/>
          <w:lang w:val="fr-CA"/>
        </w:rPr>
      </w:pPr>
      <w:r w:rsidRPr="0046020A">
        <w:rPr>
          <w:sz w:val="20"/>
          <w:szCs w:val="20"/>
          <w:lang w:val="fr-CA"/>
        </w:rPr>
        <w:t>Coram:</w:t>
      </w:r>
      <w:r>
        <w:rPr>
          <w:sz w:val="20"/>
          <w:szCs w:val="20"/>
          <w:lang w:val="fr-CA"/>
        </w:rPr>
        <w:tab/>
      </w:r>
      <w:r w:rsidRPr="0046020A">
        <w:rPr>
          <w:sz w:val="20"/>
          <w:szCs w:val="20"/>
          <w:u w:val="single"/>
          <w:lang w:val="fr-CA"/>
        </w:rPr>
        <w:t>Les juges LeBel, Deschamps, Fish, Abella, Cromwell, Moldaver et Karakatsanis</w:t>
      </w:r>
    </w:p>
    <w:p w:rsidR="008B2358" w:rsidRPr="0046020A" w:rsidRDefault="008B2358" w:rsidP="008B235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8B2358" w:rsidRPr="0046020A" w:rsidRDefault="008B2358" w:rsidP="008B2358">
      <w:pPr>
        <w:jc w:val="both"/>
        <w:rPr>
          <w:rFonts w:eastAsia="Calibri"/>
          <w:sz w:val="20"/>
          <w:szCs w:val="20"/>
        </w:rPr>
      </w:pPr>
      <w:r w:rsidRPr="0046020A">
        <w:rPr>
          <w:rFonts w:eastAsia="Calibri"/>
          <w:sz w:val="20"/>
          <w:szCs w:val="20"/>
          <w:lang w:val="fr-CA"/>
        </w:rPr>
        <w:t xml:space="preserve">L’appel interjeté contre l’arrêt de la Cour d’appel du Québec (Québec), numéro 200-10-002302-086, 2010 QCCA 2237, en date du 3 décembre 2010, entendu le 16 décembre 2011, est accueilli et le verdict prononcé par le juge du procès est rétabli. </w:t>
      </w:r>
      <w:r w:rsidRPr="0046020A">
        <w:rPr>
          <w:rFonts w:eastAsia="Calibri"/>
          <w:sz w:val="20"/>
          <w:szCs w:val="20"/>
        </w:rPr>
        <w:t>Les juges LeBel et Fish sont dissidents.</w:t>
      </w:r>
    </w:p>
    <w:p w:rsidR="008B2358" w:rsidRPr="0046020A" w:rsidRDefault="008B2358" w:rsidP="008B2358">
      <w:pPr>
        <w:jc w:val="both"/>
        <w:rPr>
          <w:rFonts w:eastAsia="Calibri"/>
          <w:sz w:val="20"/>
          <w:szCs w:val="20"/>
        </w:rPr>
      </w:pPr>
    </w:p>
    <w:p w:rsidR="008B2358" w:rsidRPr="0046020A" w:rsidRDefault="008B2358" w:rsidP="008B2358">
      <w:pPr>
        <w:jc w:val="both"/>
        <w:rPr>
          <w:rFonts w:eastAsia="Calibri"/>
          <w:sz w:val="20"/>
          <w:szCs w:val="20"/>
        </w:rPr>
      </w:pPr>
      <w:r w:rsidRPr="0046020A">
        <w:rPr>
          <w:rFonts w:eastAsia="Calibri"/>
          <w:sz w:val="20"/>
          <w:szCs w:val="20"/>
        </w:rPr>
        <w:t>The appeal from the judgment of the Court of Appeal of Quebec (Québec), Number 200-10-002302-086, 2010 QCCA 2237, dated December 3, 2010, heard on December 16, 2011, is allowed and the trial judge’s verdict is restored. LeBel and Fish JJ. are dissenting.</w:t>
      </w:r>
    </w:p>
    <w:p w:rsidR="00B70530" w:rsidRDefault="00B70530" w:rsidP="00AF1715">
      <w:pPr>
        <w:rPr>
          <w:sz w:val="20"/>
          <w:szCs w:val="20"/>
        </w:rPr>
      </w:pPr>
    </w:p>
    <w:p w:rsidR="00AF1715" w:rsidRPr="003B3977" w:rsidRDefault="00B44839" w:rsidP="00AF1715">
      <w:pPr>
        <w:spacing w:line="0" w:lineRule="atLeast"/>
        <w:rPr>
          <w:sz w:val="20"/>
          <w:szCs w:val="20"/>
        </w:rPr>
      </w:pPr>
      <w:r w:rsidRPr="00B44839">
        <w:rPr>
          <w:b/>
          <w:sz w:val="20"/>
          <w:szCs w:val="20"/>
        </w:rPr>
        <w:pict>
          <v:rect id="_x0000_i1097"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70530" w:rsidRDefault="00B70530" w:rsidP="005C6840">
      <w:pPr>
        <w:rPr>
          <w:rFonts w:eastAsia="Calibri" w:cs="Times New Roman"/>
          <w:sz w:val="20"/>
          <w:szCs w:val="20"/>
          <w:lang w:val="fr-CA"/>
        </w:rPr>
      </w:pPr>
      <w:r w:rsidRPr="008652BE">
        <w:rPr>
          <w:rFonts w:eastAsia="Calibri" w:cs="Times New Roman"/>
          <w:i/>
          <w:sz w:val="20"/>
          <w:szCs w:val="20"/>
          <w:lang w:val="fr-CA"/>
        </w:rPr>
        <w:t>Sa Majesté la Reine c. R.P.</w:t>
      </w:r>
      <w:r w:rsidRPr="008652BE">
        <w:rPr>
          <w:rFonts w:eastAsia="Calibri" w:cs="Times New Roman"/>
          <w:sz w:val="20"/>
          <w:szCs w:val="20"/>
          <w:lang w:val="fr-CA"/>
        </w:rPr>
        <w:t xml:space="preserve"> (Qc) (34038)</w:t>
      </w:r>
    </w:p>
    <w:p w:rsidR="00B70530" w:rsidRPr="001818B3" w:rsidRDefault="001818B3" w:rsidP="005C6840">
      <w:pPr>
        <w:rPr>
          <w:rFonts w:cs="Times New Roman"/>
          <w:i/>
          <w:sz w:val="20"/>
          <w:szCs w:val="20"/>
        </w:rPr>
      </w:pPr>
      <w:r w:rsidRPr="004F002E">
        <w:rPr>
          <w:b/>
          <w:sz w:val="20"/>
        </w:rPr>
        <w:t xml:space="preserve">Indexed as:  R. </w:t>
      </w:r>
      <w:r w:rsidRPr="004F002E">
        <w:rPr>
          <w:b/>
          <w:i/>
          <w:sz w:val="20"/>
        </w:rPr>
        <w:t>v.</w:t>
      </w:r>
      <w:r w:rsidRPr="004F002E">
        <w:rPr>
          <w:b/>
          <w:sz w:val="20"/>
        </w:rPr>
        <w:t xml:space="preserve"> R.P.</w:t>
      </w:r>
      <w:r>
        <w:rPr>
          <w:b/>
          <w:sz w:val="20"/>
        </w:rPr>
        <w:t xml:space="preserve"> / </w:t>
      </w:r>
      <w:r w:rsidRPr="003D5ECA">
        <w:rPr>
          <w:b/>
          <w:sz w:val="20"/>
        </w:rPr>
        <w:t xml:space="preserve">Répertorié : R. </w:t>
      </w:r>
      <w:r w:rsidRPr="003D5ECA">
        <w:rPr>
          <w:b/>
          <w:i/>
          <w:sz w:val="20"/>
        </w:rPr>
        <w:t>c.</w:t>
      </w:r>
      <w:r w:rsidRPr="003D5ECA">
        <w:rPr>
          <w:b/>
          <w:sz w:val="20"/>
        </w:rPr>
        <w:t xml:space="preserve"> R.P.</w:t>
      </w:r>
    </w:p>
    <w:p w:rsidR="005C6840" w:rsidRPr="003B3977" w:rsidRDefault="005C6840" w:rsidP="005C6840">
      <w:pPr>
        <w:pStyle w:val="SCCSystemYear"/>
        <w:jc w:val="both"/>
        <w:rPr>
          <w:sz w:val="20"/>
        </w:rPr>
      </w:pPr>
      <w:r w:rsidRPr="003B3977">
        <w:rPr>
          <w:sz w:val="20"/>
        </w:rPr>
        <w:t>Neutral citation:  201</w:t>
      </w:r>
      <w:r w:rsidR="00B70530">
        <w:rPr>
          <w:sz w:val="20"/>
        </w:rPr>
        <w:t>2</w:t>
      </w:r>
      <w:r w:rsidRPr="003B3977">
        <w:rPr>
          <w:sz w:val="20"/>
        </w:rPr>
        <w:t xml:space="preserve"> SCC </w:t>
      </w:r>
      <w:r w:rsidR="00B70530">
        <w:rPr>
          <w:sz w:val="20"/>
        </w:rPr>
        <w:t>22</w:t>
      </w:r>
      <w:r w:rsidRPr="003B3977">
        <w:rPr>
          <w:sz w:val="20"/>
        </w:rPr>
        <w:t xml:space="preserve"> / Référence neutre : 201</w:t>
      </w:r>
      <w:r w:rsidR="00B70530">
        <w:rPr>
          <w:sz w:val="20"/>
        </w:rPr>
        <w:t>2</w:t>
      </w:r>
      <w:r w:rsidRPr="003B3977">
        <w:rPr>
          <w:sz w:val="20"/>
        </w:rPr>
        <w:t xml:space="preserve"> CSC </w:t>
      </w:r>
      <w:r w:rsidR="00B70530">
        <w:rPr>
          <w:sz w:val="20"/>
        </w:rPr>
        <w:t>22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1818B3">
        <w:rPr>
          <w:rFonts w:cs="Times New Roman"/>
          <w:sz w:val="20"/>
          <w:szCs w:val="20"/>
          <w:lang w:val="fr-CA"/>
        </w:rPr>
        <w:t>December 16</w:t>
      </w:r>
      <w:r w:rsidRPr="003B3977">
        <w:rPr>
          <w:rFonts w:cs="Times New Roman"/>
          <w:sz w:val="20"/>
          <w:szCs w:val="20"/>
          <w:lang w:val="fr-CA"/>
        </w:rPr>
        <w:t>, 201</w:t>
      </w:r>
      <w:r w:rsidR="001818B3">
        <w:rPr>
          <w:rFonts w:cs="Times New Roman"/>
          <w:sz w:val="20"/>
          <w:szCs w:val="20"/>
          <w:lang w:val="fr-CA"/>
        </w:rPr>
        <w:t>1</w:t>
      </w:r>
      <w:r w:rsidRPr="003B3977">
        <w:rPr>
          <w:rFonts w:cs="Times New Roman"/>
          <w:sz w:val="20"/>
          <w:szCs w:val="20"/>
          <w:lang w:val="fr-CA"/>
        </w:rPr>
        <w:t xml:space="preserve"> / Judgment:  </w:t>
      </w:r>
      <w:r w:rsidR="00B70530">
        <w:rPr>
          <w:rFonts w:cs="Times New Roman"/>
          <w:sz w:val="20"/>
          <w:szCs w:val="20"/>
          <w:lang w:val="fr-CA"/>
        </w:rPr>
        <w:t>May 11</w:t>
      </w:r>
      <w:r w:rsidRPr="003B3977">
        <w:rPr>
          <w:rFonts w:cs="Times New Roman"/>
          <w:sz w:val="20"/>
          <w:szCs w:val="20"/>
          <w:lang w:val="fr-CA"/>
        </w:rPr>
        <w:t>, 201</w:t>
      </w:r>
      <w:r w:rsidR="00B70530">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1818B3">
        <w:rPr>
          <w:rFonts w:cs="Times New Roman"/>
          <w:sz w:val="20"/>
          <w:szCs w:val="20"/>
          <w:lang w:val="fr-CA"/>
        </w:rPr>
        <w:t>16 décem</w:t>
      </w:r>
      <w:r w:rsidRPr="003B3977">
        <w:rPr>
          <w:rFonts w:cs="Times New Roman"/>
          <w:sz w:val="20"/>
          <w:szCs w:val="20"/>
          <w:lang w:val="fr-CA"/>
        </w:rPr>
        <w:t>bre 201</w:t>
      </w:r>
      <w:r w:rsidR="001818B3">
        <w:rPr>
          <w:rFonts w:cs="Times New Roman"/>
          <w:sz w:val="20"/>
          <w:szCs w:val="20"/>
          <w:lang w:val="fr-CA"/>
        </w:rPr>
        <w:t>1</w:t>
      </w:r>
      <w:r w:rsidRPr="003B3977">
        <w:rPr>
          <w:rFonts w:cs="Times New Roman"/>
          <w:sz w:val="20"/>
          <w:szCs w:val="20"/>
          <w:lang w:val="fr-CA"/>
        </w:rPr>
        <w:t xml:space="preserve"> / Jugement : Le </w:t>
      </w:r>
      <w:r w:rsidR="00B70530">
        <w:rPr>
          <w:rFonts w:cs="Times New Roman"/>
          <w:sz w:val="20"/>
          <w:szCs w:val="20"/>
          <w:lang w:val="fr-CA"/>
        </w:rPr>
        <w:t>11</w:t>
      </w:r>
      <w:r w:rsidRPr="003B3977">
        <w:rPr>
          <w:rFonts w:cs="Times New Roman"/>
          <w:sz w:val="20"/>
          <w:szCs w:val="20"/>
          <w:lang w:val="fr-CA"/>
        </w:rPr>
        <w:t xml:space="preserve"> </w:t>
      </w:r>
      <w:r w:rsidR="00B70530">
        <w:rPr>
          <w:rFonts w:cs="Times New Roman"/>
          <w:sz w:val="20"/>
          <w:szCs w:val="20"/>
          <w:lang w:val="fr-CA"/>
        </w:rPr>
        <w:t>mai</w:t>
      </w:r>
      <w:r w:rsidRPr="003B3977">
        <w:rPr>
          <w:rFonts w:cs="Times New Roman"/>
          <w:sz w:val="20"/>
          <w:szCs w:val="20"/>
          <w:lang w:val="fr-CA"/>
        </w:rPr>
        <w:t xml:space="preserve"> 201</w:t>
      </w:r>
      <w:r w:rsidR="00B70530">
        <w:rPr>
          <w:rFonts w:cs="Times New Roman"/>
          <w:sz w:val="20"/>
          <w:szCs w:val="20"/>
          <w:lang w:val="fr-CA"/>
        </w:rPr>
        <w:t>2</w:t>
      </w:r>
    </w:p>
    <w:p w:rsidR="005C6840" w:rsidRPr="003B3977" w:rsidRDefault="00B44839" w:rsidP="005C6840">
      <w:pPr>
        <w:rPr>
          <w:rFonts w:cs="Times New Roman"/>
          <w:sz w:val="20"/>
          <w:szCs w:val="20"/>
          <w:lang w:val="fr-CA"/>
        </w:rPr>
      </w:pPr>
      <w:r w:rsidRPr="00B44839">
        <w:rPr>
          <w:rFonts w:cs="Times New Roman"/>
          <w:i/>
          <w:sz w:val="20"/>
          <w:szCs w:val="20"/>
        </w:rPr>
        <w:pict>
          <v:rect id="_x0000_i1100" style="width:480.95pt;height:1pt" o:hralign="center" o:hrstd="t" o:hrnoshade="t" o:hr="t" fillcolor="black [3213]" stroked="f"/>
        </w:pict>
      </w:r>
    </w:p>
    <w:p w:rsidR="001818B3" w:rsidRDefault="001818B3" w:rsidP="001818B3">
      <w:pPr>
        <w:jc w:val="both"/>
        <w:rPr>
          <w:sz w:val="20"/>
          <w:lang w:val="fr-CA"/>
        </w:rPr>
      </w:pPr>
    </w:p>
    <w:p w:rsidR="001818B3" w:rsidRPr="001818B3" w:rsidRDefault="001818B3" w:rsidP="001818B3">
      <w:pPr>
        <w:jc w:val="both"/>
        <w:rPr>
          <w:sz w:val="20"/>
          <w:lang w:val="fr-CA"/>
        </w:rPr>
      </w:pPr>
      <w:r w:rsidRPr="001818B3">
        <w:rPr>
          <w:sz w:val="20"/>
          <w:lang w:val="fr-CA"/>
        </w:rPr>
        <w:t>Présents : Les juges LeBel, Deschamps, Fish, Abella, Cromwell, Moldaver et Karakatsanis.</w:t>
      </w:r>
    </w:p>
    <w:p w:rsidR="001818B3" w:rsidRPr="001818B3" w:rsidRDefault="001818B3" w:rsidP="001818B3">
      <w:pPr>
        <w:pStyle w:val="SCCLowerCourtNameLowercase"/>
        <w:spacing w:line="240" w:lineRule="auto"/>
        <w:rPr>
          <w:sz w:val="20"/>
          <w:lang w:val="fr-CA"/>
        </w:rPr>
      </w:pPr>
    </w:p>
    <w:p w:rsidR="001818B3" w:rsidRPr="001818B3" w:rsidRDefault="001818B3" w:rsidP="001818B3">
      <w:pPr>
        <w:pStyle w:val="SCCNormalDoubleSpacing"/>
        <w:spacing w:line="240" w:lineRule="auto"/>
        <w:rPr>
          <w:i/>
          <w:sz w:val="20"/>
          <w:lang w:val="fr-CA"/>
        </w:rPr>
      </w:pPr>
      <w:r w:rsidRPr="001818B3">
        <w:rPr>
          <w:sz w:val="20"/>
          <w:lang w:val="fr-CA"/>
        </w:rPr>
        <w:tab/>
      </w:r>
      <w:r w:rsidRPr="001818B3">
        <w:rPr>
          <w:i/>
          <w:sz w:val="20"/>
          <w:lang w:val="fr-CA"/>
        </w:rPr>
        <w:t>Droit criminel — Appels — Pouvoir d’une cour d’appel — Verdict déraisonnable — Crédibilité des témoins — Juge du procès concluant que l’ensemble de la preuve testimoniale n’est pas de nature à soulever un doute raisonnable quant à la culpabilité de l’accusé relativement à une accusation d’attentat à la pudeur concernant des événements survenus plus de 30 ans auparavant — Le verdict est</w:t>
      </w:r>
      <w:r w:rsidRPr="001818B3">
        <w:rPr>
          <w:i/>
          <w:sz w:val="20"/>
          <w:lang w:val="fr-CA"/>
        </w:rPr>
        <w:noBreakHyphen/>
        <w:t>il déraisonnable? — Code criminel, L.R.C. 1985, ch. C</w:t>
      </w:r>
      <w:r w:rsidRPr="001818B3">
        <w:rPr>
          <w:i/>
          <w:sz w:val="20"/>
          <w:lang w:val="fr-CA"/>
        </w:rPr>
        <w:noBreakHyphen/>
        <w:t>46, art. 686(1)a)(i).</w:t>
      </w:r>
    </w:p>
    <w:p w:rsidR="001818B3" w:rsidRPr="001818B3" w:rsidRDefault="001818B3" w:rsidP="001818B3">
      <w:pPr>
        <w:pStyle w:val="SCCNormalDoubleSpacing"/>
        <w:spacing w:line="240" w:lineRule="auto"/>
        <w:rPr>
          <w:sz w:val="20"/>
          <w:lang w:val="fr-CA"/>
        </w:rPr>
      </w:pPr>
    </w:p>
    <w:p w:rsidR="001818B3" w:rsidRPr="001818B3" w:rsidRDefault="001818B3" w:rsidP="001818B3">
      <w:pPr>
        <w:pStyle w:val="SCCNormalDoubleSpacing"/>
        <w:spacing w:line="240" w:lineRule="auto"/>
        <w:rPr>
          <w:sz w:val="20"/>
          <w:lang w:val="fr-CA"/>
        </w:rPr>
      </w:pPr>
      <w:r w:rsidRPr="001818B3">
        <w:rPr>
          <w:sz w:val="20"/>
          <w:lang w:val="fr-CA"/>
        </w:rPr>
        <w:tab/>
        <w:t>R.P. a été déclaré coupable d’avoir attenté à la pudeur de M.L., sa belle</w:t>
      </w:r>
      <w:r w:rsidRPr="001818B3">
        <w:rPr>
          <w:sz w:val="20"/>
          <w:lang w:val="fr-CA"/>
        </w:rPr>
        <w:noBreakHyphen/>
        <w:t>soeur.  Le procès a été tenu plus de 30 ans après les actes reprochés.  M.L. soutenait que les abus survenaient lorsqu’elle allait garder les enfants de sa sœur G.L. et de R.P., parfois dans la demeure de ces derniers, parfois dans leur voiture, lorsque R.P. la reconduisait chez elle.  Le juge du procès n’a pas cru R.P. et a exposé de nombreuses raisons qui l’ont amené à conclure que le témoignage de M.L. était crédible.  Il a retenu les témoignages des policiers.  Il a été d’avis que la poursuite avait prouvé hors de tout doute raisonnable la commission de l’infraction.  La Cour d’appel, à la majorité, a jugé que le verdict était déraisonnable à la lumière de la preuve et a prononcé un acquittement.  La juge dissidente était d’avis que le juge du procès n’avait pas commis d’erreur manifeste et dominante dans l’appréciation de la preuve et que le verdict n’était pas déraisonnable.</w:t>
      </w:r>
    </w:p>
    <w:p w:rsidR="001818B3" w:rsidRPr="001818B3" w:rsidRDefault="001818B3" w:rsidP="001818B3">
      <w:pPr>
        <w:pStyle w:val="SCCNormalDoubleSpacing"/>
        <w:spacing w:line="240" w:lineRule="auto"/>
        <w:rPr>
          <w:sz w:val="20"/>
          <w:lang w:val="fr-CA"/>
        </w:rPr>
      </w:pPr>
    </w:p>
    <w:p w:rsidR="001818B3" w:rsidRPr="001818B3" w:rsidRDefault="001818B3" w:rsidP="001818B3">
      <w:pPr>
        <w:pStyle w:val="SCCNormalDoubleSpacing"/>
        <w:spacing w:line="240" w:lineRule="auto"/>
        <w:rPr>
          <w:sz w:val="20"/>
          <w:lang w:val="fr-CA"/>
        </w:rPr>
      </w:pPr>
      <w:r w:rsidRPr="001818B3">
        <w:rPr>
          <w:sz w:val="20"/>
          <w:lang w:val="fr-CA"/>
        </w:rPr>
        <w:tab/>
      </w:r>
      <w:r w:rsidRPr="001818B3">
        <w:rPr>
          <w:i/>
          <w:sz w:val="20"/>
          <w:lang w:val="fr-CA"/>
        </w:rPr>
        <w:t>Arrêt</w:t>
      </w:r>
      <w:r w:rsidRPr="001818B3">
        <w:rPr>
          <w:sz w:val="20"/>
          <w:lang w:val="fr-CA"/>
        </w:rPr>
        <w:t xml:space="preserve"> (les juges LeBel et Fish sont dissidents) : Le pourvoi est accueilli et la déclaration de culpabilité est rétablie.</w:t>
      </w:r>
    </w:p>
    <w:p w:rsidR="001818B3" w:rsidRPr="001818B3" w:rsidRDefault="001818B3" w:rsidP="001818B3">
      <w:pPr>
        <w:pStyle w:val="SCCNormalDoubleSpacing"/>
        <w:spacing w:line="240" w:lineRule="auto"/>
        <w:rPr>
          <w:sz w:val="20"/>
          <w:lang w:val="fr-CA"/>
        </w:rPr>
      </w:pPr>
    </w:p>
    <w:p w:rsidR="001818B3" w:rsidRPr="001818B3" w:rsidRDefault="001818B3" w:rsidP="001818B3">
      <w:pPr>
        <w:pStyle w:val="SCCNormalDoubleSpacing"/>
        <w:spacing w:line="240" w:lineRule="auto"/>
        <w:rPr>
          <w:sz w:val="20"/>
          <w:lang w:val="fr-CA"/>
        </w:rPr>
      </w:pPr>
      <w:r w:rsidRPr="001818B3">
        <w:rPr>
          <w:sz w:val="20"/>
          <w:lang w:val="fr-CA"/>
        </w:rPr>
        <w:tab/>
      </w:r>
      <w:r w:rsidRPr="001818B3">
        <w:rPr>
          <w:i/>
          <w:sz w:val="20"/>
          <w:lang w:val="fr-CA"/>
        </w:rPr>
        <w:t>Les</w:t>
      </w:r>
      <w:r w:rsidRPr="001818B3">
        <w:rPr>
          <w:sz w:val="20"/>
          <w:lang w:val="fr-CA"/>
        </w:rPr>
        <w:t xml:space="preserve"> juges </w:t>
      </w:r>
      <w:r w:rsidRPr="001818B3">
        <w:rPr>
          <w:b/>
          <w:sz w:val="20"/>
          <w:lang w:val="fr-CA"/>
        </w:rPr>
        <w:t>Deschamps</w:t>
      </w:r>
      <w:r w:rsidRPr="001818B3">
        <w:rPr>
          <w:sz w:val="20"/>
          <w:lang w:val="fr-CA"/>
        </w:rPr>
        <w:t>, Abella, Cromwell, Moldaver et Karakatsanis : Pour décider si un verdict est déraisonnable, une cour d’appel doit déterminer s’il s’agit d’un verdict qu’un jury ayant reçu des directives appropriées ou qu’un juge aurait pu rendre.  L’appréciation de la crédibilité faite en première instance, lorsqu’elle est revue par une cour d’appel afin notamment de déterminer si le verdict est raisonnable, ne peut être écartée que s’il est établi que celle</w:t>
      </w:r>
      <w:r w:rsidRPr="001818B3">
        <w:rPr>
          <w:sz w:val="20"/>
          <w:lang w:val="fr-CA"/>
        </w:rPr>
        <w:noBreakHyphen/>
        <w:t>ci ne peut pas s’appuyer sur quelque interprétation raisonnable que ce soit de la preuve.</w:t>
      </w:r>
    </w:p>
    <w:p w:rsidR="001818B3" w:rsidRPr="001818B3" w:rsidRDefault="001818B3" w:rsidP="001818B3">
      <w:pPr>
        <w:pStyle w:val="SCCNormalDoubleSpacing"/>
        <w:spacing w:line="240" w:lineRule="auto"/>
        <w:rPr>
          <w:sz w:val="20"/>
          <w:lang w:val="fr-CA"/>
        </w:rPr>
      </w:pPr>
    </w:p>
    <w:p w:rsidR="001818B3" w:rsidRPr="001818B3" w:rsidRDefault="001818B3" w:rsidP="001818B3">
      <w:pPr>
        <w:pStyle w:val="SCCNormalDoubleSpacing"/>
        <w:spacing w:line="240" w:lineRule="auto"/>
        <w:rPr>
          <w:sz w:val="20"/>
          <w:lang w:val="fr-CA"/>
        </w:rPr>
      </w:pPr>
      <w:r w:rsidRPr="001818B3">
        <w:rPr>
          <w:sz w:val="20"/>
          <w:lang w:val="fr-CA"/>
        </w:rPr>
        <w:tab/>
        <w:t xml:space="preserve">En l’espèce, il s’agit d’un verdict qu’un juge pouvait raisonnablement prononcer, le juge du procès n’a pas tiré une inférence ou une conclusion de fait qui soit clairement contraire à la preuve ou incompatible avec une preuve non contredite ou non rejetée.  Par ailleurs, l’appréciation de la crédibilité des témoins faite en première instance est raisonnable.  Le juge n’a ni omis de prendre en considération les failles dans le témoignage de M.L., ni fait erreur en tenant compte de son âge et du délai écoulé depuis les événements reprochés, ni erré dans l’appréciation du témoignage de G.L. </w:t>
      </w:r>
    </w:p>
    <w:p w:rsidR="001818B3" w:rsidRDefault="001818B3" w:rsidP="001818B3">
      <w:pPr>
        <w:pStyle w:val="SCCNormalDoubleSpacing"/>
        <w:spacing w:line="240" w:lineRule="auto"/>
        <w:rPr>
          <w:sz w:val="20"/>
          <w:lang w:val="fr-FR"/>
        </w:rPr>
      </w:pPr>
    </w:p>
    <w:p w:rsidR="001818B3" w:rsidRDefault="001818B3" w:rsidP="001818B3">
      <w:pPr>
        <w:pStyle w:val="SCCNormalDoubleSpacing"/>
        <w:spacing w:line="240" w:lineRule="auto"/>
        <w:rPr>
          <w:sz w:val="20"/>
          <w:lang w:val="fr-FR"/>
        </w:rPr>
      </w:pPr>
      <w:r w:rsidRPr="003D5ECA">
        <w:rPr>
          <w:sz w:val="20"/>
          <w:lang w:val="fr-FR"/>
        </w:rPr>
        <w:tab/>
      </w:r>
      <w:r w:rsidRPr="003D5ECA">
        <w:rPr>
          <w:i/>
          <w:sz w:val="20"/>
          <w:lang w:val="fr-FR"/>
        </w:rPr>
        <w:t>Les</w:t>
      </w:r>
      <w:r w:rsidRPr="003D5ECA">
        <w:rPr>
          <w:sz w:val="20"/>
          <w:lang w:val="fr-FR"/>
        </w:rPr>
        <w:t xml:space="preserve"> juges LeBel et </w:t>
      </w:r>
      <w:r w:rsidRPr="003D5ECA">
        <w:rPr>
          <w:b/>
          <w:sz w:val="20"/>
          <w:lang w:val="fr-FR"/>
        </w:rPr>
        <w:t>Fish</w:t>
      </w:r>
      <w:r w:rsidRPr="003D5ECA">
        <w:rPr>
          <w:sz w:val="20"/>
          <w:lang w:val="fr-FR"/>
        </w:rPr>
        <w:t> (dissidents) : Les motifs du juge de première instance ne résistent pas à un examen attentif, même lorsqu’ils sont évalués, comme il se doit, avec un regard empreint de la déférence voulue.  Compte tenu de la teneur du dossier porté à notre connaissance, aucun juge des faits ne pouvait conclure raisonnablement que R.P. est coupable de l’infraction hors de tout doute raisonnable.  La conclusion du juge du procès selon laquelle le témoignage de G.L. était compatible avec celui de M.L. n’est carrément pas étayée par la preuve à charge présentée par le ministère public, le dossier dans son ensemble et, plus particulièrement, le témoignage de M.L. lui-même.  Tout particulièrement, un élément essentiel du récit de M.L. porte sur le fait que R.P. l’aurait agressée sexuellement pendant que son épouse était sur le point de se rendre à l’hôpital pour accoucher et pendant que cette dernière était à l’hôpital à l’occasion des naissances.  Or, selon le témoignage de G.L., M.L.</w:t>
      </w:r>
      <w:r w:rsidRPr="003D5ECA">
        <w:rPr>
          <w:i/>
          <w:sz w:val="20"/>
          <w:lang w:val="fr-FR"/>
        </w:rPr>
        <w:t xml:space="preserve"> </w:t>
      </w:r>
      <w:r w:rsidRPr="003D5ECA">
        <w:rPr>
          <w:sz w:val="20"/>
          <w:lang w:val="fr-FR"/>
        </w:rPr>
        <w:t xml:space="preserve">n’a en fait gardé à ni l’une ni l’autre de ces occasions et, confrontée à ce témoignage, elle n’a pas contredit les propos de G.L.  M.L. a aussi confirmé le témoignage de G.L. qui a affirmé que, lorsqu’elle était à la maison, elle avait une vue </w:t>
      </w:r>
      <w:r w:rsidRPr="001818B3">
        <w:rPr>
          <w:sz w:val="20"/>
          <w:lang w:val="fr-CA"/>
        </w:rPr>
        <w:t xml:space="preserve">non obstruée du lieu où les agressions se seraient produites.  </w:t>
      </w:r>
      <w:r w:rsidRPr="003D5ECA">
        <w:rPr>
          <w:sz w:val="20"/>
          <w:lang w:val="fr-FR"/>
        </w:rPr>
        <w:t xml:space="preserve">En outre, le témoignage de G.L. selon qui R.P. revenait très rarement à la maison avant elle est incompatible </w:t>
      </w:r>
      <w:r w:rsidRPr="003D5ECA">
        <w:rPr>
          <w:sz w:val="20"/>
          <w:lang w:val="fr-FR"/>
        </w:rPr>
        <w:lastRenderedPageBreak/>
        <w:t xml:space="preserve">avec les allégations d’agressions fréquentes formulées par M.L.  Le juge du procès a aussi fait abstraction du témoignage de M.L. qui confirmait d’importants aspects du témoignage de G.L. tendant à démontrer que R.P. n’a pas pu agresser M.L., comme elle le prétend.  Enfin, dans la mesure où le juge du procès a rejeté le témoignage de G.L. ou n’en a pas tenu compte, il l’a fait pour des motifs intenables.  Il semble n’avoir accordé aucun poids au témoignage de G.L. parce qu’elle était à la fois trop vague, un motif qui n’est pas étayé par le dossier, et trop précise, ce qui contredit le premier motif.  Bien que le juge du procès ait conclu que G.L. avait choisi de croire R.P. parce qu’il est son mari, il a négligé le fait qu’elle est aussi étroitement liée à M.L., sa sœur.  Il était inacceptable de rejeter pour un tel motif le témoignage de la seule personne qui — outre la plaignante ou l’accusé — pouvait témoigner quant à la disposition des pièces dans les maisons où les agressions auraient eu lieu, quant aux routines et à l’horaire quotidien de R.P. et quant aux circonstances entourant les accouchements de G.L. </w:t>
      </w:r>
    </w:p>
    <w:p w:rsidR="001818B3" w:rsidRPr="003D5ECA" w:rsidRDefault="001818B3" w:rsidP="001818B3">
      <w:pPr>
        <w:pStyle w:val="SCCNormalDoubleSpacing"/>
        <w:spacing w:line="240" w:lineRule="auto"/>
        <w:rPr>
          <w:sz w:val="20"/>
          <w:lang w:val="fr-FR"/>
        </w:rPr>
      </w:pPr>
    </w:p>
    <w:p w:rsidR="001818B3" w:rsidRDefault="001818B3" w:rsidP="001818B3">
      <w:pPr>
        <w:pStyle w:val="SCCNormalDoubleSpacing"/>
        <w:spacing w:line="240" w:lineRule="auto"/>
        <w:rPr>
          <w:sz w:val="20"/>
          <w:lang w:val="fr-FR"/>
        </w:rPr>
      </w:pPr>
      <w:r w:rsidRPr="003D5ECA">
        <w:rPr>
          <w:sz w:val="20"/>
          <w:lang w:val="fr-FR"/>
        </w:rPr>
        <w:tab/>
        <w:t xml:space="preserve">En examinant la preuve en détail, les juges majoritaires de la Cour d’appel n’ont commis aucune erreur, puisqu’ils étaient tenus de décrire aussi précisément que possible les éléments du dossier qui soutiennent leur conclusion selon laquelle le verdict est déraisonnable.  </w:t>
      </w:r>
    </w:p>
    <w:p w:rsidR="001818B3" w:rsidRPr="001818B3" w:rsidRDefault="001818B3" w:rsidP="001818B3">
      <w:pPr>
        <w:pStyle w:val="SCCNormalDoubleSpacing"/>
        <w:spacing w:line="240" w:lineRule="auto"/>
        <w:rPr>
          <w:b/>
          <w:sz w:val="20"/>
          <w:lang w:val="fr-CA"/>
        </w:rPr>
      </w:pPr>
    </w:p>
    <w:p w:rsidR="001818B3" w:rsidRPr="001818B3" w:rsidRDefault="001818B3" w:rsidP="001818B3">
      <w:pPr>
        <w:pStyle w:val="SCCNormalDoubleSpacing"/>
        <w:spacing w:line="240" w:lineRule="auto"/>
        <w:rPr>
          <w:sz w:val="20"/>
          <w:lang w:val="fr-CA"/>
        </w:rPr>
      </w:pPr>
      <w:r w:rsidRPr="001818B3">
        <w:rPr>
          <w:sz w:val="20"/>
          <w:lang w:val="fr-CA"/>
        </w:rPr>
        <w:tab/>
        <w:t>POURVOI contre un arrêt de la Cour d’appel du Québec (les juges Thibault, Pelletier et Gagnon), 2010 QCCA 2237 (CanLII), [2010] J.Q. n</w:t>
      </w:r>
      <w:r w:rsidRPr="001818B3">
        <w:rPr>
          <w:sz w:val="20"/>
          <w:vertAlign w:val="superscript"/>
          <w:lang w:val="fr-CA"/>
        </w:rPr>
        <w:t>o</w:t>
      </w:r>
      <w:r w:rsidRPr="001818B3">
        <w:rPr>
          <w:sz w:val="20"/>
          <w:lang w:val="fr-CA"/>
        </w:rPr>
        <w:t> 13165 (QL), 2010 CarswellQue 13100, qui a annulé la déclaration de culpabilité d’attentat à la pudeur prononcée contre l’accusé.  Pourvoi accueilli, les juges LeBel et Fish sont dissidents.</w:t>
      </w:r>
    </w:p>
    <w:p w:rsidR="001818B3" w:rsidRPr="001818B3" w:rsidRDefault="001818B3" w:rsidP="001818B3">
      <w:pPr>
        <w:pStyle w:val="SCCNormalDoubleSpacing"/>
        <w:spacing w:line="240" w:lineRule="auto"/>
        <w:rPr>
          <w:i/>
          <w:sz w:val="20"/>
          <w:lang w:val="fr-CA"/>
        </w:rPr>
      </w:pPr>
    </w:p>
    <w:p w:rsidR="001818B3" w:rsidRPr="001818B3" w:rsidRDefault="001818B3" w:rsidP="001818B3">
      <w:pPr>
        <w:pStyle w:val="SCCNormalDoubleSpacing"/>
        <w:spacing w:line="240" w:lineRule="auto"/>
        <w:rPr>
          <w:sz w:val="20"/>
          <w:lang w:val="fr-CA"/>
        </w:rPr>
      </w:pPr>
      <w:r w:rsidRPr="001818B3">
        <w:rPr>
          <w:i/>
          <w:sz w:val="20"/>
          <w:lang w:val="fr-CA"/>
        </w:rPr>
        <w:tab/>
        <w:t>Sarah</w:t>
      </w:r>
      <w:r w:rsidRPr="001818B3">
        <w:rPr>
          <w:i/>
          <w:sz w:val="20"/>
          <w:lang w:val="fr-CA"/>
        </w:rPr>
        <w:noBreakHyphen/>
        <w:t>Julie Chicoine et Jean Campeau</w:t>
      </w:r>
      <w:r w:rsidRPr="001818B3">
        <w:rPr>
          <w:sz w:val="20"/>
          <w:lang w:val="fr-CA"/>
        </w:rPr>
        <w:t>, pour l’appelante.</w:t>
      </w:r>
    </w:p>
    <w:p w:rsidR="001818B3" w:rsidRPr="001818B3" w:rsidRDefault="001818B3" w:rsidP="001818B3">
      <w:pPr>
        <w:pStyle w:val="SCCNormalDoubleSpacing"/>
        <w:spacing w:line="240" w:lineRule="auto"/>
        <w:rPr>
          <w:i/>
          <w:sz w:val="20"/>
          <w:lang w:val="fr-CA"/>
        </w:rPr>
      </w:pPr>
    </w:p>
    <w:p w:rsidR="001818B3" w:rsidRPr="001818B3" w:rsidRDefault="001818B3" w:rsidP="001818B3">
      <w:pPr>
        <w:pStyle w:val="SCCNormalDoubleSpacing"/>
        <w:spacing w:line="240" w:lineRule="auto"/>
        <w:rPr>
          <w:sz w:val="20"/>
          <w:lang w:val="fr-CA"/>
        </w:rPr>
      </w:pPr>
      <w:r w:rsidRPr="001818B3">
        <w:rPr>
          <w:i/>
          <w:sz w:val="20"/>
          <w:lang w:val="fr-CA"/>
        </w:rPr>
        <w:tab/>
        <w:t>Yves Savard</w:t>
      </w:r>
      <w:r w:rsidRPr="001818B3">
        <w:rPr>
          <w:sz w:val="20"/>
          <w:lang w:val="fr-CA"/>
        </w:rPr>
        <w:t xml:space="preserve"> et </w:t>
      </w:r>
      <w:r w:rsidRPr="001818B3">
        <w:rPr>
          <w:i/>
          <w:sz w:val="20"/>
          <w:lang w:val="fr-CA"/>
        </w:rPr>
        <w:t>Claudia Langdeau</w:t>
      </w:r>
      <w:r w:rsidRPr="001818B3">
        <w:rPr>
          <w:sz w:val="20"/>
          <w:lang w:val="fr-CA"/>
        </w:rPr>
        <w:t>, pour l’intimé.</w:t>
      </w:r>
    </w:p>
    <w:p w:rsidR="001818B3" w:rsidRPr="001818B3" w:rsidRDefault="001818B3" w:rsidP="001818B3">
      <w:pPr>
        <w:pStyle w:val="SCCLawFirm"/>
        <w:spacing w:line="240" w:lineRule="auto"/>
        <w:rPr>
          <w:sz w:val="20"/>
          <w:lang w:val="fr-CA"/>
        </w:rPr>
      </w:pPr>
    </w:p>
    <w:p w:rsidR="001818B3" w:rsidRPr="001818B3" w:rsidRDefault="001818B3" w:rsidP="001818B3">
      <w:pPr>
        <w:pStyle w:val="SCCLawFirm"/>
        <w:spacing w:line="240" w:lineRule="auto"/>
        <w:rPr>
          <w:sz w:val="20"/>
          <w:lang w:val="fr-CA"/>
        </w:rPr>
      </w:pPr>
      <w:r w:rsidRPr="001818B3">
        <w:rPr>
          <w:sz w:val="20"/>
          <w:lang w:val="fr-CA"/>
        </w:rPr>
        <w:tab/>
        <w:t>Procureur de l’appelante : Poursuites criminelles et pénales du Québec, Québec.</w:t>
      </w:r>
    </w:p>
    <w:p w:rsidR="001818B3" w:rsidRPr="001818B3" w:rsidRDefault="001818B3" w:rsidP="001818B3">
      <w:pPr>
        <w:pStyle w:val="SCCLawFirm"/>
        <w:spacing w:line="240" w:lineRule="auto"/>
        <w:rPr>
          <w:sz w:val="20"/>
          <w:lang w:val="fr-CA"/>
        </w:rPr>
      </w:pPr>
    </w:p>
    <w:p w:rsidR="001818B3" w:rsidRPr="001818B3" w:rsidRDefault="001818B3" w:rsidP="001818B3">
      <w:pPr>
        <w:pStyle w:val="SCCLawFirm"/>
        <w:spacing w:line="240" w:lineRule="auto"/>
        <w:rPr>
          <w:sz w:val="20"/>
          <w:lang w:val="fr-CA"/>
        </w:rPr>
      </w:pPr>
      <w:r w:rsidRPr="001818B3">
        <w:rPr>
          <w:sz w:val="20"/>
          <w:lang w:val="fr-CA"/>
        </w:rPr>
        <w:tab/>
        <w:t>Procureurs de l’intimé : Savard, Pigeon, Lévis.</w:t>
      </w:r>
    </w:p>
    <w:p w:rsidR="00DD0B49" w:rsidRPr="008B2358" w:rsidRDefault="00DD0B49" w:rsidP="00DD0B49">
      <w:pPr>
        <w:rPr>
          <w:rFonts w:cs="Times New Roman"/>
          <w:sz w:val="20"/>
          <w:szCs w:val="20"/>
        </w:rPr>
      </w:pPr>
      <w:r w:rsidRPr="008B2358">
        <w:rPr>
          <w:rFonts w:cs="Times New Roman"/>
          <w:sz w:val="20"/>
          <w:szCs w:val="20"/>
        </w:rPr>
        <w:t>________________________</w:t>
      </w:r>
    </w:p>
    <w:p w:rsidR="00DD0B49" w:rsidRPr="008B2358" w:rsidRDefault="00DD0B49" w:rsidP="00DD0B49">
      <w:pPr>
        <w:rPr>
          <w:rFonts w:cs="Times New Roman"/>
          <w:sz w:val="20"/>
          <w:szCs w:val="20"/>
        </w:rPr>
      </w:pPr>
    </w:p>
    <w:p w:rsidR="001818B3" w:rsidRPr="004F002E" w:rsidRDefault="001818B3" w:rsidP="001818B3">
      <w:pPr>
        <w:jc w:val="both"/>
        <w:rPr>
          <w:sz w:val="20"/>
        </w:rPr>
      </w:pPr>
      <w:r w:rsidRPr="004F002E">
        <w:rPr>
          <w:sz w:val="20"/>
        </w:rPr>
        <w:t>Present:  LeBel, Deschamps, Fish, Abella, Cromwell, Moldaver and Karakatsanis JJ.</w:t>
      </w:r>
    </w:p>
    <w:p w:rsidR="001818B3" w:rsidRDefault="001818B3" w:rsidP="001818B3">
      <w:pPr>
        <w:pStyle w:val="SCCLowerCourtNameLowercase"/>
        <w:spacing w:line="240" w:lineRule="auto"/>
        <w:rPr>
          <w:sz w:val="20"/>
        </w:rPr>
      </w:pPr>
    </w:p>
    <w:p w:rsidR="001818B3" w:rsidRPr="004F002E" w:rsidRDefault="001818B3" w:rsidP="001818B3">
      <w:pPr>
        <w:pStyle w:val="SCCNormalDoubleSpacing"/>
        <w:spacing w:line="240" w:lineRule="auto"/>
        <w:rPr>
          <w:i/>
          <w:sz w:val="20"/>
        </w:rPr>
      </w:pPr>
      <w:r w:rsidRPr="004F002E">
        <w:rPr>
          <w:sz w:val="20"/>
        </w:rPr>
        <w:tab/>
      </w:r>
      <w:r w:rsidRPr="004F002E">
        <w:rPr>
          <w:i/>
          <w:sz w:val="20"/>
        </w:rPr>
        <w:t>Criminal law — Appeals — Power of court of appeal — Unreasonable verdict — Credibility of witnesses — Trial judge holding that testimonial evidence as whole did not raise reasonable doubt that accused guilty on charge of indecent assault with regard to incidents that had occurred more than 30 years earlier — Whether verdict unreasonable — Criminal Code, R.S.C. 1985, c. C</w:t>
      </w:r>
      <w:r w:rsidRPr="004F002E">
        <w:rPr>
          <w:i/>
          <w:sz w:val="20"/>
        </w:rPr>
        <w:noBreakHyphen/>
        <w:t>46, s. 686(1)(a)(i).</w:t>
      </w:r>
    </w:p>
    <w:p w:rsidR="001818B3" w:rsidRDefault="001818B3" w:rsidP="001818B3">
      <w:pPr>
        <w:pStyle w:val="SCCNormalDoubleSpacing"/>
        <w:spacing w:line="240" w:lineRule="auto"/>
        <w:rPr>
          <w:sz w:val="20"/>
        </w:rPr>
      </w:pPr>
    </w:p>
    <w:p w:rsidR="001818B3" w:rsidRPr="004F002E" w:rsidRDefault="001818B3" w:rsidP="001818B3">
      <w:pPr>
        <w:pStyle w:val="SCCNormalDoubleSpacing"/>
        <w:spacing w:line="240" w:lineRule="auto"/>
        <w:rPr>
          <w:sz w:val="20"/>
        </w:rPr>
      </w:pPr>
      <w:r w:rsidRPr="004F002E">
        <w:rPr>
          <w:sz w:val="20"/>
        </w:rPr>
        <w:tab/>
        <w:t>R.P. was convicted of indecently assaulting M.L., his sister</w:t>
      </w:r>
      <w:r w:rsidRPr="004F002E">
        <w:rPr>
          <w:sz w:val="20"/>
        </w:rPr>
        <w:noBreakHyphen/>
        <w:t>in</w:t>
      </w:r>
      <w:r w:rsidRPr="004F002E">
        <w:rPr>
          <w:sz w:val="20"/>
        </w:rPr>
        <w:noBreakHyphen/>
        <w:t>law.  The trial was held more than 30 years after the impugned acts.  According to M.L., the abuse had occurred when she went to babysit the children of her sister G.L. and R.P., and it had taken place in their residence on some occasions and in their car at other times when R.P. drove her home.  The trial judge did not believe R.P. and set out numerous reasons to explain why he considered M.L.’s testimony credible.  He accepted the police officers’ testimony and held that the prosecution had proved beyond a reasonable doubt that the offence had been committed.  The majority of the Court of Appeal held that the verdict was unreasonable in light of the evidence and entered an acquittal.  The dissenting judge found that the trial judge had made no palpable and overriding error in assessing the evidence and that the verdict was not unreasonable.</w:t>
      </w:r>
    </w:p>
    <w:p w:rsidR="001818B3" w:rsidRDefault="001818B3" w:rsidP="001818B3">
      <w:pPr>
        <w:pStyle w:val="SCCNormalDoubleSpacing"/>
        <w:spacing w:line="240" w:lineRule="auto"/>
        <w:rPr>
          <w:sz w:val="20"/>
        </w:rPr>
      </w:pPr>
    </w:p>
    <w:p w:rsidR="001818B3" w:rsidRPr="004F002E" w:rsidRDefault="001818B3" w:rsidP="001818B3">
      <w:pPr>
        <w:pStyle w:val="SCCNormalDoubleSpacing"/>
        <w:spacing w:line="240" w:lineRule="auto"/>
        <w:rPr>
          <w:sz w:val="20"/>
        </w:rPr>
      </w:pPr>
      <w:r w:rsidRPr="004F002E">
        <w:rPr>
          <w:sz w:val="20"/>
        </w:rPr>
        <w:tab/>
      </w:r>
      <w:r w:rsidRPr="004F002E">
        <w:rPr>
          <w:i/>
          <w:sz w:val="20"/>
        </w:rPr>
        <w:t>Held</w:t>
      </w:r>
      <w:r w:rsidRPr="004F002E">
        <w:rPr>
          <w:sz w:val="20"/>
        </w:rPr>
        <w:t xml:space="preserve"> (LeBel and Fish JJ. dissenting): The appeal should be allowed and the conviction restored.</w:t>
      </w:r>
    </w:p>
    <w:p w:rsidR="001818B3" w:rsidRDefault="001818B3" w:rsidP="001818B3">
      <w:pPr>
        <w:pStyle w:val="SCCNormalDoubleSpacing"/>
        <w:spacing w:line="240" w:lineRule="auto"/>
        <w:rPr>
          <w:sz w:val="20"/>
        </w:rPr>
      </w:pPr>
    </w:p>
    <w:p w:rsidR="001818B3" w:rsidRPr="004F002E" w:rsidRDefault="001818B3" w:rsidP="001818B3">
      <w:pPr>
        <w:pStyle w:val="SCCNormalDoubleSpacing"/>
        <w:spacing w:line="240" w:lineRule="auto"/>
        <w:rPr>
          <w:sz w:val="20"/>
        </w:rPr>
      </w:pPr>
      <w:r w:rsidRPr="004F002E">
        <w:rPr>
          <w:sz w:val="20"/>
        </w:rPr>
        <w:tab/>
      </w:r>
      <w:r w:rsidRPr="004F002E">
        <w:rPr>
          <w:i/>
          <w:sz w:val="20"/>
        </w:rPr>
        <w:t>Per</w:t>
      </w:r>
      <w:r w:rsidRPr="004F002E">
        <w:rPr>
          <w:sz w:val="20"/>
        </w:rPr>
        <w:t xml:space="preserve"> </w:t>
      </w:r>
      <w:r w:rsidRPr="004F002E">
        <w:rPr>
          <w:b/>
          <w:sz w:val="20"/>
        </w:rPr>
        <w:t>Deschamps</w:t>
      </w:r>
      <w:r w:rsidRPr="004F002E">
        <w:rPr>
          <w:sz w:val="20"/>
        </w:rPr>
        <w:t>, Abella, Cromwell, Moldaver and Karakatsanis JJ.:  To decide whether a verdict is unreasonable, an appellate court must determine whether the verdict is one that a properly instructed jury or a judge could have rendered.  A court of appeal that reviews a trial court’s assessments of credibility in order to determine, for example, whether the verdict is reasonable cannot interfere with those assessments unless it is established that they cannot be supported on any reasonable view of the evidence.</w:t>
      </w:r>
    </w:p>
    <w:p w:rsidR="001818B3" w:rsidRDefault="001818B3" w:rsidP="001818B3">
      <w:pPr>
        <w:pStyle w:val="SCCNormalDoubleSpacing"/>
        <w:spacing w:line="240" w:lineRule="auto"/>
        <w:rPr>
          <w:sz w:val="20"/>
        </w:rPr>
      </w:pPr>
    </w:p>
    <w:p w:rsidR="001818B3" w:rsidRPr="004F002E" w:rsidRDefault="001818B3" w:rsidP="001818B3">
      <w:pPr>
        <w:pStyle w:val="SCCNormalDoubleSpacing"/>
        <w:spacing w:line="240" w:lineRule="auto"/>
        <w:rPr>
          <w:sz w:val="20"/>
        </w:rPr>
      </w:pPr>
      <w:r w:rsidRPr="004F002E">
        <w:rPr>
          <w:sz w:val="20"/>
        </w:rPr>
        <w:tab/>
        <w:t xml:space="preserve">In this case, the verdict was one a judge could reasonably render, and the trial judge did not draw an inference or make a finding of fact that was plainly contradicted by the evidence or was incompatible with evidence that was not otherwise contradicted or rejected.  Furthermore, the trial judge’s assessment of the witnesses’ credibility was </w:t>
      </w:r>
      <w:r w:rsidRPr="004F002E">
        <w:rPr>
          <w:sz w:val="20"/>
        </w:rPr>
        <w:lastRenderedPageBreak/>
        <w:t xml:space="preserve">reasonable.  The trial judge did not disregard the flaws in M.L.’s testimony, nor did he err either in taking into account her age and the time elapsed since the incidents in question or in assessing G.L.’s testimony. </w:t>
      </w:r>
    </w:p>
    <w:p w:rsidR="001818B3" w:rsidRDefault="001818B3" w:rsidP="001818B3">
      <w:pPr>
        <w:pStyle w:val="SCCNormalDoubleSpacing"/>
        <w:spacing w:line="240" w:lineRule="auto"/>
        <w:rPr>
          <w:sz w:val="20"/>
        </w:rPr>
      </w:pPr>
    </w:p>
    <w:p w:rsidR="001818B3" w:rsidRPr="004F002E" w:rsidRDefault="001818B3" w:rsidP="001818B3">
      <w:pPr>
        <w:pStyle w:val="SCCNormalDoubleSpacing"/>
        <w:spacing w:line="240" w:lineRule="auto"/>
        <w:rPr>
          <w:sz w:val="20"/>
        </w:rPr>
      </w:pPr>
      <w:r w:rsidRPr="004F002E">
        <w:rPr>
          <w:sz w:val="20"/>
        </w:rPr>
        <w:tab/>
      </w:r>
      <w:r w:rsidRPr="004F002E">
        <w:rPr>
          <w:i/>
          <w:sz w:val="20"/>
        </w:rPr>
        <w:t>Per</w:t>
      </w:r>
      <w:r w:rsidRPr="004F002E">
        <w:rPr>
          <w:sz w:val="20"/>
        </w:rPr>
        <w:t xml:space="preserve"> LeBel and </w:t>
      </w:r>
      <w:r w:rsidRPr="004F002E">
        <w:rPr>
          <w:b/>
          <w:sz w:val="20"/>
        </w:rPr>
        <w:t>Fish</w:t>
      </w:r>
      <w:r w:rsidRPr="004F002E">
        <w:rPr>
          <w:sz w:val="20"/>
        </w:rPr>
        <w:t> JJ. (dissenting):  Even when viewed through the mandatory lens of deference, the trial judge’s reasons do not resist scrutiny.  On the record, no trier of fact could reasonably conclude that R.P. is guilty beyond a reasonable doubt of the offence.  The trial judge’s finding that there was no inconsistency between the testimony of G.L. and M.L. was plainly incompatible with the Crown’s case, with the record as a whole and with M.L.’s own evidence.  In particular, an integral element of M.L.’s narrative was that R.P. sexually assaulted her while his wife was about to leave for the hospital to give birth and while she was in the hospital on those occasions.  G.L. testified, however, that M.L. had in fact not babysat on either of those occasions and, confronted with this, M.L. did not contradict G.L. M.L. confirmed as well G.L.’s evidence that G.L., when home, had an unobstructed view of the site of the alleged abuses.  Also, G.L’s testimony that R.P. returned home before her very rarely was inconsistent with M.L.’s allegations of regular abuse.  The judge also ignored M.L.’s own evidence confirming important aspects of G.L.’s testimony tending to show that R.P. could not have assaulted M.L. as the latter alleged.  Finally, to the extent that the trial judge rejected or disregarded the testimony of G.L., he did so for unsustainable reasons.  He appears to have given no weight to the testimony because G.L. was too general, which is unsupported by the record, and because she was too precise, which contradicts the first reason.  While the judge found that G.L. had chosen to believe R.P. because he was her husband, he disregarded the fact that she was also closely related to M.L., her sister.  It was unacceptable to reject, on that ground, the evidence of the only person who could — other than the complainant or the accused — testify to the layout of the homes where the assaults were alleged to have occurred, to R.P.’s daily schedules and routines, and to the circumstances surrounding G.L. giving birth.</w:t>
      </w:r>
    </w:p>
    <w:p w:rsidR="001818B3" w:rsidRDefault="001818B3" w:rsidP="001818B3">
      <w:pPr>
        <w:pStyle w:val="SCCNormalDoubleSpacing"/>
        <w:spacing w:line="240" w:lineRule="auto"/>
        <w:rPr>
          <w:sz w:val="20"/>
        </w:rPr>
      </w:pPr>
    </w:p>
    <w:p w:rsidR="001818B3" w:rsidRDefault="001818B3" w:rsidP="001818B3">
      <w:pPr>
        <w:pStyle w:val="SCCNormalDoubleSpacing"/>
        <w:spacing w:line="240" w:lineRule="auto"/>
        <w:rPr>
          <w:sz w:val="20"/>
        </w:rPr>
      </w:pPr>
      <w:r w:rsidRPr="004F002E">
        <w:rPr>
          <w:sz w:val="20"/>
        </w:rPr>
        <w:tab/>
        <w:t>In reviewing the evidence in great detail, the majority of the Court of Appeal committed no error, as it was required to articulate as precisely as possible what features of the case support its conclusion that the verdict was unreasonable.</w:t>
      </w:r>
    </w:p>
    <w:p w:rsidR="001818B3" w:rsidRPr="004F002E" w:rsidRDefault="001818B3" w:rsidP="001818B3">
      <w:pPr>
        <w:pStyle w:val="SCCNormalDoubleSpacing"/>
        <w:spacing w:line="240" w:lineRule="auto"/>
        <w:ind w:left="540" w:hanging="540"/>
        <w:rPr>
          <w:sz w:val="20"/>
        </w:rPr>
      </w:pPr>
    </w:p>
    <w:p w:rsidR="001818B3" w:rsidRDefault="001818B3" w:rsidP="001818B3">
      <w:pPr>
        <w:pStyle w:val="SCCNormalDoubleSpacing"/>
        <w:spacing w:line="240" w:lineRule="auto"/>
        <w:rPr>
          <w:sz w:val="20"/>
        </w:rPr>
      </w:pPr>
      <w:r w:rsidRPr="004F002E">
        <w:rPr>
          <w:sz w:val="20"/>
        </w:rPr>
        <w:tab/>
        <w:t>APPEAL from a judgment of the Quebec Court of Appeal (Thibault, Pelletier and Gagnon JJ.A.), 2010 QCCA 2237 (CanLII), [2010] Q.J. No. 13165 (QL), 2010 CarswellQue 13100, setting aside the accused’s conviction for indecent assault. Appeal allowed, LeBel and Fish JJ. dissenting.</w:t>
      </w:r>
    </w:p>
    <w:p w:rsidR="001818B3" w:rsidRPr="004F002E" w:rsidRDefault="001818B3" w:rsidP="001818B3">
      <w:pPr>
        <w:pStyle w:val="SCCNormalDoubleSpacing"/>
        <w:spacing w:line="240" w:lineRule="auto"/>
        <w:rPr>
          <w:sz w:val="20"/>
        </w:rPr>
      </w:pPr>
    </w:p>
    <w:p w:rsidR="001818B3" w:rsidRPr="004F002E" w:rsidRDefault="001818B3" w:rsidP="001818B3">
      <w:pPr>
        <w:pStyle w:val="SCCNormalDoubleSpacing"/>
        <w:spacing w:line="240" w:lineRule="auto"/>
        <w:rPr>
          <w:sz w:val="20"/>
        </w:rPr>
      </w:pPr>
      <w:r w:rsidRPr="004F002E">
        <w:rPr>
          <w:i/>
          <w:sz w:val="20"/>
        </w:rPr>
        <w:tab/>
        <w:t>Sarah</w:t>
      </w:r>
      <w:r w:rsidRPr="004F002E">
        <w:rPr>
          <w:i/>
          <w:sz w:val="20"/>
        </w:rPr>
        <w:noBreakHyphen/>
        <w:t xml:space="preserve">Julie Chicoine </w:t>
      </w:r>
      <w:r w:rsidRPr="004F002E">
        <w:rPr>
          <w:sz w:val="20"/>
        </w:rPr>
        <w:t>and</w:t>
      </w:r>
      <w:r w:rsidRPr="004F002E">
        <w:rPr>
          <w:i/>
          <w:sz w:val="20"/>
        </w:rPr>
        <w:t xml:space="preserve"> Jean Campeau</w:t>
      </w:r>
      <w:r w:rsidRPr="004F002E">
        <w:rPr>
          <w:sz w:val="20"/>
        </w:rPr>
        <w:t>, for the appellant.</w:t>
      </w:r>
    </w:p>
    <w:p w:rsidR="001818B3" w:rsidRDefault="001818B3" w:rsidP="001818B3">
      <w:pPr>
        <w:pStyle w:val="SCCNormalDoubleSpacing"/>
        <w:spacing w:line="240" w:lineRule="auto"/>
        <w:rPr>
          <w:i/>
          <w:sz w:val="20"/>
        </w:rPr>
      </w:pPr>
    </w:p>
    <w:p w:rsidR="001818B3" w:rsidRPr="004F002E" w:rsidRDefault="001818B3" w:rsidP="001818B3">
      <w:pPr>
        <w:pStyle w:val="SCCNormalDoubleSpacing"/>
        <w:spacing w:line="240" w:lineRule="auto"/>
        <w:rPr>
          <w:sz w:val="20"/>
        </w:rPr>
      </w:pPr>
      <w:r w:rsidRPr="004F002E">
        <w:rPr>
          <w:i/>
          <w:sz w:val="20"/>
        </w:rPr>
        <w:tab/>
        <w:t>Yves Savard</w:t>
      </w:r>
      <w:r w:rsidRPr="004F002E">
        <w:rPr>
          <w:sz w:val="20"/>
        </w:rPr>
        <w:t xml:space="preserve"> and </w:t>
      </w:r>
      <w:r w:rsidRPr="004F002E">
        <w:rPr>
          <w:i/>
          <w:sz w:val="20"/>
        </w:rPr>
        <w:t>Claudia Langdeau</w:t>
      </w:r>
      <w:r w:rsidRPr="004F002E">
        <w:rPr>
          <w:sz w:val="20"/>
        </w:rPr>
        <w:t>, for the respondent.</w:t>
      </w:r>
    </w:p>
    <w:p w:rsidR="001818B3" w:rsidRDefault="001818B3" w:rsidP="001818B3">
      <w:pPr>
        <w:pStyle w:val="SCCLawFirm"/>
        <w:spacing w:line="240" w:lineRule="auto"/>
        <w:rPr>
          <w:sz w:val="20"/>
        </w:rPr>
      </w:pPr>
    </w:p>
    <w:p w:rsidR="001818B3" w:rsidRPr="004F002E" w:rsidRDefault="001818B3" w:rsidP="001818B3">
      <w:pPr>
        <w:pStyle w:val="SCCLawFirm"/>
        <w:spacing w:line="240" w:lineRule="auto"/>
        <w:rPr>
          <w:sz w:val="20"/>
          <w:lang w:val="fr-CA"/>
        </w:rPr>
      </w:pPr>
      <w:r w:rsidRPr="004F002E">
        <w:rPr>
          <w:sz w:val="20"/>
        </w:rPr>
        <w:tab/>
      </w:r>
      <w:r w:rsidRPr="004F002E">
        <w:rPr>
          <w:sz w:val="20"/>
          <w:lang w:val="fr-CA"/>
        </w:rPr>
        <w:t>Solicitor for the appellant:  Poursuites criminelles et pénales du Québec, Québec.</w:t>
      </w:r>
    </w:p>
    <w:p w:rsidR="001818B3" w:rsidRDefault="001818B3" w:rsidP="001818B3">
      <w:pPr>
        <w:pStyle w:val="SCCLawFirm"/>
        <w:spacing w:line="240" w:lineRule="auto"/>
        <w:rPr>
          <w:sz w:val="20"/>
          <w:lang w:val="fr-CA"/>
        </w:rPr>
      </w:pPr>
    </w:p>
    <w:p w:rsidR="001818B3" w:rsidRPr="001818B3" w:rsidRDefault="001818B3" w:rsidP="001818B3">
      <w:pPr>
        <w:pStyle w:val="SCCLawFirm"/>
        <w:spacing w:line="240" w:lineRule="auto"/>
        <w:rPr>
          <w:sz w:val="20"/>
          <w:lang w:val="fr-CA"/>
        </w:rPr>
      </w:pPr>
      <w:r w:rsidRPr="004F002E">
        <w:rPr>
          <w:sz w:val="20"/>
          <w:lang w:val="fr-CA"/>
        </w:rPr>
        <w:tab/>
      </w:r>
      <w:r w:rsidRPr="001818B3">
        <w:rPr>
          <w:sz w:val="20"/>
          <w:lang w:val="fr-CA"/>
        </w:rPr>
        <w:t>Solicitors for the respondent:  Savard, Pigeon, Lévis.</w:t>
      </w:r>
    </w:p>
    <w:p w:rsidR="001818B3" w:rsidRDefault="001818B3" w:rsidP="001818B3">
      <w:pPr>
        <w:jc w:val="both"/>
        <w:rPr>
          <w:sz w:val="20"/>
          <w:lang w:val="fr-CA"/>
        </w:rPr>
      </w:pPr>
    </w:p>
    <w:p w:rsidR="003B3977" w:rsidRDefault="00B44839" w:rsidP="003B3977">
      <w:pPr>
        <w:rPr>
          <w:sz w:val="20"/>
          <w:szCs w:val="20"/>
        </w:rPr>
      </w:pPr>
      <w:r w:rsidRPr="00B44839">
        <w:rPr>
          <w:rFonts w:cs="Times New Roman"/>
          <w:sz w:val="20"/>
          <w:szCs w:val="20"/>
          <w:lang w:val="fr-CA"/>
        </w:rPr>
        <w:pict>
          <v:rect id="_x0000_i1101"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576" w:footer="960" w:gutter="0"/>
          <w:cols w:space="720"/>
          <w:titlePg/>
          <w:docGrid w:linePitch="272"/>
        </w:sectPr>
      </w:pPr>
    </w:p>
    <w:p w:rsidR="00E903A1" w:rsidRPr="002E0C7E" w:rsidRDefault="00B44839"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6"/>
      <w:footerReference w:type="default" r:id="rId6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12" w:rsidRDefault="004B7B12" w:rsidP="00A87207">
      <w:r>
        <w:separator/>
      </w:r>
    </w:p>
  </w:endnote>
  <w:endnote w:type="continuationSeparator" w:id="0">
    <w:p w:rsidR="004B7B12" w:rsidRDefault="004B7B1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pStyle w:val="Footer"/>
    </w:pPr>
    <w:r>
      <w:pict>
        <v:rect id="_x0000_i1041" style="width:480.95pt;height:1pt" o:hralign="center" o:hrstd="t" o:hrnoshade="t" o:hr="t" fillcolor="black [3213]" stroked="f"/>
      </w:pict>
    </w:r>
  </w:p>
  <w:p w:rsidR="004B7B12" w:rsidRPr="00D7601D" w:rsidRDefault="004B7B12" w:rsidP="00432989">
    <w:pPr>
      <w:tabs>
        <w:tab w:val="center" w:pos="4680"/>
      </w:tabs>
    </w:pPr>
    <w:r>
      <w:tab/>
      <w:t xml:space="preserve">- </w:t>
    </w:r>
    <w:fldSimple w:instr=" PAGE   \* MERGEFORMAT ">
      <w:r w:rsidR="00090737">
        <w:rPr>
          <w:noProof/>
        </w:rPr>
        <w:t>708</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B12" w:rsidRDefault="004B7B1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4839">
      <w:rPr>
        <w:lang w:val="fr-CA"/>
      </w:rPr>
      <w:pict>
        <v:rect id="_x0000_i1076" style="width:480.95pt;height:1pt" o:hralign="center" o:hrstd="t" o:hrnoshade="t" o:hr="t" fillcolor="black [3213]" stroked="f"/>
      </w:pict>
    </w:r>
  </w:p>
  <w:p w:rsidR="004B7B12" w:rsidRPr="0009648D" w:rsidRDefault="004B7B12" w:rsidP="00ED7E83">
    <w:pPr>
      <w:tabs>
        <w:tab w:val="center" w:pos="4680"/>
      </w:tabs>
    </w:pPr>
    <w:r>
      <w:tab/>
    </w:r>
    <w:r w:rsidRPr="0009648D">
      <w:t xml:space="preserve">- </w:t>
    </w:r>
    <w:fldSimple w:instr=" PAGE   \* MERGEFORMAT ">
      <w:r w:rsidR="00090737">
        <w:rPr>
          <w:noProof/>
        </w:rPr>
        <w:t>739</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pStyle w:val="Footer"/>
      <w:rPr>
        <w:lang w:val="fr-CA"/>
      </w:rPr>
    </w:pPr>
    <w:r w:rsidRPr="00B44839">
      <w:rPr>
        <w:lang w:val="fr-CA"/>
      </w:rPr>
      <w:pict>
        <v:rect id="_x0000_i1077" style="width:480.95pt;height:1pt" o:hralign="center" o:hrstd="t" o:hrnoshade="t" o:hr="t" fillcolor="black [3213]" stroked="f"/>
      </w:pict>
    </w:r>
  </w:p>
  <w:p w:rsidR="004B7B12" w:rsidRDefault="004B7B12" w:rsidP="00245129">
    <w:pPr>
      <w:tabs>
        <w:tab w:val="center" w:pos="4680"/>
      </w:tabs>
    </w:pPr>
    <w:r>
      <w:tab/>
    </w:r>
    <w:r w:rsidRPr="0009648D">
      <w:t xml:space="preserve">- </w:t>
    </w:r>
    <w:fldSimple w:instr=" PAGE   \* MERGEFORMAT ">
      <w:r w:rsidR="00090737">
        <w:rPr>
          <w:noProof/>
        </w:rPr>
        <w:t>709</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B12" w:rsidRDefault="004B7B12">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755F22">
    <w:pPr>
      <w:tabs>
        <w:tab w:val="left" w:pos="-1440"/>
        <w:tab w:val="left" w:pos="-720"/>
      </w:tabs>
    </w:pPr>
    <w:r>
      <w:pict>
        <v:rect id="_x0000_i1085" style="width:480.95pt;height:1pt" o:hralign="center" o:hrstd="t" o:hrnoshade="t" o:hr="t" fillcolor="black [3213]" stroked="f"/>
      </w:pict>
    </w:r>
  </w:p>
  <w:p w:rsidR="004B7B12" w:rsidRDefault="004B7B12" w:rsidP="00EB2B90">
    <w:pPr>
      <w:tabs>
        <w:tab w:val="center" w:pos="4680"/>
      </w:tabs>
    </w:pPr>
    <w:r>
      <w:tab/>
      <w:t xml:space="preserve">- </w:t>
    </w:r>
    <w:fldSimple w:instr=" PAGE   \* MERGEFORMAT ">
      <w:r w:rsidR="00090737">
        <w:rPr>
          <w:noProof/>
        </w:rPr>
        <w:t>744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EB2B90">
    <w:pPr>
      <w:tabs>
        <w:tab w:val="center" w:pos="4680"/>
      </w:tabs>
    </w:pPr>
    <w:r>
      <w:pict>
        <v:rect id="_x0000_i1086" style="width:480.95pt;height:1pt" o:hralign="center" o:hrstd="t" o:hrnoshade="t" o:hr="t" fillcolor="black [3213]" stroked="f"/>
      </w:pict>
    </w:r>
  </w:p>
  <w:p w:rsidR="004B7B12" w:rsidRPr="0031432F" w:rsidRDefault="004B7B12" w:rsidP="00EB2B90">
    <w:pPr>
      <w:tabs>
        <w:tab w:val="center" w:pos="4680"/>
      </w:tabs>
    </w:pPr>
    <w:r>
      <w:tab/>
      <w:t xml:space="preserve">- </w:t>
    </w:r>
    <w:fldSimple w:instr=" PAGE   \* MERGEFORMAT ">
      <w:r w:rsidR="00090737">
        <w:rPr>
          <w:noProof/>
        </w:rPr>
        <w:t>740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B12" w:rsidRDefault="004B7B12">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4839">
      <w:rPr>
        <w:lang w:val="fr-CA"/>
      </w:rPr>
      <w:pict>
        <v:rect id="_x0000_i1091" style="width:480.95pt;height:1pt" o:hralign="center" o:hrstd="t" o:hrnoshade="t" o:hr="t" fillcolor="black [3213]" stroked="f"/>
      </w:pict>
    </w:r>
  </w:p>
  <w:p w:rsidR="004B7B12" w:rsidRDefault="004B7B12" w:rsidP="00EB2B90">
    <w:pPr>
      <w:tabs>
        <w:tab w:val="center" w:pos="4680"/>
      </w:tabs>
    </w:pPr>
    <w:r>
      <w:tab/>
      <w:t xml:space="preserve">- </w:t>
    </w:r>
    <w:fldSimple w:instr=" PAGE   \* MERGEFORMAT ">
      <w:r>
        <w:rPr>
          <w:noProof/>
        </w:rPr>
        <w:t>519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pStyle w:val="Footer"/>
      <w:rPr>
        <w:lang w:val="fr-CA"/>
      </w:rPr>
    </w:pPr>
    <w:r w:rsidRPr="00B44839">
      <w:rPr>
        <w:lang w:val="fr-CA"/>
      </w:rPr>
      <w:pict>
        <v:rect id="_x0000_i1092" style="width:480.95pt;height:1pt" o:hralign="center" o:hrstd="t" o:hrnoshade="t" o:hr="t" fillcolor="black [3213]" stroked="f"/>
      </w:pict>
    </w:r>
  </w:p>
  <w:p w:rsidR="004B7B12" w:rsidRDefault="004B7B12" w:rsidP="00EB2B90">
    <w:pPr>
      <w:tabs>
        <w:tab w:val="center" w:pos="4680"/>
      </w:tabs>
    </w:pPr>
    <w:r>
      <w:tab/>
      <w:t xml:space="preserve">- </w:t>
    </w:r>
    <w:fldSimple w:instr=" PAGE   \* MERGEFORMAT ">
      <w:r w:rsidR="00090737">
        <w:rPr>
          <w:noProof/>
        </w:rPr>
        <w:t>745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B12" w:rsidRDefault="004B7B12">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732DB7">
    <w:r>
      <w:pict>
        <v:rect id="_x0000_i1095" style="width:480.95pt;height:1pt" o:hralign="center" o:hrstd="t" o:hrnoshade="t" o:hr="t" fillcolor="black" stroked="f"/>
      </w:pict>
    </w:r>
  </w:p>
  <w:p w:rsidR="004B7B12" w:rsidRDefault="004B7B12">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pStyle w:val="Footer"/>
    </w:pPr>
    <w:r>
      <w:pict>
        <v:rect id="_x0000_i1096" style="width:480.95pt;height:1pt" o:hralign="center" o:hrstd="t" o:hrnoshade="t" o:hr="t" fillcolor="black" stroked="f"/>
      </w:pict>
    </w:r>
  </w:p>
  <w:p w:rsidR="004B7B12" w:rsidRPr="00283C52" w:rsidRDefault="004B7B12">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B12" w:rsidRDefault="004B7B1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732DB7">
    <w:r>
      <w:pict>
        <v:rect id="_x0000_i1098" style="width:480.95pt;height:1pt" o:hralign="center" o:hrstd="t" o:hrnoshade="t" o:hr="t" fillcolor="black" stroked="f"/>
      </w:pict>
    </w:r>
  </w:p>
  <w:p w:rsidR="004B7B12" w:rsidRDefault="004B7B12">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pPr>
      <w:pStyle w:val="Footer"/>
    </w:pPr>
    <w:r>
      <w:pict>
        <v:rect id="_x0000_i1099" style="width:480.95pt;height:1pt" o:hralign="center" o:hrstd="t" o:hrnoshade="t" o:hr="t" fillcolor="black [3213]" stroked="f"/>
      </w:pict>
    </w:r>
  </w:p>
  <w:p w:rsidR="004B7B12" w:rsidRPr="003C2C0F" w:rsidRDefault="004B7B12" w:rsidP="00697C62">
    <w:pPr>
      <w:tabs>
        <w:tab w:val="center" w:pos="4680"/>
      </w:tabs>
    </w:pPr>
    <w:r>
      <w:tab/>
      <w:t xml:space="preserve">- </w:t>
    </w:r>
    <w:fldSimple w:instr=" PAGE   \* MERGEFORMAT ">
      <w:r w:rsidR="00090737">
        <w:rPr>
          <w:noProof/>
        </w:rPr>
        <w:t>749</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B12" w:rsidRDefault="004B7B12">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B12" w:rsidRDefault="00B448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2" style="width:480.95pt;height:1pt" o:hralign="center" o:hrstd="t" o:hrnoshade="t" o:hr="t" fillcolor="black [3213]" stroked="f"/>
      </w:pict>
    </w:r>
  </w:p>
  <w:p w:rsidR="004B7B12" w:rsidRDefault="004B7B12" w:rsidP="00782AE4">
    <w:pPr>
      <w:tabs>
        <w:tab w:val="center" w:pos="4680"/>
      </w:tabs>
    </w:pPr>
    <w:r>
      <w:tab/>
      <w:t xml:space="preserve">- </w:t>
    </w:r>
    <w:r w:rsidR="00B44839" w:rsidRPr="001775C1">
      <w:rPr>
        <w:szCs w:val="24"/>
      </w:rPr>
      <w:fldChar w:fldCharType="begin"/>
    </w:r>
    <w:r w:rsidRPr="001775C1">
      <w:rPr>
        <w:szCs w:val="24"/>
      </w:rPr>
      <w:instrText xml:space="preserve"> PAGE   \* MERGEFORMAT </w:instrText>
    </w:r>
    <w:r w:rsidR="00B44839" w:rsidRPr="001775C1">
      <w:rPr>
        <w:szCs w:val="24"/>
      </w:rPr>
      <w:fldChar w:fldCharType="separate"/>
    </w:r>
    <w:r w:rsidR="00090737">
      <w:rPr>
        <w:noProof/>
        <w:szCs w:val="24"/>
      </w:rPr>
      <w:t>752</w:t>
    </w:r>
    <w:r w:rsidR="00B44839"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782AE4">
    <w:pPr>
      <w:tabs>
        <w:tab w:val="center" w:pos="4680"/>
      </w:tabs>
    </w:pPr>
    <w:r>
      <w:pict>
        <v:rect id="_x0000_i1103" style="width:480.95pt;height:1pt" o:hralign="center" o:hrstd="t" o:hrnoshade="t" o:hr="t" fillcolor="black [3213]" stroked="f"/>
      </w:pict>
    </w:r>
  </w:p>
  <w:p w:rsidR="004B7B12" w:rsidRDefault="004B7B12" w:rsidP="00782AE4">
    <w:pPr>
      <w:tabs>
        <w:tab w:val="center" w:pos="4680"/>
      </w:tabs>
    </w:pPr>
    <w:r>
      <w:tab/>
      <w:t xml:space="preserve">- </w:t>
    </w:r>
    <w:r w:rsidR="00B44839" w:rsidRPr="001775C1">
      <w:rPr>
        <w:szCs w:val="24"/>
      </w:rPr>
      <w:fldChar w:fldCharType="begin"/>
    </w:r>
    <w:r w:rsidRPr="001775C1">
      <w:rPr>
        <w:szCs w:val="24"/>
      </w:rPr>
      <w:instrText xml:space="preserve"> PAGE   \* MERGEFORMAT </w:instrText>
    </w:r>
    <w:r w:rsidR="00B44839" w:rsidRPr="001775C1">
      <w:rPr>
        <w:szCs w:val="24"/>
      </w:rPr>
      <w:fldChar w:fldCharType="separate"/>
    </w:r>
    <w:r w:rsidR="00090737">
      <w:rPr>
        <w:noProof/>
        <w:szCs w:val="24"/>
      </w:rPr>
      <w:t>750</w:t>
    </w:r>
    <w:r w:rsidR="00B44839" w:rsidRPr="001775C1">
      <w:rPr>
        <w:szCs w:val="24"/>
      </w:rPr>
      <w:fldChar w:fldCharType="end"/>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Pr="00924065" w:rsidRDefault="004B7B1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A87207">
    <w:pPr>
      <w:pStyle w:val="Footer"/>
    </w:pPr>
    <w:r>
      <w:pict>
        <v:rect id="_x0000_i1035" style="width:480.95pt;height:1pt" o:hralign="center" o:hrstd="t" o:hrnoshade="t" o:hr="t" fillcolor="black [3213]" stroked="f"/>
      </w:pict>
    </w:r>
  </w:p>
  <w:p w:rsidR="004B7B12" w:rsidRPr="00B7374B" w:rsidRDefault="004B7B12" w:rsidP="00B7374B">
    <w:pPr>
      <w:tabs>
        <w:tab w:val="center" w:pos="4680"/>
      </w:tabs>
      <w:rPr>
        <w:szCs w:val="24"/>
      </w:rPr>
    </w:pPr>
    <w:r w:rsidRPr="00954D22">
      <w:rPr>
        <w:szCs w:val="24"/>
      </w:rPr>
      <w:tab/>
      <w:t xml:space="preserve">- </w:t>
    </w:r>
    <w:r w:rsidR="00B44839" w:rsidRPr="00954D22">
      <w:rPr>
        <w:szCs w:val="24"/>
      </w:rPr>
      <w:fldChar w:fldCharType="begin"/>
    </w:r>
    <w:r w:rsidRPr="00954D22">
      <w:rPr>
        <w:szCs w:val="24"/>
      </w:rPr>
      <w:instrText xml:space="preserve"> PAGE   \* MERGEFORMAT </w:instrText>
    </w:r>
    <w:r w:rsidR="00B44839" w:rsidRPr="00954D22">
      <w:rPr>
        <w:szCs w:val="24"/>
      </w:rPr>
      <w:fldChar w:fldCharType="separate"/>
    </w:r>
    <w:r w:rsidR="00090737">
      <w:rPr>
        <w:noProof/>
        <w:szCs w:val="24"/>
      </w:rPr>
      <w:t>706</w:t>
    </w:r>
    <w:r w:rsidR="00B44839"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755F22">
    <w:pPr>
      <w:tabs>
        <w:tab w:val="left" w:pos="-1440"/>
        <w:tab w:val="left" w:pos="-720"/>
      </w:tabs>
    </w:pPr>
    <w:r>
      <w:pict>
        <v:rect id="_x0000_i1036" style="width:480.95pt;height:1pt" o:hralign="center" o:hrstd="t" o:hrnoshade="t" o:hr="t" fillcolor="black [3213]" stroked="f"/>
      </w:pict>
    </w:r>
  </w:p>
  <w:p w:rsidR="004B7B12" w:rsidRPr="00954D22" w:rsidRDefault="004B7B12" w:rsidP="00B7374B">
    <w:pPr>
      <w:tabs>
        <w:tab w:val="center" w:pos="4680"/>
      </w:tabs>
      <w:rPr>
        <w:szCs w:val="24"/>
      </w:rPr>
    </w:pPr>
    <w:r w:rsidRPr="00954D22">
      <w:rPr>
        <w:szCs w:val="24"/>
      </w:rPr>
      <w:tab/>
      <w:t xml:space="preserve">- </w:t>
    </w:r>
    <w:r w:rsidR="00B44839">
      <w:rPr>
        <w:szCs w:val="24"/>
      </w:rPr>
      <w:fldChar w:fldCharType="begin"/>
    </w:r>
    <w:r>
      <w:rPr>
        <w:szCs w:val="24"/>
      </w:rPr>
      <w:instrText xml:space="preserve"> PAGE   \* MERGEFORMAT </w:instrText>
    </w:r>
    <w:r w:rsidR="00B44839">
      <w:rPr>
        <w:szCs w:val="24"/>
      </w:rPr>
      <w:fldChar w:fldCharType="separate"/>
    </w:r>
    <w:r w:rsidR="00090737">
      <w:rPr>
        <w:noProof/>
        <w:szCs w:val="24"/>
      </w:rPr>
      <w:t>705</w:t>
    </w:r>
    <w:r w:rsidR="00B44839">
      <w:rPr>
        <w:szCs w:val="24"/>
      </w:rPr>
      <w:fldChar w:fldCharType="end"/>
    </w:r>
    <w:r w:rsidRPr="00954D22">
      <w:rPr>
        <w:szCs w:val="24"/>
      </w:rPr>
      <w:t xml:space="preserve"> -</w:t>
    </w:r>
  </w:p>
  <w:p w:rsidR="004B7B12" w:rsidRDefault="004B7B1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A87207">
    <w:pPr>
      <w:pStyle w:val="Footer"/>
    </w:pPr>
    <w:r>
      <w:pict>
        <v:rect id="_x0000_i1038" style="width:480.95pt;height:1pt" o:hralign="center" o:hrstd="t" o:hrnoshade="t" o:hr="t" fillcolor="black [3213]" stroked="f"/>
      </w:pict>
    </w:r>
  </w:p>
  <w:p w:rsidR="004B7B12" w:rsidRPr="00B7374B" w:rsidRDefault="004B7B12" w:rsidP="00B7374B">
    <w:pPr>
      <w:tabs>
        <w:tab w:val="center" w:pos="4680"/>
      </w:tabs>
      <w:rPr>
        <w:szCs w:val="24"/>
      </w:rPr>
    </w:pPr>
    <w:r w:rsidRPr="00954D22">
      <w:rPr>
        <w:szCs w:val="24"/>
      </w:rPr>
      <w:tab/>
      <w:t xml:space="preserve">- </w:t>
    </w:r>
    <w:r w:rsidR="00B44839" w:rsidRPr="00954D22">
      <w:rPr>
        <w:szCs w:val="24"/>
      </w:rPr>
      <w:fldChar w:fldCharType="begin"/>
    </w:r>
    <w:r w:rsidRPr="00954D22">
      <w:rPr>
        <w:szCs w:val="24"/>
      </w:rPr>
      <w:instrText xml:space="preserve"> PAGE   \* MERGEFORMAT </w:instrText>
    </w:r>
    <w:r w:rsidR="00B44839" w:rsidRPr="00954D22">
      <w:rPr>
        <w:szCs w:val="24"/>
      </w:rPr>
      <w:fldChar w:fldCharType="separate"/>
    </w:r>
    <w:r>
      <w:rPr>
        <w:noProof/>
        <w:szCs w:val="24"/>
      </w:rPr>
      <w:t>708</w:t>
    </w:r>
    <w:r w:rsidR="00B44839"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B4483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4B7B12" w:rsidRPr="00954D22" w:rsidRDefault="004B7B12" w:rsidP="00B7374B">
    <w:pPr>
      <w:tabs>
        <w:tab w:val="center" w:pos="4680"/>
      </w:tabs>
      <w:rPr>
        <w:szCs w:val="24"/>
      </w:rPr>
    </w:pPr>
    <w:r w:rsidRPr="00954D22">
      <w:rPr>
        <w:szCs w:val="24"/>
      </w:rPr>
      <w:tab/>
      <w:t xml:space="preserve">- </w:t>
    </w:r>
    <w:r w:rsidR="00B44839" w:rsidRPr="00954D22">
      <w:rPr>
        <w:szCs w:val="24"/>
      </w:rPr>
      <w:fldChar w:fldCharType="begin"/>
    </w:r>
    <w:r w:rsidRPr="00954D22">
      <w:rPr>
        <w:szCs w:val="24"/>
      </w:rPr>
      <w:instrText xml:space="preserve"> PAGE   \* MERGEFORMAT </w:instrText>
    </w:r>
    <w:r w:rsidR="00B44839" w:rsidRPr="00954D22">
      <w:rPr>
        <w:szCs w:val="24"/>
      </w:rPr>
      <w:fldChar w:fldCharType="separate"/>
    </w:r>
    <w:r w:rsidR="00090737">
      <w:rPr>
        <w:noProof/>
        <w:szCs w:val="24"/>
      </w:rPr>
      <w:t>707</w:t>
    </w:r>
    <w:r w:rsidR="00B44839"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4B7B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4B7B12" w:rsidRDefault="004B7B1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4B7B12" w:rsidRDefault="00B44839">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0" style="width:480.95pt;height:1pt" o:hralign="center" o:hrstd="t" o:hrnoshade="t" o:hr="t" fillcolor="black [3213]" stroked="f"/>
      </w:pict>
    </w:r>
  </w:p>
  <w:p w:rsidR="004B7B12" w:rsidRDefault="004B7B12" w:rsidP="00432989">
    <w:pPr>
      <w:tabs>
        <w:tab w:val="center" w:pos="4680"/>
      </w:tabs>
    </w:pPr>
    <w:r>
      <w:tab/>
      <w:t xml:space="preserve">- </w:t>
    </w:r>
    <w:fldSimple w:instr=" PAGE   \* MERGEFORMAT ">
      <w:r>
        <w:rPr>
          <w:noProof/>
        </w:rPr>
        <w:t>714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12" w:rsidRDefault="004B7B12" w:rsidP="00A87207">
      <w:r>
        <w:separator/>
      </w:r>
    </w:p>
  </w:footnote>
  <w:footnote w:type="continuationSeparator" w:id="0">
    <w:p w:rsidR="004B7B12" w:rsidRDefault="004B7B1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B12" w:rsidRPr="004A42A2">
      <w:tc>
        <w:tcPr>
          <w:tcW w:w="4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7B12"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B12" w:rsidRPr="00FF6BA5"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7B12" w:rsidRPr="00FF6BA5"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7B12" w:rsidRPr="00FF6BA5"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7B12" w:rsidRPr="00FF6BA5"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B12" w:rsidRPr="004A42A2" w:rsidTr="00245129">
      <w:tc>
        <w:tcPr>
          <w:tcW w:w="4200" w:type="dxa"/>
          <w:tcMar>
            <w:left w:w="0" w:type="dxa"/>
            <w:right w:w="0" w:type="dxa"/>
          </w:tcMar>
        </w:tcPr>
        <w:p w:rsidR="004B7B12" w:rsidRPr="00755F2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B7B12" w:rsidRPr="00755F2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B7B12" w:rsidRPr="00755F22" w:rsidRDefault="004B7B1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7B12" w:rsidRPr="00755F22" w:rsidRDefault="004B7B1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7B12" w:rsidRPr="00755F22" w:rsidRDefault="004B7B1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7B12" w:rsidRPr="00755F22"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B7B12" w:rsidRPr="00FF6BA5" w:rsidRDefault="004B7B12"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7B12">
      <w:tc>
        <w:tcPr>
          <w:tcW w:w="423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B7B12"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B12"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B7B12">
      <w:trPr>
        <w:gridAfter w:val="2"/>
        <w:wAfter w:w="5250" w:type="dxa"/>
      </w:trPr>
      <w:tc>
        <w:tcPr>
          <w:tcW w:w="4230" w:type="dxa"/>
          <w:tcMar>
            <w:left w:w="0" w:type="dxa"/>
            <w:right w:w="0" w:type="dxa"/>
          </w:tcMar>
        </w:tcPr>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7B12" w:rsidRPr="00755F22" w:rsidTr="00245129">
      <w:tc>
        <w:tcPr>
          <w:tcW w:w="4230" w:type="dxa"/>
          <w:tcMar>
            <w:left w:w="0" w:type="dxa"/>
            <w:right w:w="0" w:type="dxa"/>
          </w:tcMar>
        </w:tcPr>
        <w:p w:rsidR="004B7B12" w:rsidRPr="00755F22" w:rsidRDefault="004B7B12" w:rsidP="00831CA9">
          <w:pPr>
            <w:keepNext/>
            <w:keepLines/>
            <w:rPr>
              <w:sz w:val="20"/>
              <w:szCs w:val="20"/>
            </w:rPr>
          </w:pPr>
          <w:r w:rsidRPr="00755F22">
            <w:rPr>
              <w:sz w:val="20"/>
              <w:szCs w:val="20"/>
            </w:rPr>
            <w:t>MOTIONS</w:t>
          </w:r>
        </w:p>
      </w:tc>
      <w:tc>
        <w:tcPr>
          <w:tcW w:w="1170" w:type="dxa"/>
          <w:tcMar>
            <w:left w:w="0" w:type="dxa"/>
            <w:right w:w="0" w:type="dxa"/>
          </w:tcMar>
        </w:tcPr>
        <w:p w:rsidR="004B7B12" w:rsidRPr="00755F22" w:rsidRDefault="004B7B12" w:rsidP="00831CA9">
          <w:pPr>
            <w:keepLines/>
            <w:jc w:val="center"/>
            <w:rPr>
              <w:sz w:val="20"/>
              <w:szCs w:val="20"/>
            </w:rPr>
          </w:pPr>
        </w:p>
        <w:p w:rsidR="004B7B12" w:rsidRPr="00755F22" w:rsidRDefault="004B7B12" w:rsidP="00831CA9">
          <w:pPr>
            <w:keepLines/>
            <w:tabs>
              <w:tab w:val="left" w:pos="-1440"/>
              <w:tab w:val="left" w:pos="-720"/>
            </w:tabs>
            <w:jc w:val="center"/>
            <w:rPr>
              <w:sz w:val="20"/>
              <w:szCs w:val="20"/>
            </w:rPr>
          </w:pPr>
        </w:p>
      </w:tc>
      <w:tc>
        <w:tcPr>
          <w:tcW w:w="4080" w:type="dxa"/>
          <w:tcMar>
            <w:left w:w="0" w:type="dxa"/>
            <w:right w:w="0" w:type="dxa"/>
          </w:tcMar>
        </w:tcPr>
        <w:p w:rsidR="004B7B12" w:rsidRPr="00BA6468" w:rsidRDefault="004B7B12" w:rsidP="00BA6468">
          <w:pPr>
            <w:keepLines/>
            <w:rPr>
              <w:sz w:val="20"/>
              <w:szCs w:val="20"/>
              <w:lang w:val="fr-CA"/>
            </w:rPr>
          </w:pPr>
          <w:r w:rsidRPr="00BA6468">
            <w:rPr>
              <w:sz w:val="20"/>
              <w:szCs w:val="20"/>
              <w:lang w:val="fr-CA"/>
            </w:rPr>
            <w:t>REQUÊTES</w:t>
          </w:r>
        </w:p>
      </w:tc>
    </w:tr>
  </w:tbl>
  <w:p w:rsidR="004B7B12" w:rsidRDefault="004B7B12"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B12" w:rsidRPr="004A42A2">
      <w:tc>
        <w:tcPr>
          <w:tcW w:w="4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B12" w:rsidRPr="00B01A03"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B7B12" w:rsidRPr="00B01A03"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7B12" w:rsidRPr="00B01A03"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B7B12" w:rsidRPr="004A42A2" w:rsidTr="00245129">
      <w:tc>
        <w:tcPr>
          <w:tcW w:w="4200" w:type="dxa"/>
          <w:tcMar>
            <w:left w:w="0" w:type="dxa"/>
            <w:right w:w="0" w:type="dxa"/>
          </w:tcMar>
        </w:tcPr>
        <w:p w:rsidR="004B7B12" w:rsidRPr="00F40249" w:rsidRDefault="004B7B1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B7B12" w:rsidRDefault="004B7B12" w:rsidP="00102926">
          <w:pPr>
            <w:keepNext/>
            <w:keepLines/>
            <w:tabs>
              <w:tab w:val="left" w:pos="-1440"/>
              <w:tab w:val="left" w:pos="-720"/>
            </w:tabs>
            <w:jc w:val="center"/>
            <w:rPr>
              <w:sz w:val="20"/>
              <w:szCs w:val="20"/>
            </w:rPr>
          </w:pPr>
        </w:p>
        <w:p w:rsidR="004B7B12" w:rsidRDefault="004B7B12" w:rsidP="00102926">
          <w:pPr>
            <w:keepNext/>
            <w:keepLines/>
            <w:tabs>
              <w:tab w:val="left" w:pos="-1440"/>
              <w:tab w:val="left" w:pos="-720"/>
            </w:tabs>
            <w:jc w:val="center"/>
            <w:rPr>
              <w:sz w:val="20"/>
              <w:szCs w:val="20"/>
            </w:rPr>
          </w:pPr>
        </w:p>
        <w:p w:rsidR="004B7B12" w:rsidRPr="00F40249" w:rsidRDefault="004B7B12" w:rsidP="00102926">
          <w:pPr>
            <w:keepNext/>
            <w:keepLines/>
            <w:tabs>
              <w:tab w:val="left" w:pos="-1440"/>
              <w:tab w:val="left" w:pos="-720"/>
            </w:tabs>
            <w:jc w:val="center"/>
            <w:rPr>
              <w:sz w:val="20"/>
              <w:szCs w:val="20"/>
            </w:rPr>
          </w:pPr>
        </w:p>
      </w:tc>
      <w:tc>
        <w:tcPr>
          <w:tcW w:w="4230" w:type="dxa"/>
          <w:tcMar>
            <w:left w:w="0" w:type="dxa"/>
            <w:right w:w="0" w:type="dxa"/>
          </w:tcMar>
        </w:tcPr>
        <w:p w:rsidR="004B7B12" w:rsidRPr="00F40249" w:rsidRDefault="004B7B1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B7B12" w:rsidRPr="00B01A03" w:rsidRDefault="004B7B1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B12" w:rsidRPr="004A42A2">
      <w:tc>
        <w:tcPr>
          <w:tcW w:w="4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B12" w:rsidRPr="00283C52"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B7B12" w:rsidRPr="00283C5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7B12" w:rsidRPr="00283C5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B12" w:rsidRPr="004A42A2" w:rsidTr="00245129">
      <w:tc>
        <w:tcPr>
          <w:tcW w:w="4200" w:type="dxa"/>
          <w:tcMar>
            <w:left w:w="0" w:type="dxa"/>
            <w:right w:w="0" w:type="dxa"/>
          </w:tcMar>
        </w:tcPr>
        <w:p w:rsidR="004B7B12" w:rsidRPr="00732DB7" w:rsidRDefault="004B7B1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B7B12" w:rsidRPr="00732DB7" w:rsidRDefault="004B7B12" w:rsidP="00732DB7">
          <w:pPr>
            <w:keepNext/>
            <w:keepLines/>
            <w:tabs>
              <w:tab w:val="left" w:pos="-1440"/>
              <w:tab w:val="left" w:pos="-720"/>
            </w:tabs>
            <w:jc w:val="center"/>
            <w:rPr>
              <w:sz w:val="20"/>
              <w:szCs w:val="20"/>
            </w:rPr>
          </w:pPr>
        </w:p>
        <w:p w:rsidR="004B7B12" w:rsidRPr="00732DB7" w:rsidRDefault="004B7B12" w:rsidP="00732DB7">
          <w:pPr>
            <w:keepNext/>
            <w:keepLines/>
            <w:tabs>
              <w:tab w:val="left" w:pos="-1440"/>
              <w:tab w:val="left" w:pos="-720"/>
            </w:tabs>
            <w:jc w:val="center"/>
            <w:rPr>
              <w:sz w:val="20"/>
              <w:szCs w:val="20"/>
            </w:rPr>
          </w:pPr>
        </w:p>
        <w:p w:rsidR="004B7B12" w:rsidRPr="00732DB7" w:rsidRDefault="004B7B12" w:rsidP="00732DB7">
          <w:pPr>
            <w:keepNext/>
            <w:keepLines/>
            <w:tabs>
              <w:tab w:val="left" w:pos="-1440"/>
              <w:tab w:val="left" w:pos="-720"/>
            </w:tabs>
            <w:jc w:val="center"/>
            <w:rPr>
              <w:sz w:val="20"/>
              <w:szCs w:val="20"/>
            </w:rPr>
          </w:pPr>
        </w:p>
      </w:tc>
      <w:tc>
        <w:tcPr>
          <w:tcW w:w="4080" w:type="dxa"/>
          <w:tcMar>
            <w:left w:w="0" w:type="dxa"/>
            <w:right w:w="0" w:type="dxa"/>
          </w:tcMar>
        </w:tcPr>
        <w:p w:rsidR="004B7B12" w:rsidRPr="00732DB7" w:rsidRDefault="004B7B1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B7B12" w:rsidRPr="00283C52" w:rsidRDefault="004B7B1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B12" w:rsidRPr="004A42A2">
      <w:tc>
        <w:tcPr>
          <w:tcW w:w="4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B7B12" w:rsidRPr="003C2C0F"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B7B12" w:rsidRPr="003C2C0F"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B7B12" w:rsidRPr="003C2C0F"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B12" w:rsidRPr="004A42A2" w:rsidTr="00245129">
      <w:tc>
        <w:tcPr>
          <w:tcW w:w="4200" w:type="dxa"/>
          <w:tcMar>
            <w:left w:w="0" w:type="dxa"/>
            <w:right w:w="0" w:type="dxa"/>
          </w:tcMar>
        </w:tcPr>
        <w:p w:rsidR="004B7B12" w:rsidRPr="00FF6EEC" w:rsidRDefault="004B7B12" w:rsidP="00FF6EEC">
          <w:pPr>
            <w:rPr>
              <w:sz w:val="20"/>
              <w:szCs w:val="20"/>
            </w:rPr>
          </w:pPr>
          <w:r w:rsidRPr="00FF6EEC">
            <w:rPr>
              <w:sz w:val="20"/>
              <w:szCs w:val="20"/>
            </w:rPr>
            <w:t>PRONOUNCEMENTS OF APPEALS RESERVED</w:t>
          </w:r>
        </w:p>
      </w:tc>
      <w:tc>
        <w:tcPr>
          <w:tcW w:w="1200" w:type="dxa"/>
          <w:tcMar>
            <w:left w:w="0" w:type="dxa"/>
            <w:right w:w="0" w:type="dxa"/>
          </w:tcMar>
        </w:tcPr>
        <w:p w:rsidR="004B7B12" w:rsidRPr="00FF6EEC" w:rsidRDefault="004B7B12" w:rsidP="00FF6EEC">
          <w:pPr>
            <w:jc w:val="center"/>
            <w:rPr>
              <w:sz w:val="20"/>
              <w:szCs w:val="20"/>
            </w:rPr>
          </w:pPr>
        </w:p>
        <w:p w:rsidR="004B7B12" w:rsidRPr="00FF6EEC" w:rsidRDefault="004B7B12" w:rsidP="00FF6EEC">
          <w:pPr>
            <w:jc w:val="center"/>
            <w:rPr>
              <w:sz w:val="20"/>
              <w:szCs w:val="20"/>
            </w:rPr>
          </w:pPr>
        </w:p>
        <w:p w:rsidR="004B7B12" w:rsidRPr="00FF6EEC" w:rsidRDefault="004B7B12" w:rsidP="00FF6EEC">
          <w:pPr>
            <w:jc w:val="center"/>
            <w:rPr>
              <w:sz w:val="20"/>
              <w:szCs w:val="20"/>
            </w:rPr>
          </w:pPr>
        </w:p>
      </w:tc>
      <w:tc>
        <w:tcPr>
          <w:tcW w:w="4080" w:type="dxa"/>
          <w:tcMar>
            <w:left w:w="0" w:type="dxa"/>
            <w:right w:w="0" w:type="dxa"/>
          </w:tcMar>
        </w:tcPr>
        <w:p w:rsidR="004B7B12" w:rsidRPr="00FF6EEC" w:rsidRDefault="004B7B12" w:rsidP="00FF6EEC">
          <w:pPr>
            <w:rPr>
              <w:sz w:val="20"/>
              <w:szCs w:val="20"/>
              <w:lang w:val="fr-CA"/>
            </w:rPr>
          </w:pPr>
          <w:r w:rsidRPr="00FF6EEC">
            <w:rPr>
              <w:sz w:val="20"/>
              <w:szCs w:val="20"/>
              <w:lang w:val="fr-CA"/>
            </w:rPr>
            <w:t>JUGEMENTS RENDUS SUR LES APPELS EN DÉLIBÉRÉ</w:t>
          </w:r>
        </w:p>
      </w:tc>
    </w:tr>
  </w:tbl>
  <w:p w:rsidR="004B7B12" w:rsidRPr="003C2C0F" w:rsidRDefault="004B7B1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7B12">
      <w:tc>
        <w:tcPr>
          <w:tcW w:w="423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B12"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7B12" w:rsidRDefault="004B7B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7B12" w:rsidRDefault="004B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7B12" w:rsidRPr="00782AE4" w:rsidTr="00245129">
      <w:tc>
        <w:tcPr>
          <w:tcW w:w="4230" w:type="dxa"/>
          <w:tcMar>
            <w:left w:w="0" w:type="dxa"/>
            <w:right w:w="0" w:type="dxa"/>
          </w:tcMar>
        </w:tcPr>
        <w:p w:rsidR="004B7B12" w:rsidRPr="00782AE4" w:rsidRDefault="004B7B12" w:rsidP="00102926">
          <w:pPr>
            <w:keepNext/>
            <w:keepLines/>
            <w:tabs>
              <w:tab w:val="left" w:pos="-1440"/>
              <w:tab w:val="left" w:pos="-720"/>
            </w:tabs>
            <w:rPr>
              <w:sz w:val="20"/>
              <w:szCs w:val="20"/>
            </w:rPr>
          </w:pPr>
          <w:r w:rsidRPr="00782AE4">
            <w:rPr>
              <w:sz w:val="20"/>
              <w:szCs w:val="20"/>
            </w:rPr>
            <w:t xml:space="preserve">HEADNOTES OF RECENT </w:t>
          </w:r>
        </w:p>
        <w:p w:rsidR="004B7B12" w:rsidRPr="00782AE4"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7B12" w:rsidRDefault="004B7B12" w:rsidP="00102926">
          <w:pPr>
            <w:keepNext/>
            <w:keepLines/>
            <w:tabs>
              <w:tab w:val="left" w:pos="-1440"/>
              <w:tab w:val="left" w:pos="-720"/>
            </w:tabs>
            <w:jc w:val="center"/>
            <w:rPr>
              <w:sz w:val="20"/>
              <w:szCs w:val="20"/>
            </w:rPr>
          </w:pPr>
        </w:p>
        <w:p w:rsidR="004B7B12" w:rsidRDefault="004B7B12" w:rsidP="00102926">
          <w:pPr>
            <w:keepNext/>
            <w:keepLines/>
            <w:tabs>
              <w:tab w:val="left" w:pos="-1440"/>
              <w:tab w:val="left" w:pos="-720"/>
            </w:tabs>
            <w:jc w:val="center"/>
            <w:rPr>
              <w:sz w:val="20"/>
              <w:szCs w:val="20"/>
            </w:rPr>
          </w:pPr>
        </w:p>
        <w:p w:rsidR="004B7B12" w:rsidRPr="00782AE4" w:rsidRDefault="004B7B12" w:rsidP="00102926">
          <w:pPr>
            <w:keepNext/>
            <w:keepLines/>
            <w:tabs>
              <w:tab w:val="left" w:pos="-1440"/>
              <w:tab w:val="left" w:pos="-720"/>
            </w:tabs>
            <w:jc w:val="center"/>
            <w:rPr>
              <w:sz w:val="20"/>
              <w:szCs w:val="20"/>
            </w:rPr>
          </w:pPr>
        </w:p>
      </w:tc>
      <w:tc>
        <w:tcPr>
          <w:tcW w:w="4080" w:type="dxa"/>
          <w:tcMar>
            <w:left w:w="0" w:type="dxa"/>
            <w:right w:w="0" w:type="dxa"/>
          </w:tcMar>
        </w:tcPr>
        <w:p w:rsidR="004B7B12" w:rsidRPr="00102926" w:rsidRDefault="004B7B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7B12" w:rsidRPr="00782AE4" w:rsidRDefault="004B7B12" w:rsidP="00102926">
          <w:pPr>
            <w:keepLines/>
            <w:tabs>
              <w:tab w:val="left" w:pos="-1440"/>
              <w:tab w:val="left" w:pos="-720"/>
            </w:tabs>
            <w:rPr>
              <w:sz w:val="20"/>
              <w:szCs w:val="20"/>
            </w:rPr>
          </w:pPr>
          <w:r w:rsidRPr="00102926">
            <w:rPr>
              <w:sz w:val="20"/>
              <w:szCs w:val="20"/>
              <w:lang w:val="fr-CA"/>
            </w:rPr>
            <w:t>RÉCENTS</w:t>
          </w:r>
        </w:p>
      </w:tc>
    </w:tr>
  </w:tbl>
  <w:p w:rsidR="004B7B12" w:rsidRDefault="004B7B1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B7B12" w:rsidRPr="0044776A" w:rsidTr="00245129">
      <w:tc>
        <w:tcPr>
          <w:tcW w:w="4290" w:type="dxa"/>
          <w:tcMar>
            <w:left w:w="0" w:type="dxa"/>
            <w:right w:w="0" w:type="dxa"/>
          </w:tcMar>
        </w:tcPr>
        <w:p w:rsidR="004B7B12" w:rsidRPr="0044776A" w:rsidRDefault="004B7B1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B7B12" w:rsidRPr="0044776A" w:rsidRDefault="004B7B12" w:rsidP="002E2327">
          <w:pPr>
            <w:keepNext/>
            <w:keepLines/>
            <w:tabs>
              <w:tab w:val="left" w:pos="-1440"/>
              <w:tab w:val="left" w:pos="-720"/>
            </w:tabs>
            <w:jc w:val="center"/>
            <w:rPr>
              <w:sz w:val="20"/>
              <w:szCs w:val="20"/>
            </w:rPr>
          </w:pPr>
        </w:p>
        <w:p w:rsidR="004B7B12" w:rsidRPr="0044776A" w:rsidRDefault="004B7B12" w:rsidP="002E2327">
          <w:pPr>
            <w:keepNext/>
            <w:keepLines/>
            <w:tabs>
              <w:tab w:val="left" w:pos="-1440"/>
              <w:tab w:val="left" w:pos="-720"/>
            </w:tabs>
            <w:jc w:val="center"/>
            <w:rPr>
              <w:sz w:val="20"/>
              <w:szCs w:val="20"/>
            </w:rPr>
          </w:pPr>
        </w:p>
        <w:p w:rsidR="004B7B12" w:rsidRPr="0044776A" w:rsidRDefault="004B7B12" w:rsidP="002E2327">
          <w:pPr>
            <w:keepNext/>
            <w:keepLines/>
            <w:tabs>
              <w:tab w:val="left" w:pos="-1440"/>
              <w:tab w:val="left" w:pos="-720"/>
            </w:tabs>
            <w:jc w:val="center"/>
            <w:rPr>
              <w:sz w:val="20"/>
              <w:szCs w:val="20"/>
            </w:rPr>
          </w:pPr>
        </w:p>
      </w:tc>
      <w:tc>
        <w:tcPr>
          <w:tcW w:w="4320" w:type="dxa"/>
          <w:tcMar>
            <w:left w:w="0" w:type="dxa"/>
            <w:right w:w="0" w:type="dxa"/>
          </w:tcMar>
        </w:tcPr>
        <w:p w:rsidR="004B7B12" w:rsidRPr="0044776A" w:rsidRDefault="004B7B12" w:rsidP="002E2327">
          <w:pPr>
            <w:keepLines/>
            <w:rPr>
              <w:sz w:val="20"/>
              <w:szCs w:val="20"/>
              <w:lang w:val="fr-CA"/>
            </w:rPr>
          </w:pPr>
          <w:r w:rsidRPr="0044776A">
            <w:rPr>
              <w:sz w:val="20"/>
              <w:szCs w:val="20"/>
              <w:lang w:val="fr-CA"/>
            </w:rPr>
            <w:t>DEMANDES D'AUTORISATION D'APPEL DÉPOSÉES</w:t>
          </w:r>
        </w:p>
      </w:tc>
    </w:tr>
  </w:tbl>
  <w:p w:rsidR="004B7B12" w:rsidRDefault="004B7B1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B12" w:rsidRPr="004A42A2" w:rsidTr="00245129">
      <w:tc>
        <w:tcPr>
          <w:tcW w:w="4200" w:type="dxa"/>
          <w:tcMar>
            <w:left w:w="0" w:type="dxa"/>
            <w:right w:w="0" w:type="dxa"/>
          </w:tcMar>
        </w:tcPr>
        <w:p w:rsidR="004B7B12" w:rsidRPr="0044776A" w:rsidRDefault="004B7B12" w:rsidP="0044776A">
          <w:pPr>
            <w:keepNext/>
            <w:keepLines/>
            <w:widowControl w:val="0"/>
            <w:rPr>
              <w:sz w:val="20"/>
              <w:szCs w:val="20"/>
            </w:rPr>
          </w:pPr>
          <w:r>
            <w:rPr>
              <w:sz w:val="20"/>
              <w:szCs w:val="20"/>
            </w:rPr>
            <w:t>APPLICATIONS FOR LEAVE</w:t>
          </w:r>
        </w:p>
        <w:p w:rsidR="004B7B12" w:rsidRPr="0044776A" w:rsidRDefault="004B7B1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B7B12" w:rsidRPr="0044776A" w:rsidRDefault="004B7B12" w:rsidP="0044776A">
          <w:pPr>
            <w:keepNext/>
            <w:keepLines/>
            <w:widowControl w:val="0"/>
            <w:jc w:val="center"/>
            <w:rPr>
              <w:sz w:val="20"/>
              <w:szCs w:val="20"/>
            </w:rPr>
          </w:pPr>
        </w:p>
        <w:p w:rsidR="004B7B12" w:rsidRPr="0044776A" w:rsidRDefault="004B7B12" w:rsidP="0044776A">
          <w:pPr>
            <w:keepNext/>
            <w:keepLines/>
            <w:widowControl w:val="0"/>
            <w:jc w:val="center"/>
            <w:rPr>
              <w:sz w:val="20"/>
              <w:szCs w:val="20"/>
            </w:rPr>
          </w:pPr>
        </w:p>
        <w:p w:rsidR="004B7B12" w:rsidRPr="0044776A" w:rsidRDefault="004B7B12" w:rsidP="0044776A">
          <w:pPr>
            <w:keepNext/>
            <w:keepLines/>
            <w:widowControl w:val="0"/>
            <w:jc w:val="center"/>
            <w:rPr>
              <w:sz w:val="20"/>
              <w:szCs w:val="20"/>
            </w:rPr>
          </w:pPr>
        </w:p>
      </w:tc>
      <w:tc>
        <w:tcPr>
          <w:tcW w:w="4080" w:type="dxa"/>
          <w:tcMar>
            <w:left w:w="0" w:type="dxa"/>
            <w:right w:w="0" w:type="dxa"/>
          </w:tcMar>
        </w:tcPr>
        <w:p w:rsidR="004B7B12" w:rsidRPr="0044776A" w:rsidRDefault="004B7B12" w:rsidP="0044776A">
          <w:pPr>
            <w:keepLines/>
            <w:widowControl w:val="0"/>
            <w:rPr>
              <w:sz w:val="20"/>
              <w:szCs w:val="20"/>
              <w:lang w:val="fr-CA"/>
            </w:rPr>
          </w:pPr>
          <w:r w:rsidRPr="0044776A">
            <w:rPr>
              <w:sz w:val="20"/>
              <w:szCs w:val="20"/>
              <w:lang w:val="fr-CA"/>
            </w:rPr>
            <w:t>DEMANDES SOUMISES À LA COUR DEPUIS LA DERNIÈRE PARUTION</w:t>
          </w:r>
        </w:p>
        <w:p w:rsidR="004B7B12" w:rsidRPr="0044776A" w:rsidRDefault="004B7B12" w:rsidP="0044776A">
          <w:pPr>
            <w:widowControl w:val="0"/>
            <w:rPr>
              <w:sz w:val="20"/>
              <w:szCs w:val="20"/>
              <w:lang w:val="fr-CA"/>
            </w:rPr>
          </w:pPr>
        </w:p>
      </w:tc>
    </w:tr>
  </w:tbl>
  <w:p w:rsidR="004B7B12" w:rsidRPr="002E2327" w:rsidRDefault="004B7B1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12" w:rsidRDefault="004B7B1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B12" w:rsidRPr="004A42A2">
      <w:tc>
        <w:tcPr>
          <w:tcW w:w="4200" w:type="dxa"/>
          <w:tcMar>
            <w:left w:w="0" w:type="dxa"/>
            <w:right w:w="0" w:type="dxa"/>
          </w:tcMar>
        </w:tcPr>
        <w:p w:rsidR="004B7B12" w:rsidRDefault="004B7B12">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4B7B12" w:rsidRDefault="004B7B12">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4B7B12" w:rsidRPr="008D6812" w:rsidRDefault="004B7B12">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4B7B12" w:rsidRPr="008D68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4B7B12" w:rsidRPr="008D68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B12" w:rsidRPr="004A42A2" w:rsidTr="00245129">
      <w:tc>
        <w:tcPr>
          <w:tcW w:w="4200" w:type="dxa"/>
          <w:tcMar>
            <w:left w:w="0" w:type="dxa"/>
            <w:right w:w="0" w:type="dxa"/>
          </w:tcMar>
        </w:tcPr>
        <w:p w:rsidR="004B7B12" w:rsidRPr="00755F22" w:rsidRDefault="004B7B12" w:rsidP="00432989">
          <w:pPr>
            <w:rPr>
              <w:sz w:val="20"/>
              <w:szCs w:val="20"/>
            </w:rPr>
          </w:pPr>
          <w:r w:rsidRPr="00755F22">
            <w:rPr>
              <w:sz w:val="20"/>
              <w:szCs w:val="20"/>
            </w:rPr>
            <w:t>ORAL HEARING ON APPLICATIONS FOR LEAVE</w:t>
          </w:r>
        </w:p>
      </w:tc>
      <w:tc>
        <w:tcPr>
          <w:tcW w:w="1200" w:type="dxa"/>
          <w:tcMar>
            <w:left w:w="0" w:type="dxa"/>
            <w:right w:w="0" w:type="dxa"/>
          </w:tcMar>
        </w:tcPr>
        <w:p w:rsidR="004B7B12" w:rsidRDefault="004B7B12" w:rsidP="008D292F">
          <w:pPr>
            <w:jc w:val="center"/>
            <w:rPr>
              <w:sz w:val="20"/>
              <w:szCs w:val="20"/>
            </w:rPr>
          </w:pPr>
        </w:p>
        <w:p w:rsidR="004B7B12" w:rsidRDefault="004B7B12" w:rsidP="008D292F">
          <w:pPr>
            <w:jc w:val="center"/>
            <w:rPr>
              <w:sz w:val="20"/>
              <w:szCs w:val="20"/>
            </w:rPr>
          </w:pPr>
        </w:p>
        <w:p w:rsidR="004B7B12" w:rsidRPr="00755F22" w:rsidRDefault="004B7B12" w:rsidP="008D292F">
          <w:pPr>
            <w:jc w:val="center"/>
            <w:rPr>
              <w:sz w:val="20"/>
              <w:szCs w:val="20"/>
            </w:rPr>
          </w:pPr>
        </w:p>
      </w:tc>
      <w:tc>
        <w:tcPr>
          <w:tcW w:w="4080" w:type="dxa"/>
          <w:tcMar>
            <w:left w:w="0" w:type="dxa"/>
            <w:right w:w="0" w:type="dxa"/>
          </w:tcMar>
        </w:tcPr>
        <w:p w:rsidR="004B7B12" w:rsidRPr="00755F22" w:rsidRDefault="004B7B12" w:rsidP="00432989">
          <w:pPr>
            <w:rPr>
              <w:sz w:val="20"/>
              <w:szCs w:val="20"/>
              <w:lang w:val="fr-CA"/>
            </w:rPr>
          </w:pPr>
          <w:r w:rsidRPr="00755F22">
            <w:rPr>
              <w:sz w:val="20"/>
              <w:szCs w:val="20"/>
              <w:lang w:val="fr-CA"/>
            </w:rPr>
            <w:t xml:space="preserve">AUDIENCE SUR LES DEMANDES D’AUTORISATION </w:t>
          </w:r>
        </w:p>
      </w:tc>
    </w:tr>
  </w:tbl>
  <w:p w:rsidR="004B7B12" w:rsidRPr="008D68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4B7B12" w:rsidRPr="008D6812" w:rsidRDefault="004B7B1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8931"/>
  </w:hdrShapeDefaults>
  <w:footnotePr>
    <w:footnote w:id="-1"/>
    <w:footnote w:id="0"/>
  </w:footnotePr>
  <w:endnotePr>
    <w:endnote w:id="-1"/>
    <w:endnote w:id="0"/>
  </w:endnotePr>
  <w:compat/>
  <w:rsids>
    <w:rsidRoot w:val="0031047B"/>
    <w:rsid w:val="00015FAC"/>
    <w:rsid w:val="0003223B"/>
    <w:rsid w:val="000327B2"/>
    <w:rsid w:val="00037A63"/>
    <w:rsid w:val="00040C51"/>
    <w:rsid w:val="000652EA"/>
    <w:rsid w:val="000733DF"/>
    <w:rsid w:val="00076366"/>
    <w:rsid w:val="00090737"/>
    <w:rsid w:val="00096BD9"/>
    <w:rsid w:val="000B3C9A"/>
    <w:rsid w:val="000B40A2"/>
    <w:rsid w:val="000B4624"/>
    <w:rsid w:val="000C0ACD"/>
    <w:rsid w:val="00102926"/>
    <w:rsid w:val="0010587F"/>
    <w:rsid w:val="00111C6B"/>
    <w:rsid w:val="0012102B"/>
    <w:rsid w:val="0013369E"/>
    <w:rsid w:val="00150A40"/>
    <w:rsid w:val="00164E6D"/>
    <w:rsid w:val="001818B3"/>
    <w:rsid w:val="00182158"/>
    <w:rsid w:val="001B157C"/>
    <w:rsid w:val="001B5C23"/>
    <w:rsid w:val="001D0D5F"/>
    <w:rsid w:val="001D6B8C"/>
    <w:rsid w:val="001F1F83"/>
    <w:rsid w:val="002021A9"/>
    <w:rsid w:val="002043D5"/>
    <w:rsid w:val="002139A7"/>
    <w:rsid w:val="00214967"/>
    <w:rsid w:val="00215F7C"/>
    <w:rsid w:val="0022323B"/>
    <w:rsid w:val="002304D1"/>
    <w:rsid w:val="002410B8"/>
    <w:rsid w:val="00242AEE"/>
    <w:rsid w:val="00245129"/>
    <w:rsid w:val="00245879"/>
    <w:rsid w:val="00267FD5"/>
    <w:rsid w:val="00270BDA"/>
    <w:rsid w:val="002722CC"/>
    <w:rsid w:val="00274743"/>
    <w:rsid w:val="002868D0"/>
    <w:rsid w:val="002A27D1"/>
    <w:rsid w:val="002A323F"/>
    <w:rsid w:val="002A4AFA"/>
    <w:rsid w:val="002B393C"/>
    <w:rsid w:val="002B516C"/>
    <w:rsid w:val="002D72EB"/>
    <w:rsid w:val="002E2327"/>
    <w:rsid w:val="002E3583"/>
    <w:rsid w:val="002E5576"/>
    <w:rsid w:val="003004DA"/>
    <w:rsid w:val="0031047B"/>
    <w:rsid w:val="00316212"/>
    <w:rsid w:val="00331B52"/>
    <w:rsid w:val="003359D3"/>
    <w:rsid w:val="00355967"/>
    <w:rsid w:val="00363081"/>
    <w:rsid w:val="0038059D"/>
    <w:rsid w:val="00382C47"/>
    <w:rsid w:val="00384384"/>
    <w:rsid w:val="003866AE"/>
    <w:rsid w:val="003A33EF"/>
    <w:rsid w:val="003B3977"/>
    <w:rsid w:val="003C1791"/>
    <w:rsid w:val="00432989"/>
    <w:rsid w:val="0043585F"/>
    <w:rsid w:val="00440E24"/>
    <w:rsid w:val="0044776A"/>
    <w:rsid w:val="0045321C"/>
    <w:rsid w:val="00454999"/>
    <w:rsid w:val="00460AFC"/>
    <w:rsid w:val="00465302"/>
    <w:rsid w:val="0047471F"/>
    <w:rsid w:val="0048310D"/>
    <w:rsid w:val="0049718C"/>
    <w:rsid w:val="004A42A2"/>
    <w:rsid w:val="004B195E"/>
    <w:rsid w:val="004B554E"/>
    <w:rsid w:val="004B66B4"/>
    <w:rsid w:val="004B7B12"/>
    <w:rsid w:val="004B7F60"/>
    <w:rsid w:val="004C1AAC"/>
    <w:rsid w:val="004F090E"/>
    <w:rsid w:val="004F1F89"/>
    <w:rsid w:val="00500DA8"/>
    <w:rsid w:val="00527CC7"/>
    <w:rsid w:val="00560A75"/>
    <w:rsid w:val="00571CA4"/>
    <w:rsid w:val="00582136"/>
    <w:rsid w:val="005A69C5"/>
    <w:rsid w:val="005C6840"/>
    <w:rsid w:val="005F263E"/>
    <w:rsid w:val="00600252"/>
    <w:rsid w:val="00612A40"/>
    <w:rsid w:val="00675479"/>
    <w:rsid w:val="00684BF6"/>
    <w:rsid w:val="00693F13"/>
    <w:rsid w:val="00696BF9"/>
    <w:rsid w:val="00697C62"/>
    <w:rsid w:val="006A329B"/>
    <w:rsid w:val="006A7EB8"/>
    <w:rsid w:val="006B6926"/>
    <w:rsid w:val="006C2F03"/>
    <w:rsid w:val="006C3F47"/>
    <w:rsid w:val="006C5F7A"/>
    <w:rsid w:val="006E06AF"/>
    <w:rsid w:val="006F350F"/>
    <w:rsid w:val="006F5EA1"/>
    <w:rsid w:val="00732DB7"/>
    <w:rsid w:val="0074238B"/>
    <w:rsid w:val="00745EF7"/>
    <w:rsid w:val="007525CF"/>
    <w:rsid w:val="00755F22"/>
    <w:rsid w:val="00766E4A"/>
    <w:rsid w:val="007820CE"/>
    <w:rsid w:val="00782AE4"/>
    <w:rsid w:val="0079388E"/>
    <w:rsid w:val="0079724F"/>
    <w:rsid w:val="00797B52"/>
    <w:rsid w:val="007A3EAE"/>
    <w:rsid w:val="007B5386"/>
    <w:rsid w:val="007C04FC"/>
    <w:rsid w:val="007D3E0F"/>
    <w:rsid w:val="007F387B"/>
    <w:rsid w:val="007F4721"/>
    <w:rsid w:val="00802863"/>
    <w:rsid w:val="00815B3C"/>
    <w:rsid w:val="0082783A"/>
    <w:rsid w:val="00831CA9"/>
    <w:rsid w:val="00842049"/>
    <w:rsid w:val="00850E1F"/>
    <w:rsid w:val="0085476B"/>
    <w:rsid w:val="00870DD7"/>
    <w:rsid w:val="00890FEB"/>
    <w:rsid w:val="008B2358"/>
    <w:rsid w:val="008D292F"/>
    <w:rsid w:val="008E03DC"/>
    <w:rsid w:val="00924065"/>
    <w:rsid w:val="00930D68"/>
    <w:rsid w:val="00932DB4"/>
    <w:rsid w:val="00941A4B"/>
    <w:rsid w:val="00946242"/>
    <w:rsid w:val="0095096B"/>
    <w:rsid w:val="00970CD3"/>
    <w:rsid w:val="009723FA"/>
    <w:rsid w:val="00983D4E"/>
    <w:rsid w:val="00984546"/>
    <w:rsid w:val="00996510"/>
    <w:rsid w:val="009B2448"/>
    <w:rsid w:val="009D1F15"/>
    <w:rsid w:val="009D555E"/>
    <w:rsid w:val="009F3024"/>
    <w:rsid w:val="00A0355E"/>
    <w:rsid w:val="00A154E6"/>
    <w:rsid w:val="00A375D1"/>
    <w:rsid w:val="00A51D10"/>
    <w:rsid w:val="00A52A83"/>
    <w:rsid w:val="00A6552C"/>
    <w:rsid w:val="00A87207"/>
    <w:rsid w:val="00A935AA"/>
    <w:rsid w:val="00AB2201"/>
    <w:rsid w:val="00AD3259"/>
    <w:rsid w:val="00AE0522"/>
    <w:rsid w:val="00AF08F3"/>
    <w:rsid w:val="00AF1715"/>
    <w:rsid w:val="00AF3904"/>
    <w:rsid w:val="00B010C0"/>
    <w:rsid w:val="00B01569"/>
    <w:rsid w:val="00B063EC"/>
    <w:rsid w:val="00B3629E"/>
    <w:rsid w:val="00B42EF1"/>
    <w:rsid w:val="00B44839"/>
    <w:rsid w:val="00B4740D"/>
    <w:rsid w:val="00B50573"/>
    <w:rsid w:val="00B61629"/>
    <w:rsid w:val="00B61A22"/>
    <w:rsid w:val="00B66248"/>
    <w:rsid w:val="00B70530"/>
    <w:rsid w:val="00B7374B"/>
    <w:rsid w:val="00B77BD9"/>
    <w:rsid w:val="00B90DC0"/>
    <w:rsid w:val="00BA116A"/>
    <w:rsid w:val="00BA5582"/>
    <w:rsid w:val="00BA6468"/>
    <w:rsid w:val="00BD06DA"/>
    <w:rsid w:val="00BD4217"/>
    <w:rsid w:val="00BD730A"/>
    <w:rsid w:val="00BF25F3"/>
    <w:rsid w:val="00C1697B"/>
    <w:rsid w:val="00C21CB5"/>
    <w:rsid w:val="00C360C1"/>
    <w:rsid w:val="00C50A5C"/>
    <w:rsid w:val="00C50FDF"/>
    <w:rsid w:val="00C628BD"/>
    <w:rsid w:val="00C63381"/>
    <w:rsid w:val="00C63DA0"/>
    <w:rsid w:val="00C73D06"/>
    <w:rsid w:val="00C73E1B"/>
    <w:rsid w:val="00C759B4"/>
    <w:rsid w:val="00C77713"/>
    <w:rsid w:val="00C9768C"/>
    <w:rsid w:val="00CA2962"/>
    <w:rsid w:val="00CB43D5"/>
    <w:rsid w:val="00CC4D84"/>
    <w:rsid w:val="00CE198A"/>
    <w:rsid w:val="00CE1B24"/>
    <w:rsid w:val="00D104D1"/>
    <w:rsid w:val="00D40A3C"/>
    <w:rsid w:val="00D432F5"/>
    <w:rsid w:val="00D54E79"/>
    <w:rsid w:val="00D64901"/>
    <w:rsid w:val="00D76BDF"/>
    <w:rsid w:val="00D8016B"/>
    <w:rsid w:val="00D80FB7"/>
    <w:rsid w:val="00D862C1"/>
    <w:rsid w:val="00D93B50"/>
    <w:rsid w:val="00D94670"/>
    <w:rsid w:val="00DA46F6"/>
    <w:rsid w:val="00DD0B49"/>
    <w:rsid w:val="00E06DFA"/>
    <w:rsid w:val="00E20A0A"/>
    <w:rsid w:val="00E356C7"/>
    <w:rsid w:val="00E3701C"/>
    <w:rsid w:val="00E45FE4"/>
    <w:rsid w:val="00E64FA7"/>
    <w:rsid w:val="00E7424B"/>
    <w:rsid w:val="00E770CB"/>
    <w:rsid w:val="00E77844"/>
    <w:rsid w:val="00E903A1"/>
    <w:rsid w:val="00E940EB"/>
    <w:rsid w:val="00E94E36"/>
    <w:rsid w:val="00EB2B90"/>
    <w:rsid w:val="00ED7E83"/>
    <w:rsid w:val="00EE309D"/>
    <w:rsid w:val="00EF4B63"/>
    <w:rsid w:val="00EF74C1"/>
    <w:rsid w:val="00F0068D"/>
    <w:rsid w:val="00F0576D"/>
    <w:rsid w:val="00F067EA"/>
    <w:rsid w:val="00F14E6D"/>
    <w:rsid w:val="00F15EA8"/>
    <w:rsid w:val="00F16C8D"/>
    <w:rsid w:val="00F26C61"/>
    <w:rsid w:val="00F26F03"/>
    <w:rsid w:val="00F33CCE"/>
    <w:rsid w:val="00F40249"/>
    <w:rsid w:val="00F526C8"/>
    <w:rsid w:val="00F53652"/>
    <w:rsid w:val="00F56F6C"/>
    <w:rsid w:val="00F9272D"/>
    <w:rsid w:val="00F9518C"/>
    <w:rsid w:val="00FA316E"/>
    <w:rsid w:val="00FA59EF"/>
    <w:rsid w:val="00FB19A2"/>
    <w:rsid w:val="00FE1B1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2043D5"/>
    <w:rPr>
      <w:rFonts w:eastAsia="Calibri" w:cs="Times New Roman"/>
      <w:i/>
      <w:sz w:val="20"/>
      <w:szCs w:val="20"/>
    </w:rPr>
  </w:style>
  <w:style w:type="character" w:customStyle="1" w:styleId="SCCSsocChar">
    <w:name w:val="SCC.Ssoc Char"/>
    <w:basedOn w:val="DefaultParagraphFont"/>
    <w:link w:val="SCCSsoc"/>
    <w:rsid w:val="002043D5"/>
    <w:rPr>
      <w:rFonts w:eastAsia="Calibri" w:cs="Times New Roman"/>
      <w:i/>
      <w:sz w:val="20"/>
      <w:szCs w:val="20"/>
      <w:lang w:val="en-CA"/>
    </w:rPr>
  </w:style>
  <w:style w:type="paragraph" w:customStyle="1" w:styleId="SCCLsocParty">
    <w:name w:val="SCC.Lsoc.Party"/>
    <w:basedOn w:val="Normal"/>
    <w:next w:val="Normal"/>
    <w:link w:val="SCCLsocPartyChar"/>
    <w:uiPriority w:val="99"/>
    <w:rsid w:val="00F53652"/>
    <w:pPr>
      <w:jc w:val="center"/>
    </w:pPr>
    <w:rPr>
      <w:rFonts w:eastAsia="Calibri" w:cs="Times New Roman"/>
      <w:lang w:val="fr-CA"/>
    </w:rPr>
  </w:style>
  <w:style w:type="character" w:customStyle="1" w:styleId="SCCLsocPartyChar">
    <w:name w:val="SCC.Lsoc.Party Char"/>
    <w:basedOn w:val="DefaultParagraphFont"/>
    <w:link w:val="SCCLsocParty"/>
    <w:uiPriority w:val="99"/>
    <w:rsid w:val="00F53652"/>
    <w:rPr>
      <w:rFonts w:eastAsia="Calibri" w:cs="Times New Roman"/>
      <w:lang w:val="fr-CA"/>
    </w:rPr>
  </w:style>
  <w:style w:type="paragraph" w:customStyle="1" w:styleId="SCCLowerCourtNameLowercase">
    <w:name w:val="SCC.LowerCourtNameLowercase"/>
    <w:basedOn w:val="SCCNormalDoubleSpacing"/>
    <w:next w:val="SCCNormalDoubleSpacing"/>
    <w:rsid w:val="001818B3"/>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theme" Target="theme/theme1.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19258</Words>
  <Characters>109773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2012-05-11T19:50:00Z</dcterms:created>
  <dcterms:modified xsi:type="dcterms:W3CDTF">2012-05-11T19:50:00Z</dcterms:modified>
</cp:coreProperties>
</file>