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4399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4399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4399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4399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43997" w:rsidTr="002E5576">
        <w:tc>
          <w:tcPr>
            <w:tcW w:w="4518" w:type="dxa"/>
          </w:tcPr>
          <w:p w:rsidR="00BF25F3" w:rsidRPr="002E2327" w:rsidRDefault="003B042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B042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43997" w:rsidTr="002E5576">
        <w:tc>
          <w:tcPr>
            <w:tcW w:w="4518" w:type="dxa"/>
          </w:tcPr>
          <w:p w:rsidR="009F3024" w:rsidRPr="005D2B10" w:rsidRDefault="009F3024" w:rsidP="009F3024">
            <w:pPr>
              <w:tabs>
                <w:tab w:val="left" w:pos="6075"/>
              </w:tabs>
              <w:rPr>
                <w:rFonts w:cs="Times New Roman"/>
                <w:szCs w:val="24"/>
                <w:lang w:val="fr-CA"/>
              </w:rPr>
            </w:pPr>
          </w:p>
          <w:p w:rsidR="009F3024" w:rsidRPr="005D2B10" w:rsidRDefault="009F3024" w:rsidP="009F3024">
            <w:pPr>
              <w:tabs>
                <w:tab w:val="left" w:pos="6075"/>
              </w:tabs>
              <w:rPr>
                <w:rFonts w:cs="Times New Roman"/>
                <w:szCs w:val="24"/>
                <w:lang w:val="fr-CA"/>
              </w:rPr>
            </w:pPr>
          </w:p>
        </w:tc>
        <w:tc>
          <w:tcPr>
            <w:tcW w:w="630" w:type="dxa"/>
          </w:tcPr>
          <w:p w:rsidR="009F3024" w:rsidRPr="005D2B10"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43997"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D2B10"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25</w:t>
      </w:r>
      <w:r w:rsidR="00440E24" w:rsidRPr="00675479">
        <w:rPr>
          <w:lang w:val="fr-CA"/>
        </w:rPr>
        <w:t>, 201</w:t>
      </w:r>
      <w:r w:rsidR="00C73D06">
        <w:rPr>
          <w:lang w:val="fr-CA"/>
        </w:rPr>
        <w:t>2</w:t>
      </w:r>
      <w:r w:rsidR="00F0068D" w:rsidRPr="00675479">
        <w:rPr>
          <w:lang w:val="fr-CA"/>
        </w:rPr>
        <w:tab/>
      </w:r>
      <w:r>
        <w:rPr>
          <w:lang w:val="fr-CA"/>
        </w:rPr>
        <w:t>799</w:t>
      </w:r>
      <w:r w:rsidR="00F0068D" w:rsidRPr="00675479">
        <w:rPr>
          <w:lang w:val="fr-CA"/>
        </w:rPr>
        <w:t xml:space="preserve"> - </w:t>
      </w:r>
      <w:r w:rsidR="00326E3D">
        <w:rPr>
          <w:lang w:val="fr-CA"/>
        </w:rPr>
        <w:t>857</w:t>
      </w:r>
      <w:r w:rsidR="00440E24" w:rsidRPr="00675479">
        <w:rPr>
          <w:lang w:val="fr-CA"/>
        </w:rPr>
        <w:tab/>
      </w:r>
      <w:r w:rsidR="00440E24" w:rsidRPr="002E2327">
        <w:rPr>
          <w:lang w:val="fr-CA"/>
        </w:rPr>
        <w:t>Le</w:t>
      </w:r>
      <w:r w:rsidR="00C73D06">
        <w:rPr>
          <w:lang w:val="fr-CA"/>
        </w:rPr>
        <w:t xml:space="preserve"> </w:t>
      </w:r>
      <w:r>
        <w:rPr>
          <w:lang w:val="fr-CA"/>
        </w:rPr>
        <w:t>25</w:t>
      </w:r>
      <w:r w:rsidR="00C73D06">
        <w:rPr>
          <w:lang w:val="fr-CA"/>
        </w:rPr>
        <w:t xml:space="preserve"> </w:t>
      </w:r>
      <w:r>
        <w:rPr>
          <w:lang w:val="fr-CA"/>
        </w:rPr>
        <w:t>m</w:t>
      </w:r>
      <w:r w:rsidR="00440E24" w:rsidRPr="002E2327">
        <w:rPr>
          <w:lang w:val="fr-CA"/>
        </w:rPr>
        <w:t>ai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 on motion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A22287">
            <w:pPr>
              <w:tabs>
                <w:tab w:val="right" w:pos="9360"/>
              </w:tabs>
              <w:rPr>
                <w:rFonts w:cs="Times New Roman"/>
                <w:sz w:val="20"/>
                <w:szCs w:val="20"/>
              </w:rPr>
            </w:pPr>
          </w:p>
        </w:tc>
        <w:tc>
          <w:tcPr>
            <w:tcW w:w="1980" w:type="dxa"/>
          </w:tcPr>
          <w:p w:rsidR="0095096B" w:rsidRPr="002E2327" w:rsidRDefault="005D2B10" w:rsidP="0095096B">
            <w:pPr>
              <w:jc w:val="center"/>
              <w:rPr>
                <w:rFonts w:cs="Times New Roman"/>
                <w:sz w:val="20"/>
                <w:szCs w:val="20"/>
              </w:rPr>
            </w:pPr>
            <w:r>
              <w:rPr>
                <w:rFonts w:cs="Times New Roman"/>
                <w:sz w:val="20"/>
                <w:szCs w:val="20"/>
              </w:rPr>
              <w:t>799</w:t>
            </w:r>
            <w:r w:rsidR="003B0427" w:rsidRPr="002E2327">
              <w:rPr>
                <w:rFonts w:cs="Times New Roman"/>
                <w:sz w:val="20"/>
                <w:szCs w:val="20"/>
              </w:rPr>
              <w:fldChar w:fldCharType="begin"/>
            </w:r>
            <w:r w:rsidR="0095096B" w:rsidRPr="002E2327">
              <w:rPr>
                <w:rFonts w:cs="Times New Roman"/>
                <w:sz w:val="20"/>
                <w:szCs w:val="20"/>
              </w:rPr>
              <w:instrText xml:space="preserve"> SEQ CHAPTER \h \r 1</w:instrText>
            </w:r>
            <w:r w:rsidR="003B0427"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181E" w:rsidP="0095096B">
            <w:pPr>
              <w:jc w:val="center"/>
              <w:rPr>
                <w:rFonts w:cs="Times New Roman"/>
                <w:sz w:val="20"/>
                <w:szCs w:val="20"/>
              </w:rPr>
            </w:pPr>
            <w:r>
              <w:rPr>
                <w:rFonts w:cs="Times New Roman"/>
                <w:sz w:val="20"/>
                <w:szCs w:val="20"/>
              </w:rPr>
              <w:t>800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181E" w:rsidP="0095096B">
            <w:pPr>
              <w:jc w:val="center"/>
              <w:rPr>
                <w:rFonts w:cs="Times New Roman"/>
                <w:sz w:val="20"/>
                <w:szCs w:val="20"/>
              </w:rPr>
            </w:pPr>
            <w:r>
              <w:rPr>
                <w:rFonts w:cs="Times New Roman"/>
                <w:sz w:val="20"/>
                <w:szCs w:val="20"/>
              </w:rPr>
              <w:t xml:space="preserve">801 </w:t>
            </w:r>
            <w:r w:rsidR="0095096B" w:rsidRPr="002E2327">
              <w:rPr>
                <w:rFonts w:cs="Times New Roman"/>
                <w:sz w:val="20"/>
                <w:szCs w:val="20"/>
              </w:rPr>
              <w:t>-</w:t>
            </w:r>
            <w:r w:rsidR="004724AB">
              <w:rPr>
                <w:rFonts w:cs="Times New Roman"/>
                <w:sz w:val="20"/>
                <w:szCs w:val="20"/>
              </w:rPr>
              <w:t xml:space="preserve"> 833</w:t>
            </w:r>
          </w:p>
          <w:p w:rsidR="0095096B" w:rsidRDefault="0095096B" w:rsidP="0095096B">
            <w:pPr>
              <w:jc w:val="center"/>
              <w:rPr>
                <w:rFonts w:cs="Times New Roman"/>
                <w:sz w:val="20"/>
                <w:szCs w:val="20"/>
              </w:rPr>
            </w:pPr>
          </w:p>
          <w:p w:rsidR="0079757B" w:rsidRPr="002E2327" w:rsidRDefault="0079757B" w:rsidP="0095096B">
            <w:pPr>
              <w:jc w:val="center"/>
              <w:rPr>
                <w:rFonts w:cs="Times New Roman"/>
                <w:sz w:val="20"/>
                <w:szCs w:val="20"/>
              </w:rPr>
            </w:pPr>
          </w:p>
          <w:p w:rsidR="0095096B" w:rsidRPr="002E2327" w:rsidRDefault="0079757B" w:rsidP="0095096B">
            <w:pPr>
              <w:jc w:val="center"/>
              <w:rPr>
                <w:rFonts w:cs="Times New Roman"/>
                <w:sz w:val="20"/>
                <w:szCs w:val="20"/>
              </w:rPr>
            </w:pPr>
            <w:r>
              <w:rPr>
                <w:rFonts w:cs="Times New Roman"/>
                <w:sz w:val="20"/>
                <w:szCs w:val="20"/>
              </w:rPr>
              <w:t xml:space="preserve">834 </w:t>
            </w:r>
            <w:r w:rsidR="0095096B" w:rsidRPr="002E2327">
              <w:rPr>
                <w:rFonts w:cs="Times New Roman"/>
                <w:sz w:val="20"/>
                <w:szCs w:val="20"/>
              </w:rPr>
              <w:t>-</w:t>
            </w:r>
            <w:r>
              <w:rPr>
                <w:rFonts w:cs="Times New Roman"/>
                <w:sz w:val="20"/>
                <w:szCs w:val="20"/>
              </w:rPr>
              <w:t xml:space="preserve"> 836</w:t>
            </w:r>
          </w:p>
          <w:p w:rsidR="0095096B" w:rsidRPr="002E2327" w:rsidRDefault="0095096B" w:rsidP="0095096B">
            <w:pPr>
              <w:jc w:val="center"/>
              <w:rPr>
                <w:rFonts w:cs="Times New Roman"/>
                <w:sz w:val="20"/>
                <w:szCs w:val="20"/>
              </w:rPr>
            </w:pPr>
          </w:p>
          <w:p w:rsidR="0095096B" w:rsidRPr="002E2327" w:rsidRDefault="0079757B" w:rsidP="0095096B">
            <w:pPr>
              <w:jc w:val="center"/>
              <w:rPr>
                <w:rFonts w:cs="Times New Roman"/>
                <w:sz w:val="20"/>
                <w:szCs w:val="20"/>
              </w:rPr>
            </w:pPr>
            <w:r>
              <w:rPr>
                <w:rFonts w:cs="Times New Roman"/>
                <w:sz w:val="20"/>
                <w:szCs w:val="20"/>
              </w:rPr>
              <w:t xml:space="preserve">837 </w:t>
            </w:r>
            <w:r w:rsidR="0095096B" w:rsidRPr="002E2327">
              <w:rPr>
                <w:rFonts w:cs="Times New Roman"/>
                <w:sz w:val="20"/>
                <w:szCs w:val="20"/>
              </w:rPr>
              <w:t>-</w:t>
            </w:r>
            <w:r>
              <w:rPr>
                <w:rFonts w:cs="Times New Roman"/>
                <w:sz w:val="20"/>
                <w:szCs w:val="20"/>
              </w:rPr>
              <w:t xml:space="preserve"> 841</w:t>
            </w:r>
          </w:p>
          <w:p w:rsidR="0095096B" w:rsidRPr="002E2327" w:rsidRDefault="0095096B" w:rsidP="0095096B">
            <w:pPr>
              <w:jc w:val="center"/>
              <w:rPr>
                <w:rFonts w:cs="Times New Roman"/>
                <w:sz w:val="20"/>
                <w:szCs w:val="20"/>
              </w:rPr>
            </w:pPr>
          </w:p>
          <w:p w:rsidR="0095096B" w:rsidRDefault="0079757B" w:rsidP="0095096B">
            <w:pPr>
              <w:jc w:val="center"/>
              <w:rPr>
                <w:rFonts w:cs="Times New Roman"/>
                <w:sz w:val="20"/>
                <w:szCs w:val="20"/>
              </w:rPr>
            </w:pPr>
            <w:r>
              <w:rPr>
                <w:rFonts w:cs="Times New Roman"/>
                <w:sz w:val="20"/>
                <w:szCs w:val="20"/>
              </w:rPr>
              <w:t>842</w:t>
            </w:r>
          </w:p>
          <w:p w:rsidR="0079757B" w:rsidRPr="002E2327" w:rsidRDefault="0079757B" w:rsidP="0095096B">
            <w:pPr>
              <w:jc w:val="center"/>
              <w:rPr>
                <w:rFonts w:cs="Times New Roman"/>
                <w:sz w:val="20"/>
                <w:szCs w:val="20"/>
              </w:rPr>
            </w:pPr>
          </w:p>
          <w:p w:rsidR="0095096B" w:rsidRPr="002E2327" w:rsidRDefault="0079757B" w:rsidP="0095096B">
            <w:pPr>
              <w:jc w:val="center"/>
              <w:rPr>
                <w:rFonts w:cs="Times New Roman"/>
                <w:sz w:val="20"/>
                <w:szCs w:val="20"/>
              </w:rPr>
            </w:pPr>
            <w:r>
              <w:rPr>
                <w:rFonts w:cs="Times New Roman"/>
                <w:sz w:val="20"/>
                <w:szCs w:val="20"/>
              </w:rPr>
              <w:t xml:space="preserve">843 </w:t>
            </w:r>
            <w:r w:rsidR="0095096B" w:rsidRPr="002E2327">
              <w:rPr>
                <w:rFonts w:cs="Times New Roman"/>
                <w:sz w:val="20"/>
                <w:szCs w:val="20"/>
              </w:rPr>
              <w:t>-</w:t>
            </w:r>
            <w:r w:rsidR="0009740C">
              <w:rPr>
                <w:rFonts w:cs="Times New Roman"/>
                <w:sz w:val="20"/>
                <w:szCs w:val="20"/>
              </w:rPr>
              <w:t xml:space="preserve"> 857</w:t>
            </w:r>
          </w:p>
          <w:p w:rsidR="00A87207" w:rsidRPr="002E2327" w:rsidRDefault="00A87207" w:rsidP="005B181E">
            <w:pPr>
              <w:jc w:val="center"/>
              <w:rPr>
                <w:rFonts w:cs="Times New Roman"/>
                <w:sz w:val="20"/>
                <w:szCs w:val="20"/>
              </w:rPr>
            </w:pPr>
          </w:p>
        </w:tc>
        <w:tc>
          <w:tcPr>
            <w:tcW w:w="3888" w:type="dxa"/>
          </w:tcPr>
          <w:p w:rsidR="0095096B" w:rsidRPr="002E2327" w:rsidRDefault="003B042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Jugement sur requête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A22287">
            <w:pPr>
              <w:tabs>
                <w:tab w:val="right" w:pos="9360"/>
              </w:tabs>
              <w:rPr>
                <w:rFonts w:cs="Times New Roman"/>
                <w:sz w:val="20"/>
                <w:szCs w:val="20"/>
                <w:lang w:val="fr-CA"/>
              </w:rPr>
            </w:pPr>
          </w:p>
        </w:tc>
      </w:tr>
    </w:tbl>
    <w:p w:rsidR="0095096B" w:rsidRDefault="0095096B" w:rsidP="0095096B">
      <w:pPr>
        <w:tabs>
          <w:tab w:val="right" w:pos="9360"/>
        </w:tabs>
      </w:pPr>
    </w:p>
    <w:p w:rsidR="00A22287" w:rsidRDefault="00A22287" w:rsidP="0095096B">
      <w:pPr>
        <w:tabs>
          <w:tab w:val="right" w:pos="9360"/>
        </w:tabs>
      </w:pPr>
    </w:p>
    <w:p w:rsidR="00A22287" w:rsidRDefault="00A22287" w:rsidP="0095096B">
      <w:pPr>
        <w:tabs>
          <w:tab w:val="right" w:pos="9360"/>
        </w:tabs>
      </w:pPr>
    </w:p>
    <w:p w:rsidR="00A22287" w:rsidRDefault="00A22287" w:rsidP="0095096B">
      <w:pPr>
        <w:tabs>
          <w:tab w:val="right" w:pos="9360"/>
        </w:tabs>
      </w:pPr>
    </w:p>
    <w:p w:rsidR="00A22287" w:rsidRDefault="00A22287" w:rsidP="0095096B">
      <w:pPr>
        <w:tabs>
          <w:tab w:val="right" w:pos="9360"/>
        </w:tabs>
      </w:pPr>
    </w:p>
    <w:p w:rsidR="00A22287" w:rsidRPr="002E2327" w:rsidRDefault="00A22287" w:rsidP="0095096B">
      <w:pPr>
        <w:tabs>
          <w:tab w:val="right" w:pos="9360"/>
        </w:tabs>
      </w:pPr>
    </w:p>
    <w:tbl>
      <w:tblPr>
        <w:tblStyle w:val="TableGrid"/>
        <w:tblW w:w="0" w:type="auto"/>
        <w:tblLook w:val="04A0"/>
      </w:tblPr>
      <w:tblGrid>
        <w:gridCol w:w="9576"/>
      </w:tblGrid>
      <w:tr w:rsidR="0079724F" w:rsidRPr="0064399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970CF7" w:rsidRPr="00A935AA" w:rsidTr="003B3977">
        <w:tc>
          <w:tcPr>
            <w:tcW w:w="4320" w:type="dxa"/>
            <w:shd w:val="clear" w:color="auto" w:fill="auto"/>
          </w:tcPr>
          <w:p w:rsidR="00970CF7" w:rsidRPr="00A935AA" w:rsidRDefault="00970CF7" w:rsidP="00970CF7">
            <w:pPr>
              <w:rPr>
                <w:b/>
                <w:sz w:val="20"/>
                <w:szCs w:val="20"/>
              </w:rPr>
            </w:pPr>
            <w:r>
              <w:rPr>
                <w:b/>
                <w:sz w:val="20"/>
                <w:szCs w:val="20"/>
              </w:rPr>
              <w:t>Jerry H. Beaton</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Jerry H. Beaton</w:t>
            </w:r>
          </w:p>
          <w:p w:rsidR="00970CF7" w:rsidRPr="00A935AA" w:rsidRDefault="00970CF7" w:rsidP="00970CF7">
            <w:pPr>
              <w:tabs>
                <w:tab w:val="left" w:pos="-1440"/>
                <w:tab w:val="left" w:pos="-720"/>
              </w:tabs>
              <w:rPr>
                <w:sz w:val="20"/>
                <w:szCs w:val="20"/>
              </w:rPr>
            </w:pPr>
          </w:p>
          <w:p w:rsidR="00970CF7" w:rsidRPr="00A935AA" w:rsidRDefault="00970CF7" w:rsidP="00970CF7">
            <w:pPr>
              <w:tabs>
                <w:tab w:val="left" w:pos="-1440"/>
                <w:tab w:val="left" w:pos="-720"/>
              </w:tabs>
              <w:rPr>
                <w:sz w:val="20"/>
                <w:szCs w:val="20"/>
              </w:rPr>
            </w:pPr>
            <w:r w:rsidRPr="00A935AA">
              <w:rPr>
                <w:sz w:val="20"/>
                <w:szCs w:val="20"/>
              </w:rPr>
              <w:tab/>
              <w:t>v. (3</w:t>
            </w:r>
            <w:r>
              <w:rPr>
                <w:sz w:val="20"/>
                <w:szCs w:val="20"/>
              </w:rPr>
              <w:t>4</w:t>
            </w:r>
            <w:r w:rsidRPr="00A935AA">
              <w:rPr>
                <w:sz w:val="20"/>
                <w:szCs w:val="20"/>
              </w:rPr>
              <w:t>7</w:t>
            </w:r>
            <w:r>
              <w:rPr>
                <w:sz w:val="20"/>
                <w:szCs w:val="20"/>
              </w:rPr>
              <w:t>84</w:t>
            </w:r>
            <w:r w:rsidRPr="00A935AA">
              <w:rPr>
                <w:sz w:val="20"/>
                <w:szCs w:val="20"/>
              </w:rPr>
              <w:t>)</w:t>
            </w:r>
          </w:p>
          <w:p w:rsidR="00970CF7" w:rsidRPr="00A935AA" w:rsidRDefault="00970CF7" w:rsidP="00970CF7">
            <w:pPr>
              <w:tabs>
                <w:tab w:val="left" w:pos="-1440"/>
                <w:tab w:val="left" w:pos="-720"/>
              </w:tabs>
              <w:rPr>
                <w:sz w:val="20"/>
                <w:szCs w:val="20"/>
              </w:rPr>
            </w:pPr>
          </w:p>
          <w:p w:rsidR="00970CF7" w:rsidRPr="00A935AA" w:rsidRDefault="00970CF7" w:rsidP="00970CF7">
            <w:pPr>
              <w:rPr>
                <w:b/>
                <w:sz w:val="20"/>
                <w:szCs w:val="20"/>
              </w:rPr>
            </w:pPr>
            <w:r>
              <w:rPr>
                <w:b/>
                <w:sz w:val="20"/>
                <w:szCs w:val="20"/>
              </w:rPr>
              <w:t xml:space="preserve">Scott Burns and </w:t>
            </w:r>
            <w:proofErr w:type="spellStart"/>
            <w:r>
              <w:rPr>
                <w:b/>
                <w:sz w:val="20"/>
                <w:szCs w:val="20"/>
              </w:rPr>
              <w:t>Burnco</w:t>
            </w:r>
            <w:proofErr w:type="spellEnd"/>
            <w:r>
              <w:rPr>
                <w:b/>
                <w:sz w:val="20"/>
                <w:szCs w:val="20"/>
              </w:rPr>
              <w:t xml:space="preserve"> Rock Products Ltd. et al. (Alta</w:t>
            </w:r>
            <w:r w:rsidRPr="00A935AA">
              <w:rPr>
                <w:b/>
                <w:sz w:val="20"/>
                <w:szCs w:val="20"/>
              </w:rPr>
              <w:t>.)</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 xml:space="preserve">Christian J. </w:t>
            </w:r>
            <w:proofErr w:type="spellStart"/>
            <w:r>
              <w:rPr>
                <w:sz w:val="20"/>
                <w:szCs w:val="20"/>
              </w:rPr>
              <w:t>Popowich</w:t>
            </w:r>
            <w:proofErr w:type="spellEnd"/>
          </w:p>
          <w:p w:rsidR="00970CF7" w:rsidRPr="00A935AA" w:rsidRDefault="00970CF7" w:rsidP="00970CF7">
            <w:pPr>
              <w:tabs>
                <w:tab w:val="left" w:pos="-1440"/>
                <w:tab w:val="left" w:pos="-720"/>
              </w:tabs>
              <w:rPr>
                <w:sz w:val="20"/>
                <w:szCs w:val="20"/>
              </w:rPr>
            </w:pPr>
            <w:r w:rsidRPr="00A935AA">
              <w:rPr>
                <w:sz w:val="20"/>
                <w:szCs w:val="20"/>
              </w:rPr>
              <w:tab/>
            </w:r>
            <w:r>
              <w:rPr>
                <w:sz w:val="20"/>
                <w:szCs w:val="20"/>
              </w:rPr>
              <w:t>Code Hunter LLP</w:t>
            </w:r>
          </w:p>
          <w:p w:rsidR="00970CF7" w:rsidRPr="00A935AA" w:rsidRDefault="00970CF7" w:rsidP="00970CF7">
            <w:pPr>
              <w:tabs>
                <w:tab w:val="left" w:pos="-1440"/>
                <w:tab w:val="left" w:pos="-720"/>
              </w:tabs>
              <w:rPr>
                <w:sz w:val="20"/>
                <w:szCs w:val="20"/>
              </w:rPr>
            </w:pPr>
          </w:p>
          <w:p w:rsidR="00970CF7" w:rsidRPr="00A935AA" w:rsidRDefault="00970CF7" w:rsidP="00970CF7">
            <w:pPr>
              <w:rPr>
                <w:sz w:val="20"/>
                <w:szCs w:val="20"/>
              </w:rPr>
            </w:pPr>
            <w:r w:rsidRPr="00A935AA">
              <w:rPr>
                <w:sz w:val="20"/>
                <w:szCs w:val="20"/>
              </w:rPr>
              <w:t>FILING DATE: 2</w:t>
            </w:r>
            <w:r>
              <w:rPr>
                <w:sz w:val="20"/>
                <w:szCs w:val="20"/>
              </w:rPr>
              <w:t>8</w:t>
            </w:r>
            <w:r w:rsidRPr="00A935AA">
              <w:rPr>
                <w:sz w:val="20"/>
                <w:szCs w:val="20"/>
              </w:rPr>
              <w:t>.0</w:t>
            </w:r>
            <w:r>
              <w:rPr>
                <w:sz w:val="20"/>
                <w:szCs w:val="20"/>
              </w:rPr>
              <w:t>2</w:t>
            </w:r>
            <w:r w:rsidRPr="00A935AA">
              <w:rPr>
                <w:sz w:val="20"/>
                <w:szCs w:val="20"/>
              </w:rPr>
              <w:t>.201</w:t>
            </w:r>
            <w:r>
              <w:rPr>
                <w:sz w:val="20"/>
                <w:szCs w:val="20"/>
              </w:rPr>
              <w:t>2</w:t>
            </w:r>
          </w:p>
          <w:p w:rsidR="00970CF7" w:rsidRPr="00A935AA" w:rsidRDefault="003B0427" w:rsidP="00970CF7">
            <w:pPr>
              <w:rPr>
                <w:sz w:val="20"/>
                <w:szCs w:val="20"/>
              </w:rPr>
            </w:pPr>
            <w:r w:rsidRPr="003B042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tc>
        <w:tc>
          <w:tcPr>
            <w:tcW w:w="4320" w:type="dxa"/>
            <w:shd w:val="clear" w:color="auto" w:fill="auto"/>
          </w:tcPr>
          <w:p w:rsidR="00970CF7" w:rsidRPr="00A935AA" w:rsidRDefault="00970CF7" w:rsidP="003B3977">
            <w:pPr>
              <w:keepNext/>
              <w:keepLines/>
              <w:tabs>
                <w:tab w:val="left" w:pos="-1440"/>
                <w:tab w:val="left" w:pos="-720"/>
              </w:tabs>
              <w:rPr>
                <w:b/>
                <w:sz w:val="20"/>
                <w:szCs w:val="20"/>
              </w:rPr>
            </w:pPr>
            <w:r>
              <w:rPr>
                <w:b/>
                <w:sz w:val="20"/>
                <w:szCs w:val="20"/>
              </w:rPr>
              <w:t>Kervin Irwin John</w:t>
            </w:r>
          </w:p>
          <w:p w:rsidR="00970CF7" w:rsidRPr="00A935AA" w:rsidRDefault="00970CF7" w:rsidP="003B3977">
            <w:pPr>
              <w:keepNext/>
              <w:keepLines/>
              <w:tabs>
                <w:tab w:val="left" w:pos="-1440"/>
                <w:tab w:val="left" w:pos="-720"/>
              </w:tabs>
              <w:rPr>
                <w:sz w:val="20"/>
                <w:szCs w:val="20"/>
              </w:rPr>
            </w:pPr>
            <w:r w:rsidRPr="00A935AA">
              <w:rPr>
                <w:sz w:val="20"/>
                <w:szCs w:val="20"/>
              </w:rPr>
              <w:tab/>
            </w:r>
            <w:r>
              <w:rPr>
                <w:sz w:val="20"/>
                <w:szCs w:val="20"/>
              </w:rPr>
              <w:t>Kervin Irwin Joh</w:t>
            </w:r>
          </w:p>
          <w:p w:rsidR="00970CF7" w:rsidRPr="00A935AA" w:rsidRDefault="00970CF7" w:rsidP="003B3977">
            <w:pPr>
              <w:keepNext/>
              <w:keepLines/>
              <w:tabs>
                <w:tab w:val="left" w:pos="-1440"/>
                <w:tab w:val="left" w:pos="-720"/>
              </w:tabs>
              <w:rPr>
                <w:sz w:val="20"/>
                <w:szCs w:val="20"/>
              </w:rPr>
            </w:pPr>
          </w:p>
          <w:p w:rsidR="00970CF7" w:rsidRPr="00970CF7" w:rsidRDefault="00970CF7" w:rsidP="003B3977">
            <w:pPr>
              <w:keepNext/>
              <w:keepLines/>
              <w:tabs>
                <w:tab w:val="left" w:pos="-1440"/>
                <w:tab w:val="left" w:pos="-720"/>
              </w:tabs>
              <w:rPr>
                <w:sz w:val="20"/>
                <w:szCs w:val="20"/>
              </w:rPr>
            </w:pPr>
            <w:r w:rsidRPr="00A935AA">
              <w:rPr>
                <w:sz w:val="20"/>
                <w:szCs w:val="20"/>
              </w:rPr>
              <w:tab/>
            </w:r>
            <w:r w:rsidRPr="00970CF7">
              <w:rPr>
                <w:sz w:val="20"/>
                <w:szCs w:val="20"/>
              </w:rPr>
              <w:t>v. (347</w:t>
            </w:r>
            <w:r>
              <w:rPr>
                <w:sz w:val="20"/>
                <w:szCs w:val="20"/>
              </w:rPr>
              <w:t>86</w:t>
            </w:r>
            <w:r w:rsidRPr="00970CF7">
              <w:rPr>
                <w:sz w:val="20"/>
                <w:szCs w:val="20"/>
              </w:rPr>
              <w:t>)</w:t>
            </w:r>
          </w:p>
          <w:p w:rsidR="00970CF7" w:rsidRPr="00970CF7" w:rsidRDefault="00970CF7" w:rsidP="003B3977">
            <w:pPr>
              <w:keepNext/>
              <w:keepLines/>
              <w:tabs>
                <w:tab w:val="left" w:pos="-1440"/>
                <w:tab w:val="left" w:pos="-720"/>
              </w:tabs>
              <w:rPr>
                <w:sz w:val="20"/>
                <w:szCs w:val="20"/>
              </w:rPr>
            </w:pPr>
          </w:p>
          <w:p w:rsidR="00970CF7" w:rsidRPr="00A935AA" w:rsidRDefault="00970CF7" w:rsidP="00970CF7">
            <w:pPr>
              <w:tabs>
                <w:tab w:val="left" w:pos="-1440"/>
                <w:tab w:val="left" w:pos="-720"/>
              </w:tabs>
              <w:rPr>
                <w:b/>
                <w:sz w:val="20"/>
                <w:szCs w:val="20"/>
              </w:rPr>
            </w:pPr>
            <w:r>
              <w:rPr>
                <w:b/>
                <w:sz w:val="20"/>
                <w:szCs w:val="20"/>
              </w:rPr>
              <w:t>Her Majesty the Queen (Ont.</w:t>
            </w:r>
            <w:r w:rsidRPr="00A935AA">
              <w:rPr>
                <w:b/>
                <w:sz w:val="20"/>
                <w:szCs w:val="20"/>
              </w:rPr>
              <w:t>)</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Susan G. Ficek</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A.G. of Ontario</w:t>
            </w:r>
          </w:p>
          <w:p w:rsidR="00970CF7" w:rsidRPr="00A935AA" w:rsidRDefault="00970CF7" w:rsidP="00970CF7">
            <w:pPr>
              <w:tabs>
                <w:tab w:val="left" w:pos="-1440"/>
                <w:tab w:val="left" w:pos="-720"/>
              </w:tabs>
              <w:rPr>
                <w:sz w:val="20"/>
                <w:szCs w:val="20"/>
              </w:rPr>
            </w:pPr>
          </w:p>
          <w:p w:rsidR="00970CF7" w:rsidRPr="00A935AA" w:rsidRDefault="00970CF7" w:rsidP="00970CF7">
            <w:pPr>
              <w:rPr>
                <w:sz w:val="20"/>
                <w:szCs w:val="20"/>
              </w:rPr>
            </w:pPr>
            <w:r w:rsidRPr="00A935AA">
              <w:rPr>
                <w:sz w:val="20"/>
                <w:szCs w:val="20"/>
              </w:rPr>
              <w:t>FILING DATE: 2</w:t>
            </w:r>
            <w:r>
              <w:rPr>
                <w:sz w:val="20"/>
                <w:szCs w:val="20"/>
              </w:rPr>
              <w:t>8</w:t>
            </w:r>
            <w:r w:rsidRPr="00A935AA">
              <w:rPr>
                <w:sz w:val="20"/>
                <w:szCs w:val="20"/>
              </w:rPr>
              <w:t>.0</w:t>
            </w:r>
            <w:r>
              <w:rPr>
                <w:sz w:val="20"/>
                <w:szCs w:val="20"/>
              </w:rPr>
              <w:t>3</w:t>
            </w:r>
            <w:r w:rsidRPr="00A935AA">
              <w:rPr>
                <w:sz w:val="20"/>
                <w:szCs w:val="20"/>
              </w:rPr>
              <w:t>.201</w:t>
            </w:r>
            <w:r>
              <w:rPr>
                <w:sz w:val="20"/>
                <w:szCs w:val="20"/>
              </w:rPr>
              <w:t>2</w:t>
            </w:r>
          </w:p>
          <w:p w:rsidR="00970CF7" w:rsidRPr="00A935AA" w:rsidRDefault="003B0427" w:rsidP="005D2B10">
            <w:pPr>
              <w:rPr>
                <w:sz w:val="20"/>
                <w:szCs w:val="20"/>
              </w:rPr>
            </w:pPr>
            <w:r w:rsidRPr="003B0427">
              <w:rPr>
                <w:sz w:val="20"/>
                <w:szCs w:val="20"/>
                <w:lang w:val="fr-CA"/>
              </w:rPr>
              <w:pict>
                <v:rect id="_x0000_i1026" style="width:108pt;height:1pt" o:hrpct="0" o:hralign="center" o:hrstd="t" o:hrnoshade="t" o:hr="t" fillcolor="black [3213]" stroked="f"/>
              </w:pict>
            </w:r>
          </w:p>
        </w:tc>
      </w:tr>
      <w:tr w:rsidR="00970CF7" w:rsidRPr="00A935AA" w:rsidTr="003B3977">
        <w:tc>
          <w:tcPr>
            <w:tcW w:w="4320" w:type="dxa"/>
            <w:shd w:val="clear" w:color="auto" w:fill="auto"/>
          </w:tcPr>
          <w:p w:rsidR="00970CF7" w:rsidRDefault="00970CF7" w:rsidP="00970CF7">
            <w:pPr>
              <w:rPr>
                <w:b/>
                <w:sz w:val="20"/>
                <w:szCs w:val="20"/>
              </w:rPr>
            </w:pPr>
          </w:p>
          <w:p w:rsidR="00970CF7" w:rsidRPr="00A935AA" w:rsidRDefault="00970CF7" w:rsidP="00970CF7">
            <w:pPr>
              <w:rPr>
                <w:b/>
                <w:sz w:val="20"/>
                <w:szCs w:val="20"/>
              </w:rPr>
            </w:pPr>
            <w:r>
              <w:rPr>
                <w:b/>
                <w:sz w:val="20"/>
                <w:szCs w:val="20"/>
              </w:rPr>
              <w:t>Ian Mark Ali</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Ian Mark Ali</w:t>
            </w:r>
          </w:p>
          <w:p w:rsidR="00970CF7" w:rsidRPr="00A935AA" w:rsidRDefault="00970CF7" w:rsidP="00970CF7">
            <w:pPr>
              <w:tabs>
                <w:tab w:val="left" w:pos="-1440"/>
                <w:tab w:val="left" w:pos="-720"/>
              </w:tabs>
              <w:rPr>
                <w:sz w:val="20"/>
                <w:szCs w:val="20"/>
              </w:rPr>
            </w:pPr>
          </w:p>
          <w:p w:rsidR="00970CF7" w:rsidRPr="00A935AA" w:rsidRDefault="00970CF7" w:rsidP="00970CF7">
            <w:pPr>
              <w:tabs>
                <w:tab w:val="left" w:pos="-1440"/>
                <w:tab w:val="left" w:pos="-720"/>
              </w:tabs>
              <w:rPr>
                <w:sz w:val="20"/>
                <w:szCs w:val="20"/>
              </w:rPr>
            </w:pPr>
            <w:r w:rsidRPr="00A935AA">
              <w:rPr>
                <w:sz w:val="20"/>
                <w:szCs w:val="20"/>
              </w:rPr>
              <w:tab/>
              <w:t>v. (3</w:t>
            </w:r>
            <w:r>
              <w:rPr>
                <w:sz w:val="20"/>
                <w:szCs w:val="20"/>
              </w:rPr>
              <w:t>4802</w:t>
            </w:r>
          </w:p>
          <w:p w:rsidR="00970CF7" w:rsidRPr="00A935AA" w:rsidRDefault="00970CF7" w:rsidP="00970CF7">
            <w:pPr>
              <w:tabs>
                <w:tab w:val="left" w:pos="-1440"/>
                <w:tab w:val="left" w:pos="-720"/>
              </w:tabs>
              <w:rPr>
                <w:sz w:val="20"/>
                <w:szCs w:val="20"/>
              </w:rPr>
            </w:pPr>
          </w:p>
          <w:p w:rsidR="00970CF7" w:rsidRPr="00A935AA" w:rsidRDefault="00970CF7" w:rsidP="00970CF7">
            <w:pPr>
              <w:tabs>
                <w:tab w:val="left" w:pos="-1440"/>
                <w:tab w:val="left" w:pos="-720"/>
              </w:tabs>
              <w:rPr>
                <w:b/>
                <w:sz w:val="20"/>
                <w:szCs w:val="20"/>
              </w:rPr>
            </w:pPr>
            <w:r>
              <w:rPr>
                <w:b/>
                <w:sz w:val="20"/>
                <w:szCs w:val="20"/>
              </w:rPr>
              <w:t>Her Majesty the Queen (Ont</w:t>
            </w:r>
            <w:r w:rsidRPr="00A935AA">
              <w:rPr>
                <w:b/>
                <w:sz w:val="20"/>
                <w:szCs w:val="20"/>
              </w:rPr>
              <w:t>.)</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Jennifer M. Woollcombe</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A.G. of Ontario</w:t>
            </w:r>
          </w:p>
          <w:p w:rsidR="00970CF7" w:rsidRPr="00A935AA" w:rsidRDefault="00970CF7" w:rsidP="00970CF7">
            <w:pPr>
              <w:tabs>
                <w:tab w:val="left" w:pos="-1440"/>
                <w:tab w:val="left" w:pos="-720"/>
              </w:tabs>
              <w:rPr>
                <w:sz w:val="20"/>
                <w:szCs w:val="20"/>
              </w:rPr>
            </w:pPr>
          </w:p>
          <w:p w:rsidR="00970CF7" w:rsidRPr="00A935AA" w:rsidRDefault="00970CF7" w:rsidP="00970CF7">
            <w:pPr>
              <w:rPr>
                <w:sz w:val="20"/>
                <w:szCs w:val="20"/>
              </w:rPr>
            </w:pPr>
            <w:r w:rsidRPr="00A935AA">
              <w:rPr>
                <w:sz w:val="20"/>
                <w:szCs w:val="20"/>
              </w:rPr>
              <w:t>FILING DATE: 2</w:t>
            </w:r>
            <w:r>
              <w:rPr>
                <w:sz w:val="20"/>
                <w:szCs w:val="20"/>
              </w:rPr>
              <w:t>6</w:t>
            </w:r>
            <w:r w:rsidRPr="00A935AA">
              <w:rPr>
                <w:sz w:val="20"/>
                <w:szCs w:val="20"/>
              </w:rPr>
              <w:t>.0</w:t>
            </w:r>
            <w:r w:rsidR="00E00E3C">
              <w:rPr>
                <w:sz w:val="20"/>
                <w:szCs w:val="20"/>
              </w:rPr>
              <w:t>4</w:t>
            </w:r>
            <w:r w:rsidRPr="00A935AA">
              <w:rPr>
                <w:sz w:val="20"/>
                <w:szCs w:val="20"/>
              </w:rPr>
              <w:t>.201</w:t>
            </w:r>
            <w:r>
              <w:rPr>
                <w:sz w:val="20"/>
                <w:szCs w:val="20"/>
              </w:rPr>
              <w:t>2</w:t>
            </w:r>
          </w:p>
          <w:p w:rsidR="00970CF7" w:rsidRPr="00A935AA" w:rsidRDefault="003B0427" w:rsidP="00970CF7">
            <w:pPr>
              <w:rPr>
                <w:sz w:val="20"/>
                <w:szCs w:val="20"/>
              </w:rPr>
            </w:pPr>
            <w:r w:rsidRPr="003B0427">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tc>
        <w:tc>
          <w:tcPr>
            <w:tcW w:w="4320" w:type="dxa"/>
            <w:shd w:val="clear" w:color="auto" w:fill="auto"/>
          </w:tcPr>
          <w:p w:rsidR="00970CF7" w:rsidRPr="00A935AA" w:rsidRDefault="00970CF7" w:rsidP="00970CF7">
            <w:pPr>
              <w:keepNext/>
              <w:keepLines/>
              <w:tabs>
                <w:tab w:val="left" w:pos="-1440"/>
                <w:tab w:val="left" w:pos="-720"/>
              </w:tabs>
              <w:rPr>
                <w:b/>
                <w:sz w:val="20"/>
                <w:szCs w:val="20"/>
              </w:rPr>
            </w:pPr>
            <w:r>
              <w:rPr>
                <w:b/>
                <w:sz w:val="20"/>
                <w:szCs w:val="20"/>
              </w:rPr>
              <w:t>1183882 Alberta Ltd. operating as Sok’s Contracting</w:t>
            </w:r>
          </w:p>
          <w:p w:rsidR="00970CF7" w:rsidRPr="00A935AA" w:rsidRDefault="00970CF7" w:rsidP="00970CF7">
            <w:pPr>
              <w:keepNext/>
              <w:keepLines/>
              <w:tabs>
                <w:tab w:val="left" w:pos="-1440"/>
                <w:tab w:val="left" w:pos="-720"/>
              </w:tabs>
              <w:rPr>
                <w:sz w:val="20"/>
                <w:szCs w:val="20"/>
              </w:rPr>
            </w:pPr>
            <w:r w:rsidRPr="00A935AA">
              <w:rPr>
                <w:sz w:val="20"/>
                <w:szCs w:val="20"/>
              </w:rPr>
              <w:tab/>
            </w:r>
            <w:r>
              <w:rPr>
                <w:sz w:val="20"/>
                <w:szCs w:val="20"/>
              </w:rPr>
              <w:t>Michael J. McCabe, Q.C.</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Reynolds, Mirth, Richards &amp; Farmer LLP</w:t>
            </w:r>
          </w:p>
          <w:p w:rsidR="00970CF7" w:rsidRPr="00A935AA" w:rsidRDefault="00970CF7" w:rsidP="00970CF7">
            <w:pPr>
              <w:tabs>
                <w:tab w:val="left" w:pos="-1440"/>
                <w:tab w:val="left" w:pos="-720"/>
              </w:tabs>
              <w:rPr>
                <w:sz w:val="20"/>
                <w:szCs w:val="20"/>
              </w:rPr>
            </w:pPr>
          </w:p>
          <w:p w:rsidR="00970CF7" w:rsidRPr="00A935AA" w:rsidRDefault="00970CF7" w:rsidP="00970CF7">
            <w:pPr>
              <w:tabs>
                <w:tab w:val="left" w:pos="-1440"/>
                <w:tab w:val="left" w:pos="-720"/>
              </w:tabs>
              <w:rPr>
                <w:sz w:val="20"/>
                <w:szCs w:val="20"/>
              </w:rPr>
            </w:pPr>
            <w:r w:rsidRPr="00A935AA">
              <w:rPr>
                <w:sz w:val="20"/>
                <w:szCs w:val="20"/>
              </w:rPr>
              <w:tab/>
              <w:t>v. (3</w:t>
            </w:r>
            <w:r>
              <w:rPr>
                <w:sz w:val="20"/>
                <w:szCs w:val="20"/>
              </w:rPr>
              <w:t>4</w:t>
            </w:r>
            <w:r w:rsidRPr="00A935AA">
              <w:rPr>
                <w:sz w:val="20"/>
                <w:szCs w:val="20"/>
              </w:rPr>
              <w:t>7</w:t>
            </w:r>
            <w:r>
              <w:rPr>
                <w:sz w:val="20"/>
                <w:szCs w:val="20"/>
              </w:rPr>
              <w:t>92</w:t>
            </w:r>
            <w:r w:rsidRPr="00A935AA">
              <w:rPr>
                <w:sz w:val="20"/>
                <w:szCs w:val="20"/>
              </w:rPr>
              <w:t>)</w:t>
            </w:r>
          </w:p>
          <w:p w:rsidR="00970CF7" w:rsidRPr="00A935AA" w:rsidRDefault="00970CF7" w:rsidP="00970CF7">
            <w:pPr>
              <w:tabs>
                <w:tab w:val="left" w:pos="-1440"/>
                <w:tab w:val="left" w:pos="-720"/>
              </w:tabs>
              <w:rPr>
                <w:sz w:val="20"/>
                <w:szCs w:val="20"/>
              </w:rPr>
            </w:pPr>
          </w:p>
          <w:p w:rsidR="00970CF7" w:rsidRPr="00A935AA" w:rsidRDefault="00970CF7" w:rsidP="00970CF7">
            <w:pPr>
              <w:tabs>
                <w:tab w:val="left" w:pos="-1440"/>
                <w:tab w:val="left" w:pos="-720"/>
              </w:tabs>
              <w:rPr>
                <w:b/>
                <w:sz w:val="20"/>
                <w:szCs w:val="20"/>
              </w:rPr>
            </w:pPr>
            <w:proofErr w:type="spellStart"/>
            <w:r>
              <w:rPr>
                <w:b/>
                <w:sz w:val="20"/>
                <w:szCs w:val="20"/>
              </w:rPr>
              <w:t>Valin</w:t>
            </w:r>
            <w:proofErr w:type="spellEnd"/>
            <w:r>
              <w:rPr>
                <w:b/>
                <w:sz w:val="20"/>
                <w:szCs w:val="20"/>
              </w:rPr>
              <w:t xml:space="preserve"> Industrial Mill Installations Ltd. (Alta</w:t>
            </w:r>
            <w:r w:rsidRPr="00A935AA">
              <w:rPr>
                <w:b/>
                <w:sz w:val="20"/>
                <w:szCs w:val="20"/>
              </w:rPr>
              <w:t>.)</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 xml:space="preserve">Dave R. </w:t>
            </w:r>
            <w:proofErr w:type="spellStart"/>
            <w:r>
              <w:rPr>
                <w:sz w:val="20"/>
                <w:szCs w:val="20"/>
              </w:rPr>
              <w:t>Sh</w:t>
            </w:r>
            <w:r w:rsidR="00643997">
              <w:rPr>
                <w:sz w:val="20"/>
                <w:szCs w:val="20"/>
              </w:rPr>
              <w:t>y</w:t>
            </w:r>
            <w:r>
              <w:rPr>
                <w:sz w:val="20"/>
                <w:szCs w:val="20"/>
              </w:rPr>
              <w:t>nkar</w:t>
            </w:r>
            <w:proofErr w:type="spellEnd"/>
            <w:r>
              <w:rPr>
                <w:sz w:val="20"/>
                <w:szCs w:val="20"/>
              </w:rPr>
              <w:t>, Q.C.</w:t>
            </w:r>
          </w:p>
          <w:p w:rsidR="00970CF7" w:rsidRPr="00A935AA" w:rsidRDefault="00970CF7" w:rsidP="00970CF7">
            <w:pPr>
              <w:tabs>
                <w:tab w:val="left" w:pos="-1440"/>
                <w:tab w:val="left" w:pos="-720"/>
              </w:tabs>
              <w:rPr>
                <w:sz w:val="20"/>
                <w:szCs w:val="20"/>
              </w:rPr>
            </w:pPr>
            <w:r w:rsidRPr="00A935AA">
              <w:rPr>
                <w:sz w:val="20"/>
                <w:szCs w:val="20"/>
              </w:rPr>
              <w:tab/>
            </w:r>
            <w:r>
              <w:rPr>
                <w:sz w:val="20"/>
                <w:szCs w:val="20"/>
              </w:rPr>
              <w:t>Mathieu Hryniuk LLP</w:t>
            </w:r>
          </w:p>
          <w:p w:rsidR="00970CF7" w:rsidRPr="00970CF7" w:rsidRDefault="00970CF7" w:rsidP="00970CF7">
            <w:pPr>
              <w:keepNext/>
              <w:keepLines/>
              <w:tabs>
                <w:tab w:val="left" w:pos="-1440"/>
                <w:tab w:val="left" w:pos="-720"/>
              </w:tabs>
              <w:rPr>
                <w:sz w:val="20"/>
                <w:szCs w:val="20"/>
              </w:rPr>
            </w:pPr>
          </w:p>
          <w:p w:rsidR="00970CF7" w:rsidRPr="00A935AA" w:rsidRDefault="00970CF7" w:rsidP="00E00E3C">
            <w:pPr>
              <w:rPr>
                <w:sz w:val="20"/>
                <w:szCs w:val="20"/>
              </w:rPr>
            </w:pPr>
            <w:r w:rsidRPr="00A935AA">
              <w:rPr>
                <w:sz w:val="20"/>
                <w:szCs w:val="20"/>
              </w:rPr>
              <w:t>FILING DATE: 2</w:t>
            </w:r>
            <w:r>
              <w:rPr>
                <w:sz w:val="20"/>
                <w:szCs w:val="20"/>
              </w:rPr>
              <w:t>5</w:t>
            </w:r>
            <w:r w:rsidRPr="00A935AA">
              <w:rPr>
                <w:sz w:val="20"/>
                <w:szCs w:val="20"/>
              </w:rPr>
              <w:t>.0</w:t>
            </w:r>
            <w:r w:rsidR="00E00E3C">
              <w:rPr>
                <w:sz w:val="20"/>
                <w:szCs w:val="20"/>
              </w:rPr>
              <w:t>4</w:t>
            </w:r>
            <w:r w:rsidRPr="00A935AA">
              <w:rPr>
                <w:sz w:val="20"/>
                <w:szCs w:val="20"/>
              </w:rPr>
              <w:t>.201</w:t>
            </w:r>
            <w:r>
              <w:rPr>
                <w:sz w:val="20"/>
                <w:szCs w:val="20"/>
              </w:rPr>
              <w:t>2</w:t>
            </w:r>
            <w:r w:rsidR="003B0427" w:rsidRPr="003B0427">
              <w:rPr>
                <w:sz w:val="20"/>
                <w:szCs w:val="20"/>
                <w:lang w:val="fr-CA"/>
              </w:rPr>
              <w:pict>
                <v:rect id="_x0000_i1028" style="width:108pt;height:1pt" o:hrpct="0" o:hralign="center" o:hrstd="t" o:hrnoshade="t" o:hr="t" fillcolor="black [3213]" stroked="f"/>
              </w:pict>
            </w:r>
          </w:p>
        </w:tc>
      </w:tr>
      <w:tr w:rsidR="00970CF7" w:rsidRPr="00A935AA" w:rsidTr="003B3977">
        <w:tc>
          <w:tcPr>
            <w:tcW w:w="4320" w:type="dxa"/>
            <w:shd w:val="clear" w:color="auto" w:fill="auto"/>
          </w:tcPr>
          <w:p w:rsidR="00970CF7" w:rsidRPr="00A935AA" w:rsidRDefault="00E00E3C" w:rsidP="00970CF7">
            <w:pPr>
              <w:rPr>
                <w:b/>
                <w:sz w:val="20"/>
                <w:szCs w:val="20"/>
              </w:rPr>
            </w:pPr>
            <w:r>
              <w:rPr>
                <w:b/>
                <w:sz w:val="20"/>
                <w:szCs w:val="20"/>
              </w:rPr>
              <w:t>Canadian Wheat Board</w:t>
            </w:r>
          </w:p>
          <w:p w:rsidR="00970CF7" w:rsidRPr="00A935AA" w:rsidRDefault="00970CF7" w:rsidP="00970CF7">
            <w:pPr>
              <w:tabs>
                <w:tab w:val="left" w:pos="-1440"/>
                <w:tab w:val="left" w:pos="-720"/>
              </w:tabs>
              <w:rPr>
                <w:sz w:val="20"/>
                <w:szCs w:val="20"/>
              </w:rPr>
            </w:pPr>
            <w:r w:rsidRPr="00A935AA">
              <w:rPr>
                <w:sz w:val="20"/>
                <w:szCs w:val="20"/>
              </w:rPr>
              <w:tab/>
            </w:r>
            <w:r w:rsidR="00E00E3C">
              <w:rPr>
                <w:sz w:val="20"/>
                <w:szCs w:val="20"/>
              </w:rPr>
              <w:t>Colin R. MacArthur, Q.C.</w:t>
            </w:r>
          </w:p>
          <w:p w:rsidR="00970CF7" w:rsidRPr="00A935AA" w:rsidRDefault="00970CF7" w:rsidP="00970CF7">
            <w:pPr>
              <w:tabs>
                <w:tab w:val="left" w:pos="-1440"/>
                <w:tab w:val="left" w:pos="-720"/>
              </w:tabs>
              <w:rPr>
                <w:sz w:val="20"/>
                <w:szCs w:val="20"/>
              </w:rPr>
            </w:pPr>
            <w:r w:rsidRPr="00A935AA">
              <w:rPr>
                <w:sz w:val="20"/>
                <w:szCs w:val="20"/>
              </w:rPr>
              <w:tab/>
            </w:r>
            <w:r w:rsidR="00E00E3C">
              <w:rPr>
                <w:sz w:val="20"/>
                <w:szCs w:val="20"/>
              </w:rPr>
              <w:t>Aikins, MacAulay &amp; Thorvaldson LLP</w:t>
            </w:r>
          </w:p>
          <w:p w:rsidR="00970CF7" w:rsidRPr="00A935AA" w:rsidRDefault="00970CF7" w:rsidP="00970CF7">
            <w:pPr>
              <w:tabs>
                <w:tab w:val="left" w:pos="-1440"/>
                <w:tab w:val="left" w:pos="-720"/>
              </w:tabs>
              <w:rPr>
                <w:sz w:val="20"/>
                <w:szCs w:val="20"/>
              </w:rPr>
            </w:pPr>
          </w:p>
          <w:p w:rsidR="00970CF7" w:rsidRPr="00A935AA" w:rsidRDefault="00970CF7" w:rsidP="00970CF7">
            <w:pPr>
              <w:tabs>
                <w:tab w:val="left" w:pos="-1440"/>
                <w:tab w:val="left" w:pos="-720"/>
              </w:tabs>
              <w:rPr>
                <w:sz w:val="20"/>
                <w:szCs w:val="20"/>
              </w:rPr>
            </w:pPr>
            <w:r w:rsidRPr="00A935AA">
              <w:rPr>
                <w:sz w:val="20"/>
                <w:szCs w:val="20"/>
              </w:rPr>
              <w:tab/>
              <w:t>v. (3</w:t>
            </w:r>
            <w:r>
              <w:rPr>
                <w:sz w:val="20"/>
                <w:szCs w:val="20"/>
              </w:rPr>
              <w:t>4</w:t>
            </w:r>
            <w:r w:rsidR="00E00E3C">
              <w:rPr>
                <w:sz w:val="20"/>
                <w:szCs w:val="20"/>
              </w:rPr>
              <w:t>668</w:t>
            </w:r>
            <w:r w:rsidRPr="00A935AA">
              <w:rPr>
                <w:sz w:val="20"/>
                <w:szCs w:val="20"/>
              </w:rPr>
              <w:t>)</w:t>
            </w:r>
          </w:p>
          <w:p w:rsidR="00970CF7" w:rsidRPr="00A935AA" w:rsidRDefault="00970CF7" w:rsidP="00970CF7">
            <w:pPr>
              <w:tabs>
                <w:tab w:val="left" w:pos="-1440"/>
                <w:tab w:val="left" w:pos="-720"/>
              </w:tabs>
              <w:rPr>
                <w:sz w:val="20"/>
                <w:szCs w:val="20"/>
              </w:rPr>
            </w:pPr>
          </w:p>
          <w:p w:rsidR="00970CF7" w:rsidRPr="00A935AA" w:rsidRDefault="00E00E3C" w:rsidP="00970CF7">
            <w:pPr>
              <w:tabs>
                <w:tab w:val="left" w:pos="-1440"/>
                <w:tab w:val="left" w:pos="-720"/>
              </w:tabs>
              <w:rPr>
                <w:b/>
                <w:sz w:val="20"/>
                <w:szCs w:val="20"/>
              </w:rPr>
            </w:pPr>
            <w:r>
              <w:rPr>
                <w:b/>
                <w:sz w:val="20"/>
                <w:szCs w:val="20"/>
              </w:rPr>
              <w:t xml:space="preserve">Albionex (Overseas) Limited et al. </w:t>
            </w:r>
            <w:r w:rsidR="00970CF7">
              <w:rPr>
                <w:b/>
                <w:sz w:val="20"/>
                <w:szCs w:val="20"/>
              </w:rPr>
              <w:t>(</w:t>
            </w:r>
            <w:r>
              <w:rPr>
                <w:b/>
                <w:sz w:val="20"/>
                <w:szCs w:val="20"/>
              </w:rPr>
              <w:t>Man</w:t>
            </w:r>
            <w:r w:rsidR="00970CF7" w:rsidRPr="00A935AA">
              <w:rPr>
                <w:b/>
                <w:sz w:val="20"/>
                <w:szCs w:val="20"/>
              </w:rPr>
              <w:t>.)</w:t>
            </w:r>
          </w:p>
          <w:p w:rsidR="00970CF7" w:rsidRPr="00A935AA" w:rsidRDefault="00970CF7" w:rsidP="00970CF7">
            <w:pPr>
              <w:tabs>
                <w:tab w:val="left" w:pos="-1440"/>
                <w:tab w:val="left" w:pos="-720"/>
              </w:tabs>
              <w:rPr>
                <w:sz w:val="20"/>
                <w:szCs w:val="20"/>
              </w:rPr>
            </w:pPr>
            <w:r w:rsidRPr="00A935AA">
              <w:rPr>
                <w:sz w:val="20"/>
                <w:szCs w:val="20"/>
              </w:rPr>
              <w:tab/>
            </w:r>
            <w:r w:rsidR="00E00E3C">
              <w:rPr>
                <w:sz w:val="20"/>
                <w:szCs w:val="20"/>
              </w:rPr>
              <w:t>Mark Newman</w:t>
            </w:r>
          </w:p>
          <w:p w:rsidR="00970CF7" w:rsidRPr="00A935AA" w:rsidRDefault="00970CF7" w:rsidP="00970CF7">
            <w:pPr>
              <w:tabs>
                <w:tab w:val="left" w:pos="-1440"/>
                <w:tab w:val="left" w:pos="-720"/>
              </w:tabs>
              <w:rPr>
                <w:sz w:val="20"/>
                <w:szCs w:val="20"/>
              </w:rPr>
            </w:pPr>
            <w:r w:rsidRPr="00A935AA">
              <w:rPr>
                <w:sz w:val="20"/>
                <w:szCs w:val="20"/>
              </w:rPr>
              <w:tab/>
            </w:r>
            <w:r w:rsidR="00E00E3C">
              <w:rPr>
                <w:sz w:val="20"/>
                <w:szCs w:val="20"/>
              </w:rPr>
              <w:t>Fillmore &amp; Riley LLP</w:t>
            </w:r>
          </w:p>
          <w:p w:rsidR="00970CF7" w:rsidRPr="00A935AA" w:rsidRDefault="00970CF7" w:rsidP="00970CF7">
            <w:pPr>
              <w:tabs>
                <w:tab w:val="left" w:pos="-1440"/>
                <w:tab w:val="left" w:pos="-720"/>
              </w:tabs>
              <w:rPr>
                <w:sz w:val="20"/>
                <w:szCs w:val="20"/>
              </w:rPr>
            </w:pPr>
          </w:p>
          <w:p w:rsidR="00970CF7" w:rsidRPr="00A935AA" w:rsidRDefault="00970CF7" w:rsidP="00970CF7">
            <w:pPr>
              <w:rPr>
                <w:sz w:val="20"/>
                <w:szCs w:val="20"/>
              </w:rPr>
            </w:pPr>
            <w:r w:rsidRPr="00A935AA">
              <w:rPr>
                <w:sz w:val="20"/>
                <w:szCs w:val="20"/>
              </w:rPr>
              <w:t>FILING DATE: 27.0</w:t>
            </w:r>
            <w:r w:rsidR="00E00E3C">
              <w:rPr>
                <w:sz w:val="20"/>
                <w:szCs w:val="20"/>
              </w:rPr>
              <w:t>4</w:t>
            </w:r>
            <w:r w:rsidRPr="00A935AA">
              <w:rPr>
                <w:sz w:val="20"/>
                <w:szCs w:val="20"/>
              </w:rPr>
              <w:t>.201</w:t>
            </w:r>
            <w:r>
              <w:rPr>
                <w:sz w:val="20"/>
                <w:szCs w:val="20"/>
              </w:rPr>
              <w:t>2</w:t>
            </w:r>
          </w:p>
          <w:p w:rsidR="00970CF7" w:rsidRPr="00A935AA" w:rsidRDefault="003B0427" w:rsidP="00970CF7">
            <w:pPr>
              <w:rPr>
                <w:sz w:val="20"/>
                <w:szCs w:val="20"/>
              </w:rPr>
            </w:pPr>
            <w:r w:rsidRPr="003B0427">
              <w:rPr>
                <w:sz w:val="20"/>
                <w:szCs w:val="20"/>
                <w:lang w:val="fr-CA"/>
              </w:rPr>
              <w:pict>
                <v:rect id="_x0000_i1029" style="width:108pt;height:1pt" o:hrpct="0" o:hralign="center" o:hrstd="t" o:hrnoshade="t" o:hr="t" fillcolor="black [3213]" stroked="f"/>
              </w:pict>
            </w:r>
          </w:p>
        </w:tc>
        <w:tc>
          <w:tcPr>
            <w:tcW w:w="1181" w:type="dxa"/>
            <w:shd w:val="clear" w:color="auto" w:fill="auto"/>
          </w:tcPr>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Default="00970CF7" w:rsidP="00242AEE">
            <w:pPr>
              <w:jc w:val="center"/>
              <w:rPr>
                <w:sz w:val="20"/>
                <w:szCs w:val="20"/>
              </w:rPr>
            </w:pPr>
          </w:p>
          <w:p w:rsidR="00970CF7" w:rsidRDefault="00970CF7" w:rsidP="00242AEE">
            <w:pPr>
              <w:jc w:val="center"/>
              <w:rPr>
                <w:sz w:val="20"/>
                <w:szCs w:val="20"/>
              </w:rPr>
            </w:pPr>
          </w:p>
          <w:p w:rsidR="00970CF7" w:rsidRPr="00A935AA" w:rsidRDefault="00970CF7" w:rsidP="00242AEE">
            <w:pPr>
              <w:jc w:val="center"/>
              <w:rPr>
                <w:sz w:val="20"/>
                <w:szCs w:val="20"/>
              </w:rPr>
            </w:pPr>
          </w:p>
        </w:tc>
        <w:tc>
          <w:tcPr>
            <w:tcW w:w="4320" w:type="dxa"/>
            <w:shd w:val="clear" w:color="auto" w:fill="auto"/>
          </w:tcPr>
          <w:p w:rsidR="00970CF7" w:rsidRDefault="00970CF7" w:rsidP="00970CF7">
            <w:pPr>
              <w:keepNext/>
              <w:keepLines/>
              <w:tabs>
                <w:tab w:val="left" w:pos="-1440"/>
                <w:tab w:val="left" w:pos="-720"/>
              </w:tabs>
              <w:rPr>
                <w:b/>
                <w:sz w:val="20"/>
                <w:szCs w:val="20"/>
              </w:rPr>
            </w:pPr>
          </w:p>
          <w:p w:rsidR="00E00E3C" w:rsidRPr="00A935AA" w:rsidRDefault="00E00E3C" w:rsidP="00970CF7">
            <w:pPr>
              <w:keepNext/>
              <w:keepLines/>
              <w:tabs>
                <w:tab w:val="left" w:pos="-1440"/>
                <w:tab w:val="left" w:pos="-720"/>
              </w:tabs>
              <w:rPr>
                <w:b/>
                <w:sz w:val="20"/>
                <w:szCs w:val="20"/>
              </w:rPr>
            </w:pPr>
            <w:r>
              <w:rPr>
                <w:b/>
                <w:sz w:val="20"/>
                <w:szCs w:val="20"/>
              </w:rPr>
              <w:t>Dennis Mawdsley</w:t>
            </w:r>
          </w:p>
          <w:p w:rsidR="00970CF7" w:rsidRPr="00A935AA" w:rsidRDefault="00970CF7" w:rsidP="00970CF7">
            <w:pPr>
              <w:keepNext/>
              <w:keepLines/>
              <w:tabs>
                <w:tab w:val="left" w:pos="-1440"/>
                <w:tab w:val="left" w:pos="-720"/>
              </w:tabs>
              <w:rPr>
                <w:sz w:val="20"/>
                <w:szCs w:val="20"/>
              </w:rPr>
            </w:pPr>
            <w:r w:rsidRPr="00A935AA">
              <w:rPr>
                <w:sz w:val="20"/>
                <w:szCs w:val="20"/>
              </w:rPr>
              <w:tab/>
            </w:r>
            <w:r w:rsidR="00E00E3C">
              <w:rPr>
                <w:sz w:val="20"/>
                <w:szCs w:val="20"/>
              </w:rPr>
              <w:t>Duncan J. Manson</w:t>
            </w:r>
          </w:p>
          <w:p w:rsidR="00970CF7" w:rsidRPr="00A935AA" w:rsidRDefault="00970CF7" w:rsidP="00970CF7">
            <w:pPr>
              <w:keepNext/>
              <w:keepLines/>
              <w:tabs>
                <w:tab w:val="left" w:pos="-1440"/>
                <w:tab w:val="left" w:pos="-720"/>
              </w:tabs>
              <w:rPr>
                <w:sz w:val="20"/>
                <w:szCs w:val="20"/>
              </w:rPr>
            </w:pPr>
            <w:r w:rsidRPr="00A935AA">
              <w:rPr>
                <w:sz w:val="20"/>
                <w:szCs w:val="20"/>
              </w:rPr>
              <w:tab/>
            </w:r>
            <w:r w:rsidR="00E00E3C">
              <w:rPr>
                <w:sz w:val="20"/>
                <w:szCs w:val="20"/>
              </w:rPr>
              <w:t>Owen Bird Law Corporation</w:t>
            </w:r>
          </w:p>
          <w:p w:rsidR="00970CF7" w:rsidRPr="00A935AA" w:rsidRDefault="00970CF7" w:rsidP="00970CF7">
            <w:pPr>
              <w:keepNext/>
              <w:keepLines/>
              <w:tabs>
                <w:tab w:val="left" w:pos="-1440"/>
                <w:tab w:val="left" w:pos="-720"/>
              </w:tabs>
              <w:rPr>
                <w:sz w:val="20"/>
                <w:szCs w:val="20"/>
              </w:rPr>
            </w:pPr>
          </w:p>
          <w:p w:rsidR="00970CF7" w:rsidRPr="00E00E3C" w:rsidRDefault="00970CF7" w:rsidP="00970CF7">
            <w:pPr>
              <w:keepNext/>
              <w:keepLines/>
              <w:tabs>
                <w:tab w:val="left" w:pos="-1440"/>
                <w:tab w:val="left" w:pos="-720"/>
              </w:tabs>
              <w:rPr>
                <w:sz w:val="20"/>
                <w:szCs w:val="20"/>
                <w:lang w:val="fr-CA"/>
              </w:rPr>
            </w:pPr>
            <w:r w:rsidRPr="00A935AA">
              <w:rPr>
                <w:sz w:val="20"/>
                <w:szCs w:val="20"/>
              </w:rPr>
              <w:tab/>
            </w:r>
            <w:r w:rsidRPr="00E00E3C">
              <w:rPr>
                <w:sz w:val="20"/>
                <w:szCs w:val="20"/>
                <w:lang w:val="fr-CA"/>
              </w:rPr>
              <w:t>v. (347</w:t>
            </w:r>
            <w:r w:rsidR="00E00E3C" w:rsidRPr="00E00E3C">
              <w:rPr>
                <w:sz w:val="20"/>
                <w:szCs w:val="20"/>
                <w:lang w:val="fr-CA"/>
              </w:rPr>
              <w:t>98</w:t>
            </w:r>
            <w:r w:rsidRPr="00E00E3C">
              <w:rPr>
                <w:sz w:val="20"/>
                <w:szCs w:val="20"/>
                <w:lang w:val="fr-CA"/>
              </w:rPr>
              <w:t>)</w:t>
            </w:r>
          </w:p>
          <w:p w:rsidR="00970CF7" w:rsidRPr="00E00E3C" w:rsidRDefault="00970CF7" w:rsidP="00970CF7">
            <w:pPr>
              <w:keepNext/>
              <w:keepLines/>
              <w:tabs>
                <w:tab w:val="left" w:pos="-1440"/>
                <w:tab w:val="left" w:pos="-720"/>
              </w:tabs>
              <w:rPr>
                <w:sz w:val="20"/>
                <w:szCs w:val="20"/>
                <w:lang w:val="fr-CA"/>
              </w:rPr>
            </w:pPr>
          </w:p>
          <w:p w:rsidR="00970CF7" w:rsidRPr="00E00E3C" w:rsidRDefault="00E00E3C" w:rsidP="00970CF7">
            <w:pPr>
              <w:keepNext/>
              <w:keepLines/>
              <w:tabs>
                <w:tab w:val="left" w:pos="-1440"/>
                <w:tab w:val="left" w:pos="-720"/>
              </w:tabs>
              <w:rPr>
                <w:b/>
                <w:sz w:val="20"/>
                <w:szCs w:val="20"/>
              </w:rPr>
            </w:pPr>
            <w:r w:rsidRPr="00E00E3C">
              <w:rPr>
                <w:b/>
                <w:sz w:val="20"/>
                <w:szCs w:val="20"/>
                <w:lang w:val="fr-CA"/>
              </w:rPr>
              <w:t xml:space="preserve">Michael Meshen et al. </w:t>
            </w:r>
            <w:r w:rsidR="00970CF7" w:rsidRPr="00E00E3C">
              <w:rPr>
                <w:b/>
                <w:sz w:val="20"/>
                <w:szCs w:val="20"/>
              </w:rPr>
              <w:t>(</w:t>
            </w:r>
            <w:r>
              <w:rPr>
                <w:b/>
                <w:sz w:val="20"/>
                <w:szCs w:val="20"/>
              </w:rPr>
              <w:t>B.C</w:t>
            </w:r>
            <w:r w:rsidR="00970CF7" w:rsidRPr="00E00E3C">
              <w:rPr>
                <w:b/>
                <w:sz w:val="20"/>
                <w:szCs w:val="20"/>
              </w:rPr>
              <w:t>.)</w:t>
            </w:r>
          </w:p>
          <w:p w:rsidR="00970CF7" w:rsidRPr="00E00E3C" w:rsidRDefault="00970CF7" w:rsidP="00970CF7">
            <w:pPr>
              <w:keepNext/>
              <w:keepLines/>
              <w:tabs>
                <w:tab w:val="left" w:pos="-1440"/>
                <w:tab w:val="left" w:pos="-720"/>
              </w:tabs>
              <w:rPr>
                <w:sz w:val="20"/>
                <w:szCs w:val="20"/>
              </w:rPr>
            </w:pPr>
            <w:r w:rsidRPr="00E00E3C">
              <w:rPr>
                <w:sz w:val="20"/>
                <w:szCs w:val="20"/>
              </w:rPr>
              <w:tab/>
            </w:r>
            <w:r w:rsidR="00E00E3C">
              <w:rPr>
                <w:sz w:val="20"/>
                <w:szCs w:val="20"/>
              </w:rPr>
              <w:t>M.</w:t>
            </w:r>
            <w:r w:rsidR="00643997">
              <w:rPr>
                <w:sz w:val="20"/>
                <w:szCs w:val="20"/>
              </w:rPr>
              <w:t>V</w:t>
            </w:r>
            <w:r w:rsidR="00E00E3C">
              <w:rPr>
                <w:sz w:val="20"/>
                <w:szCs w:val="20"/>
              </w:rPr>
              <w:t>. Barnard</w:t>
            </w:r>
          </w:p>
          <w:p w:rsidR="00970CF7" w:rsidRPr="00E00E3C" w:rsidRDefault="00970CF7" w:rsidP="00970CF7">
            <w:pPr>
              <w:keepNext/>
              <w:keepLines/>
              <w:tabs>
                <w:tab w:val="left" w:pos="-1440"/>
                <w:tab w:val="left" w:pos="-720"/>
              </w:tabs>
              <w:rPr>
                <w:sz w:val="20"/>
                <w:szCs w:val="20"/>
              </w:rPr>
            </w:pPr>
            <w:r w:rsidRPr="00E00E3C">
              <w:rPr>
                <w:sz w:val="20"/>
                <w:szCs w:val="20"/>
              </w:rPr>
              <w:tab/>
            </w:r>
            <w:r w:rsidR="00E00E3C">
              <w:rPr>
                <w:sz w:val="20"/>
                <w:szCs w:val="20"/>
              </w:rPr>
              <w:t>Forrest, Gray, Lewis &amp; Barnard</w:t>
            </w:r>
          </w:p>
          <w:p w:rsidR="00970CF7" w:rsidRPr="00E00E3C" w:rsidRDefault="00970CF7" w:rsidP="00970CF7">
            <w:pPr>
              <w:keepNext/>
              <w:keepLines/>
              <w:tabs>
                <w:tab w:val="left" w:pos="-1440"/>
                <w:tab w:val="left" w:pos="-720"/>
              </w:tabs>
              <w:rPr>
                <w:sz w:val="20"/>
                <w:szCs w:val="20"/>
              </w:rPr>
            </w:pPr>
          </w:p>
          <w:p w:rsidR="00970CF7" w:rsidRPr="00A935AA" w:rsidRDefault="00970CF7" w:rsidP="00E00E3C">
            <w:pPr>
              <w:rPr>
                <w:sz w:val="20"/>
                <w:szCs w:val="20"/>
              </w:rPr>
            </w:pPr>
            <w:r w:rsidRPr="00A935AA">
              <w:rPr>
                <w:sz w:val="20"/>
                <w:szCs w:val="20"/>
              </w:rPr>
              <w:t>FILING DATE: 2</w:t>
            </w:r>
            <w:r w:rsidR="00E00E3C">
              <w:rPr>
                <w:sz w:val="20"/>
                <w:szCs w:val="20"/>
              </w:rPr>
              <w:t>7</w:t>
            </w:r>
            <w:r w:rsidRPr="00A935AA">
              <w:rPr>
                <w:sz w:val="20"/>
                <w:szCs w:val="20"/>
              </w:rPr>
              <w:t>.0</w:t>
            </w:r>
            <w:r w:rsidR="00E00E3C">
              <w:rPr>
                <w:sz w:val="20"/>
                <w:szCs w:val="20"/>
              </w:rPr>
              <w:t>4</w:t>
            </w:r>
            <w:r w:rsidRPr="00A935AA">
              <w:rPr>
                <w:sz w:val="20"/>
                <w:szCs w:val="20"/>
              </w:rPr>
              <w:t>.201</w:t>
            </w:r>
            <w:r>
              <w:rPr>
                <w:sz w:val="20"/>
                <w:szCs w:val="20"/>
              </w:rPr>
              <w:t>2</w:t>
            </w:r>
            <w:r w:rsidR="003B0427" w:rsidRPr="003B0427">
              <w:rPr>
                <w:sz w:val="20"/>
                <w:szCs w:val="20"/>
                <w:lang w:val="fr-CA"/>
              </w:rPr>
              <w:pict>
                <v:rect id="_x0000_i1030" style="width:108pt;height:1pt" o:hrpct="0" o:hralign="center" o:hrstd="t" o:hrnoshade="t" o:hr="t" fillcolor="black [3213]" stroked="f"/>
              </w:pict>
            </w:r>
          </w:p>
        </w:tc>
      </w:tr>
      <w:tr w:rsidR="00970CF7" w:rsidRPr="00643997" w:rsidTr="003B3977">
        <w:trPr>
          <w:cantSplit/>
        </w:trPr>
        <w:tc>
          <w:tcPr>
            <w:tcW w:w="4320" w:type="dxa"/>
            <w:shd w:val="clear" w:color="auto" w:fill="auto"/>
          </w:tcPr>
          <w:p w:rsidR="00970CF7" w:rsidRPr="00A935AA" w:rsidRDefault="00E00E3C" w:rsidP="00C476AD">
            <w:pPr>
              <w:rPr>
                <w:b/>
                <w:sz w:val="20"/>
                <w:szCs w:val="20"/>
              </w:rPr>
            </w:pPr>
            <w:r>
              <w:rPr>
                <w:b/>
                <w:sz w:val="20"/>
                <w:szCs w:val="20"/>
              </w:rPr>
              <w:t xml:space="preserve">Vivendi Canada Inc. </w:t>
            </w:r>
          </w:p>
          <w:p w:rsidR="00970CF7" w:rsidRPr="00A935AA" w:rsidRDefault="00970CF7" w:rsidP="00C476AD">
            <w:pPr>
              <w:tabs>
                <w:tab w:val="left" w:pos="-1440"/>
                <w:tab w:val="left" w:pos="-720"/>
              </w:tabs>
              <w:rPr>
                <w:sz w:val="20"/>
                <w:szCs w:val="20"/>
              </w:rPr>
            </w:pPr>
            <w:r w:rsidRPr="00A935AA">
              <w:rPr>
                <w:sz w:val="20"/>
                <w:szCs w:val="20"/>
              </w:rPr>
              <w:tab/>
            </w:r>
            <w:r w:rsidR="00E00E3C">
              <w:rPr>
                <w:sz w:val="20"/>
                <w:szCs w:val="20"/>
              </w:rPr>
              <w:t>Michel Benoit</w:t>
            </w:r>
          </w:p>
          <w:p w:rsidR="00970CF7" w:rsidRPr="00A935AA" w:rsidRDefault="00970CF7" w:rsidP="00C476AD">
            <w:pPr>
              <w:tabs>
                <w:tab w:val="left" w:pos="-1440"/>
                <w:tab w:val="left" w:pos="-720"/>
              </w:tabs>
              <w:rPr>
                <w:sz w:val="20"/>
                <w:szCs w:val="20"/>
              </w:rPr>
            </w:pPr>
            <w:r w:rsidRPr="00A935AA">
              <w:rPr>
                <w:sz w:val="20"/>
                <w:szCs w:val="20"/>
              </w:rPr>
              <w:tab/>
            </w:r>
            <w:r w:rsidR="00E00E3C">
              <w:rPr>
                <w:sz w:val="20"/>
                <w:szCs w:val="20"/>
              </w:rPr>
              <w:t>Osler, Hoskin &amp; Harcourt s.e.n.c.r.l./s.r.l.</w:t>
            </w:r>
          </w:p>
          <w:p w:rsidR="00970CF7" w:rsidRPr="00A935AA" w:rsidRDefault="00970CF7" w:rsidP="00C476AD">
            <w:pPr>
              <w:tabs>
                <w:tab w:val="left" w:pos="-1440"/>
                <w:tab w:val="left" w:pos="-720"/>
              </w:tabs>
              <w:rPr>
                <w:sz w:val="20"/>
                <w:szCs w:val="20"/>
              </w:rPr>
            </w:pPr>
          </w:p>
          <w:p w:rsidR="00970CF7" w:rsidRPr="006975B7" w:rsidRDefault="00970CF7" w:rsidP="00C476AD">
            <w:pPr>
              <w:tabs>
                <w:tab w:val="left" w:pos="-1440"/>
                <w:tab w:val="left" w:pos="-720"/>
              </w:tabs>
              <w:rPr>
                <w:sz w:val="20"/>
                <w:szCs w:val="20"/>
              </w:rPr>
            </w:pPr>
            <w:r w:rsidRPr="00A935AA">
              <w:rPr>
                <w:sz w:val="20"/>
                <w:szCs w:val="20"/>
              </w:rPr>
              <w:tab/>
            </w:r>
            <w:r w:rsidR="0021736D" w:rsidRPr="006975B7">
              <w:rPr>
                <w:sz w:val="20"/>
                <w:szCs w:val="20"/>
              </w:rPr>
              <w:t>c</w:t>
            </w:r>
            <w:r w:rsidRPr="006975B7">
              <w:rPr>
                <w:sz w:val="20"/>
                <w:szCs w:val="20"/>
              </w:rPr>
              <w:t>. (34</w:t>
            </w:r>
            <w:r w:rsidR="00E00E3C" w:rsidRPr="006975B7">
              <w:rPr>
                <w:sz w:val="20"/>
                <w:szCs w:val="20"/>
              </w:rPr>
              <w:t>800</w:t>
            </w:r>
            <w:r w:rsidRPr="006975B7">
              <w:rPr>
                <w:sz w:val="20"/>
                <w:szCs w:val="20"/>
              </w:rPr>
              <w:t>)</w:t>
            </w:r>
          </w:p>
          <w:p w:rsidR="00970CF7" w:rsidRPr="006975B7" w:rsidRDefault="00970CF7" w:rsidP="00C476AD">
            <w:pPr>
              <w:tabs>
                <w:tab w:val="left" w:pos="-1440"/>
                <w:tab w:val="left" w:pos="-720"/>
              </w:tabs>
              <w:rPr>
                <w:sz w:val="20"/>
                <w:szCs w:val="20"/>
              </w:rPr>
            </w:pPr>
          </w:p>
          <w:p w:rsidR="00970CF7" w:rsidRPr="006975B7" w:rsidRDefault="0021736D" w:rsidP="00C476AD">
            <w:pPr>
              <w:tabs>
                <w:tab w:val="left" w:pos="-1440"/>
                <w:tab w:val="left" w:pos="-720"/>
              </w:tabs>
              <w:rPr>
                <w:b/>
                <w:sz w:val="20"/>
                <w:szCs w:val="20"/>
              </w:rPr>
            </w:pPr>
            <w:r w:rsidRPr="006975B7">
              <w:rPr>
                <w:b/>
                <w:sz w:val="20"/>
                <w:szCs w:val="20"/>
              </w:rPr>
              <w:t xml:space="preserve">Michel Dell’Aniello </w:t>
            </w:r>
            <w:r w:rsidR="00970CF7" w:rsidRPr="006975B7">
              <w:rPr>
                <w:b/>
                <w:sz w:val="20"/>
                <w:szCs w:val="20"/>
              </w:rPr>
              <w:t>(</w:t>
            </w:r>
            <w:r w:rsidRPr="006975B7">
              <w:rPr>
                <w:b/>
                <w:sz w:val="20"/>
                <w:szCs w:val="20"/>
              </w:rPr>
              <w:t>Qc</w:t>
            </w:r>
            <w:r w:rsidR="00970CF7" w:rsidRPr="006975B7">
              <w:rPr>
                <w:b/>
                <w:sz w:val="20"/>
                <w:szCs w:val="20"/>
              </w:rPr>
              <w:t>)</w:t>
            </w:r>
          </w:p>
          <w:p w:rsidR="00970CF7" w:rsidRPr="0021736D" w:rsidRDefault="00970CF7" w:rsidP="00C476AD">
            <w:pPr>
              <w:tabs>
                <w:tab w:val="left" w:pos="-1440"/>
                <w:tab w:val="left" w:pos="-720"/>
              </w:tabs>
              <w:rPr>
                <w:sz w:val="20"/>
                <w:szCs w:val="20"/>
                <w:lang w:val="fr-CA"/>
              </w:rPr>
            </w:pPr>
            <w:r w:rsidRPr="006975B7">
              <w:rPr>
                <w:sz w:val="20"/>
                <w:szCs w:val="20"/>
              </w:rPr>
              <w:tab/>
            </w:r>
            <w:r w:rsidR="0021736D" w:rsidRPr="0021736D">
              <w:rPr>
                <w:sz w:val="20"/>
                <w:szCs w:val="20"/>
                <w:lang w:val="fr-CA"/>
              </w:rPr>
              <w:t>Claude Tardif</w:t>
            </w:r>
          </w:p>
          <w:p w:rsidR="00970CF7" w:rsidRPr="0021736D" w:rsidRDefault="00970CF7" w:rsidP="00C476AD">
            <w:pPr>
              <w:tabs>
                <w:tab w:val="left" w:pos="-1440"/>
                <w:tab w:val="left" w:pos="-720"/>
              </w:tabs>
              <w:rPr>
                <w:sz w:val="20"/>
                <w:szCs w:val="20"/>
                <w:lang w:val="fr-CA"/>
              </w:rPr>
            </w:pPr>
            <w:r w:rsidRPr="0021736D">
              <w:rPr>
                <w:sz w:val="20"/>
                <w:szCs w:val="20"/>
                <w:lang w:val="fr-CA"/>
              </w:rPr>
              <w:tab/>
            </w:r>
            <w:r w:rsidR="0021736D">
              <w:rPr>
                <w:sz w:val="20"/>
                <w:szCs w:val="20"/>
                <w:lang w:val="fr-CA"/>
              </w:rPr>
              <w:t xml:space="preserve">Rivest, Schmidt, Moreau, Desautels &amp; </w:t>
            </w:r>
            <w:r w:rsidR="0021736D">
              <w:rPr>
                <w:sz w:val="20"/>
                <w:szCs w:val="20"/>
                <w:lang w:val="fr-CA"/>
              </w:rPr>
              <w:tab/>
              <w:t>Tardif</w:t>
            </w:r>
          </w:p>
          <w:p w:rsidR="00970CF7" w:rsidRPr="0021736D" w:rsidRDefault="00970CF7" w:rsidP="00C476AD">
            <w:pPr>
              <w:tabs>
                <w:tab w:val="left" w:pos="-1440"/>
                <w:tab w:val="left" w:pos="-720"/>
              </w:tabs>
              <w:rPr>
                <w:sz w:val="20"/>
                <w:szCs w:val="20"/>
                <w:lang w:val="fr-CA"/>
              </w:rPr>
            </w:pPr>
          </w:p>
          <w:p w:rsidR="00970CF7" w:rsidRPr="00A935AA" w:rsidRDefault="0021736D" w:rsidP="00C476AD">
            <w:pPr>
              <w:rPr>
                <w:sz w:val="20"/>
                <w:szCs w:val="20"/>
              </w:rPr>
            </w:pPr>
            <w:r>
              <w:rPr>
                <w:sz w:val="20"/>
                <w:szCs w:val="20"/>
              </w:rPr>
              <w:t>D</w:t>
            </w:r>
            <w:r w:rsidR="00970CF7" w:rsidRPr="00A935AA">
              <w:rPr>
                <w:sz w:val="20"/>
                <w:szCs w:val="20"/>
              </w:rPr>
              <w:t>ATE</w:t>
            </w:r>
            <w:r>
              <w:rPr>
                <w:sz w:val="20"/>
                <w:szCs w:val="20"/>
              </w:rPr>
              <w:t xml:space="preserve"> DE PRODUCTIO N</w:t>
            </w:r>
            <w:r w:rsidR="00970CF7" w:rsidRPr="00A935AA">
              <w:rPr>
                <w:sz w:val="20"/>
                <w:szCs w:val="20"/>
              </w:rPr>
              <w:t xml:space="preserve">: </w:t>
            </w:r>
            <w:r>
              <w:rPr>
                <w:sz w:val="20"/>
                <w:szCs w:val="20"/>
              </w:rPr>
              <w:t>30</w:t>
            </w:r>
            <w:r w:rsidR="00970CF7" w:rsidRPr="00A935AA">
              <w:rPr>
                <w:sz w:val="20"/>
                <w:szCs w:val="20"/>
              </w:rPr>
              <w:t>.0</w:t>
            </w:r>
            <w:r>
              <w:rPr>
                <w:sz w:val="20"/>
                <w:szCs w:val="20"/>
              </w:rPr>
              <w:t>4</w:t>
            </w:r>
            <w:r w:rsidR="00970CF7" w:rsidRPr="00A935AA">
              <w:rPr>
                <w:sz w:val="20"/>
                <w:szCs w:val="20"/>
              </w:rPr>
              <w:t>.201</w:t>
            </w:r>
            <w:r w:rsidR="00970CF7">
              <w:rPr>
                <w:sz w:val="20"/>
                <w:szCs w:val="20"/>
              </w:rPr>
              <w:t>2</w:t>
            </w:r>
          </w:p>
          <w:p w:rsidR="00970CF7" w:rsidRPr="00A935AA" w:rsidRDefault="003B0427" w:rsidP="00C476AD">
            <w:pPr>
              <w:rPr>
                <w:sz w:val="20"/>
                <w:szCs w:val="20"/>
              </w:rPr>
            </w:pPr>
            <w:r w:rsidRPr="003B0427">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p w:rsidR="00970CF7" w:rsidRPr="00A935AA" w:rsidRDefault="00970CF7" w:rsidP="00242AEE">
            <w:pPr>
              <w:jc w:val="center"/>
              <w:rPr>
                <w:sz w:val="20"/>
                <w:szCs w:val="20"/>
              </w:rPr>
            </w:pPr>
          </w:p>
        </w:tc>
        <w:tc>
          <w:tcPr>
            <w:tcW w:w="4320" w:type="dxa"/>
            <w:shd w:val="clear" w:color="auto" w:fill="auto"/>
          </w:tcPr>
          <w:p w:rsidR="00970CF7" w:rsidRDefault="00970CF7" w:rsidP="00C476AD">
            <w:pPr>
              <w:keepNext/>
              <w:keepLines/>
              <w:tabs>
                <w:tab w:val="left" w:pos="-1440"/>
                <w:tab w:val="left" w:pos="-720"/>
              </w:tabs>
              <w:rPr>
                <w:b/>
                <w:sz w:val="20"/>
                <w:szCs w:val="20"/>
              </w:rPr>
            </w:pPr>
          </w:p>
          <w:p w:rsidR="00FE3554" w:rsidRPr="00A935AA" w:rsidRDefault="00FE3554" w:rsidP="00C476AD">
            <w:pPr>
              <w:keepNext/>
              <w:keepLines/>
              <w:tabs>
                <w:tab w:val="left" w:pos="-1440"/>
                <w:tab w:val="left" w:pos="-720"/>
              </w:tabs>
              <w:rPr>
                <w:b/>
                <w:sz w:val="20"/>
                <w:szCs w:val="20"/>
              </w:rPr>
            </w:pPr>
            <w:r>
              <w:rPr>
                <w:b/>
                <w:sz w:val="20"/>
                <w:szCs w:val="20"/>
              </w:rPr>
              <w:t>George Ghanotakis</w:t>
            </w:r>
          </w:p>
          <w:p w:rsidR="00970CF7" w:rsidRPr="00A935AA" w:rsidRDefault="00970CF7" w:rsidP="00C476AD">
            <w:pPr>
              <w:keepNext/>
              <w:keepLines/>
              <w:tabs>
                <w:tab w:val="left" w:pos="-1440"/>
                <w:tab w:val="left" w:pos="-720"/>
              </w:tabs>
              <w:rPr>
                <w:sz w:val="20"/>
                <w:szCs w:val="20"/>
              </w:rPr>
            </w:pPr>
            <w:r w:rsidRPr="00A935AA">
              <w:rPr>
                <w:sz w:val="20"/>
                <w:szCs w:val="20"/>
              </w:rPr>
              <w:tab/>
            </w:r>
            <w:r w:rsidR="00FE3554">
              <w:rPr>
                <w:sz w:val="20"/>
                <w:szCs w:val="20"/>
              </w:rPr>
              <w:t>George Ghanotakis</w:t>
            </w:r>
          </w:p>
          <w:p w:rsidR="00970CF7" w:rsidRPr="00A935AA" w:rsidRDefault="00970CF7" w:rsidP="00C476AD">
            <w:pPr>
              <w:keepNext/>
              <w:keepLines/>
              <w:tabs>
                <w:tab w:val="left" w:pos="-1440"/>
                <w:tab w:val="left" w:pos="-720"/>
              </w:tabs>
              <w:rPr>
                <w:sz w:val="20"/>
                <w:szCs w:val="20"/>
              </w:rPr>
            </w:pPr>
          </w:p>
          <w:p w:rsidR="00970CF7" w:rsidRPr="006975B7" w:rsidRDefault="00970CF7" w:rsidP="00C476AD">
            <w:pPr>
              <w:keepNext/>
              <w:keepLines/>
              <w:tabs>
                <w:tab w:val="left" w:pos="-1440"/>
                <w:tab w:val="left" w:pos="-720"/>
              </w:tabs>
              <w:rPr>
                <w:sz w:val="20"/>
                <w:szCs w:val="20"/>
              </w:rPr>
            </w:pPr>
            <w:r w:rsidRPr="00A935AA">
              <w:rPr>
                <w:sz w:val="20"/>
                <w:szCs w:val="20"/>
              </w:rPr>
              <w:tab/>
            </w:r>
            <w:r w:rsidR="00FE3554" w:rsidRPr="006975B7">
              <w:rPr>
                <w:sz w:val="20"/>
                <w:szCs w:val="20"/>
              </w:rPr>
              <w:t>c</w:t>
            </w:r>
            <w:r w:rsidRPr="006975B7">
              <w:rPr>
                <w:sz w:val="20"/>
                <w:szCs w:val="20"/>
              </w:rPr>
              <w:t>. (34</w:t>
            </w:r>
            <w:r w:rsidR="00FE3554" w:rsidRPr="006975B7">
              <w:rPr>
                <w:sz w:val="20"/>
                <w:szCs w:val="20"/>
              </w:rPr>
              <w:t>804</w:t>
            </w:r>
            <w:r w:rsidRPr="006975B7">
              <w:rPr>
                <w:sz w:val="20"/>
                <w:szCs w:val="20"/>
              </w:rPr>
              <w:t>)</w:t>
            </w:r>
          </w:p>
          <w:p w:rsidR="00970CF7" w:rsidRPr="006975B7" w:rsidRDefault="00970CF7" w:rsidP="00C476AD">
            <w:pPr>
              <w:keepNext/>
              <w:keepLines/>
              <w:tabs>
                <w:tab w:val="left" w:pos="-1440"/>
                <w:tab w:val="left" w:pos="-720"/>
              </w:tabs>
              <w:rPr>
                <w:sz w:val="20"/>
                <w:szCs w:val="20"/>
              </w:rPr>
            </w:pPr>
          </w:p>
          <w:p w:rsidR="00970CF7" w:rsidRPr="00FE3554" w:rsidRDefault="00FE3554" w:rsidP="00C476AD">
            <w:pPr>
              <w:keepNext/>
              <w:keepLines/>
              <w:tabs>
                <w:tab w:val="left" w:pos="-1440"/>
                <w:tab w:val="left" w:pos="-720"/>
              </w:tabs>
              <w:rPr>
                <w:b/>
                <w:sz w:val="20"/>
                <w:szCs w:val="20"/>
                <w:lang w:val="fr-CA"/>
              </w:rPr>
            </w:pPr>
            <w:r w:rsidRPr="00FE3554">
              <w:rPr>
                <w:b/>
                <w:sz w:val="20"/>
                <w:szCs w:val="20"/>
                <w:lang w:val="fr-CA"/>
              </w:rPr>
              <w:t xml:space="preserve">Imprimerie Régionale ARL Ltée et autre </w:t>
            </w:r>
            <w:r w:rsidR="00970CF7" w:rsidRPr="00FE3554">
              <w:rPr>
                <w:b/>
                <w:sz w:val="20"/>
                <w:szCs w:val="20"/>
                <w:lang w:val="fr-CA"/>
              </w:rPr>
              <w:t>(</w:t>
            </w:r>
            <w:r w:rsidRPr="00FE3554">
              <w:rPr>
                <w:b/>
                <w:sz w:val="20"/>
                <w:szCs w:val="20"/>
                <w:lang w:val="fr-CA"/>
              </w:rPr>
              <w:t>Qc</w:t>
            </w:r>
            <w:r w:rsidR="00970CF7" w:rsidRPr="00FE3554">
              <w:rPr>
                <w:b/>
                <w:sz w:val="20"/>
                <w:szCs w:val="20"/>
                <w:lang w:val="fr-CA"/>
              </w:rPr>
              <w:t>)</w:t>
            </w:r>
          </w:p>
          <w:p w:rsidR="00970CF7" w:rsidRPr="00FE3554" w:rsidRDefault="00970CF7" w:rsidP="00C476AD">
            <w:pPr>
              <w:keepNext/>
              <w:keepLines/>
              <w:tabs>
                <w:tab w:val="left" w:pos="-1440"/>
                <w:tab w:val="left" w:pos="-720"/>
              </w:tabs>
              <w:rPr>
                <w:sz w:val="20"/>
                <w:szCs w:val="20"/>
                <w:lang w:val="fr-CA"/>
              </w:rPr>
            </w:pPr>
            <w:r w:rsidRPr="00FE3554">
              <w:rPr>
                <w:sz w:val="20"/>
                <w:szCs w:val="20"/>
                <w:lang w:val="fr-CA"/>
              </w:rPr>
              <w:tab/>
            </w:r>
            <w:r w:rsidR="00FE3554">
              <w:rPr>
                <w:sz w:val="20"/>
                <w:szCs w:val="20"/>
                <w:lang w:val="fr-CA"/>
              </w:rPr>
              <w:t>Claude St-Laurent</w:t>
            </w:r>
          </w:p>
          <w:p w:rsidR="00970CF7" w:rsidRPr="00FE3554" w:rsidRDefault="00970CF7" w:rsidP="00C476AD">
            <w:pPr>
              <w:keepNext/>
              <w:keepLines/>
              <w:tabs>
                <w:tab w:val="left" w:pos="-1440"/>
                <w:tab w:val="left" w:pos="-720"/>
              </w:tabs>
              <w:rPr>
                <w:sz w:val="20"/>
                <w:szCs w:val="20"/>
                <w:lang w:val="fr-CA"/>
              </w:rPr>
            </w:pPr>
            <w:r w:rsidRPr="00FE3554">
              <w:rPr>
                <w:sz w:val="20"/>
                <w:szCs w:val="20"/>
                <w:lang w:val="fr-CA"/>
              </w:rPr>
              <w:tab/>
            </w:r>
            <w:r w:rsidR="00FE3554">
              <w:rPr>
                <w:sz w:val="20"/>
                <w:szCs w:val="20"/>
                <w:lang w:val="fr-CA"/>
              </w:rPr>
              <w:t xml:space="preserve">Lacoste, St-Laurent, Brind’Amour, </w:t>
            </w:r>
            <w:r w:rsidR="00FE3554">
              <w:rPr>
                <w:sz w:val="20"/>
                <w:szCs w:val="20"/>
                <w:lang w:val="fr-CA"/>
              </w:rPr>
              <w:tab/>
              <w:t>Germain, Varin, Bianchi</w:t>
            </w:r>
          </w:p>
          <w:p w:rsidR="00970CF7" w:rsidRPr="00FE3554" w:rsidRDefault="00970CF7" w:rsidP="00C476AD">
            <w:pPr>
              <w:keepNext/>
              <w:keepLines/>
              <w:tabs>
                <w:tab w:val="left" w:pos="-1440"/>
                <w:tab w:val="left" w:pos="-720"/>
              </w:tabs>
              <w:rPr>
                <w:sz w:val="20"/>
                <w:szCs w:val="20"/>
                <w:lang w:val="fr-CA"/>
              </w:rPr>
            </w:pPr>
          </w:p>
          <w:p w:rsidR="00970CF7" w:rsidRPr="00FE3554" w:rsidRDefault="00970CF7" w:rsidP="00FE3554">
            <w:pPr>
              <w:rPr>
                <w:sz w:val="20"/>
                <w:szCs w:val="20"/>
                <w:lang w:val="fr-CA"/>
              </w:rPr>
            </w:pPr>
            <w:r w:rsidRPr="00FE3554">
              <w:rPr>
                <w:sz w:val="20"/>
                <w:szCs w:val="20"/>
                <w:lang w:val="fr-CA"/>
              </w:rPr>
              <w:t>DATE</w:t>
            </w:r>
            <w:r w:rsidR="00FE3554" w:rsidRPr="00FE3554">
              <w:rPr>
                <w:sz w:val="20"/>
                <w:szCs w:val="20"/>
                <w:lang w:val="fr-CA"/>
              </w:rPr>
              <w:t xml:space="preserve"> DE PRODUCTION </w:t>
            </w:r>
            <w:r w:rsidRPr="00FE3554">
              <w:rPr>
                <w:sz w:val="20"/>
                <w:szCs w:val="20"/>
                <w:lang w:val="fr-CA"/>
              </w:rPr>
              <w:t xml:space="preserve">: </w:t>
            </w:r>
            <w:r w:rsidR="00FE3554" w:rsidRPr="00FE3554">
              <w:rPr>
                <w:sz w:val="20"/>
                <w:szCs w:val="20"/>
                <w:lang w:val="fr-CA"/>
              </w:rPr>
              <w:t>01</w:t>
            </w:r>
            <w:r w:rsidRPr="00FE3554">
              <w:rPr>
                <w:sz w:val="20"/>
                <w:szCs w:val="20"/>
                <w:lang w:val="fr-CA"/>
              </w:rPr>
              <w:t>.05.2012</w:t>
            </w:r>
            <w:r w:rsidR="003B0427" w:rsidRPr="003B0427">
              <w:rPr>
                <w:sz w:val="20"/>
                <w:szCs w:val="20"/>
                <w:lang w:val="fr-CA"/>
              </w:rPr>
              <w:pict>
                <v:rect id="_x0000_i1032" style="width:108pt;height:1pt" o:hrpct="0" o:hralign="center" o:hrstd="t" o:hrnoshade="t" o:hr="t" fillcolor="black [3213]" stroked="f"/>
              </w:pict>
            </w:r>
          </w:p>
        </w:tc>
      </w:tr>
    </w:tbl>
    <w:p w:rsidR="00242AEE" w:rsidRPr="006975B7" w:rsidRDefault="00242AEE" w:rsidP="0095096B">
      <w:pPr>
        <w:tabs>
          <w:tab w:val="right" w:pos="9360"/>
        </w:tabs>
        <w:rPr>
          <w:sz w:val="20"/>
          <w:szCs w:val="20"/>
          <w:lang w:val="fr-CA"/>
        </w:rPr>
      </w:pPr>
    </w:p>
    <w:p w:rsidR="00242AEE" w:rsidRPr="006975B7" w:rsidRDefault="00242AEE" w:rsidP="0095096B">
      <w:pPr>
        <w:tabs>
          <w:tab w:val="right" w:pos="9360"/>
        </w:tabs>
        <w:rPr>
          <w:sz w:val="20"/>
          <w:szCs w:val="20"/>
          <w:lang w:val="fr-CA"/>
        </w:rPr>
        <w:sectPr w:rsidR="00242AEE" w:rsidRPr="006975B7" w:rsidSect="005D2B10">
          <w:headerReference w:type="default" r:id="rId16"/>
          <w:footerReference w:type="default" r:id="rId17"/>
          <w:headerReference w:type="first" r:id="rId18"/>
          <w:footerReference w:type="first" r:id="rId19"/>
          <w:pgSz w:w="12240" w:h="15840"/>
          <w:pgMar w:top="720" w:right="965" w:bottom="1080" w:left="1656" w:header="706" w:footer="706" w:gutter="0"/>
          <w:pgNumType w:start="79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64399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M</w:t>
      </w:r>
      <w:r w:rsidR="008B4F53">
        <w:rPr>
          <w:b/>
          <w:sz w:val="20"/>
          <w:szCs w:val="20"/>
        </w:rPr>
        <w:t>AY</w:t>
      </w:r>
      <w:r w:rsidRPr="00C50A5C">
        <w:rPr>
          <w:b/>
          <w:sz w:val="20"/>
          <w:szCs w:val="20"/>
        </w:rPr>
        <w:t xml:space="preserve"> </w:t>
      </w:r>
      <w:r w:rsidR="008B4F53">
        <w:rPr>
          <w:b/>
          <w:sz w:val="20"/>
          <w:szCs w:val="20"/>
        </w:rPr>
        <w:t>22</w:t>
      </w:r>
      <w:r w:rsidRPr="00C50A5C">
        <w:rPr>
          <w:b/>
          <w:sz w:val="20"/>
          <w:szCs w:val="20"/>
        </w:rPr>
        <w:t>, 201</w:t>
      </w:r>
      <w:r w:rsidR="008B4F53">
        <w:rPr>
          <w:b/>
          <w:sz w:val="20"/>
          <w:szCs w:val="20"/>
        </w:rPr>
        <w:t>2</w:t>
      </w:r>
      <w:r w:rsidRPr="00C50A5C">
        <w:rPr>
          <w:b/>
          <w:sz w:val="20"/>
          <w:szCs w:val="20"/>
        </w:rPr>
        <w:t xml:space="preserve"> / LE </w:t>
      </w:r>
      <w:r w:rsidR="008B4F53">
        <w:rPr>
          <w:b/>
          <w:sz w:val="20"/>
          <w:szCs w:val="20"/>
        </w:rPr>
        <w:t>22</w:t>
      </w:r>
      <w:r>
        <w:rPr>
          <w:b/>
          <w:sz w:val="20"/>
          <w:szCs w:val="20"/>
        </w:rPr>
        <w:t xml:space="preserve"> M</w:t>
      </w:r>
      <w:r w:rsidR="008B4F53">
        <w:rPr>
          <w:b/>
          <w:sz w:val="20"/>
          <w:szCs w:val="20"/>
        </w:rPr>
        <w:t>AI</w:t>
      </w:r>
      <w:r w:rsidRPr="00C50A5C">
        <w:rPr>
          <w:b/>
          <w:sz w:val="20"/>
          <w:szCs w:val="20"/>
        </w:rPr>
        <w:t xml:space="preserve"> 201</w:t>
      </w:r>
      <w:r w:rsidR="008B4F53">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ED76F4" w:rsidP="004B7F60">
      <w:pPr>
        <w:pStyle w:val="ListParagraph"/>
        <w:widowControl w:val="0"/>
        <w:numPr>
          <w:ilvl w:val="0"/>
          <w:numId w:val="1"/>
        </w:numPr>
        <w:ind w:hanging="720"/>
        <w:jc w:val="both"/>
        <w:rPr>
          <w:sz w:val="20"/>
          <w:szCs w:val="20"/>
        </w:rPr>
      </w:pPr>
      <w:r w:rsidRPr="00ED76F4">
        <w:rPr>
          <w:i/>
          <w:sz w:val="20"/>
          <w:szCs w:val="20"/>
        </w:rPr>
        <w:t>Her Majesty the Queen v. Ernest Fenwick MacIntosh</w:t>
      </w:r>
      <w:r w:rsidRPr="009C54D0">
        <w:rPr>
          <w:sz w:val="20"/>
          <w:szCs w:val="20"/>
        </w:rPr>
        <w:t xml:space="preserve"> (N.S.) (Crim</w:t>
      </w:r>
      <w:r>
        <w:rPr>
          <w:sz w:val="20"/>
          <w:szCs w:val="20"/>
        </w:rPr>
        <w:t>.</w:t>
      </w:r>
      <w:r w:rsidRPr="009C54D0">
        <w:rPr>
          <w:sz w:val="20"/>
          <w:szCs w:val="20"/>
        </w:rPr>
        <w:t>) (By Leave)</w:t>
      </w:r>
      <w:r>
        <w:rPr>
          <w:sz w:val="20"/>
          <w:szCs w:val="20"/>
        </w:rPr>
        <w:t xml:space="preserve"> </w:t>
      </w:r>
      <w:r w:rsidR="008B4F53">
        <w:rPr>
          <w:sz w:val="20"/>
          <w:szCs w:val="20"/>
        </w:rPr>
        <w:t>(</w:t>
      </w:r>
      <w:r w:rsidR="004B7F60" w:rsidRPr="00C50A5C">
        <w:rPr>
          <w:sz w:val="20"/>
          <w:szCs w:val="20"/>
        </w:rPr>
        <w:t>3</w:t>
      </w:r>
      <w:r w:rsidR="004B7F60">
        <w:rPr>
          <w:sz w:val="20"/>
          <w:szCs w:val="20"/>
        </w:rPr>
        <w:t>4</w:t>
      </w:r>
      <w:r>
        <w:rPr>
          <w:sz w:val="20"/>
          <w:szCs w:val="20"/>
        </w:rPr>
        <w:t>650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CB7C3F" w:rsidP="004B7F60">
      <w:pPr>
        <w:pStyle w:val="ListParagraph"/>
        <w:widowControl w:val="0"/>
        <w:numPr>
          <w:ilvl w:val="0"/>
          <w:numId w:val="1"/>
        </w:numPr>
        <w:ind w:hanging="720"/>
        <w:jc w:val="both"/>
        <w:rPr>
          <w:sz w:val="20"/>
          <w:szCs w:val="20"/>
        </w:rPr>
      </w:pPr>
      <w:r w:rsidRPr="00CB7C3F">
        <w:rPr>
          <w:i/>
          <w:sz w:val="20"/>
          <w:szCs w:val="20"/>
        </w:rPr>
        <w:t>ABS Trucking Ltd. v. City of Edmonton as represented by the Edmonton Subdivision and Development Appeal Board</w:t>
      </w:r>
      <w:r w:rsidRPr="009C54D0">
        <w:rPr>
          <w:sz w:val="20"/>
          <w:szCs w:val="20"/>
        </w:rPr>
        <w:t xml:space="preserve"> (Alta.) (Civil) (By Leave)</w:t>
      </w:r>
      <w:r w:rsidRPr="00C612D0">
        <w:rPr>
          <w:sz w:val="20"/>
          <w:szCs w:val="20"/>
        </w:rPr>
        <w:t xml:space="preserve"> </w:t>
      </w:r>
      <w:r w:rsidR="004B7F60" w:rsidRPr="00C612D0">
        <w:rPr>
          <w:sz w:val="20"/>
          <w:szCs w:val="20"/>
        </w:rPr>
        <w:t>(34</w:t>
      </w:r>
      <w:r w:rsidR="00ED76F4">
        <w:rPr>
          <w:sz w:val="20"/>
          <w:szCs w:val="20"/>
        </w:rPr>
        <w:t>6</w:t>
      </w:r>
      <w:r w:rsidR="004B7F60" w:rsidRPr="00C612D0">
        <w:rPr>
          <w:sz w:val="20"/>
          <w:szCs w:val="20"/>
        </w:rPr>
        <w:t>3</w:t>
      </w:r>
      <w:r w:rsidR="00ED76F4">
        <w:rPr>
          <w:sz w:val="20"/>
          <w:szCs w:val="20"/>
        </w:rPr>
        <w:t>4</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CB7C3F" w:rsidP="004B7F60">
      <w:pPr>
        <w:pStyle w:val="ListParagraph"/>
        <w:widowControl w:val="0"/>
        <w:numPr>
          <w:ilvl w:val="0"/>
          <w:numId w:val="1"/>
        </w:numPr>
        <w:ind w:hanging="720"/>
        <w:jc w:val="both"/>
        <w:rPr>
          <w:sz w:val="20"/>
          <w:szCs w:val="20"/>
        </w:rPr>
      </w:pPr>
      <w:r w:rsidRPr="00CB7C3F">
        <w:rPr>
          <w:i/>
          <w:sz w:val="20"/>
          <w:szCs w:val="20"/>
        </w:rPr>
        <w:t>Nagib Tajdin et al. v. His Highness Prince Karim Aga Khan</w:t>
      </w:r>
      <w:r w:rsidRPr="009C54D0">
        <w:rPr>
          <w:sz w:val="20"/>
          <w:szCs w:val="20"/>
        </w:rPr>
        <w:t xml:space="preserve"> (F</w:t>
      </w:r>
      <w:r>
        <w:rPr>
          <w:sz w:val="20"/>
          <w:szCs w:val="20"/>
        </w:rPr>
        <w:t>.</w:t>
      </w:r>
      <w:r w:rsidRPr="009C54D0">
        <w:rPr>
          <w:sz w:val="20"/>
          <w:szCs w:val="20"/>
        </w:rPr>
        <w:t>C</w:t>
      </w:r>
      <w:r>
        <w:rPr>
          <w:sz w:val="20"/>
          <w:szCs w:val="20"/>
        </w:rPr>
        <w:t>.</w:t>
      </w:r>
      <w:r w:rsidRPr="009C54D0">
        <w:rPr>
          <w:sz w:val="20"/>
          <w:szCs w:val="20"/>
        </w:rPr>
        <w:t>) (Civil) (By Leave)</w:t>
      </w:r>
      <w:r>
        <w:rPr>
          <w:sz w:val="20"/>
          <w:szCs w:val="20"/>
        </w:rPr>
        <w:t xml:space="preserve"> </w:t>
      </w:r>
      <w:r w:rsidR="004B7F60" w:rsidRPr="00940CAD">
        <w:rPr>
          <w:sz w:val="20"/>
          <w:szCs w:val="20"/>
        </w:rPr>
        <w:t>(34</w:t>
      </w:r>
      <w:r w:rsidR="00ED76F4">
        <w:rPr>
          <w:sz w:val="20"/>
          <w:szCs w:val="20"/>
        </w:rPr>
        <w:t>7</w:t>
      </w:r>
      <w:r w:rsidR="004B7F60" w:rsidRPr="00940CAD">
        <w:rPr>
          <w:sz w:val="20"/>
          <w:szCs w:val="20"/>
        </w:rPr>
        <w:t>3</w:t>
      </w:r>
      <w:r w:rsidR="00ED76F4">
        <w:rPr>
          <w:sz w:val="20"/>
          <w:szCs w:val="20"/>
        </w:rPr>
        <w:t>1)</w:t>
      </w:r>
    </w:p>
    <w:p w:rsidR="004B7F60" w:rsidRPr="00C50A5C" w:rsidRDefault="004B7F60" w:rsidP="004B7F60">
      <w:pPr>
        <w:widowControl w:val="0"/>
        <w:rPr>
          <w:sz w:val="20"/>
          <w:szCs w:val="20"/>
        </w:rPr>
      </w:pPr>
    </w:p>
    <w:p w:rsidR="004B7F60" w:rsidRPr="00C50A5C" w:rsidRDefault="00CB7C3F" w:rsidP="004B7F60">
      <w:pPr>
        <w:pStyle w:val="ListParagraph"/>
        <w:widowControl w:val="0"/>
        <w:numPr>
          <w:ilvl w:val="0"/>
          <w:numId w:val="1"/>
        </w:numPr>
        <w:ind w:hanging="720"/>
        <w:jc w:val="both"/>
        <w:rPr>
          <w:sz w:val="20"/>
          <w:szCs w:val="20"/>
        </w:rPr>
      </w:pPr>
      <w:r w:rsidRPr="00CB7C3F">
        <w:rPr>
          <w:i/>
          <w:sz w:val="20"/>
          <w:szCs w:val="20"/>
          <w:lang w:val="fr-CA"/>
        </w:rPr>
        <w:t>Microcell Communications Inc. et al. v. Mark Frey et al.</w:t>
      </w:r>
      <w:r w:rsidRPr="00ED76F4">
        <w:rPr>
          <w:sz w:val="20"/>
          <w:szCs w:val="20"/>
          <w:lang w:val="fr-CA"/>
        </w:rPr>
        <w:t xml:space="preserve"> (Sask.) </w:t>
      </w:r>
      <w:r w:rsidRPr="00ED76F4">
        <w:rPr>
          <w:sz w:val="20"/>
          <w:szCs w:val="20"/>
        </w:rPr>
        <w:t>(Civil) (By Leave)</w:t>
      </w:r>
      <w:r w:rsidRPr="00C50A5C">
        <w:rPr>
          <w:sz w:val="20"/>
          <w:szCs w:val="20"/>
        </w:rPr>
        <w:t xml:space="preserve"> </w:t>
      </w:r>
      <w:r w:rsidR="004B7F60" w:rsidRPr="00C50A5C">
        <w:rPr>
          <w:sz w:val="20"/>
          <w:szCs w:val="20"/>
        </w:rPr>
        <w:t>(3</w:t>
      </w:r>
      <w:r w:rsidR="004B7F60">
        <w:rPr>
          <w:sz w:val="20"/>
          <w:szCs w:val="20"/>
        </w:rPr>
        <w:t>46</w:t>
      </w:r>
      <w:r w:rsidR="00ED76F4">
        <w:rPr>
          <w:sz w:val="20"/>
          <w:szCs w:val="20"/>
        </w:rPr>
        <w:t>18</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B7F60" w:rsidRPr="00C16CB3" w:rsidRDefault="004B7F60" w:rsidP="004B7F60">
      <w:pPr>
        <w:widowControl w:val="0"/>
        <w:jc w:val="both"/>
        <w:rPr>
          <w:sz w:val="20"/>
          <w:szCs w:val="20"/>
          <w:lang w:val="fr-CA"/>
        </w:rPr>
      </w:pPr>
    </w:p>
    <w:p w:rsidR="004B7F60" w:rsidRPr="00C612D0" w:rsidRDefault="00CB7C3F" w:rsidP="004B7F60">
      <w:pPr>
        <w:pStyle w:val="ListParagraph"/>
        <w:widowControl w:val="0"/>
        <w:numPr>
          <w:ilvl w:val="0"/>
          <w:numId w:val="1"/>
        </w:numPr>
        <w:ind w:hanging="720"/>
        <w:jc w:val="both"/>
        <w:rPr>
          <w:sz w:val="20"/>
          <w:szCs w:val="20"/>
          <w:lang w:val="fr-CA"/>
        </w:rPr>
      </w:pPr>
      <w:r w:rsidRPr="00CB7C3F">
        <w:rPr>
          <w:i/>
          <w:sz w:val="20"/>
          <w:szCs w:val="20"/>
          <w:lang w:val="fr-CA"/>
        </w:rPr>
        <w:t>Éric Bédard c. Ministre de la Justice du Canada</w:t>
      </w:r>
      <w:r w:rsidRPr="009C54D0">
        <w:rPr>
          <w:sz w:val="20"/>
          <w:szCs w:val="20"/>
          <w:lang w:val="fr-CA"/>
        </w:rPr>
        <w:t xml:space="preserve"> (Qc) (Crim</w:t>
      </w:r>
      <w:r>
        <w:rPr>
          <w:sz w:val="20"/>
          <w:szCs w:val="20"/>
          <w:lang w:val="fr-CA"/>
        </w:rPr>
        <w:t>.</w:t>
      </w:r>
      <w:r w:rsidRPr="009C54D0">
        <w:rPr>
          <w:sz w:val="20"/>
          <w:szCs w:val="20"/>
          <w:lang w:val="fr-CA"/>
        </w:rPr>
        <w:t>) (Autorisation)</w:t>
      </w:r>
      <w:r>
        <w:rPr>
          <w:sz w:val="20"/>
          <w:szCs w:val="20"/>
          <w:lang w:val="fr-CA"/>
        </w:rPr>
        <w:t xml:space="preserve"> </w:t>
      </w:r>
      <w:r w:rsidR="004B7F60" w:rsidRPr="00C612D0">
        <w:rPr>
          <w:sz w:val="20"/>
          <w:szCs w:val="20"/>
          <w:lang w:val="fr-CA"/>
        </w:rPr>
        <w:t>(34</w:t>
      </w:r>
      <w:r w:rsidR="00ED76F4">
        <w:rPr>
          <w:sz w:val="20"/>
          <w:szCs w:val="20"/>
          <w:lang w:val="fr-CA"/>
        </w:rPr>
        <w:t>7</w:t>
      </w:r>
      <w:r w:rsidR="004B7F60" w:rsidRPr="00C612D0">
        <w:rPr>
          <w:sz w:val="20"/>
          <w:szCs w:val="20"/>
          <w:lang w:val="fr-CA"/>
        </w:rPr>
        <w:t>3</w:t>
      </w:r>
      <w:r w:rsidR="00ED76F4">
        <w:rPr>
          <w:sz w:val="20"/>
          <w:szCs w:val="20"/>
          <w:lang w:val="fr-CA"/>
        </w:rPr>
        <w:t>7</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CB7C3F" w:rsidP="004B7F60">
      <w:pPr>
        <w:pStyle w:val="ListParagraph"/>
        <w:widowControl w:val="0"/>
        <w:numPr>
          <w:ilvl w:val="0"/>
          <w:numId w:val="1"/>
        </w:numPr>
        <w:ind w:hanging="720"/>
        <w:jc w:val="both"/>
        <w:rPr>
          <w:sz w:val="20"/>
          <w:szCs w:val="20"/>
          <w:lang w:val="fr-CA"/>
        </w:rPr>
      </w:pPr>
      <w:r w:rsidRPr="00CB7C3F">
        <w:rPr>
          <w:i/>
          <w:sz w:val="20"/>
          <w:szCs w:val="20"/>
          <w:lang w:val="fr-CA"/>
        </w:rPr>
        <w:t>Alassane Seck c. Sa Majesté la Reine</w:t>
      </w:r>
      <w:r w:rsidRPr="009C54D0">
        <w:rPr>
          <w:sz w:val="20"/>
          <w:szCs w:val="20"/>
          <w:lang w:val="fr-CA"/>
        </w:rPr>
        <w:t xml:space="preserve"> (Qc) (Crim</w:t>
      </w:r>
      <w:r>
        <w:rPr>
          <w:sz w:val="20"/>
          <w:szCs w:val="20"/>
          <w:lang w:val="fr-CA"/>
        </w:rPr>
        <w:t>.</w:t>
      </w:r>
      <w:r w:rsidRPr="009C54D0">
        <w:rPr>
          <w:sz w:val="20"/>
          <w:szCs w:val="20"/>
          <w:lang w:val="fr-CA"/>
        </w:rPr>
        <w:t>) (Autorisation)</w:t>
      </w:r>
      <w:r w:rsidRPr="00115C9E">
        <w:rPr>
          <w:sz w:val="20"/>
          <w:szCs w:val="20"/>
          <w:lang w:val="fr-CA"/>
        </w:rPr>
        <w:t xml:space="preserve"> </w:t>
      </w:r>
      <w:r w:rsidR="004B7F60" w:rsidRPr="00115C9E">
        <w:rPr>
          <w:sz w:val="20"/>
          <w:szCs w:val="20"/>
          <w:lang w:val="fr-CA"/>
        </w:rPr>
        <w:t>(34</w:t>
      </w:r>
      <w:r w:rsidR="00ED76F4">
        <w:rPr>
          <w:sz w:val="20"/>
          <w:szCs w:val="20"/>
          <w:lang w:val="fr-CA"/>
        </w:rPr>
        <w:t>6</w:t>
      </w:r>
      <w:r w:rsidR="004B7F60" w:rsidRPr="00115C9E">
        <w:rPr>
          <w:sz w:val="20"/>
          <w:szCs w:val="20"/>
          <w:lang w:val="fr-CA"/>
        </w:rPr>
        <w:t>5</w:t>
      </w:r>
      <w:r w:rsidR="00ED76F4">
        <w:rPr>
          <w:sz w:val="20"/>
          <w:szCs w:val="20"/>
          <w:lang w:val="fr-CA"/>
        </w:rPr>
        <w:t>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B7C3F" w:rsidRDefault="00CB7C3F" w:rsidP="004B7F60">
      <w:pPr>
        <w:pStyle w:val="ListParagraph"/>
        <w:widowControl w:val="0"/>
        <w:numPr>
          <w:ilvl w:val="0"/>
          <w:numId w:val="1"/>
        </w:numPr>
        <w:ind w:hanging="720"/>
        <w:jc w:val="both"/>
        <w:rPr>
          <w:sz w:val="20"/>
          <w:szCs w:val="20"/>
        </w:rPr>
      </w:pPr>
      <w:r w:rsidRPr="00CB7C3F">
        <w:rPr>
          <w:i/>
          <w:sz w:val="20"/>
          <w:szCs w:val="20"/>
        </w:rPr>
        <w:t>Agyapal Singh Grewal v. Jatinder Singh Sandhu et al.</w:t>
      </w:r>
      <w:r w:rsidRPr="009C54D0">
        <w:rPr>
          <w:sz w:val="20"/>
          <w:szCs w:val="20"/>
        </w:rPr>
        <w:t xml:space="preserve"> (B.C.) (Civil) (By Leave)</w:t>
      </w:r>
      <w:r w:rsidRPr="00CB7C3F">
        <w:rPr>
          <w:sz w:val="20"/>
          <w:szCs w:val="20"/>
        </w:rPr>
        <w:t xml:space="preserve"> </w:t>
      </w:r>
      <w:r w:rsidR="004B7F60" w:rsidRPr="00CB7C3F">
        <w:rPr>
          <w:sz w:val="20"/>
          <w:szCs w:val="20"/>
        </w:rPr>
        <w:t>(34</w:t>
      </w:r>
      <w:r w:rsidR="00ED76F4" w:rsidRPr="00CB7C3F">
        <w:rPr>
          <w:sz w:val="20"/>
          <w:szCs w:val="20"/>
        </w:rPr>
        <w:t>725</w:t>
      </w:r>
      <w:r w:rsidR="004B7F60" w:rsidRPr="00CB7C3F">
        <w:rPr>
          <w:sz w:val="20"/>
          <w:szCs w:val="20"/>
        </w:rPr>
        <w:t>)</w:t>
      </w:r>
    </w:p>
    <w:p w:rsidR="004B7F60" w:rsidRPr="00CB7C3F" w:rsidRDefault="004B7F60" w:rsidP="004B7F60">
      <w:pPr>
        <w:widowControl w:val="0"/>
        <w:jc w:val="both"/>
        <w:rPr>
          <w:sz w:val="20"/>
          <w:szCs w:val="20"/>
        </w:rPr>
      </w:pPr>
    </w:p>
    <w:p w:rsidR="004B7F60" w:rsidRPr="00CB7C3F" w:rsidRDefault="00CB7C3F" w:rsidP="004B7F60">
      <w:pPr>
        <w:pStyle w:val="ListParagraph"/>
        <w:widowControl w:val="0"/>
        <w:numPr>
          <w:ilvl w:val="0"/>
          <w:numId w:val="1"/>
        </w:numPr>
        <w:ind w:hanging="720"/>
        <w:jc w:val="both"/>
        <w:rPr>
          <w:sz w:val="20"/>
          <w:szCs w:val="20"/>
        </w:rPr>
      </w:pPr>
      <w:r w:rsidRPr="006975B7">
        <w:rPr>
          <w:i/>
          <w:sz w:val="20"/>
          <w:szCs w:val="20"/>
          <w:lang w:val="fr-CA"/>
        </w:rPr>
        <w:t>Kathryn Rosenstein et al. v. Mary Kanavaros</w:t>
      </w:r>
      <w:r w:rsidRPr="006975B7">
        <w:rPr>
          <w:sz w:val="20"/>
          <w:szCs w:val="20"/>
          <w:lang w:val="fr-CA"/>
        </w:rPr>
        <w:t xml:space="preserve"> (Que.) </w:t>
      </w:r>
      <w:r w:rsidRPr="009C54D0">
        <w:rPr>
          <w:sz w:val="20"/>
          <w:szCs w:val="20"/>
        </w:rPr>
        <w:t>(Civil) (By Leave)</w:t>
      </w:r>
      <w:r w:rsidRPr="00CB7C3F">
        <w:rPr>
          <w:sz w:val="20"/>
          <w:szCs w:val="20"/>
        </w:rPr>
        <w:t xml:space="preserve"> </w:t>
      </w:r>
      <w:r w:rsidR="004B7F60" w:rsidRPr="00CB7C3F">
        <w:rPr>
          <w:sz w:val="20"/>
          <w:szCs w:val="20"/>
        </w:rPr>
        <w:t>(3471</w:t>
      </w:r>
      <w:r w:rsidR="00ED76F4" w:rsidRPr="00CB7C3F">
        <w:rPr>
          <w:sz w:val="20"/>
          <w:szCs w:val="20"/>
        </w:rPr>
        <w:t>9</w:t>
      </w:r>
      <w:r w:rsidR="004B7F60" w:rsidRPr="00CB7C3F">
        <w:rPr>
          <w:sz w:val="20"/>
          <w:szCs w:val="20"/>
        </w:rPr>
        <w:t>)</w:t>
      </w:r>
    </w:p>
    <w:p w:rsidR="004B7F60" w:rsidRPr="00CB7C3F" w:rsidRDefault="004B7F60" w:rsidP="004B7F60">
      <w:pPr>
        <w:widowControl w:val="0"/>
        <w:rPr>
          <w:sz w:val="20"/>
          <w:szCs w:val="20"/>
        </w:rPr>
      </w:pPr>
    </w:p>
    <w:p w:rsidR="004B7F60" w:rsidRPr="00C50A5C" w:rsidRDefault="008C2BE9" w:rsidP="004B7F60">
      <w:pPr>
        <w:pStyle w:val="ListParagraph"/>
        <w:widowControl w:val="0"/>
        <w:numPr>
          <w:ilvl w:val="0"/>
          <w:numId w:val="1"/>
        </w:numPr>
        <w:ind w:hanging="720"/>
        <w:jc w:val="both"/>
        <w:rPr>
          <w:sz w:val="20"/>
          <w:szCs w:val="20"/>
          <w:lang w:val="fr-CA"/>
        </w:rPr>
      </w:pPr>
      <w:r w:rsidRPr="008C2BE9">
        <w:rPr>
          <w:i/>
          <w:sz w:val="20"/>
          <w:szCs w:val="20"/>
        </w:rPr>
        <w:t>Estate of Angelo Dicaro, deceased, by his estate trustee Carmela Dicaro and Carmela Dicaro v. Manufacturers Life Insurance Company</w:t>
      </w:r>
      <w:r w:rsidRPr="009C54D0">
        <w:rPr>
          <w:sz w:val="20"/>
          <w:szCs w:val="20"/>
        </w:rPr>
        <w:t xml:space="preserve"> (Ont.) (Civil) (By Leave)</w:t>
      </w:r>
      <w:r w:rsidRPr="00115C9E">
        <w:rPr>
          <w:sz w:val="20"/>
          <w:szCs w:val="20"/>
        </w:rPr>
        <w:t xml:space="preserve"> </w:t>
      </w:r>
      <w:r w:rsidR="004B7F60" w:rsidRPr="00C50A5C">
        <w:rPr>
          <w:sz w:val="20"/>
          <w:szCs w:val="20"/>
          <w:lang w:val="fr-CA"/>
        </w:rPr>
        <w:t>(3</w:t>
      </w:r>
      <w:r w:rsidR="004B7F60">
        <w:rPr>
          <w:sz w:val="20"/>
          <w:szCs w:val="20"/>
          <w:lang w:val="fr-CA"/>
        </w:rPr>
        <w:t>4</w:t>
      </w:r>
      <w:r w:rsidR="00ED76F4">
        <w:rPr>
          <w:sz w:val="20"/>
          <w:szCs w:val="20"/>
          <w:lang w:val="fr-CA"/>
        </w:rPr>
        <w:t>697</w:t>
      </w:r>
      <w:r w:rsidR="004B7F60" w:rsidRPr="00C50A5C">
        <w:rPr>
          <w:sz w:val="20"/>
          <w:szCs w:val="20"/>
          <w:lang w:val="fr-CA"/>
        </w:rPr>
        <w:t>)</w:t>
      </w:r>
    </w:p>
    <w:p w:rsidR="004B7F60" w:rsidRDefault="004B7F60" w:rsidP="004B7F60">
      <w:pPr>
        <w:widowControl w:val="0"/>
        <w:jc w:val="both"/>
        <w:rPr>
          <w:sz w:val="20"/>
          <w:szCs w:val="20"/>
          <w:lang w:val="fr-CA"/>
        </w:rPr>
      </w:pPr>
    </w:p>
    <w:p w:rsidR="00ED76F4" w:rsidRDefault="00ED76F4" w:rsidP="004B7F60">
      <w:pPr>
        <w:widowControl w:val="0"/>
        <w:jc w:val="both"/>
        <w:rPr>
          <w:sz w:val="20"/>
          <w:szCs w:val="20"/>
          <w:lang w:val="fr-CA"/>
        </w:rPr>
      </w:pPr>
    </w:p>
    <w:p w:rsidR="00ED76F4" w:rsidRPr="00C50A5C" w:rsidRDefault="00ED76F4" w:rsidP="00ED76F4">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ED76F4" w:rsidRPr="00C50A5C" w:rsidRDefault="00ED76F4" w:rsidP="00ED76F4">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ED76F4" w:rsidRDefault="00ED76F4" w:rsidP="004B7F60">
      <w:pPr>
        <w:widowControl w:val="0"/>
        <w:jc w:val="both"/>
        <w:rPr>
          <w:sz w:val="20"/>
          <w:szCs w:val="20"/>
          <w:lang w:val="fr-CA"/>
        </w:rPr>
      </w:pPr>
    </w:p>
    <w:p w:rsidR="004B7F60" w:rsidRPr="00115C9E" w:rsidRDefault="008C2BE9" w:rsidP="004B7F60">
      <w:pPr>
        <w:pStyle w:val="ListParagraph"/>
        <w:widowControl w:val="0"/>
        <w:numPr>
          <w:ilvl w:val="0"/>
          <w:numId w:val="1"/>
        </w:numPr>
        <w:ind w:hanging="720"/>
        <w:jc w:val="both"/>
        <w:rPr>
          <w:sz w:val="20"/>
          <w:szCs w:val="20"/>
        </w:rPr>
      </w:pPr>
      <w:r w:rsidRPr="008C2BE9">
        <w:rPr>
          <w:i/>
          <w:sz w:val="20"/>
          <w:szCs w:val="20"/>
        </w:rPr>
        <w:t>Frank Dean Rudge v. Her Majesty the Queen</w:t>
      </w:r>
      <w:r w:rsidRPr="009C54D0">
        <w:rPr>
          <w:sz w:val="20"/>
          <w:szCs w:val="20"/>
        </w:rPr>
        <w:t xml:space="preserve"> (Ont.) (Crim</w:t>
      </w:r>
      <w:r>
        <w:rPr>
          <w:sz w:val="20"/>
          <w:szCs w:val="20"/>
        </w:rPr>
        <w:t>.</w:t>
      </w:r>
      <w:r w:rsidRPr="009C54D0">
        <w:rPr>
          <w:sz w:val="20"/>
          <w:szCs w:val="20"/>
        </w:rPr>
        <w:t>) (By Leave)</w:t>
      </w:r>
      <w:r w:rsidRPr="00115C9E">
        <w:rPr>
          <w:sz w:val="20"/>
          <w:szCs w:val="20"/>
        </w:rPr>
        <w:t xml:space="preserve"> </w:t>
      </w:r>
      <w:r w:rsidR="004B7F60" w:rsidRPr="00115C9E">
        <w:rPr>
          <w:sz w:val="20"/>
          <w:szCs w:val="20"/>
        </w:rPr>
        <w:t>(34</w:t>
      </w:r>
      <w:r w:rsidR="00ED76F4">
        <w:rPr>
          <w:sz w:val="20"/>
          <w:szCs w:val="20"/>
        </w:rPr>
        <w:t>65</w:t>
      </w:r>
      <w:r w:rsidR="004B7F60" w:rsidRPr="00115C9E">
        <w:rPr>
          <w:sz w:val="20"/>
          <w:szCs w:val="20"/>
        </w:rPr>
        <w:t>8)</w:t>
      </w:r>
    </w:p>
    <w:p w:rsidR="004B7F60" w:rsidRPr="00115C9E" w:rsidRDefault="004B7F60" w:rsidP="004B7F60">
      <w:pPr>
        <w:widowControl w:val="0"/>
        <w:jc w:val="both"/>
        <w:rPr>
          <w:sz w:val="20"/>
          <w:szCs w:val="20"/>
        </w:rPr>
      </w:pPr>
    </w:p>
    <w:p w:rsidR="004B7F60" w:rsidRPr="00115C9E" w:rsidRDefault="008C2BE9" w:rsidP="004B7F60">
      <w:pPr>
        <w:pStyle w:val="ListParagraph"/>
        <w:widowControl w:val="0"/>
        <w:numPr>
          <w:ilvl w:val="0"/>
          <w:numId w:val="1"/>
        </w:numPr>
        <w:ind w:hanging="720"/>
        <w:jc w:val="both"/>
        <w:rPr>
          <w:sz w:val="20"/>
          <w:szCs w:val="20"/>
        </w:rPr>
      </w:pPr>
      <w:r w:rsidRPr="008C2BE9">
        <w:rPr>
          <w:i/>
          <w:sz w:val="20"/>
          <w:szCs w:val="20"/>
        </w:rPr>
        <w:t>Abraham Fundi v. Her Majesty the Queen</w:t>
      </w:r>
      <w:r w:rsidRPr="009C54D0">
        <w:rPr>
          <w:sz w:val="20"/>
          <w:szCs w:val="20"/>
        </w:rPr>
        <w:t xml:space="preserve"> (Ont.) (Crim</w:t>
      </w:r>
      <w:r>
        <w:rPr>
          <w:sz w:val="20"/>
          <w:szCs w:val="20"/>
        </w:rPr>
        <w:t>.</w:t>
      </w:r>
      <w:r w:rsidRPr="009C54D0">
        <w:rPr>
          <w:sz w:val="20"/>
          <w:szCs w:val="20"/>
        </w:rPr>
        <w:t>) (By Leave)</w:t>
      </w:r>
      <w:r>
        <w:rPr>
          <w:sz w:val="20"/>
          <w:szCs w:val="20"/>
        </w:rPr>
        <w:t xml:space="preserve"> </w:t>
      </w:r>
      <w:r w:rsidR="004B7F60" w:rsidRPr="00115C9E">
        <w:rPr>
          <w:sz w:val="20"/>
          <w:szCs w:val="20"/>
        </w:rPr>
        <w:t>(347</w:t>
      </w:r>
      <w:r w:rsidR="00ED76F4">
        <w:rPr>
          <w:sz w:val="20"/>
          <w:szCs w:val="20"/>
        </w:rPr>
        <w:t>05</w:t>
      </w:r>
      <w:r w:rsidR="004B7F60" w:rsidRPr="00115C9E">
        <w:rPr>
          <w:sz w:val="20"/>
          <w:szCs w:val="20"/>
        </w:rPr>
        <w:t>)</w:t>
      </w:r>
    </w:p>
    <w:p w:rsidR="004B7F60" w:rsidRPr="00115C9E" w:rsidRDefault="004B7F60" w:rsidP="004B7F60">
      <w:pPr>
        <w:widowControl w:val="0"/>
        <w:jc w:val="both"/>
        <w:rPr>
          <w:sz w:val="20"/>
          <w:szCs w:val="20"/>
        </w:rPr>
      </w:pPr>
    </w:p>
    <w:p w:rsidR="004B7F60" w:rsidRDefault="000A0AFF" w:rsidP="004B7F60">
      <w:pPr>
        <w:pStyle w:val="ListParagraph"/>
        <w:widowControl w:val="0"/>
        <w:numPr>
          <w:ilvl w:val="0"/>
          <w:numId w:val="1"/>
        </w:numPr>
        <w:ind w:hanging="720"/>
        <w:jc w:val="both"/>
        <w:rPr>
          <w:sz w:val="20"/>
          <w:szCs w:val="20"/>
        </w:rPr>
      </w:pPr>
      <w:r w:rsidRPr="000A0AFF">
        <w:rPr>
          <w:i/>
          <w:sz w:val="20"/>
          <w:szCs w:val="20"/>
        </w:rPr>
        <w:t>Thomas Burns et al. v. National Automobile, Aerospace, Transportation and General Workers Union of Canada (CAW-Canada), Local 219 et al.</w:t>
      </w:r>
      <w:r w:rsidRPr="009C54D0">
        <w:rPr>
          <w:sz w:val="20"/>
          <w:szCs w:val="20"/>
        </w:rPr>
        <w:t xml:space="preserve"> (N.B.) (Civil) (By Leave)</w:t>
      </w:r>
      <w:r w:rsidRPr="00C50A5C">
        <w:rPr>
          <w:sz w:val="20"/>
          <w:szCs w:val="20"/>
        </w:rPr>
        <w:t xml:space="preserve"> </w:t>
      </w:r>
      <w:r w:rsidR="004B7F60" w:rsidRPr="00C50A5C">
        <w:rPr>
          <w:sz w:val="20"/>
          <w:szCs w:val="20"/>
        </w:rPr>
        <w:t>(3</w:t>
      </w:r>
      <w:r w:rsidR="004B7F60">
        <w:rPr>
          <w:sz w:val="20"/>
          <w:szCs w:val="20"/>
        </w:rPr>
        <w:t>4</w:t>
      </w:r>
      <w:r w:rsidR="00ED76F4">
        <w:rPr>
          <w:sz w:val="20"/>
          <w:szCs w:val="20"/>
        </w:rPr>
        <w:t>71</w:t>
      </w:r>
      <w:r w:rsidR="004B7F60">
        <w:rPr>
          <w:sz w:val="20"/>
          <w:szCs w:val="20"/>
        </w:rPr>
        <w:t>4</w:t>
      </w:r>
      <w:r w:rsidR="004B7F60" w:rsidRPr="00C50A5C">
        <w:rPr>
          <w:sz w:val="20"/>
          <w:szCs w:val="20"/>
        </w:rPr>
        <w:t>)</w:t>
      </w:r>
    </w:p>
    <w:p w:rsidR="004B7F60" w:rsidRPr="000A0AFF" w:rsidRDefault="004B7F60" w:rsidP="004B7F60">
      <w:pPr>
        <w:widowControl w:val="0"/>
        <w:rPr>
          <w:i/>
          <w:sz w:val="20"/>
          <w:szCs w:val="20"/>
        </w:rPr>
      </w:pPr>
    </w:p>
    <w:p w:rsidR="002E2327" w:rsidRPr="00C50A5C" w:rsidRDefault="000A0AFF" w:rsidP="00C50A5C">
      <w:pPr>
        <w:pStyle w:val="ListParagraph"/>
        <w:widowControl w:val="0"/>
        <w:numPr>
          <w:ilvl w:val="0"/>
          <w:numId w:val="1"/>
        </w:numPr>
        <w:ind w:hanging="720"/>
        <w:jc w:val="both"/>
        <w:rPr>
          <w:sz w:val="20"/>
          <w:szCs w:val="20"/>
          <w:lang w:val="fr-CA"/>
        </w:rPr>
      </w:pPr>
      <w:r w:rsidRPr="000A0AFF">
        <w:rPr>
          <w:i/>
          <w:sz w:val="20"/>
          <w:szCs w:val="20"/>
          <w:lang w:val="fr-CA"/>
        </w:rPr>
        <w:t>La Souveraine, Compagnie d'assurance générale (Qc) (Civile) (Autorisation) c. Autorité des marchés financiers</w:t>
      </w:r>
      <w:r w:rsidRPr="00C50A5C">
        <w:rPr>
          <w:sz w:val="20"/>
          <w:szCs w:val="20"/>
          <w:lang w:val="fr-CA"/>
        </w:rPr>
        <w:t xml:space="preserve"> </w:t>
      </w:r>
      <w:r w:rsidR="002E2327" w:rsidRPr="00C50A5C">
        <w:rPr>
          <w:sz w:val="20"/>
          <w:szCs w:val="20"/>
          <w:lang w:val="fr-CA"/>
        </w:rPr>
        <w:t>(3</w:t>
      </w:r>
      <w:r w:rsidR="00ED76F4">
        <w:rPr>
          <w:sz w:val="20"/>
          <w:szCs w:val="20"/>
          <w:lang w:val="fr-CA"/>
        </w:rPr>
        <w:t>4</w:t>
      </w:r>
      <w:r w:rsidR="002E2327" w:rsidRPr="00C50A5C">
        <w:rPr>
          <w:sz w:val="20"/>
          <w:szCs w:val="20"/>
          <w:lang w:val="fr-CA"/>
        </w:rPr>
        <w:t>6</w:t>
      </w:r>
      <w:r w:rsidR="00ED76F4">
        <w:rPr>
          <w:sz w:val="20"/>
          <w:szCs w:val="20"/>
          <w:lang w:val="fr-CA"/>
        </w:rPr>
        <w:t>99</w:t>
      </w:r>
      <w:r w:rsidR="002E2327" w:rsidRPr="00C50A5C">
        <w:rPr>
          <w:sz w:val="20"/>
          <w:szCs w:val="20"/>
          <w:lang w:val="fr-CA"/>
        </w:rPr>
        <w:t>)</w:t>
      </w:r>
    </w:p>
    <w:p w:rsidR="009C54D0" w:rsidRDefault="009C54D0" w:rsidP="009C54D0">
      <w:pPr>
        <w:widowControl w:val="0"/>
        <w:rPr>
          <w:sz w:val="20"/>
          <w:szCs w:val="20"/>
          <w:lang w:val="fr-CA"/>
        </w:rPr>
      </w:pPr>
    </w:p>
    <w:p w:rsidR="002E2327" w:rsidRDefault="003B0427" w:rsidP="002E2327">
      <w:pPr>
        <w:widowControl w:val="0"/>
        <w:rPr>
          <w:sz w:val="20"/>
          <w:szCs w:val="20"/>
        </w:rPr>
      </w:pPr>
      <w:r w:rsidRPr="003B0427">
        <w:rPr>
          <w:sz w:val="20"/>
          <w:szCs w:val="20"/>
        </w:rPr>
        <w:pict>
          <v:rect id="_x0000_i1035" style="width:2in;height:1pt" o:hrpct="0" o:hralign="center" o:hrstd="t" o:hrnoshade="t" o:hr="t" fillcolor="black [3213]" stroked="f"/>
        </w:pict>
      </w:r>
    </w:p>
    <w:p w:rsidR="000A0AFF" w:rsidRDefault="000A0AFF" w:rsidP="002E2327">
      <w:pPr>
        <w:widowControl w:val="0"/>
        <w:rPr>
          <w:sz w:val="20"/>
          <w:szCs w:val="20"/>
        </w:rPr>
      </w:pPr>
    </w:p>
    <w:p w:rsidR="003F43CE" w:rsidRPr="003F43CE" w:rsidRDefault="003F43CE" w:rsidP="003F43CE">
      <w:pPr>
        <w:widowControl w:val="0"/>
        <w:rPr>
          <w:b/>
          <w:sz w:val="20"/>
          <w:szCs w:val="20"/>
          <w:lang w:val="fr-CA"/>
        </w:rPr>
      </w:pPr>
      <w:r w:rsidRPr="003F43CE">
        <w:rPr>
          <w:b/>
          <w:sz w:val="20"/>
          <w:szCs w:val="20"/>
          <w:lang w:val="fr-CA"/>
        </w:rPr>
        <w:t>MAY 24, 2012 / LE 24 MAI 2012</w:t>
      </w:r>
    </w:p>
    <w:p w:rsidR="003F43CE" w:rsidRPr="003F43CE" w:rsidRDefault="003F43CE" w:rsidP="003F43CE">
      <w:pPr>
        <w:widowControl w:val="0"/>
        <w:rPr>
          <w:b/>
          <w:sz w:val="20"/>
          <w:szCs w:val="20"/>
          <w:lang w:val="fr-CA"/>
        </w:rPr>
      </w:pPr>
    </w:p>
    <w:p w:rsidR="003F43CE" w:rsidRPr="00085158" w:rsidRDefault="003F43CE" w:rsidP="003F43CE">
      <w:pPr>
        <w:widowControl w:val="0"/>
        <w:jc w:val="center"/>
        <w:rPr>
          <w:b/>
          <w:sz w:val="20"/>
          <w:szCs w:val="20"/>
          <w:lang w:val="fr-CA"/>
        </w:rPr>
      </w:pPr>
      <w:r w:rsidRPr="00085158">
        <w:rPr>
          <w:b/>
          <w:sz w:val="20"/>
          <w:szCs w:val="20"/>
          <w:lang w:val="fr-CA"/>
        </w:rPr>
        <w:t>CORAM:  Deschamps, Fish and Karakatsanis JJ.</w:t>
      </w:r>
    </w:p>
    <w:p w:rsidR="003F43CE" w:rsidRPr="00C50A5C" w:rsidRDefault="003F43CE" w:rsidP="003F43CE">
      <w:pPr>
        <w:widowControl w:val="0"/>
        <w:jc w:val="center"/>
        <w:rPr>
          <w:sz w:val="20"/>
          <w:szCs w:val="20"/>
          <w:lang w:val="fr-CA"/>
        </w:rPr>
      </w:pPr>
      <w:r w:rsidRPr="00C50A5C">
        <w:rPr>
          <w:b/>
          <w:sz w:val="20"/>
          <w:szCs w:val="20"/>
          <w:lang w:val="fr-CA"/>
        </w:rPr>
        <w:t>L</w:t>
      </w:r>
      <w:r>
        <w:rPr>
          <w:b/>
          <w:sz w:val="20"/>
          <w:szCs w:val="20"/>
          <w:lang w:val="fr-CA"/>
        </w:rPr>
        <w:t>es</w:t>
      </w:r>
      <w:r w:rsidRPr="00C50A5C">
        <w:rPr>
          <w:b/>
          <w:sz w:val="20"/>
          <w:szCs w:val="20"/>
          <w:lang w:val="fr-CA"/>
        </w:rPr>
        <w:t xml:space="preserve"> juge</w:t>
      </w:r>
      <w:r>
        <w:rPr>
          <w:b/>
          <w:sz w:val="20"/>
          <w:szCs w:val="20"/>
          <w:lang w:val="fr-CA"/>
        </w:rPr>
        <w:t>s</w:t>
      </w:r>
      <w:r w:rsidRPr="00C50A5C">
        <w:rPr>
          <w:b/>
          <w:sz w:val="20"/>
          <w:szCs w:val="20"/>
          <w:lang w:val="fr-CA"/>
        </w:rPr>
        <w:t xml:space="preserve"> </w:t>
      </w:r>
      <w:r>
        <w:rPr>
          <w:b/>
          <w:sz w:val="20"/>
          <w:szCs w:val="20"/>
          <w:lang w:val="fr-CA"/>
        </w:rPr>
        <w:t>Deschamps, Fish</w:t>
      </w:r>
      <w:r w:rsidRPr="00C50A5C">
        <w:rPr>
          <w:b/>
          <w:sz w:val="20"/>
          <w:szCs w:val="20"/>
          <w:lang w:val="fr-CA"/>
        </w:rPr>
        <w:t xml:space="preserve"> et </w:t>
      </w:r>
      <w:r>
        <w:rPr>
          <w:b/>
          <w:sz w:val="20"/>
          <w:szCs w:val="20"/>
          <w:lang w:val="fr-CA"/>
        </w:rPr>
        <w:t>Karakatsanis</w:t>
      </w:r>
    </w:p>
    <w:p w:rsidR="003F43CE" w:rsidRPr="00C50A5C" w:rsidRDefault="003F43CE" w:rsidP="003F43CE">
      <w:pPr>
        <w:widowControl w:val="0"/>
        <w:rPr>
          <w:sz w:val="20"/>
          <w:szCs w:val="20"/>
          <w:lang w:val="fr-CA"/>
        </w:rPr>
      </w:pPr>
    </w:p>
    <w:p w:rsidR="003F43CE" w:rsidRPr="00C50A5C" w:rsidRDefault="003F43CE" w:rsidP="003F43CE">
      <w:pPr>
        <w:pStyle w:val="ListParagraph"/>
        <w:widowControl w:val="0"/>
        <w:numPr>
          <w:ilvl w:val="0"/>
          <w:numId w:val="4"/>
        </w:numPr>
        <w:ind w:hanging="720"/>
        <w:jc w:val="both"/>
        <w:rPr>
          <w:sz w:val="20"/>
          <w:szCs w:val="20"/>
        </w:rPr>
      </w:pPr>
      <w:r w:rsidRPr="003F43CE">
        <w:rPr>
          <w:i/>
          <w:sz w:val="20"/>
          <w:szCs w:val="20"/>
        </w:rPr>
        <w:t>Yousanthan Youvarajah v. Her Majesty the Queen</w:t>
      </w:r>
      <w:r w:rsidRPr="001570EF">
        <w:rPr>
          <w:sz w:val="20"/>
          <w:szCs w:val="20"/>
        </w:rPr>
        <w:t xml:space="preserve"> (Ont.) (Crim</w:t>
      </w:r>
      <w:r>
        <w:rPr>
          <w:sz w:val="20"/>
          <w:szCs w:val="20"/>
        </w:rPr>
        <w:t>.</w:t>
      </w:r>
      <w:r w:rsidRPr="001570EF">
        <w:rPr>
          <w:sz w:val="20"/>
          <w:szCs w:val="20"/>
        </w:rPr>
        <w:t>)</w:t>
      </w:r>
      <w:r w:rsidRPr="004F6F72">
        <w:rPr>
          <w:sz w:val="20"/>
          <w:szCs w:val="20"/>
        </w:rPr>
        <w:t xml:space="preserve"> (By Leave)</w:t>
      </w:r>
      <w:r w:rsidRPr="00C50A5C">
        <w:rPr>
          <w:sz w:val="20"/>
          <w:szCs w:val="20"/>
        </w:rPr>
        <w:t xml:space="preserve"> (3</w:t>
      </w:r>
      <w:r>
        <w:rPr>
          <w:sz w:val="20"/>
          <w:szCs w:val="20"/>
        </w:rPr>
        <w:t>4732</w:t>
      </w:r>
      <w:r w:rsidRPr="00C50A5C">
        <w:rPr>
          <w:sz w:val="20"/>
          <w:szCs w:val="20"/>
        </w:rPr>
        <w:t>)</w:t>
      </w:r>
    </w:p>
    <w:p w:rsidR="003F43CE" w:rsidRDefault="003F43CE" w:rsidP="003F43CE">
      <w:pPr>
        <w:widowControl w:val="0"/>
        <w:jc w:val="both"/>
        <w:rPr>
          <w:sz w:val="20"/>
          <w:szCs w:val="20"/>
        </w:rPr>
      </w:pPr>
    </w:p>
    <w:p w:rsidR="000A0AFF" w:rsidRPr="00C50A5C" w:rsidRDefault="003B0427" w:rsidP="002E2327">
      <w:pPr>
        <w:widowControl w:val="0"/>
        <w:rPr>
          <w:sz w:val="20"/>
          <w:szCs w:val="20"/>
        </w:rPr>
      </w:pPr>
      <w:r w:rsidRPr="003B0427">
        <w:rPr>
          <w:sz w:val="20"/>
          <w:szCs w:val="20"/>
        </w:rPr>
        <w:pict>
          <v:rect id="_x0000_i1036"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643997"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691AA0" w:rsidP="008D292F">
      <w:pPr>
        <w:rPr>
          <w:b/>
          <w:sz w:val="20"/>
          <w:szCs w:val="20"/>
        </w:rPr>
      </w:pPr>
      <w:r>
        <w:rPr>
          <w:b/>
          <w:sz w:val="20"/>
          <w:szCs w:val="20"/>
        </w:rPr>
        <w:t>M</w:t>
      </w:r>
      <w:r w:rsidR="008D292F" w:rsidRPr="00C50A5C">
        <w:rPr>
          <w:b/>
          <w:sz w:val="20"/>
          <w:szCs w:val="20"/>
        </w:rPr>
        <w:t>A</w:t>
      </w:r>
      <w:r>
        <w:rPr>
          <w:b/>
          <w:sz w:val="20"/>
          <w:szCs w:val="20"/>
        </w:rPr>
        <w:t>Y</w:t>
      </w:r>
      <w:r w:rsidR="008D292F" w:rsidRPr="00C50A5C">
        <w:rPr>
          <w:b/>
          <w:sz w:val="20"/>
          <w:szCs w:val="20"/>
        </w:rPr>
        <w:t xml:space="preserve"> 2</w:t>
      </w:r>
      <w:r>
        <w:rPr>
          <w:b/>
          <w:sz w:val="20"/>
          <w:szCs w:val="20"/>
        </w:rPr>
        <w:t>4</w:t>
      </w:r>
      <w:r w:rsidR="008D292F" w:rsidRPr="00C50A5C">
        <w:rPr>
          <w:b/>
          <w:sz w:val="20"/>
          <w:szCs w:val="20"/>
        </w:rPr>
        <w:t>, 201</w:t>
      </w:r>
      <w:r>
        <w:rPr>
          <w:b/>
          <w:sz w:val="20"/>
          <w:szCs w:val="20"/>
        </w:rPr>
        <w:t>2</w:t>
      </w:r>
      <w:r w:rsidR="008D292F" w:rsidRPr="00C50A5C">
        <w:rPr>
          <w:b/>
          <w:sz w:val="20"/>
          <w:szCs w:val="20"/>
        </w:rPr>
        <w:t xml:space="preserve"> / LE 2</w:t>
      </w:r>
      <w:r>
        <w:rPr>
          <w:b/>
          <w:sz w:val="20"/>
          <w:szCs w:val="20"/>
        </w:rPr>
        <w:t>4 M</w:t>
      </w:r>
      <w:r w:rsidR="008D292F" w:rsidRPr="00C50A5C">
        <w:rPr>
          <w:b/>
          <w:sz w:val="20"/>
          <w:szCs w:val="20"/>
        </w:rPr>
        <w:t>AI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75B7" w:rsidRPr="006975B7" w:rsidTr="0017605E">
        <w:trPr>
          <w:cantSplit/>
        </w:trPr>
        <w:tc>
          <w:tcPr>
            <w:tcW w:w="1458" w:type="dxa"/>
          </w:tcPr>
          <w:p w:rsidR="006975B7" w:rsidRPr="006975B7" w:rsidRDefault="006975B7" w:rsidP="0017605E">
            <w:pPr>
              <w:rPr>
                <w:sz w:val="20"/>
                <w:szCs w:val="20"/>
              </w:rPr>
            </w:pPr>
            <w:r w:rsidRPr="006975B7">
              <w:rPr>
                <w:rStyle w:val="SCCFileNumberChar"/>
                <w:sz w:val="20"/>
                <w:szCs w:val="20"/>
              </w:rPr>
              <w:t>34128</w:t>
            </w:r>
          </w:p>
          <w:p w:rsidR="006975B7" w:rsidRPr="006975B7" w:rsidRDefault="006975B7" w:rsidP="0017605E">
            <w:pPr>
              <w:rPr>
                <w:b/>
                <w:sz w:val="20"/>
                <w:szCs w:val="20"/>
                <w:lang w:val="fr-CA"/>
              </w:rPr>
            </w:pPr>
          </w:p>
        </w:tc>
        <w:tc>
          <w:tcPr>
            <w:tcW w:w="8118" w:type="dxa"/>
          </w:tcPr>
          <w:p w:rsidR="006975B7" w:rsidRPr="006975B7" w:rsidRDefault="006975B7" w:rsidP="0017605E">
            <w:pPr>
              <w:jc w:val="both"/>
              <w:rPr>
                <w:sz w:val="20"/>
                <w:szCs w:val="20"/>
                <w:lang w:val="fr-CA"/>
              </w:rPr>
            </w:pPr>
            <w:r w:rsidRPr="006975B7">
              <w:rPr>
                <w:rStyle w:val="SCCLsocChar"/>
                <w:sz w:val="20"/>
                <w:szCs w:val="20"/>
              </w:rPr>
              <w:t>Pierino Divito c. Ministre de la sécurité publique et de la protection civile</w:t>
            </w:r>
            <w:r w:rsidRPr="006975B7">
              <w:rPr>
                <w:sz w:val="20"/>
                <w:szCs w:val="20"/>
                <w:lang w:val="fr-CA"/>
              </w:rPr>
              <w:t xml:space="preserve"> (C.F.) (Civile) (Autorisation)</w:t>
            </w:r>
          </w:p>
          <w:p w:rsidR="006975B7" w:rsidRPr="006975B7" w:rsidRDefault="006975B7" w:rsidP="0017605E">
            <w:pPr>
              <w:rPr>
                <w:sz w:val="20"/>
                <w:szCs w:val="20"/>
                <w:lang w:val="fr-CA"/>
              </w:rPr>
            </w:pPr>
          </w:p>
        </w:tc>
      </w:tr>
      <w:tr w:rsidR="006975B7" w:rsidRPr="00643997" w:rsidTr="0017605E">
        <w:trPr>
          <w:cantSplit/>
        </w:trPr>
        <w:tc>
          <w:tcPr>
            <w:tcW w:w="1458" w:type="dxa"/>
          </w:tcPr>
          <w:p w:rsidR="006975B7" w:rsidRPr="006975B7" w:rsidRDefault="006975B7" w:rsidP="0017605E">
            <w:pPr>
              <w:rPr>
                <w:sz w:val="20"/>
                <w:szCs w:val="20"/>
              </w:rPr>
            </w:pPr>
            <w:r w:rsidRPr="006975B7">
              <w:rPr>
                <w:sz w:val="20"/>
                <w:szCs w:val="20"/>
              </w:rPr>
              <w:t>Coram :</w:t>
            </w:r>
          </w:p>
        </w:tc>
        <w:tc>
          <w:tcPr>
            <w:tcW w:w="8118" w:type="dxa"/>
          </w:tcPr>
          <w:p w:rsidR="006975B7" w:rsidRPr="006975B7" w:rsidRDefault="006975B7" w:rsidP="0017605E">
            <w:pPr>
              <w:rPr>
                <w:sz w:val="20"/>
                <w:szCs w:val="20"/>
                <w:lang w:val="fr-CA"/>
              </w:rPr>
            </w:pPr>
            <w:r w:rsidRPr="006975B7">
              <w:rPr>
                <w:rStyle w:val="SCCCoramChar"/>
                <w:sz w:val="20"/>
                <w:szCs w:val="20"/>
              </w:rPr>
              <w:t>Les juges Deschamps, Fish et Karakatsanis</w:t>
            </w:r>
          </w:p>
          <w:p w:rsidR="006975B7" w:rsidRPr="006975B7" w:rsidRDefault="006975B7" w:rsidP="0017605E">
            <w:pPr>
              <w:rPr>
                <w:sz w:val="20"/>
                <w:szCs w:val="20"/>
                <w:u w:val="single"/>
                <w:lang w:val="fr-CA"/>
              </w:rPr>
            </w:pPr>
          </w:p>
        </w:tc>
      </w:tr>
      <w:tr w:rsidR="006975B7" w:rsidRPr="006975B7" w:rsidTr="0017605E">
        <w:trPr>
          <w:cantSplit/>
        </w:trPr>
        <w:tc>
          <w:tcPr>
            <w:tcW w:w="9576" w:type="dxa"/>
            <w:gridSpan w:val="2"/>
          </w:tcPr>
          <w:p w:rsidR="006975B7" w:rsidRPr="006975B7" w:rsidRDefault="006975B7" w:rsidP="0017605E">
            <w:pPr>
              <w:pStyle w:val="SCCShortJudgment"/>
              <w:rPr>
                <w:szCs w:val="20"/>
                <w:lang w:val="fr-CA"/>
              </w:rPr>
            </w:pPr>
            <w:r w:rsidRPr="006975B7">
              <w:rPr>
                <w:szCs w:val="20"/>
                <w:lang w:val="fr-CA"/>
              </w:rPr>
              <w:t>La requête en prorogation du délai de signification et de dépôt de la demande d’autorisation d’appel et la demande d’autorisation d’appel de l’arrêt de la Cour d’appel fédérale, numéro A-425-09, 2011 CAF 39, daté du 3 février 2011, sont accueillies sans dépens.</w:t>
            </w:r>
          </w:p>
          <w:p w:rsidR="006975B7" w:rsidRPr="006975B7" w:rsidRDefault="006975B7" w:rsidP="0017605E">
            <w:pPr>
              <w:pStyle w:val="SCCShortJudgment"/>
              <w:ind w:firstLine="0"/>
              <w:rPr>
                <w:szCs w:val="20"/>
                <w:lang w:val="fr-CA"/>
              </w:rPr>
            </w:pPr>
          </w:p>
          <w:p w:rsidR="006975B7" w:rsidRPr="006975B7" w:rsidRDefault="006975B7" w:rsidP="0017605E">
            <w:pPr>
              <w:pStyle w:val="SCCShortJudgment"/>
              <w:rPr>
                <w:szCs w:val="20"/>
              </w:rPr>
            </w:pPr>
            <w:r w:rsidRPr="006975B7">
              <w:rPr>
                <w:szCs w:val="20"/>
              </w:rPr>
              <w:t>The motion for an extension of time to serve and file the application for leave to appeal and the application for leave to appeal from the judgment of the Federal Court of Appeal, Number A-425-09, 2011 FCA 39, dated February 3, 2011, are granted without costs.</w:t>
            </w:r>
          </w:p>
        </w:tc>
      </w:tr>
    </w:tbl>
    <w:p w:rsidR="00691AA0" w:rsidRPr="00F62F21" w:rsidRDefault="00691AA0" w:rsidP="00691AA0">
      <w:pPr>
        <w:rPr>
          <w:sz w:val="20"/>
          <w:szCs w:val="20"/>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2F21" w:rsidRPr="00096A4B" w:rsidTr="00F62F21">
        <w:tc>
          <w:tcPr>
            <w:tcW w:w="5000" w:type="pct"/>
            <w:gridSpan w:val="3"/>
          </w:tcPr>
          <w:p w:rsidR="00F62F21" w:rsidRPr="00096A4B" w:rsidRDefault="00F62F21" w:rsidP="00F62F21">
            <w:pPr>
              <w:jc w:val="both"/>
              <w:rPr>
                <w:rFonts w:eastAsia="Calibri"/>
                <w:sz w:val="20"/>
              </w:rPr>
            </w:pPr>
            <w:r w:rsidRPr="00096A4B">
              <w:rPr>
                <w:rFonts w:eastAsia="Calibri"/>
                <w:sz w:val="20"/>
              </w:rPr>
              <w:t xml:space="preserve">Charter of rights </w:t>
            </w:r>
            <w:r w:rsidRPr="00096A4B">
              <w:rPr>
                <w:rFonts w:eastAsia="Calibri"/>
                <w:sz w:val="20"/>
              </w:rPr>
              <w:noBreakHyphen/>
              <w:t xml:space="preserve"> Constitutional law </w:t>
            </w:r>
            <w:r w:rsidRPr="00096A4B">
              <w:rPr>
                <w:rFonts w:eastAsia="Calibri"/>
                <w:sz w:val="20"/>
              </w:rPr>
              <w:noBreakHyphen/>
              <w:t xml:space="preserve"> Mobility rights </w:t>
            </w:r>
            <w:r w:rsidRPr="00096A4B">
              <w:rPr>
                <w:rFonts w:eastAsia="Calibri"/>
                <w:sz w:val="20"/>
              </w:rPr>
              <w:noBreakHyphen/>
              <w:t xml:space="preserve"> Whether decision to refuse transfer in this case pursuant to ss. 8(1) and 10(1)(</w:t>
            </w:r>
            <w:r w:rsidRPr="00096A4B">
              <w:rPr>
                <w:rFonts w:eastAsia="Calibri"/>
                <w:i/>
                <w:sz w:val="20"/>
              </w:rPr>
              <w:t>a</w:t>
            </w:r>
            <w:r w:rsidRPr="00096A4B">
              <w:rPr>
                <w:rFonts w:eastAsia="Calibri"/>
                <w:sz w:val="20"/>
              </w:rPr>
              <w:t>) and (2)(</w:t>
            </w:r>
            <w:r w:rsidRPr="00096A4B">
              <w:rPr>
                <w:rFonts w:eastAsia="Calibri"/>
                <w:i/>
                <w:sz w:val="20"/>
              </w:rPr>
              <w:t>a</w:t>
            </w:r>
            <w:r w:rsidRPr="00096A4B">
              <w:rPr>
                <w:rFonts w:eastAsia="Calibri"/>
                <w:sz w:val="20"/>
              </w:rPr>
              <w:t xml:space="preserve">) of </w:t>
            </w:r>
            <w:r w:rsidRPr="00096A4B">
              <w:rPr>
                <w:rFonts w:eastAsia="Calibri"/>
                <w:i/>
                <w:sz w:val="20"/>
              </w:rPr>
              <w:t>International Transfer of Offenders Act</w:t>
            </w:r>
            <w:r w:rsidRPr="00096A4B">
              <w:rPr>
                <w:rFonts w:eastAsia="Calibri"/>
                <w:sz w:val="20"/>
              </w:rPr>
              <w:t xml:space="preserve">, S.C. 2004, c. 21, infringes right guaranteed by s. 6(1) of </w:t>
            </w:r>
            <w:r w:rsidRPr="00096A4B">
              <w:rPr>
                <w:rFonts w:eastAsia="Calibri"/>
                <w:i/>
                <w:sz w:val="20"/>
              </w:rPr>
              <w:t>Canadian Charter of Rights and Freedoms</w:t>
            </w:r>
            <w:r w:rsidRPr="00096A4B">
              <w:rPr>
                <w:rFonts w:eastAsia="Calibri"/>
                <w:sz w:val="20"/>
              </w:rPr>
              <w:t xml:space="preserve"> </w:t>
            </w:r>
            <w:r w:rsidRPr="00096A4B">
              <w:rPr>
                <w:rFonts w:eastAsia="Calibri"/>
                <w:sz w:val="20"/>
              </w:rPr>
              <w:noBreakHyphen/>
              <w:t xml:space="preserve"> If so, whether infringement can be justified in free and democratic society within meaning of s. 1 of </w:t>
            </w:r>
            <w:r w:rsidRPr="00096A4B">
              <w:rPr>
                <w:rFonts w:eastAsia="Calibri"/>
                <w:i/>
                <w:sz w:val="20"/>
              </w:rPr>
              <w:t>Charter</w:t>
            </w:r>
            <w:r w:rsidRPr="00096A4B">
              <w:rPr>
                <w:rFonts w:eastAsia="Calibri"/>
                <w:sz w:val="20"/>
              </w:rPr>
              <w:t>.</w:t>
            </w:r>
          </w:p>
        </w:tc>
      </w:tr>
      <w:tr w:rsidR="00F62F21" w:rsidRPr="00096A4B" w:rsidTr="00F62F21">
        <w:tc>
          <w:tcPr>
            <w:tcW w:w="5000" w:type="pct"/>
            <w:gridSpan w:val="3"/>
          </w:tcPr>
          <w:p w:rsidR="00F62F21" w:rsidRPr="00096A4B" w:rsidRDefault="00F62F21" w:rsidP="00F62F21">
            <w:pPr>
              <w:jc w:val="both"/>
              <w:rPr>
                <w:rFonts w:eastAsia="Calibri"/>
                <w:sz w:val="20"/>
              </w:rPr>
            </w:pPr>
          </w:p>
        </w:tc>
      </w:tr>
      <w:tr w:rsidR="00F62F21" w:rsidRPr="00096A4B" w:rsidTr="00F62F21">
        <w:tc>
          <w:tcPr>
            <w:tcW w:w="5000" w:type="pct"/>
            <w:gridSpan w:val="3"/>
          </w:tcPr>
          <w:p w:rsidR="00F62F21" w:rsidRPr="00096A4B" w:rsidRDefault="00F62F21" w:rsidP="00F62F21">
            <w:pPr>
              <w:jc w:val="both"/>
              <w:rPr>
                <w:rFonts w:eastAsia="Calibri"/>
                <w:sz w:val="20"/>
              </w:rPr>
            </w:pPr>
            <w:r w:rsidRPr="00096A4B">
              <w:rPr>
                <w:rFonts w:eastAsia="Calibri"/>
                <w:sz w:val="20"/>
              </w:rPr>
              <w:t>The applicant Mr. Divito has been a Canadian citizen since 1980.  In 1995, a Canadian court convicted him of serious drug</w:t>
            </w:r>
            <w:r w:rsidRPr="00096A4B">
              <w:rPr>
                <w:rFonts w:eastAsia="Calibri"/>
                <w:sz w:val="20"/>
              </w:rPr>
              <w:noBreakHyphen/>
              <w:t>related offences.  While he was serving his sentence, the American authorities requested his extradition to the United States to face drug</w:t>
            </w:r>
            <w:r w:rsidRPr="00096A4B">
              <w:rPr>
                <w:rFonts w:eastAsia="Calibri"/>
                <w:sz w:val="20"/>
              </w:rPr>
              <w:noBreakHyphen/>
              <w:t xml:space="preserve">related charges.   Canada extradited Mr. Divito in June 2005 after he had served his sentence in Canada.  In the United States, Mr. Divito pleaded guilty.  In December 2006, he made a request for a transfer under the </w:t>
            </w:r>
            <w:r w:rsidRPr="00096A4B">
              <w:rPr>
                <w:rFonts w:eastAsia="Calibri"/>
                <w:i/>
                <w:sz w:val="20"/>
              </w:rPr>
              <w:t>International Transfer of Offenders Act</w:t>
            </w:r>
            <w:r w:rsidRPr="00096A4B">
              <w:rPr>
                <w:rFonts w:eastAsia="Calibri"/>
                <w:sz w:val="20"/>
              </w:rPr>
              <w:t xml:space="preserve"> so he could be authorized to serve the rest of his prison sentence in Canada.  The request was approved by the American authorities but refused by the Canadian minister.  A short time later, Mr. Divito made a second request, which was refused again on the following grounds:</w:t>
            </w:r>
          </w:p>
          <w:p w:rsidR="00F62F21" w:rsidRPr="00096A4B" w:rsidRDefault="00F62F21" w:rsidP="00F62F21">
            <w:pPr>
              <w:jc w:val="both"/>
              <w:rPr>
                <w:rFonts w:eastAsia="Calibri"/>
                <w:sz w:val="20"/>
              </w:rPr>
            </w:pPr>
          </w:p>
          <w:p w:rsidR="00F62F21" w:rsidRPr="00096A4B" w:rsidRDefault="00F62F21" w:rsidP="00F62F21">
            <w:pPr>
              <w:ind w:left="720" w:right="720"/>
              <w:jc w:val="both"/>
              <w:rPr>
                <w:sz w:val="20"/>
                <w:lang w:eastAsia="en-CA"/>
              </w:rPr>
            </w:pPr>
            <w:r w:rsidRPr="00096A4B">
              <w:rPr>
                <w:sz w:val="20"/>
                <w:lang w:eastAsia="en-CA"/>
              </w:rPr>
              <w:t>The offender has been identified as an organized crime member, convicted for an offence involving a significant quantity of drugs.  The nature of his offence and his affiliations suggest that the offender’s return to Canada would constitute a potential threat to the safety of Canadians and the security of Canada.</w:t>
            </w:r>
          </w:p>
          <w:p w:rsidR="00F62F21" w:rsidRPr="00096A4B" w:rsidRDefault="00F62F21" w:rsidP="00F62F21">
            <w:pPr>
              <w:jc w:val="both"/>
              <w:rPr>
                <w:rFonts w:eastAsia="Calibri"/>
                <w:sz w:val="20"/>
              </w:rPr>
            </w:pPr>
          </w:p>
          <w:p w:rsidR="00F62F21" w:rsidRPr="00096A4B" w:rsidRDefault="00F62F21" w:rsidP="00F62F21">
            <w:pPr>
              <w:jc w:val="both"/>
              <w:rPr>
                <w:rFonts w:eastAsia="Calibri"/>
                <w:sz w:val="20"/>
              </w:rPr>
            </w:pPr>
            <w:r w:rsidRPr="00096A4B">
              <w:rPr>
                <w:rFonts w:eastAsia="Calibri"/>
                <w:sz w:val="20"/>
              </w:rPr>
              <w:t xml:space="preserve">Mr. Divito argues that the sections of the Act on which the refusal was based infringe his mobility rights guaranteed by s. 6 of the </w:t>
            </w:r>
            <w:r w:rsidRPr="00096A4B">
              <w:rPr>
                <w:rFonts w:eastAsia="Calibri"/>
                <w:i/>
                <w:sz w:val="20"/>
              </w:rPr>
              <w:t>Canadian Charter of Rights and Freedoms</w:t>
            </w:r>
            <w:r w:rsidRPr="00096A4B">
              <w:rPr>
                <w:rFonts w:eastAsia="Calibri"/>
                <w:sz w:val="20"/>
              </w:rPr>
              <w:t xml:space="preserve"> and that the infringement cannot be justified under s. 1.</w:t>
            </w:r>
          </w:p>
          <w:p w:rsidR="00F62F21" w:rsidRPr="00096A4B" w:rsidRDefault="00F62F21" w:rsidP="00F62F21">
            <w:pPr>
              <w:jc w:val="both"/>
              <w:rPr>
                <w:rFonts w:eastAsia="Calibri"/>
                <w:sz w:val="20"/>
              </w:rPr>
            </w:pPr>
          </w:p>
        </w:tc>
      </w:tr>
      <w:tr w:rsidR="00F62F21" w:rsidRPr="00096A4B" w:rsidTr="00F62F21">
        <w:tc>
          <w:tcPr>
            <w:tcW w:w="2427" w:type="pct"/>
          </w:tcPr>
          <w:p w:rsidR="00F62F21" w:rsidRPr="00096A4B" w:rsidRDefault="00F62F21" w:rsidP="00F62F21">
            <w:pPr>
              <w:jc w:val="both"/>
              <w:rPr>
                <w:rFonts w:eastAsia="Calibri"/>
                <w:sz w:val="20"/>
              </w:rPr>
            </w:pPr>
            <w:r w:rsidRPr="00096A4B">
              <w:rPr>
                <w:rFonts w:eastAsia="Calibri"/>
                <w:sz w:val="20"/>
              </w:rPr>
              <w:t>September 30, 2009</w:t>
            </w:r>
          </w:p>
          <w:p w:rsidR="00F62F21" w:rsidRPr="00096A4B" w:rsidRDefault="00F62F21" w:rsidP="00F62F21">
            <w:pPr>
              <w:jc w:val="both"/>
              <w:rPr>
                <w:rFonts w:eastAsia="Calibri"/>
                <w:sz w:val="20"/>
              </w:rPr>
            </w:pPr>
            <w:r w:rsidRPr="00096A4B">
              <w:rPr>
                <w:rFonts w:eastAsia="Calibri"/>
                <w:sz w:val="20"/>
              </w:rPr>
              <w:t>Federal Court</w:t>
            </w:r>
          </w:p>
          <w:p w:rsidR="00F62F21" w:rsidRPr="00096A4B" w:rsidRDefault="00F62F21" w:rsidP="00F62F21">
            <w:pPr>
              <w:jc w:val="both"/>
              <w:rPr>
                <w:rFonts w:eastAsia="Calibri"/>
                <w:sz w:val="20"/>
              </w:rPr>
            </w:pPr>
            <w:r w:rsidRPr="00096A4B">
              <w:rPr>
                <w:rFonts w:eastAsia="Calibri"/>
                <w:sz w:val="20"/>
              </w:rPr>
              <w:t>(Harrington J.)</w:t>
            </w:r>
          </w:p>
          <w:p w:rsidR="00F62F21" w:rsidRPr="00096A4B" w:rsidRDefault="00F62F21" w:rsidP="00F62F21">
            <w:pPr>
              <w:jc w:val="both"/>
              <w:rPr>
                <w:rFonts w:eastAsia="Calibri"/>
                <w:sz w:val="20"/>
              </w:rPr>
            </w:pPr>
          </w:p>
        </w:tc>
        <w:tc>
          <w:tcPr>
            <w:tcW w:w="243" w:type="pct"/>
          </w:tcPr>
          <w:p w:rsidR="00F62F21" w:rsidRPr="00096A4B" w:rsidRDefault="00F62F21" w:rsidP="00F62F21">
            <w:pPr>
              <w:jc w:val="both"/>
              <w:rPr>
                <w:rFonts w:eastAsia="Calibri"/>
                <w:sz w:val="20"/>
              </w:rPr>
            </w:pPr>
          </w:p>
        </w:tc>
        <w:tc>
          <w:tcPr>
            <w:tcW w:w="2330" w:type="pct"/>
          </w:tcPr>
          <w:p w:rsidR="00F62F21" w:rsidRPr="00096A4B" w:rsidRDefault="00F62F21" w:rsidP="00F62F21">
            <w:pPr>
              <w:jc w:val="both"/>
              <w:rPr>
                <w:rFonts w:eastAsia="Calibri"/>
                <w:sz w:val="20"/>
              </w:rPr>
            </w:pPr>
            <w:r w:rsidRPr="00096A4B">
              <w:rPr>
                <w:rFonts w:eastAsia="Calibri"/>
                <w:sz w:val="20"/>
              </w:rPr>
              <w:t>Application for judicial review and constitutional challenge dismissed</w:t>
            </w:r>
          </w:p>
          <w:p w:rsidR="00F62F21" w:rsidRPr="00096A4B" w:rsidRDefault="00F62F21" w:rsidP="00F62F21">
            <w:pPr>
              <w:jc w:val="both"/>
              <w:rPr>
                <w:rFonts w:eastAsia="Calibri"/>
                <w:sz w:val="20"/>
              </w:rPr>
            </w:pPr>
          </w:p>
        </w:tc>
      </w:tr>
      <w:tr w:rsidR="00F62F21" w:rsidRPr="00096A4B" w:rsidTr="00F62F21">
        <w:tc>
          <w:tcPr>
            <w:tcW w:w="2427" w:type="pct"/>
          </w:tcPr>
          <w:p w:rsidR="00F62F21" w:rsidRPr="00096A4B" w:rsidRDefault="00F62F21" w:rsidP="00F62F21">
            <w:pPr>
              <w:jc w:val="both"/>
              <w:rPr>
                <w:rFonts w:eastAsia="Calibri"/>
                <w:sz w:val="20"/>
              </w:rPr>
            </w:pPr>
            <w:r w:rsidRPr="00096A4B">
              <w:rPr>
                <w:rFonts w:eastAsia="Calibri"/>
                <w:sz w:val="20"/>
              </w:rPr>
              <w:t>February 3, 2011</w:t>
            </w:r>
          </w:p>
          <w:p w:rsidR="00F62F21" w:rsidRPr="00096A4B" w:rsidRDefault="00F62F21" w:rsidP="00F62F21">
            <w:pPr>
              <w:jc w:val="both"/>
              <w:rPr>
                <w:rFonts w:eastAsia="Calibri"/>
                <w:sz w:val="20"/>
              </w:rPr>
            </w:pPr>
            <w:r w:rsidRPr="00096A4B">
              <w:rPr>
                <w:rFonts w:eastAsia="Calibri"/>
                <w:sz w:val="20"/>
              </w:rPr>
              <w:t>Federal Court of Appeal</w:t>
            </w:r>
          </w:p>
          <w:p w:rsidR="00F62F21" w:rsidRPr="00096A4B" w:rsidRDefault="00F62F21" w:rsidP="00F62F21">
            <w:pPr>
              <w:jc w:val="both"/>
              <w:rPr>
                <w:rFonts w:eastAsia="Calibri"/>
                <w:sz w:val="20"/>
              </w:rPr>
            </w:pPr>
            <w:r w:rsidRPr="00096A4B">
              <w:rPr>
                <w:rFonts w:eastAsia="Calibri"/>
                <w:sz w:val="20"/>
              </w:rPr>
              <w:t>(Nadon, Trudel and Mainville JJ.A.)</w:t>
            </w:r>
          </w:p>
          <w:p w:rsidR="00F62F21" w:rsidRPr="00096A4B" w:rsidRDefault="00F62F21" w:rsidP="006975B7">
            <w:pPr>
              <w:jc w:val="both"/>
              <w:rPr>
                <w:rFonts w:eastAsia="Calibri"/>
                <w:sz w:val="20"/>
              </w:rPr>
            </w:pPr>
            <w:r w:rsidRPr="00096A4B">
              <w:rPr>
                <w:rFonts w:eastAsia="Calibri"/>
                <w:sz w:val="20"/>
              </w:rPr>
              <w:t>2011 FCA 39; A</w:t>
            </w:r>
            <w:r w:rsidRPr="00096A4B">
              <w:rPr>
                <w:rFonts w:eastAsia="Calibri"/>
                <w:sz w:val="20"/>
              </w:rPr>
              <w:noBreakHyphen/>
              <w:t>425</w:t>
            </w:r>
            <w:r w:rsidRPr="00096A4B">
              <w:rPr>
                <w:rFonts w:eastAsia="Calibri"/>
                <w:sz w:val="20"/>
              </w:rPr>
              <w:noBreakHyphen/>
              <w:t>09</w:t>
            </w:r>
          </w:p>
        </w:tc>
        <w:tc>
          <w:tcPr>
            <w:tcW w:w="243" w:type="pct"/>
          </w:tcPr>
          <w:p w:rsidR="00F62F21" w:rsidRPr="00096A4B" w:rsidRDefault="00F62F21" w:rsidP="00F62F21">
            <w:pPr>
              <w:jc w:val="both"/>
              <w:rPr>
                <w:rFonts w:eastAsia="Calibri"/>
                <w:sz w:val="20"/>
              </w:rPr>
            </w:pPr>
          </w:p>
        </w:tc>
        <w:tc>
          <w:tcPr>
            <w:tcW w:w="2330" w:type="pct"/>
          </w:tcPr>
          <w:p w:rsidR="00F62F21" w:rsidRPr="00096A4B" w:rsidRDefault="00F62F21" w:rsidP="00F62F21">
            <w:pPr>
              <w:jc w:val="both"/>
              <w:rPr>
                <w:rFonts w:eastAsia="Calibri"/>
                <w:sz w:val="20"/>
              </w:rPr>
            </w:pPr>
            <w:r w:rsidRPr="00096A4B">
              <w:rPr>
                <w:rFonts w:eastAsia="Calibri"/>
                <w:sz w:val="20"/>
              </w:rPr>
              <w:t xml:space="preserve">Appeal dismissed </w:t>
            </w:r>
          </w:p>
          <w:p w:rsidR="00F62F21" w:rsidRPr="00096A4B" w:rsidRDefault="00F62F21" w:rsidP="00F62F21">
            <w:pPr>
              <w:jc w:val="both"/>
              <w:rPr>
                <w:rFonts w:eastAsia="Calibri"/>
                <w:sz w:val="20"/>
              </w:rPr>
            </w:pPr>
          </w:p>
        </w:tc>
      </w:tr>
    </w:tbl>
    <w:p w:rsidR="006975B7" w:rsidRDefault="006975B7"/>
    <w:p w:rsidR="006975B7" w:rsidRDefault="006975B7">
      <w:r>
        <w:br w:type="page"/>
      </w:r>
    </w:p>
    <w:tbl>
      <w:tblPr>
        <w:tblW w:w="4952" w:type="pct"/>
        <w:tblLayout w:type="fixed"/>
        <w:tblCellMar>
          <w:left w:w="0" w:type="dxa"/>
          <w:bottom w:w="99" w:type="dxa"/>
          <w:right w:w="0" w:type="dxa"/>
        </w:tblCellMar>
        <w:tblLook w:val="04A0"/>
      </w:tblPr>
      <w:tblGrid>
        <w:gridCol w:w="4624"/>
        <w:gridCol w:w="463"/>
        <w:gridCol w:w="4440"/>
      </w:tblGrid>
      <w:tr w:rsidR="00F62F21" w:rsidRPr="00096A4B" w:rsidTr="00F62F21">
        <w:tc>
          <w:tcPr>
            <w:tcW w:w="2427" w:type="pct"/>
          </w:tcPr>
          <w:p w:rsidR="00F62F21" w:rsidRPr="00096A4B" w:rsidRDefault="00F62F21" w:rsidP="00F62F21">
            <w:pPr>
              <w:jc w:val="both"/>
              <w:rPr>
                <w:rFonts w:eastAsia="Calibri"/>
                <w:sz w:val="20"/>
              </w:rPr>
            </w:pPr>
            <w:r w:rsidRPr="00096A4B">
              <w:rPr>
                <w:rFonts w:eastAsia="Calibri"/>
                <w:sz w:val="20"/>
              </w:rPr>
              <w:lastRenderedPageBreak/>
              <w:t>January 31, 2012</w:t>
            </w:r>
          </w:p>
          <w:p w:rsidR="00F62F21" w:rsidRPr="00096A4B" w:rsidRDefault="00F62F21" w:rsidP="00F62F21">
            <w:pPr>
              <w:jc w:val="both"/>
              <w:rPr>
                <w:rFonts w:eastAsia="Calibri"/>
                <w:sz w:val="20"/>
              </w:rPr>
            </w:pPr>
            <w:r w:rsidRPr="00096A4B">
              <w:rPr>
                <w:rFonts w:eastAsia="Calibri"/>
                <w:sz w:val="20"/>
              </w:rPr>
              <w:t>Supreme Court of Canada</w:t>
            </w:r>
          </w:p>
        </w:tc>
        <w:tc>
          <w:tcPr>
            <w:tcW w:w="243" w:type="pct"/>
          </w:tcPr>
          <w:p w:rsidR="00F62F21" w:rsidRPr="00096A4B" w:rsidRDefault="00F62F21" w:rsidP="00F62F21">
            <w:pPr>
              <w:jc w:val="both"/>
              <w:rPr>
                <w:rFonts w:eastAsia="Calibri"/>
                <w:sz w:val="20"/>
              </w:rPr>
            </w:pPr>
          </w:p>
        </w:tc>
        <w:tc>
          <w:tcPr>
            <w:tcW w:w="2330" w:type="pct"/>
          </w:tcPr>
          <w:p w:rsidR="00F62F21" w:rsidRPr="00096A4B" w:rsidRDefault="00F62F21" w:rsidP="00F62F21">
            <w:pPr>
              <w:jc w:val="both"/>
              <w:rPr>
                <w:rFonts w:eastAsia="Calibri"/>
                <w:sz w:val="20"/>
              </w:rPr>
            </w:pPr>
            <w:r w:rsidRPr="00096A4B">
              <w:rPr>
                <w:rFonts w:eastAsia="Calibri"/>
                <w:sz w:val="20"/>
              </w:rPr>
              <w:t>Motion to extend time to serve and file application for leave to appeal and application for leave to appeal filed</w:t>
            </w:r>
          </w:p>
        </w:tc>
      </w:tr>
    </w:tbl>
    <w:p w:rsidR="00691AA0" w:rsidRDefault="00691AA0" w:rsidP="008D292F">
      <w:pPr>
        <w:rPr>
          <w:sz w:val="20"/>
          <w:szCs w:val="20"/>
        </w:rPr>
      </w:pPr>
    </w:p>
    <w:p w:rsidR="00691AA0" w:rsidRPr="00C50A5C" w:rsidRDefault="003B0427" w:rsidP="00691AA0">
      <w:pPr>
        <w:rPr>
          <w:sz w:val="20"/>
          <w:szCs w:val="20"/>
        </w:rPr>
      </w:pPr>
      <w:r w:rsidRPr="003B0427">
        <w:rPr>
          <w:sz w:val="20"/>
          <w:szCs w:val="20"/>
          <w:lang w:val="fr-CA"/>
        </w:rPr>
        <w:pict>
          <v:rect id="_x0000_i1039"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2F21" w:rsidRPr="00643997" w:rsidTr="00F62F21">
        <w:tc>
          <w:tcPr>
            <w:tcW w:w="5000" w:type="pct"/>
            <w:gridSpan w:val="3"/>
          </w:tcPr>
          <w:p w:rsidR="00F62F21" w:rsidRPr="00096A4B" w:rsidRDefault="00F62F21" w:rsidP="00F62F21">
            <w:pPr>
              <w:jc w:val="both"/>
              <w:rPr>
                <w:rFonts w:eastAsia="Calibri"/>
                <w:sz w:val="20"/>
                <w:lang w:val="fr-CA"/>
              </w:rPr>
            </w:pPr>
            <w:r w:rsidRPr="00096A4B">
              <w:rPr>
                <w:rFonts w:eastAsia="Calibri"/>
                <w:i/>
                <w:sz w:val="20"/>
                <w:lang w:val="fr-CA"/>
              </w:rPr>
              <w:t>Charte des droits</w:t>
            </w:r>
            <w:r w:rsidRPr="00096A4B">
              <w:rPr>
                <w:rFonts w:eastAsia="Calibri"/>
                <w:sz w:val="20"/>
                <w:lang w:val="fr-CA"/>
              </w:rPr>
              <w:t xml:space="preserve"> </w:t>
            </w:r>
            <w:r w:rsidRPr="00096A4B">
              <w:rPr>
                <w:rFonts w:eastAsia="Calibri"/>
                <w:sz w:val="20"/>
                <w:lang w:val="fr-CA"/>
              </w:rPr>
              <w:noBreakHyphen/>
              <w:t xml:space="preserve"> Droit constitutionnel </w:t>
            </w:r>
            <w:r w:rsidRPr="00096A4B">
              <w:rPr>
                <w:rFonts w:eastAsia="Calibri"/>
                <w:sz w:val="20"/>
                <w:lang w:val="fr-CA"/>
              </w:rPr>
              <w:noBreakHyphen/>
              <w:t xml:space="preserve"> Liberté de circulation et d’établissement </w:t>
            </w:r>
            <w:r w:rsidRPr="00096A4B">
              <w:rPr>
                <w:rFonts w:eastAsia="Calibri"/>
                <w:sz w:val="20"/>
                <w:lang w:val="fr-CA"/>
              </w:rPr>
              <w:noBreakHyphen/>
              <w:t xml:space="preserve"> La décision de refuser le transfèrement en l’espèce, en application du par. 8(1) et des al. 10(1)a) et 10(2)a) de la </w:t>
            </w:r>
            <w:r w:rsidRPr="00096A4B">
              <w:rPr>
                <w:rFonts w:eastAsia="Calibri"/>
                <w:i/>
                <w:sz w:val="20"/>
                <w:lang w:val="fr-CA"/>
              </w:rPr>
              <w:t>Loi sur le transfèrement international des délinquants</w:t>
            </w:r>
            <w:r w:rsidRPr="00096A4B">
              <w:rPr>
                <w:rFonts w:eastAsia="Calibri"/>
                <w:sz w:val="20"/>
                <w:lang w:val="fr-CA"/>
              </w:rPr>
              <w:t>, L.C. 2004, ch. 21, porte</w:t>
            </w:r>
            <w:r w:rsidRPr="00096A4B">
              <w:rPr>
                <w:rFonts w:eastAsia="Calibri"/>
                <w:sz w:val="20"/>
                <w:lang w:val="fr-CA"/>
              </w:rPr>
              <w:noBreakHyphen/>
              <w:t>t</w:t>
            </w:r>
            <w:r w:rsidRPr="00096A4B">
              <w:rPr>
                <w:rFonts w:eastAsia="Calibri"/>
                <w:sz w:val="20"/>
                <w:lang w:val="fr-CA"/>
              </w:rPr>
              <w:noBreakHyphen/>
              <w:t xml:space="preserve">elle atteinte au droit garanti par le par. 6(1) de la </w:t>
            </w:r>
            <w:r w:rsidRPr="00096A4B">
              <w:rPr>
                <w:rFonts w:eastAsia="Calibri"/>
                <w:i/>
                <w:sz w:val="20"/>
                <w:lang w:val="fr-CA"/>
              </w:rPr>
              <w:t>Charte canadienne des droits et libertés</w:t>
            </w:r>
            <w:r w:rsidRPr="00096A4B">
              <w:rPr>
                <w:rFonts w:eastAsia="Calibri"/>
                <w:sz w:val="20"/>
                <w:lang w:val="fr-CA"/>
              </w:rPr>
              <w:t xml:space="preserve">? </w:t>
            </w:r>
            <w:r w:rsidRPr="00096A4B">
              <w:rPr>
                <w:rFonts w:eastAsia="Calibri"/>
                <w:sz w:val="20"/>
                <w:lang w:val="fr-CA"/>
              </w:rPr>
              <w:noBreakHyphen/>
              <w:t xml:space="preserve"> Dans l’affirmative, s’agit</w:t>
            </w:r>
            <w:r w:rsidRPr="00096A4B">
              <w:rPr>
                <w:rFonts w:eastAsia="Calibri"/>
                <w:sz w:val="20"/>
                <w:lang w:val="fr-CA"/>
              </w:rPr>
              <w:noBreakHyphen/>
              <w:t xml:space="preserve">il d’une atteinte qui peut être justifiée dans le cadre d’une société libre et démocratique au sens de l’article premier de la </w:t>
            </w:r>
            <w:r w:rsidRPr="00096A4B">
              <w:rPr>
                <w:rFonts w:eastAsia="Calibri"/>
                <w:i/>
                <w:sz w:val="20"/>
                <w:lang w:val="fr-CA"/>
              </w:rPr>
              <w:t>Charte</w:t>
            </w:r>
            <w:r w:rsidRPr="00096A4B">
              <w:rPr>
                <w:rFonts w:eastAsia="Calibri"/>
                <w:sz w:val="20"/>
                <w:lang w:val="fr-CA"/>
              </w:rPr>
              <w:t>?</w:t>
            </w:r>
          </w:p>
        </w:tc>
      </w:tr>
      <w:tr w:rsidR="00F62F21" w:rsidRPr="00643997" w:rsidTr="00F62F21">
        <w:tc>
          <w:tcPr>
            <w:tcW w:w="5000" w:type="pct"/>
            <w:gridSpan w:val="3"/>
          </w:tcPr>
          <w:p w:rsidR="00F62F21" w:rsidRPr="00096A4B" w:rsidRDefault="00F62F21" w:rsidP="00F62F21">
            <w:pPr>
              <w:jc w:val="both"/>
              <w:rPr>
                <w:rFonts w:eastAsia="Calibri"/>
                <w:sz w:val="20"/>
                <w:lang w:val="fr-CA"/>
              </w:rPr>
            </w:pPr>
          </w:p>
        </w:tc>
      </w:tr>
      <w:tr w:rsidR="00F62F21" w:rsidRPr="00643997" w:rsidTr="00F62F21">
        <w:tc>
          <w:tcPr>
            <w:tcW w:w="5000" w:type="pct"/>
            <w:gridSpan w:val="3"/>
          </w:tcPr>
          <w:p w:rsidR="00F62F21" w:rsidRPr="00096A4B" w:rsidRDefault="00F62F21" w:rsidP="00F62F21">
            <w:pPr>
              <w:jc w:val="both"/>
              <w:rPr>
                <w:rFonts w:eastAsia="Calibri"/>
                <w:sz w:val="20"/>
                <w:lang w:val="fr-CA"/>
              </w:rPr>
            </w:pPr>
            <w:r w:rsidRPr="00096A4B">
              <w:rPr>
                <w:rFonts w:eastAsia="Calibri"/>
                <w:sz w:val="20"/>
                <w:lang w:val="fr-CA"/>
              </w:rPr>
              <w:t>Le demandeur, M. Divito, est citoyen canadien depuis 1980.  En 1995, un tribunal canadien le déclare coupable d’infractions graves liées à la drogue.  Pendant qu’il purge sa peine, les autorités américaines demandent son extradition vers les États</w:t>
            </w:r>
            <w:r w:rsidRPr="00096A4B">
              <w:rPr>
                <w:rFonts w:eastAsia="Calibri"/>
                <w:sz w:val="20"/>
                <w:lang w:val="fr-CA"/>
              </w:rPr>
              <w:noBreakHyphen/>
              <w:t>Unis pour qu’il réponde d’accusations reliées à la drogue.  Le Canada extrade M. Divito en juin 2005, après qu’il ait purgé sa peine au Canada.  Aux États</w:t>
            </w:r>
            <w:r w:rsidRPr="00096A4B">
              <w:rPr>
                <w:rFonts w:eastAsia="Calibri"/>
                <w:sz w:val="20"/>
                <w:lang w:val="fr-CA"/>
              </w:rPr>
              <w:noBreakHyphen/>
              <w:t xml:space="preserve">Unis, M. Divito plaide coupable.  En décembre 2006, M. Divito présente une demande de transfèrement en vertu de la </w:t>
            </w:r>
            <w:r w:rsidRPr="00096A4B">
              <w:rPr>
                <w:rFonts w:eastAsia="Calibri"/>
                <w:i/>
                <w:sz w:val="20"/>
                <w:lang w:val="fr-CA"/>
              </w:rPr>
              <w:t>Loi sur le transfèrement international des délinquants</w:t>
            </w:r>
            <w:r w:rsidRPr="00096A4B">
              <w:rPr>
                <w:rFonts w:eastAsia="Calibri"/>
                <w:sz w:val="20"/>
                <w:lang w:val="fr-CA"/>
              </w:rPr>
              <w:t>, afin qu’il puisse être autorisé à purger le reste de sa peine d’emprisonnement au Canada.  Cette demande est approuvée par les autorités américaines, mais refusée par le ministre canadien.  Peu après, M. Divito présente une deuxième demande, qui est refusée à nouveau, pour les motifs suivants :</w:t>
            </w:r>
          </w:p>
          <w:p w:rsidR="00F62F21" w:rsidRPr="00096A4B" w:rsidRDefault="00F62F21" w:rsidP="00F62F21">
            <w:pPr>
              <w:jc w:val="both"/>
              <w:rPr>
                <w:rFonts w:eastAsia="Calibri"/>
                <w:sz w:val="20"/>
                <w:lang w:val="fr-CA"/>
              </w:rPr>
            </w:pPr>
          </w:p>
          <w:p w:rsidR="00F62F21" w:rsidRPr="00096A4B" w:rsidRDefault="00F62F21" w:rsidP="00F62F21">
            <w:pPr>
              <w:ind w:left="720" w:right="720"/>
              <w:jc w:val="both"/>
              <w:rPr>
                <w:sz w:val="20"/>
                <w:lang w:val="fr-CA" w:eastAsia="en-CA"/>
              </w:rPr>
            </w:pPr>
            <w:r w:rsidRPr="00096A4B">
              <w:rPr>
                <w:sz w:val="20"/>
                <w:lang w:val="fr-CA" w:eastAsia="en-CA"/>
              </w:rPr>
              <w:t>Le détenu a été identifié comme étant un membre du crime organisé condamné pour un délit comprenant une quantité importante de drogues.  La nature du délit ainsi que les affiliations du détenu suggèrent que le retour du délinquant au Canada, pourrait constituer une menace pour la sécurité du Canada et la sûreté des Canadiens.</w:t>
            </w:r>
          </w:p>
          <w:p w:rsidR="00F62F21" w:rsidRPr="00096A4B" w:rsidRDefault="00F62F21" w:rsidP="00F62F21">
            <w:pPr>
              <w:jc w:val="both"/>
              <w:rPr>
                <w:rFonts w:eastAsia="Calibri"/>
                <w:sz w:val="20"/>
                <w:lang w:val="fr-CA"/>
              </w:rPr>
            </w:pPr>
          </w:p>
          <w:p w:rsidR="00F62F21" w:rsidRPr="00096A4B" w:rsidRDefault="00F62F21" w:rsidP="00F62F21">
            <w:pPr>
              <w:jc w:val="both"/>
              <w:rPr>
                <w:rFonts w:eastAsia="Calibri"/>
                <w:sz w:val="20"/>
                <w:lang w:val="fr-CA"/>
              </w:rPr>
            </w:pPr>
            <w:r w:rsidRPr="00096A4B">
              <w:rPr>
                <w:rFonts w:eastAsia="Calibri"/>
                <w:sz w:val="20"/>
                <w:lang w:val="fr-CA"/>
              </w:rPr>
              <w:t xml:space="preserve">M. Divito soutient que les articles de la Loi qui justifient le refus violent ses droits à la libre circulation et à l’établissement garantis par l’art. 6 de la </w:t>
            </w:r>
            <w:r w:rsidRPr="00096A4B">
              <w:rPr>
                <w:rFonts w:eastAsia="Calibri"/>
                <w:i/>
                <w:sz w:val="20"/>
                <w:lang w:val="fr-CA"/>
              </w:rPr>
              <w:t>Charte canadienne des droits et libertés</w:t>
            </w:r>
            <w:r w:rsidRPr="00096A4B">
              <w:rPr>
                <w:rFonts w:eastAsia="Calibri"/>
                <w:sz w:val="20"/>
                <w:lang w:val="fr-CA"/>
              </w:rPr>
              <w:t xml:space="preserve">, et que cette violation n’est pas justifiable en vertu de l’article premier. </w:t>
            </w:r>
          </w:p>
          <w:p w:rsidR="00F62F21" w:rsidRPr="00096A4B" w:rsidRDefault="00F62F21" w:rsidP="00F62F21">
            <w:pPr>
              <w:jc w:val="both"/>
              <w:rPr>
                <w:rFonts w:eastAsia="Calibri"/>
                <w:sz w:val="20"/>
                <w:lang w:val="fr-CA"/>
              </w:rPr>
            </w:pPr>
          </w:p>
        </w:tc>
      </w:tr>
      <w:tr w:rsidR="00F62F21" w:rsidRPr="00643997" w:rsidTr="00F62F21">
        <w:tc>
          <w:tcPr>
            <w:tcW w:w="2427" w:type="pct"/>
          </w:tcPr>
          <w:p w:rsidR="00F62F21" w:rsidRPr="00096A4B" w:rsidRDefault="00F62F21" w:rsidP="00F62F21">
            <w:pPr>
              <w:jc w:val="both"/>
              <w:rPr>
                <w:rFonts w:eastAsia="Calibri"/>
                <w:sz w:val="20"/>
                <w:lang w:val="fr-CA"/>
              </w:rPr>
            </w:pPr>
            <w:r w:rsidRPr="00096A4B">
              <w:rPr>
                <w:rFonts w:eastAsia="Calibri"/>
                <w:sz w:val="20"/>
                <w:lang w:val="fr-CA"/>
              </w:rPr>
              <w:t>Le 30 septembre 2009</w:t>
            </w:r>
          </w:p>
          <w:p w:rsidR="00F62F21" w:rsidRPr="00096A4B" w:rsidRDefault="00F62F21" w:rsidP="00F62F21">
            <w:pPr>
              <w:jc w:val="both"/>
              <w:rPr>
                <w:rFonts w:eastAsia="Calibri"/>
                <w:sz w:val="20"/>
                <w:lang w:val="fr-CA"/>
              </w:rPr>
            </w:pPr>
            <w:r w:rsidRPr="00096A4B">
              <w:rPr>
                <w:rFonts w:eastAsia="Calibri"/>
                <w:sz w:val="20"/>
                <w:lang w:val="fr-CA"/>
              </w:rPr>
              <w:t>Cour fédérale</w:t>
            </w:r>
          </w:p>
          <w:p w:rsidR="00F62F21" w:rsidRPr="00096A4B" w:rsidRDefault="00F62F21" w:rsidP="00F62F21">
            <w:pPr>
              <w:jc w:val="both"/>
              <w:rPr>
                <w:rFonts w:eastAsia="Calibri"/>
                <w:sz w:val="20"/>
                <w:lang w:val="fr-CA"/>
              </w:rPr>
            </w:pPr>
            <w:r w:rsidRPr="00096A4B">
              <w:rPr>
                <w:rFonts w:eastAsia="Calibri"/>
                <w:sz w:val="20"/>
                <w:lang w:val="fr-CA"/>
              </w:rPr>
              <w:t>(Le juge Harrington)</w:t>
            </w:r>
          </w:p>
          <w:p w:rsidR="00F62F21" w:rsidRPr="00096A4B" w:rsidRDefault="00F62F21" w:rsidP="00F62F21">
            <w:pPr>
              <w:jc w:val="both"/>
              <w:rPr>
                <w:rFonts w:eastAsia="Calibri"/>
                <w:sz w:val="20"/>
                <w:lang w:val="fr-CA"/>
              </w:rPr>
            </w:pPr>
          </w:p>
        </w:tc>
        <w:tc>
          <w:tcPr>
            <w:tcW w:w="243" w:type="pct"/>
          </w:tcPr>
          <w:p w:rsidR="00F62F21" w:rsidRPr="00096A4B" w:rsidRDefault="00F62F21" w:rsidP="00F62F21">
            <w:pPr>
              <w:jc w:val="both"/>
              <w:rPr>
                <w:rFonts w:eastAsia="Calibri"/>
                <w:sz w:val="20"/>
                <w:lang w:val="fr-CA"/>
              </w:rPr>
            </w:pPr>
          </w:p>
        </w:tc>
        <w:tc>
          <w:tcPr>
            <w:tcW w:w="2330" w:type="pct"/>
          </w:tcPr>
          <w:p w:rsidR="00F62F21" w:rsidRPr="00096A4B" w:rsidRDefault="00F62F21" w:rsidP="00F62F21">
            <w:pPr>
              <w:jc w:val="both"/>
              <w:rPr>
                <w:rFonts w:eastAsia="Calibri"/>
                <w:sz w:val="20"/>
                <w:lang w:val="fr-CA"/>
              </w:rPr>
            </w:pPr>
            <w:r w:rsidRPr="00096A4B">
              <w:rPr>
                <w:rFonts w:eastAsia="Calibri"/>
                <w:sz w:val="20"/>
                <w:lang w:val="fr-CA"/>
              </w:rPr>
              <w:t>Demande de contrôle judiciaire et contestation constitutionnelle rejetées</w:t>
            </w:r>
          </w:p>
          <w:p w:rsidR="00F62F21" w:rsidRPr="00096A4B" w:rsidRDefault="00F62F21" w:rsidP="00F62F21">
            <w:pPr>
              <w:jc w:val="both"/>
              <w:rPr>
                <w:rFonts w:eastAsia="Calibri"/>
                <w:sz w:val="20"/>
                <w:lang w:val="fr-CA"/>
              </w:rPr>
            </w:pPr>
          </w:p>
        </w:tc>
      </w:tr>
      <w:tr w:rsidR="00F62F21" w:rsidRPr="00096A4B" w:rsidTr="00F62F21">
        <w:tc>
          <w:tcPr>
            <w:tcW w:w="2427" w:type="pct"/>
          </w:tcPr>
          <w:p w:rsidR="00F62F21" w:rsidRPr="00096A4B" w:rsidRDefault="00F62F21" w:rsidP="00F62F21">
            <w:pPr>
              <w:jc w:val="both"/>
              <w:rPr>
                <w:rFonts w:eastAsia="Calibri"/>
                <w:sz w:val="20"/>
                <w:lang w:val="fr-CA"/>
              </w:rPr>
            </w:pPr>
            <w:r w:rsidRPr="00096A4B">
              <w:rPr>
                <w:rFonts w:eastAsia="Calibri"/>
                <w:sz w:val="20"/>
                <w:lang w:val="fr-CA"/>
              </w:rPr>
              <w:t>Le 3 février 2011</w:t>
            </w:r>
          </w:p>
          <w:p w:rsidR="00F62F21" w:rsidRPr="00096A4B" w:rsidRDefault="00F62F21" w:rsidP="00F62F21">
            <w:pPr>
              <w:jc w:val="both"/>
              <w:rPr>
                <w:rFonts w:eastAsia="Calibri"/>
                <w:sz w:val="20"/>
                <w:lang w:val="fr-CA"/>
              </w:rPr>
            </w:pPr>
            <w:r w:rsidRPr="00096A4B">
              <w:rPr>
                <w:rFonts w:eastAsia="Calibri"/>
                <w:sz w:val="20"/>
                <w:lang w:val="fr-CA"/>
              </w:rPr>
              <w:t>Cour d’appel fédérale</w:t>
            </w:r>
          </w:p>
          <w:p w:rsidR="00F62F21" w:rsidRPr="00096A4B" w:rsidRDefault="00F62F21" w:rsidP="00F62F21">
            <w:pPr>
              <w:jc w:val="both"/>
              <w:rPr>
                <w:rFonts w:eastAsia="Calibri"/>
                <w:sz w:val="20"/>
                <w:lang w:val="fr-CA"/>
              </w:rPr>
            </w:pPr>
            <w:r w:rsidRPr="00096A4B">
              <w:rPr>
                <w:rFonts w:eastAsia="Calibri"/>
                <w:sz w:val="20"/>
                <w:lang w:val="fr-CA"/>
              </w:rPr>
              <w:t>(Les juges Nadon, Trudel et Mainville)</w:t>
            </w:r>
          </w:p>
          <w:p w:rsidR="00F62F21" w:rsidRPr="00096A4B" w:rsidRDefault="00F62F21" w:rsidP="00F62F21">
            <w:pPr>
              <w:jc w:val="both"/>
              <w:rPr>
                <w:rFonts w:eastAsia="Calibri"/>
                <w:sz w:val="20"/>
                <w:lang w:val="fr-CA"/>
              </w:rPr>
            </w:pPr>
            <w:r w:rsidRPr="00096A4B">
              <w:rPr>
                <w:rFonts w:eastAsia="Calibri"/>
                <w:sz w:val="20"/>
                <w:lang w:val="fr-CA"/>
              </w:rPr>
              <w:t>2011 CAF 39; A</w:t>
            </w:r>
            <w:r w:rsidRPr="00096A4B">
              <w:rPr>
                <w:rFonts w:eastAsia="Calibri"/>
                <w:sz w:val="20"/>
                <w:lang w:val="fr-CA"/>
              </w:rPr>
              <w:noBreakHyphen/>
              <w:t>425</w:t>
            </w:r>
            <w:r w:rsidRPr="00096A4B">
              <w:rPr>
                <w:rFonts w:eastAsia="Calibri"/>
                <w:sz w:val="20"/>
                <w:lang w:val="fr-CA"/>
              </w:rPr>
              <w:noBreakHyphen/>
              <w:t>09</w:t>
            </w:r>
          </w:p>
          <w:p w:rsidR="00F62F21" w:rsidRPr="00096A4B" w:rsidRDefault="00F62F21" w:rsidP="00F62F21">
            <w:pPr>
              <w:jc w:val="both"/>
              <w:rPr>
                <w:rFonts w:eastAsia="Calibri"/>
                <w:sz w:val="20"/>
                <w:lang w:val="fr-CA"/>
              </w:rPr>
            </w:pPr>
          </w:p>
        </w:tc>
        <w:tc>
          <w:tcPr>
            <w:tcW w:w="243" w:type="pct"/>
          </w:tcPr>
          <w:p w:rsidR="00F62F21" w:rsidRPr="00096A4B" w:rsidRDefault="00F62F21" w:rsidP="00F62F21">
            <w:pPr>
              <w:jc w:val="both"/>
              <w:rPr>
                <w:rFonts w:eastAsia="Calibri"/>
                <w:sz w:val="20"/>
                <w:lang w:val="fr-CA"/>
              </w:rPr>
            </w:pPr>
          </w:p>
        </w:tc>
        <w:tc>
          <w:tcPr>
            <w:tcW w:w="2330" w:type="pct"/>
          </w:tcPr>
          <w:p w:rsidR="00F62F21" w:rsidRPr="00096A4B" w:rsidRDefault="00F62F21" w:rsidP="00F62F21">
            <w:pPr>
              <w:jc w:val="both"/>
              <w:rPr>
                <w:rFonts w:eastAsia="Calibri"/>
                <w:sz w:val="20"/>
                <w:lang w:val="fr-CA"/>
              </w:rPr>
            </w:pPr>
            <w:r w:rsidRPr="00096A4B">
              <w:rPr>
                <w:rFonts w:eastAsia="Calibri"/>
                <w:sz w:val="20"/>
                <w:lang w:val="fr-CA"/>
              </w:rPr>
              <w:t xml:space="preserve">Appel rejeté </w:t>
            </w:r>
          </w:p>
          <w:p w:rsidR="00F62F21" w:rsidRPr="00096A4B" w:rsidRDefault="00F62F21" w:rsidP="00F62F21">
            <w:pPr>
              <w:jc w:val="both"/>
              <w:rPr>
                <w:rFonts w:eastAsia="Calibri"/>
                <w:sz w:val="20"/>
                <w:lang w:val="fr-CA"/>
              </w:rPr>
            </w:pPr>
          </w:p>
        </w:tc>
      </w:tr>
      <w:tr w:rsidR="00F62F21" w:rsidRPr="00643997" w:rsidTr="00F62F21">
        <w:tc>
          <w:tcPr>
            <w:tcW w:w="2427" w:type="pct"/>
          </w:tcPr>
          <w:p w:rsidR="00F62F21" w:rsidRPr="00096A4B" w:rsidRDefault="00F62F21" w:rsidP="00F62F21">
            <w:pPr>
              <w:jc w:val="both"/>
              <w:rPr>
                <w:rFonts w:eastAsia="Calibri"/>
                <w:sz w:val="20"/>
                <w:lang w:val="fr-CA"/>
              </w:rPr>
            </w:pPr>
            <w:r w:rsidRPr="00096A4B">
              <w:rPr>
                <w:rFonts w:eastAsia="Calibri"/>
                <w:sz w:val="20"/>
                <w:lang w:val="fr-CA"/>
              </w:rPr>
              <w:t>Le 31 janvier 2012</w:t>
            </w:r>
          </w:p>
          <w:p w:rsidR="00F62F21" w:rsidRPr="00096A4B" w:rsidRDefault="00F62F21" w:rsidP="00F62F21">
            <w:pPr>
              <w:jc w:val="both"/>
              <w:rPr>
                <w:rFonts w:eastAsia="Calibri"/>
                <w:sz w:val="20"/>
                <w:lang w:val="fr-CA"/>
              </w:rPr>
            </w:pPr>
            <w:r w:rsidRPr="00096A4B">
              <w:rPr>
                <w:rFonts w:eastAsia="Calibri"/>
                <w:sz w:val="20"/>
                <w:lang w:val="fr-CA"/>
              </w:rPr>
              <w:t>Cour suprême du Canada</w:t>
            </w:r>
          </w:p>
        </w:tc>
        <w:tc>
          <w:tcPr>
            <w:tcW w:w="243" w:type="pct"/>
          </w:tcPr>
          <w:p w:rsidR="00F62F21" w:rsidRPr="00096A4B" w:rsidRDefault="00F62F21" w:rsidP="00F62F21">
            <w:pPr>
              <w:jc w:val="both"/>
              <w:rPr>
                <w:rFonts w:eastAsia="Calibri"/>
                <w:sz w:val="20"/>
                <w:lang w:val="fr-CA"/>
              </w:rPr>
            </w:pPr>
          </w:p>
        </w:tc>
        <w:tc>
          <w:tcPr>
            <w:tcW w:w="2330" w:type="pct"/>
          </w:tcPr>
          <w:p w:rsidR="00F62F21" w:rsidRPr="00096A4B" w:rsidRDefault="00F62F21" w:rsidP="00F62F21">
            <w:pPr>
              <w:jc w:val="both"/>
              <w:rPr>
                <w:rFonts w:eastAsia="Calibri"/>
                <w:sz w:val="20"/>
                <w:lang w:val="fr-CA"/>
              </w:rPr>
            </w:pPr>
            <w:r w:rsidRPr="00096A4B">
              <w:rPr>
                <w:rFonts w:eastAsia="Calibri"/>
                <w:sz w:val="20"/>
                <w:lang w:val="fr-CA"/>
              </w:rPr>
              <w:t>Requête en prorogation du délai de signification et dépôt d’une demande d’autorisation d’appel et demande d'autorisation d'appel déposées</w:t>
            </w:r>
          </w:p>
        </w:tc>
      </w:tr>
    </w:tbl>
    <w:p w:rsidR="00691AA0" w:rsidRPr="00F62F21" w:rsidRDefault="00691AA0" w:rsidP="008D292F">
      <w:pPr>
        <w:rPr>
          <w:sz w:val="20"/>
          <w:szCs w:val="20"/>
          <w:lang w:val="fr-CA"/>
        </w:rPr>
      </w:pPr>
    </w:p>
    <w:p w:rsidR="00691AA0" w:rsidRDefault="003B0427" w:rsidP="008D292F">
      <w:pPr>
        <w:rPr>
          <w:sz w:val="20"/>
          <w:szCs w:val="20"/>
          <w:lang w:val="fr-CA"/>
        </w:rPr>
      </w:pPr>
      <w:r w:rsidRPr="003B0427">
        <w:rPr>
          <w:sz w:val="20"/>
          <w:szCs w:val="20"/>
          <w:lang w:val="fr-CA"/>
        </w:rPr>
        <w:pict>
          <v:rect id="_x0000_i1040" style="width:2in;height:1pt" o:hrpct="0" o:hralign="center" o:hrstd="t" o:hrnoshade="t" o:hr="t" fillcolor="black [3213]" stroked="f"/>
        </w:pict>
      </w:r>
    </w:p>
    <w:p w:rsidR="00326E3D" w:rsidRDefault="00326E3D">
      <w:pPr>
        <w:rPr>
          <w:sz w:val="20"/>
          <w:szCs w:val="20"/>
          <w:lang w:val="fr-CA"/>
        </w:rPr>
      </w:pPr>
    </w:p>
    <w:p w:rsidR="00326E3D" w:rsidRDefault="00326E3D">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75B7" w:rsidRPr="008A084C" w:rsidTr="0017605E">
        <w:trPr>
          <w:cantSplit/>
        </w:trPr>
        <w:tc>
          <w:tcPr>
            <w:tcW w:w="1458" w:type="dxa"/>
          </w:tcPr>
          <w:p w:rsidR="006975B7" w:rsidRPr="008A084C" w:rsidRDefault="006975B7" w:rsidP="0017605E">
            <w:pPr>
              <w:rPr>
                <w:sz w:val="20"/>
                <w:szCs w:val="20"/>
              </w:rPr>
            </w:pPr>
            <w:r w:rsidRPr="008A084C">
              <w:rPr>
                <w:rStyle w:val="SCCFileNumberChar"/>
                <w:sz w:val="20"/>
                <w:szCs w:val="20"/>
              </w:rPr>
              <w:lastRenderedPageBreak/>
              <w:t>34466</w:t>
            </w:r>
          </w:p>
          <w:p w:rsidR="006975B7" w:rsidRPr="008A084C" w:rsidRDefault="006975B7" w:rsidP="0017605E">
            <w:pPr>
              <w:rPr>
                <w:b/>
                <w:sz w:val="20"/>
                <w:szCs w:val="20"/>
                <w:lang w:val="fr-CA"/>
              </w:rPr>
            </w:pPr>
          </w:p>
        </w:tc>
        <w:tc>
          <w:tcPr>
            <w:tcW w:w="8118" w:type="dxa"/>
          </w:tcPr>
          <w:p w:rsidR="006975B7" w:rsidRPr="008A084C" w:rsidRDefault="006975B7" w:rsidP="006975B7">
            <w:pPr>
              <w:jc w:val="both"/>
              <w:rPr>
                <w:sz w:val="20"/>
                <w:szCs w:val="20"/>
              </w:rPr>
            </w:pPr>
            <w:r w:rsidRPr="00BF3AA5">
              <w:rPr>
                <w:rStyle w:val="SCCLsocChar"/>
                <w:sz w:val="20"/>
                <w:szCs w:val="20"/>
                <w:lang w:val="en-CA"/>
              </w:rPr>
              <w:t>Cinar Corporation</w:t>
            </w:r>
            <w:r w:rsidR="00BF3AA5" w:rsidRPr="00BF3AA5">
              <w:rPr>
                <w:rStyle w:val="SCCLsocChar"/>
                <w:sz w:val="20"/>
                <w:szCs w:val="20"/>
                <w:lang w:val="en-CA"/>
              </w:rPr>
              <w:t xml:space="preserve"> and</w:t>
            </w:r>
            <w:r w:rsidRPr="00BF3AA5">
              <w:rPr>
                <w:rStyle w:val="SCCLsocChar"/>
                <w:sz w:val="20"/>
                <w:szCs w:val="20"/>
                <w:lang w:val="en-CA"/>
              </w:rPr>
              <w:t xml:space="preserve"> Films Cinar Inc. v. Claude Robinson</w:t>
            </w:r>
            <w:r w:rsidR="00BF3AA5">
              <w:rPr>
                <w:rStyle w:val="SCCLsocChar"/>
                <w:sz w:val="20"/>
                <w:szCs w:val="20"/>
                <w:lang w:val="en-CA"/>
              </w:rPr>
              <w:t xml:space="preserve"> and</w:t>
            </w:r>
            <w:r w:rsidRPr="00BF3AA5">
              <w:rPr>
                <w:rStyle w:val="SCCLsocChar"/>
                <w:sz w:val="20"/>
                <w:szCs w:val="20"/>
                <w:lang w:val="en-CA"/>
              </w:rPr>
              <w:t xml:space="preserve"> Productions Nilem Inc.</w:t>
            </w:r>
            <w:r w:rsidRPr="008A084C">
              <w:rPr>
                <w:sz w:val="20"/>
                <w:szCs w:val="20"/>
              </w:rPr>
              <w:t xml:space="preserve"> (Que.) (Civil) (By Leave)</w:t>
            </w:r>
          </w:p>
          <w:p w:rsidR="006975B7" w:rsidRPr="008A084C" w:rsidRDefault="006975B7" w:rsidP="0017605E">
            <w:pPr>
              <w:rPr>
                <w:sz w:val="20"/>
                <w:szCs w:val="20"/>
              </w:rPr>
            </w:pPr>
          </w:p>
        </w:tc>
      </w:tr>
      <w:tr w:rsidR="006975B7" w:rsidRPr="008A084C" w:rsidTr="0017605E">
        <w:trPr>
          <w:cantSplit/>
        </w:trPr>
        <w:tc>
          <w:tcPr>
            <w:tcW w:w="1458" w:type="dxa"/>
          </w:tcPr>
          <w:p w:rsidR="006975B7" w:rsidRPr="008A084C" w:rsidRDefault="006975B7" w:rsidP="0017605E">
            <w:pPr>
              <w:rPr>
                <w:sz w:val="20"/>
                <w:szCs w:val="20"/>
              </w:rPr>
            </w:pPr>
            <w:r w:rsidRPr="008A084C">
              <w:rPr>
                <w:sz w:val="20"/>
                <w:szCs w:val="20"/>
              </w:rPr>
              <w:t>Coram :</w:t>
            </w:r>
          </w:p>
        </w:tc>
        <w:tc>
          <w:tcPr>
            <w:tcW w:w="8118" w:type="dxa"/>
          </w:tcPr>
          <w:p w:rsidR="006975B7" w:rsidRPr="008A084C" w:rsidRDefault="006975B7" w:rsidP="0017605E">
            <w:pPr>
              <w:rPr>
                <w:sz w:val="20"/>
                <w:szCs w:val="20"/>
              </w:rPr>
            </w:pPr>
            <w:r w:rsidRPr="006975B7">
              <w:rPr>
                <w:rStyle w:val="SCCCoramChar"/>
                <w:sz w:val="20"/>
                <w:szCs w:val="20"/>
                <w:lang w:val="en-CA"/>
              </w:rPr>
              <w:t>LeBel, Fish and Karakatsanis JJ.</w:t>
            </w:r>
          </w:p>
          <w:p w:rsidR="006975B7" w:rsidRPr="008A084C" w:rsidRDefault="006975B7" w:rsidP="0017605E">
            <w:pPr>
              <w:rPr>
                <w:sz w:val="20"/>
                <w:szCs w:val="20"/>
                <w:u w:val="single"/>
              </w:rPr>
            </w:pPr>
          </w:p>
        </w:tc>
      </w:tr>
      <w:tr w:rsidR="006975B7" w:rsidRPr="008A084C" w:rsidTr="0017605E">
        <w:trPr>
          <w:cantSplit/>
        </w:trPr>
        <w:tc>
          <w:tcPr>
            <w:tcW w:w="9576" w:type="dxa"/>
            <w:gridSpan w:val="2"/>
          </w:tcPr>
          <w:p w:rsidR="006975B7" w:rsidRPr="008A084C" w:rsidRDefault="006975B7" w:rsidP="0017605E">
            <w:pPr>
              <w:pStyle w:val="SCCShortJudgment"/>
              <w:rPr>
                <w:szCs w:val="20"/>
                <w:lang w:val="fr-CA"/>
              </w:rPr>
            </w:pPr>
            <w:r w:rsidRPr="008A084C">
              <w:rPr>
                <w:szCs w:val="20"/>
              </w:rPr>
              <w:t xml:space="preserve">The application for leave to appeal from the judgment of the Court of Appeal of Quebec (Montréal), Numbers 500-09-020014-098, 500-09-020033-098, 500-09-020034-096 and 500-09-020035-093, 2011 QCCA 1361, dated July 20, 2011, is granted with costs in the cause. This appeal will be heard with </w:t>
            </w:r>
            <w:r w:rsidRPr="00BC3744">
              <w:rPr>
                <w:i/>
                <w:szCs w:val="20"/>
              </w:rPr>
              <w:t>Ronald A. Weinberg, et al. v. Productions Nilem Inc., et al.</w:t>
            </w:r>
            <w:r w:rsidRPr="008A084C">
              <w:rPr>
                <w:szCs w:val="20"/>
              </w:rPr>
              <w:t xml:space="preserve"> </w:t>
            </w:r>
            <w:r w:rsidRPr="008A084C">
              <w:rPr>
                <w:szCs w:val="20"/>
                <w:lang w:val="fr-CA"/>
              </w:rPr>
              <w:t xml:space="preserve">(34467), </w:t>
            </w:r>
            <w:r w:rsidRPr="00BC3744">
              <w:rPr>
                <w:i/>
                <w:szCs w:val="20"/>
                <w:lang w:val="fr-CA"/>
              </w:rPr>
              <w:t>Christophe Izard, et al. v. Claude Robinson, et al.</w:t>
            </w:r>
            <w:r w:rsidRPr="008A084C">
              <w:rPr>
                <w:szCs w:val="20"/>
                <w:lang w:val="fr-CA"/>
              </w:rPr>
              <w:t xml:space="preserve"> (34468) and </w:t>
            </w:r>
            <w:r w:rsidRPr="00BC3744">
              <w:rPr>
                <w:i/>
                <w:szCs w:val="20"/>
                <w:lang w:val="fr-CA"/>
              </w:rPr>
              <w:t>Claude Robinson, et al. v. France Animation S.A., et al.</w:t>
            </w:r>
            <w:r w:rsidRPr="008A084C">
              <w:rPr>
                <w:szCs w:val="20"/>
                <w:lang w:val="fr-CA"/>
              </w:rPr>
              <w:t xml:space="preserve"> (34469).</w:t>
            </w:r>
          </w:p>
          <w:p w:rsidR="006975B7" w:rsidRPr="008A084C" w:rsidRDefault="006975B7" w:rsidP="0017605E">
            <w:pPr>
              <w:pStyle w:val="SCCShortJudgment"/>
              <w:ind w:firstLine="0"/>
              <w:rPr>
                <w:szCs w:val="20"/>
                <w:lang w:val="fr-CA"/>
              </w:rPr>
            </w:pPr>
          </w:p>
          <w:p w:rsidR="006975B7" w:rsidRPr="008A084C" w:rsidRDefault="006975B7" w:rsidP="0017605E">
            <w:pPr>
              <w:pStyle w:val="SCCShortJudgment"/>
              <w:rPr>
                <w:szCs w:val="20"/>
              </w:rPr>
            </w:pPr>
            <w:r w:rsidRPr="008A084C">
              <w:rPr>
                <w:szCs w:val="20"/>
                <w:lang w:val="fr-CA"/>
              </w:rPr>
              <w:t xml:space="preserve">La demande d’autorisation d’appel de l’arrêt de la Cour d’appel du Québec (Montréal), numéros 500-09-020014-098, 500-09-020033-098, 500-09-020034-096 et 500-09-020035-093, 2011 QCCA 1361, daté du 20 juillet 2011, est accueillie avec dépens suivant l’issue de la cause. Cet appel sera entendu avec </w:t>
            </w:r>
            <w:r w:rsidRPr="00BC3744">
              <w:rPr>
                <w:i/>
                <w:szCs w:val="20"/>
                <w:lang w:val="fr-CA"/>
              </w:rPr>
              <w:t>Ronald A. Weinberg, et al. c. Productions Nilem Inc., et al.</w:t>
            </w:r>
            <w:r w:rsidRPr="008A084C">
              <w:rPr>
                <w:szCs w:val="20"/>
                <w:lang w:val="fr-CA"/>
              </w:rPr>
              <w:t xml:space="preserve"> (34467), </w:t>
            </w:r>
            <w:r w:rsidRPr="00BC3744">
              <w:rPr>
                <w:i/>
                <w:szCs w:val="20"/>
                <w:lang w:val="fr-CA"/>
              </w:rPr>
              <w:t>Christophe Izard, et al. c. Claude Robinson, et al.</w:t>
            </w:r>
            <w:r w:rsidRPr="008A084C">
              <w:rPr>
                <w:szCs w:val="20"/>
                <w:lang w:val="fr-CA"/>
              </w:rPr>
              <w:t xml:space="preserve"> (34468) et </w:t>
            </w:r>
            <w:r w:rsidRPr="00BC3744">
              <w:rPr>
                <w:i/>
                <w:szCs w:val="20"/>
                <w:lang w:val="fr-CA"/>
              </w:rPr>
              <w:t>Claude Robinson, et al. c. France Animation S.A., et al.</w:t>
            </w:r>
            <w:r w:rsidRPr="008A084C">
              <w:rPr>
                <w:szCs w:val="20"/>
                <w:lang w:val="fr-CA"/>
              </w:rPr>
              <w:t xml:space="preserve"> </w:t>
            </w:r>
            <w:r w:rsidRPr="008A084C">
              <w:rPr>
                <w:szCs w:val="20"/>
              </w:rPr>
              <w:t>(34469).</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36F8" w:rsidRPr="00096A4B" w:rsidTr="00970CF7">
        <w:tc>
          <w:tcPr>
            <w:tcW w:w="5000" w:type="pct"/>
            <w:gridSpan w:val="3"/>
          </w:tcPr>
          <w:p w:rsidR="001C36F8" w:rsidRPr="00096A4B" w:rsidRDefault="001C36F8" w:rsidP="00970CF7">
            <w:pPr>
              <w:jc w:val="both"/>
              <w:rPr>
                <w:rFonts w:eastAsia="Calibri"/>
                <w:sz w:val="20"/>
              </w:rPr>
            </w:pPr>
            <w:r w:rsidRPr="00096A4B">
              <w:rPr>
                <w:rFonts w:eastAsia="Calibri"/>
                <w:sz w:val="20"/>
              </w:rPr>
              <w:t xml:space="preserve">Intellectual property – </w:t>
            </w:r>
            <w:r w:rsidRPr="00096A4B">
              <w:rPr>
                <w:rFonts w:eastAsia="Calibri"/>
                <w:i/>
                <w:sz w:val="20"/>
              </w:rPr>
              <w:t>Copyright Act</w:t>
            </w:r>
            <w:r w:rsidRPr="00096A4B">
              <w:rPr>
                <w:rFonts w:eastAsia="Calibri"/>
                <w:sz w:val="20"/>
              </w:rPr>
              <w:t>, R.S.C. 1985, c. C</w:t>
            </w:r>
            <w:r w:rsidRPr="00096A4B">
              <w:rPr>
                <w:rFonts w:eastAsia="Calibri"/>
                <w:sz w:val="20"/>
              </w:rPr>
              <w:noBreakHyphen/>
              <w:t xml:space="preserve">42 – Infringement – Evidence – Steps and tests for determining whether substantial part of work reproduced within meaning of ss. 2 and 3 of </w:t>
            </w:r>
            <w:r w:rsidRPr="00096A4B">
              <w:rPr>
                <w:rFonts w:eastAsia="Calibri"/>
                <w:i/>
                <w:sz w:val="20"/>
              </w:rPr>
              <w:t>Copyright Act</w:t>
            </w:r>
            <w:r w:rsidRPr="00096A4B">
              <w:rPr>
                <w:rFonts w:eastAsia="Calibri"/>
                <w:sz w:val="20"/>
              </w:rPr>
              <w:t xml:space="preserve"> – Admissibility of expert’s testimony concerning reproduction of substantial part of work within meaning of ss. 2 and 3 of </w:t>
            </w:r>
            <w:r w:rsidRPr="00096A4B">
              <w:rPr>
                <w:rFonts w:eastAsia="Calibri"/>
                <w:i/>
                <w:sz w:val="20"/>
              </w:rPr>
              <w:t>Copyright Act</w:t>
            </w:r>
            <w:r w:rsidRPr="00096A4B">
              <w:rPr>
                <w:rFonts w:eastAsia="Calibri"/>
                <w:sz w:val="20"/>
              </w:rPr>
              <w:t xml:space="preserve"> – Civil liability in context of </w:t>
            </w:r>
            <w:r w:rsidRPr="00096A4B">
              <w:rPr>
                <w:rFonts w:eastAsia="Calibri"/>
                <w:i/>
                <w:sz w:val="20"/>
              </w:rPr>
              <w:t>Copyright Act</w:t>
            </w:r>
            <w:r w:rsidRPr="00096A4B">
              <w:rPr>
                <w:rFonts w:eastAsia="Calibri"/>
                <w:sz w:val="20"/>
              </w:rPr>
              <w:t>.</w:t>
            </w:r>
          </w:p>
        </w:tc>
      </w:tr>
      <w:tr w:rsidR="001C36F8" w:rsidRPr="00096A4B" w:rsidTr="00970CF7">
        <w:tc>
          <w:tcPr>
            <w:tcW w:w="5000" w:type="pct"/>
            <w:gridSpan w:val="3"/>
          </w:tcPr>
          <w:p w:rsidR="001C36F8" w:rsidRPr="00096A4B" w:rsidRDefault="001C36F8" w:rsidP="00970CF7">
            <w:pPr>
              <w:jc w:val="both"/>
              <w:rPr>
                <w:rFonts w:eastAsia="Calibri"/>
                <w:sz w:val="20"/>
              </w:rPr>
            </w:pPr>
          </w:p>
        </w:tc>
      </w:tr>
      <w:tr w:rsidR="001C36F8" w:rsidRPr="00096A4B" w:rsidTr="00970CF7">
        <w:tc>
          <w:tcPr>
            <w:tcW w:w="5000" w:type="pct"/>
            <w:gridSpan w:val="3"/>
          </w:tcPr>
          <w:p w:rsidR="001C36F8" w:rsidRPr="00096A4B" w:rsidRDefault="001C36F8" w:rsidP="00970CF7">
            <w:pPr>
              <w:jc w:val="both"/>
              <w:rPr>
                <w:rFonts w:eastAsia="Calibri"/>
                <w:sz w:val="20"/>
              </w:rPr>
            </w:pPr>
            <w:r w:rsidRPr="00096A4B">
              <w:rPr>
                <w:rFonts w:eastAsia="Calibri"/>
                <w:sz w:val="20"/>
              </w:rPr>
              <w:t xml:space="preserve">In 1982, Claude Robinson, an artist, drew the first sketches of the characters for a proposed children’s television services to be called </w:t>
            </w:r>
            <w:r w:rsidRPr="00096A4B">
              <w:rPr>
                <w:rFonts w:eastAsia="Calibri"/>
                <w:i/>
                <w:sz w:val="20"/>
              </w:rPr>
              <w:t>Robinson Curiosity</w:t>
            </w:r>
            <w:r w:rsidRPr="00096A4B">
              <w:rPr>
                <w:rFonts w:eastAsia="Calibri"/>
                <w:sz w:val="20"/>
              </w:rPr>
              <w:t xml:space="preserve">.  A few years later, in 1985, the Copyright Office issued a certificate of registration for </w:t>
            </w:r>
            <w:r w:rsidRPr="00096A4B">
              <w:rPr>
                <w:rFonts w:eastAsia="Calibri"/>
                <w:i/>
                <w:sz w:val="20"/>
              </w:rPr>
              <w:t>Robinson Curiosity</w:t>
            </w:r>
            <w:r w:rsidRPr="00096A4B">
              <w:rPr>
                <w:rFonts w:eastAsia="Calibri"/>
                <w:sz w:val="20"/>
              </w:rPr>
              <w:t xml:space="preserve"> listing Mr. Robinson as the author of the work and Les Productions Nilem inc. (“Nilem”), a corporation of which he was the sole shareholder, as the owner of the work.</w:t>
            </w:r>
          </w:p>
          <w:p w:rsidR="001C36F8" w:rsidRPr="00096A4B" w:rsidRDefault="001C36F8" w:rsidP="00970CF7">
            <w:pPr>
              <w:jc w:val="both"/>
              <w:rPr>
                <w:rFonts w:eastAsia="Calibri"/>
                <w:sz w:val="20"/>
              </w:rPr>
            </w:pPr>
          </w:p>
          <w:p w:rsidR="001C36F8" w:rsidRPr="00096A4B" w:rsidRDefault="001C36F8" w:rsidP="00970CF7">
            <w:pPr>
              <w:jc w:val="both"/>
              <w:rPr>
                <w:rFonts w:eastAsia="Calibri"/>
                <w:sz w:val="20"/>
              </w:rPr>
            </w:pPr>
            <w:r w:rsidRPr="00096A4B">
              <w:rPr>
                <w:rFonts w:eastAsia="Calibri"/>
                <w:sz w:val="20"/>
              </w:rPr>
              <w:t xml:space="preserve">Starting in 1985, Mr. Robinson and Nilem stepped up their efforts for the promotion and production of </w:t>
            </w:r>
            <w:r w:rsidRPr="00096A4B">
              <w:rPr>
                <w:rFonts w:eastAsia="Calibri"/>
                <w:i/>
                <w:sz w:val="20"/>
              </w:rPr>
              <w:t>Robinson Curiosity</w:t>
            </w:r>
            <w:r w:rsidRPr="00096A4B">
              <w:rPr>
                <w:rFonts w:eastAsia="Calibri"/>
                <w:sz w:val="20"/>
              </w:rPr>
              <w:t xml:space="preserve">, including with Cinar Corporation/Cinar Films Inc., but those efforts were unsuccessful for nearly 10 years.  In September 1995, however, the first episode of </w:t>
            </w:r>
            <w:r w:rsidRPr="00096A4B">
              <w:rPr>
                <w:rFonts w:eastAsia="Calibri"/>
                <w:i/>
                <w:sz w:val="20"/>
              </w:rPr>
              <w:t>Robinson Sucroe</w:t>
            </w:r>
            <w:r w:rsidRPr="00096A4B">
              <w:rPr>
                <w:rFonts w:eastAsia="Calibri"/>
                <w:sz w:val="20"/>
              </w:rPr>
              <w:t>, a work produced by Cinar Corporation/Cinar Films Inc., France Animation S.A. and Ravensburger Film + TV GmbH, was broadcast in Quebec.</w:t>
            </w:r>
          </w:p>
          <w:p w:rsidR="001C36F8" w:rsidRPr="00096A4B" w:rsidRDefault="001C36F8" w:rsidP="00970CF7">
            <w:pPr>
              <w:jc w:val="both"/>
              <w:rPr>
                <w:rFonts w:eastAsia="Calibri"/>
                <w:sz w:val="20"/>
              </w:rPr>
            </w:pPr>
          </w:p>
          <w:p w:rsidR="001C36F8" w:rsidRPr="00096A4B" w:rsidRDefault="001C36F8" w:rsidP="00970CF7">
            <w:pPr>
              <w:jc w:val="both"/>
              <w:rPr>
                <w:rFonts w:eastAsia="Calibri"/>
                <w:sz w:val="20"/>
              </w:rPr>
            </w:pPr>
            <w:r w:rsidRPr="00096A4B">
              <w:rPr>
                <w:rFonts w:eastAsia="Calibri"/>
                <w:sz w:val="20"/>
              </w:rPr>
              <w:t xml:space="preserve">Since Mr. Robinson and Nilem found similarities between their work, </w:t>
            </w:r>
            <w:r w:rsidRPr="00096A4B">
              <w:rPr>
                <w:rFonts w:eastAsia="Calibri"/>
                <w:i/>
                <w:sz w:val="20"/>
              </w:rPr>
              <w:t>Robinson Curiosity</w:t>
            </w:r>
            <w:r w:rsidRPr="00096A4B">
              <w:rPr>
                <w:rFonts w:eastAsia="Calibri"/>
                <w:sz w:val="20"/>
              </w:rPr>
              <w:t xml:space="preserve">, and the work produced as </w:t>
            </w:r>
            <w:r w:rsidRPr="00096A4B">
              <w:rPr>
                <w:rFonts w:eastAsia="Calibri"/>
                <w:i/>
                <w:sz w:val="20"/>
              </w:rPr>
              <w:t>Robinson Sucroe</w:t>
            </w:r>
            <w:r w:rsidRPr="00096A4B">
              <w:rPr>
                <w:rFonts w:eastAsia="Calibri"/>
                <w:sz w:val="20"/>
              </w:rPr>
              <w:t>, they brought an infringement action in the Quebec Superior Court, which allowed the action in part.  On appeal, the Quebec Court of Appeal upheld in part the Superior Court’s findings concerning the infringers but reduced several aspects of the monetary award made at trial, mainly on the basis of revised calculations of the profits and punitive damages.</w:t>
            </w:r>
          </w:p>
          <w:p w:rsidR="001C36F8" w:rsidRPr="00096A4B" w:rsidRDefault="001C36F8" w:rsidP="00970CF7">
            <w:pPr>
              <w:jc w:val="both"/>
              <w:rPr>
                <w:rFonts w:eastAsia="Calibri"/>
                <w:sz w:val="20"/>
              </w:rPr>
            </w:pPr>
          </w:p>
        </w:tc>
      </w:tr>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t>August 26, 2009</w:t>
            </w:r>
          </w:p>
          <w:p w:rsidR="001C36F8" w:rsidRPr="00096A4B" w:rsidRDefault="001C36F8" w:rsidP="00970CF7">
            <w:pPr>
              <w:jc w:val="both"/>
              <w:rPr>
                <w:rFonts w:eastAsia="Calibri"/>
                <w:sz w:val="20"/>
              </w:rPr>
            </w:pPr>
            <w:r w:rsidRPr="00096A4B">
              <w:rPr>
                <w:rFonts w:eastAsia="Calibri"/>
                <w:sz w:val="20"/>
              </w:rPr>
              <w:t>Quebec Superior Court (Montréal)</w:t>
            </w:r>
          </w:p>
          <w:p w:rsidR="001C36F8" w:rsidRPr="00096A4B" w:rsidRDefault="001C36F8" w:rsidP="00970CF7">
            <w:pPr>
              <w:jc w:val="both"/>
              <w:rPr>
                <w:rFonts w:eastAsia="Calibri"/>
                <w:sz w:val="20"/>
              </w:rPr>
            </w:pPr>
            <w:r w:rsidRPr="00096A4B">
              <w:rPr>
                <w:rFonts w:eastAsia="Calibri"/>
                <w:sz w:val="20"/>
              </w:rPr>
              <w:t>(Auclair J.)</w:t>
            </w:r>
          </w:p>
          <w:p w:rsidR="001C36F8" w:rsidRPr="00096A4B" w:rsidRDefault="001C36F8" w:rsidP="00970CF7">
            <w:pPr>
              <w:jc w:val="both"/>
              <w:rPr>
                <w:rFonts w:eastAsia="Calibri"/>
                <w:sz w:val="20"/>
              </w:rPr>
            </w:pPr>
            <w:r w:rsidRPr="00096A4B">
              <w:rPr>
                <w:rFonts w:eastAsia="Calibri"/>
                <w:sz w:val="20"/>
              </w:rPr>
              <w:t>C.S.Q. No. 500</w:t>
            </w:r>
            <w:r w:rsidRPr="00096A4B">
              <w:rPr>
                <w:rFonts w:eastAsia="Calibri"/>
                <w:sz w:val="20"/>
              </w:rPr>
              <w:noBreakHyphen/>
              <w:t>05</w:t>
            </w:r>
            <w:r w:rsidRPr="00096A4B">
              <w:rPr>
                <w:rFonts w:eastAsia="Calibri"/>
                <w:sz w:val="20"/>
              </w:rPr>
              <w:noBreakHyphen/>
              <w:t>021498</w:t>
            </w:r>
            <w:r w:rsidRPr="00096A4B">
              <w:rPr>
                <w:rFonts w:eastAsia="Calibri"/>
                <w:sz w:val="20"/>
              </w:rPr>
              <w:noBreakHyphen/>
              <w:t xml:space="preserve">967 </w:t>
            </w:r>
          </w:p>
          <w:p w:rsidR="001C36F8" w:rsidRPr="00096A4B" w:rsidRDefault="001C36F8" w:rsidP="00970CF7">
            <w:pPr>
              <w:jc w:val="both"/>
              <w:rPr>
                <w:rFonts w:eastAsia="Calibri"/>
                <w:sz w:val="20"/>
              </w:rPr>
            </w:pPr>
            <w:r w:rsidRPr="00096A4B">
              <w:rPr>
                <w:rFonts w:eastAsia="Calibri"/>
                <w:sz w:val="20"/>
              </w:rPr>
              <w:t>Neutral citation: 2009 QCCS 8395</w:t>
            </w:r>
          </w:p>
          <w:p w:rsidR="001C36F8" w:rsidRPr="00096A4B" w:rsidRDefault="001C36F8" w:rsidP="00970CF7">
            <w:pPr>
              <w:jc w:val="both"/>
              <w:rPr>
                <w:rFonts w:eastAsia="Calibri"/>
                <w:sz w:val="20"/>
              </w:rPr>
            </w:pP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 xml:space="preserve">Copyright infringement action under </w:t>
            </w:r>
            <w:r w:rsidRPr="00096A4B">
              <w:rPr>
                <w:rFonts w:eastAsia="Calibri"/>
                <w:i/>
                <w:sz w:val="20"/>
              </w:rPr>
              <w:t>Copyright Act</w:t>
            </w:r>
            <w:r w:rsidRPr="00096A4B">
              <w:rPr>
                <w:rFonts w:eastAsia="Calibri"/>
                <w:sz w:val="20"/>
              </w:rPr>
              <w:t>, R.S.C. 1985, c. C</w:t>
            </w:r>
            <w:r w:rsidRPr="00096A4B">
              <w:rPr>
                <w:rFonts w:eastAsia="Calibri"/>
                <w:sz w:val="20"/>
              </w:rPr>
              <w:noBreakHyphen/>
              <w:t xml:space="preserve">42, and </w:t>
            </w:r>
            <w:r w:rsidRPr="00096A4B">
              <w:rPr>
                <w:rFonts w:eastAsia="Calibri"/>
                <w:i/>
                <w:sz w:val="20"/>
              </w:rPr>
              <w:t>Civil Code of Québec</w:t>
            </w:r>
            <w:r w:rsidRPr="00096A4B">
              <w:rPr>
                <w:rFonts w:eastAsia="Calibri"/>
                <w:sz w:val="20"/>
              </w:rPr>
              <w:t xml:space="preserve"> allowed in part with award of $607,489 for copyright infringement, $1,716,804 in reimbursement of profits made from infringement, $400,000 for psychological injury, $1,000,000 in punitive damages, $1,500,000 in extrajudicial fees and expert fees</w:t>
            </w:r>
          </w:p>
          <w:p w:rsidR="001C36F8" w:rsidRPr="00096A4B" w:rsidRDefault="001C36F8" w:rsidP="00970CF7">
            <w:pPr>
              <w:jc w:val="both"/>
              <w:rPr>
                <w:rFonts w:eastAsia="Calibri"/>
                <w:sz w:val="20"/>
              </w:rPr>
            </w:pPr>
          </w:p>
        </w:tc>
      </w:tr>
      <w:tr w:rsidR="001C36F8" w:rsidRPr="00096A4B" w:rsidTr="006975B7">
        <w:trPr>
          <w:cantSplit/>
        </w:trPr>
        <w:tc>
          <w:tcPr>
            <w:tcW w:w="2427" w:type="pct"/>
          </w:tcPr>
          <w:p w:rsidR="001C36F8" w:rsidRPr="00096A4B" w:rsidRDefault="001C36F8" w:rsidP="00970CF7">
            <w:pPr>
              <w:jc w:val="both"/>
              <w:rPr>
                <w:rFonts w:eastAsia="Calibri"/>
                <w:sz w:val="20"/>
              </w:rPr>
            </w:pPr>
            <w:r w:rsidRPr="00096A4B">
              <w:rPr>
                <w:rFonts w:eastAsia="Calibri"/>
                <w:sz w:val="20"/>
              </w:rPr>
              <w:lastRenderedPageBreak/>
              <w:t>July 20, 2011</w:t>
            </w:r>
          </w:p>
          <w:p w:rsidR="001C36F8" w:rsidRPr="00096A4B" w:rsidRDefault="001C36F8" w:rsidP="00970CF7">
            <w:pPr>
              <w:jc w:val="both"/>
              <w:rPr>
                <w:rFonts w:eastAsia="Calibri"/>
                <w:sz w:val="20"/>
              </w:rPr>
            </w:pPr>
            <w:r w:rsidRPr="00096A4B">
              <w:rPr>
                <w:rFonts w:eastAsia="Calibri"/>
                <w:sz w:val="20"/>
              </w:rPr>
              <w:t>Quebec Court of Appeal (Montréal)</w:t>
            </w:r>
          </w:p>
          <w:p w:rsidR="001C36F8" w:rsidRPr="00096A4B" w:rsidRDefault="001C36F8" w:rsidP="00970CF7">
            <w:pPr>
              <w:jc w:val="both"/>
              <w:rPr>
                <w:rFonts w:eastAsia="Calibri"/>
                <w:sz w:val="20"/>
              </w:rPr>
            </w:pPr>
            <w:r w:rsidRPr="00096A4B">
              <w:rPr>
                <w:rFonts w:eastAsia="Calibri"/>
                <w:sz w:val="20"/>
              </w:rPr>
              <w:t>(Thibault, Morin and Doyon JJ.A.)</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020014</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020033</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020034</w:t>
            </w:r>
            <w:r w:rsidRPr="00096A4B">
              <w:rPr>
                <w:rFonts w:eastAsia="Calibri"/>
                <w:sz w:val="20"/>
              </w:rPr>
              <w:noBreakHyphen/>
              <w:t>096</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020035</w:t>
            </w:r>
            <w:r w:rsidRPr="00096A4B">
              <w:rPr>
                <w:rFonts w:eastAsia="Calibri"/>
                <w:sz w:val="20"/>
              </w:rPr>
              <w:noBreakHyphen/>
              <w:t>093</w:t>
            </w:r>
          </w:p>
          <w:p w:rsidR="001C36F8" w:rsidRPr="00096A4B" w:rsidRDefault="001C36F8" w:rsidP="00970CF7">
            <w:pPr>
              <w:jc w:val="both"/>
              <w:rPr>
                <w:rFonts w:eastAsia="Calibri"/>
                <w:sz w:val="20"/>
              </w:rPr>
            </w:pPr>
            <w:r w:rsidRPr="00096A4B">
              <w:rPr>
                <w:rFonts w:eastAsia="Calibri"/>
                <w:sz w:val="20"/>
              </w:rPr>
              <w:t>Neutral citation: 2011 QCCA 1361</w:t>
            </w:r>
          </w:p>
          <w:p w:rsidR="001C36F8" w:rsidRPr="00096A4B" w:rsidRDefault="001C36F8" w:rsidP="00970CF7">
            <w:pPr>
              <w:jc w:val="both"/>
              <w:rPr>
                <w:rFonts w:eastAsia="Calibri"/>
                <w:sz w:val="20"/>
              </w:rPr>
            </w:pP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 xml:space="preserve">Appeal allowed in part, upholding, </w:t>
            </w:r>
            <w:r w:rsidRPr="00096A4B">
              <w:rPr>
                <w:rFonts w:eastAsia="Calibri"/>
                <w:i/>
                <w:sz w:val="20"/>
              </w:rPr>
              <w:t>inter alia</w:t>
            </w:r>
            <w:r w:rsidRPr="00096A4B">
              <w:rPr>
                <w:rFonts w:eastAsia="Calibri"/>
                <w:sz w:val="20"/>
              </w:rPr>
              <w:t>, liability of defendants (except Christian Davin) and reducing award (apart from $1,500,000 in extrajudicial fees) to $725,839 in compensatory damages, $260,577 in reimbursement of profits and $250,000 in total punitive damages</w:t>
            </w:r>
          </w:p>
          <w:p w:rsidR="001C36F8" w:rsidRPr="00096A4B" w:rsidRDefault="001C36F8" w:rsidP="00970CF7">
            <w:pPr>
              <w:jc w:val="both"/>
              <w:rPr>
                <w:rFonts w:eastAsia="Calibri"/>
                <w:sz w:val="20"/>
              </w:rPr>
            </w:pPr>
          </w:p>
        </w:tc>
      </w:tr>
      <w:tr w:rsidR="001C36F8" w:rsidRPr="00096A4B" w:rsidTr="006975B7">
        <w:trPr>
          <w:cantSplit/>
        </w:trPr>
        <w:tc>
          <w:tcPr>
            <w:tcW w:w="2427" w:type="pct"/>
          </w:tcPr>
          <w:p w:rsidR="001C36F8" w:rsidRPr="00096A4B" w:rsidRDefault="001C36F8" w:rsidP="00970CF7">
            <w:pPr>
              <w:jc w:val="both"/>
              <w:rPr>
                <w:rFonts w:eastAsia="Calibri"/>
                <w:sz w:val="20"/>
              </w:rPr>
            </w:pPr>
            <w:r w:rsidRPr="00096A4B">
              <w:rPr>
                <w:rFonts w:eastAsia="Calibri"/>
                <w:sz w:val="20"/>
              </w:rPr>
              <w:t>September 29, 2011</w:t>
            </w:r>
          </w:p>
          <w:p w:rsidR="001C36F8" w:rsidRPr="00096A4B" w:rsidRDefault="001C36F8" w:rsidP="00970CF7">
            <w:pPr>
              <w:jc w:val="both"/>
              <w:rPr>
                <w:rFonts w:eastAsia="Calibri"/>
                <w:sz w:val="20"/>
              </w:rPr>
            </w:pPr>
            <w:r w:rsidRPr="00096A4B">
              <w:rPr>
                <w:rFonts w:eastAsia="Calibri"/>
                <w:sz w:val="20"/>
              </w:rPr>
              <w:t>Supreme Court of Canada</w:t>
            </w: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Application for leave to appeal filed</w:t>
            </w: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41"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36F8" w:rsidRPr="00643997"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 xml:space="preserve">Propriété intellectuelle – </w:t>
            </w:r>
            <w:r w:rsidRPr="00096A4B">
              <w:rPr>
                <w:rFonts w:eastAsia="Calibri"/>
                <w:i/>
                <w:sz w:val="20"/>
                <w:lang w:val="fr-CA"/>
              </w:rPr>
              <w:t>Loi sur le droit d’auteur</w:t>
            </w:r>
            <w:r w:rsidRPr="00096A4B">
              <w:rPr>
                <w:rFonts w:eastAsia="Calibri"/>
                <w:sz w:val="20"/>
                <w:lang w:val="fr-CA"/>
              </w:rPr>
              <w:t>, L.R.C. (1985), c. C</w:t>
            </w:r>
            <w:r w:rsidRPr="00096A4B">
              <w:rPr>
                <w:rFonts w:eastAsia="Calibri"/>
                <w:sz w:val="20"/>
                <w:lang w:val="fr-CA"/>
              </w:rPr>
              <w:noBreakHyphen/>
              <w:t xml:space="preserve">42 – Contrefaçon – Preuve – Étapes et critères applicables en matière de reprise d’une partie importante ou substantielle d’une œuvre au sens des articles 2 et 3 de la </w:t>
            </w:r>
            <w:r w:rsidRPr="00096A4B">
              <w:rPr>
                <w:rFonts w:eastAsia="Calibri"/>
                <w:i/>
                <w:sz w:val="20"/>
                <w:lang w:val="fr-CA"/>
              </w:rPr>
              <w:t>Loi sur le droit d’auteur</w:t>
            </w:r>
            <w:r w:rsidRPr="00096A4B">
              <w:rPr>
                <w:rFonts w:eastAsia="Calibri"/>
                <w:sz w:val="20"/>
                <w:lang w:val="fr-CA"/>
              </w:rPr>
              <w:t xml:space="preserve"> – Admissibilité du témoignage d’un expert quant à la reprise d’une partie importante ou substantielle d’une œuvre au sens des articles 2 et 3 de la </w:t>
            </w:r>
            <w:r w:rsidRPr="00096A4B">
              <w:rPr>
                <w:rFonts w:eastAsia="Calibri"/>
                <w:i/>
                <w:sz w:val="20"/>
                <w:lang w:val="fr-CA"/>
              </w:rPr>
              <w:t>Loi sur le droit d’auteur</w:t>
            </w:r>
            <w:r w:rsidRPr="00096A4B">
              <w:rPr>
                <w:rFonts w:eastAsia="Calibri"/>
                <w:sz w:val="20"/>
                <w:lang w:val="fr-CA"/>
              </w:rPr>
              <w:t xml:space="preserve"> – Responsabilité civile en marge de la </w:t>
            </w:r>
            <w:r w:rsidRPr="00096A4B">
              <w:rPr>
                <w:rFonts w:eastAsia="Calibri"/>
                <w:i/>
                <w:sz w:val="20"/>
                <w:lang w:val="fr-CA"/>
              </w:rPr>
              <w:t>Loi sur le droit d’auteur</w:t>
            </w:r>
            <w:r w:rsidRPr="00096A4B">
              <w:rPr>
                <w:rFonts w:eastAsia="Calibri"/>
                <w:sz w:val="20"/>
                <w:lang w:val="fr-CA"/>
              </w:rPr>
              <w:t>.</w:t>
            </w:r>
          </w:p>
        </w:tc>
      </w:tr>
      <w:tr w:rsidR="001C36F8" w:rsidRPr="00643997" w:rsidTr="00970CF7">
        <w:tc>
          <w:tcPr>
            <w:tcW w:w="5000" w:type="pct"/>
            <w:gridSpan w:val="3"/>
          </w:tcPr>
          <w:p w:rsidR="001C36F8" w:rsidRPr="00096A4B" w:rsidRDefault="001C36F8" w:rsidP="00970CF7">
            <w:pPr>
              <w:jc w:val="both"/>
              <w:rPr>
                <w:rFonts w:eastAsia="Calibri"/>
                <w:sz w:val="20"/>
                <w:lang w:val="fr-CA"/>
              </w:rPr>
            </w:pPr>
          </w:p>
        </w:tc>
      </w:tr>
      <w:tr w:rsidR="001C36F8" w:rsidRPr="00643997"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 xml:space="preserve">M. Claude Robinson est un artiste qui a dessiné, en 1982, les premiers croquis des personnages d’un projet de série télévisée pour enfants qui porterait le nom de </w:t>
            </w:r>
            <w:r w:rsidRPr="00096A4B">
              <w:rPr>
                <w:rFonts w:eastAsia="Calibri"/>
                <w:i/>
                <w:sz w:val="20"/>
                <w:lang w:val="fr-CA"/>
              </w:rPr>
              <w:t>Robinson Curiosité</w:t>
            </w:r>
            <w:r w:rsidRPr="00096A4B">
              <w:rPr>
                <w:rFonts w:eastAsia="Calibri"/>
                <w:sz w:val="20"/>
                <w:lang w:val="fr-CA"/>
              </w:rPr>
              <w:t xml:space="preserve">.  Quelques années plus tard, en 1985, le Bureau du droit d’auteur délivre un certificat d’enregistrement de </w:t>
            </w:r>
            <w:r w:rsidRPr="00096A4B">
              <w:rPr>
                <w:rFonts w:eastAsia="Calibri"/>
                <w:i/>
                <w:sz w:val="20"/>
                <w:lang w:val="fr-CA"/>
              </w:rPr>
              <w:t>Robinson Curiosité</w:t>
            </w:r>
            <w:r w:rsidRPr="00096A4B">
              <w:rPr>
                <w:rFonts w:eastAsia="Calibri"/>
                <w:sz w:val="20"/>
                <w:lang w:val="fr-CA"/>
              </w:rPr>
              <w:t xml:space="preserve"> indiquant que M. Robinson est l’auteur de l’œuvre et que les Productions Nilem inc. (ci</w:t>
            </w:r>
            <w:r w:rsidRPr="00096A4B">
              <w:rPr>
                <w:rFonts w:eastAsia="Calibri"/>
                <w:sz w:val="20"/>
                <w:lang w:val="fr-CA"/>
              </w:rPr>
              <w:noBreakHyphen/>
              <w:t>après « Nilem »), une société commerciale dont il est le seul actionnaire, en est le propriétaire.</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r w:rsidRPr="00096A4B">
              <w:rPr>
                <w:rFonts w:eastAsia="Calibri"/>
                <w:sz w:val="20"/>
                <w:lang w:val="fr-CA"/>
              </w:rPr>
              <w:t xml:space="preserve">À compter de 1985, M. Robinson et Nilem multiplient les démarches destinées à faire la promotion et la production de </w:t>
            </w:r>
            <w:r w:rsidRPr="00096A4B">
              <w:rPr>
                <w:rFonts w:eastAsia="Calibri"/>
                <w:i/>
                <w:sz w:val="20"/>
                <w:lang w:val="fr-CA"/>
              </w:rPr>
              <w:t>Robinson Curiosité</w:t>
            </w:r>
            <w:r w:rsidRPr="00096A4B">
              <w:rPr>
                <w:rFonts w:eastAsia="Calibri"/>
                <w:sz w:val="20"/>
                <w:lang w:val="fr-CA"/>
              </w:rPr>
              <w:t xml:space="preserve">, y compris avec Corporation Cinar/Les Films Cinar inc., mais pendant près de 10 ans, ces démarches sont infructueuses.  En septembre 1995, il y a cependant diffusion au Québec du premier épisode de </w:t>
            </w:r>
            <w:r w:rsidRPr="00096A4B">
              <w:rPr>
                <w:rFonts w:eastAsia="Calibri"/>
                <w:i/>
                <w:sz w:val="20"/>
                <w:lang w:val="fr-CA"/>
              </w:rPr>
              <w:t>Robinson Sucroë</w:t>
            </w:r>
            <w:r w:rsidRPr="00096A4B">
              <w:rPr>
                <w:rFonts w:eastAsia="Calibri"/>
                <w:sz w:val="20"/>
                <w:lang w:val="fr-CA"/>
              </w:rPr>
              <w:t>, œuvre produite par Corporation Cinar/Les Films Cinar inc., France Animation S.A et Ravensburger Film + TV GmbH.</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r w:rsidRPr="00096A4B">
              <w:rPr>
                <w:rFonts w:eastAsia="Calibri"/>
                <w:sz w:val="20"/>
                <w:lang w:val="fr-CA"/>
              </w:rPr>
              <w:t xml:space="preserve">Constatant des similitudes entre son œuvre, </w:t>
            </w:r>
            <w:r w:rsidRPr="00096A4B">
              <w:rPr>
                <w:rFonts w:eastAsia="Calibri"/>
                <w:i/>
                <w:sz w:val="20"/>
                <w:lang w:val="fr-CA"/>
              </w:rPr>
              <w:t>Robinson Curiosité</w:t>
            </w:r>
            <w:r w:rsidRPr="00096A4B">
              <w:rPr>
                <w:rFonts w:eastAsia="Calibri"/>
                <w:sz w:val="20"/>
                <w:lang w:val="fr-CA"/>
              </w:rPr>
              <w:t xml:space="preserve">, et l’œuvre produite sous le titre </w:t>
            </w:r>
            <w:r w:rsidRPr="00096A4B">
              <w:rPr>
                <w:rFonts w:eastAsia="Calibri"/>
                <w:i/>
                <w:sz w:val="20"/>
                <w:lang w:val="fr-CA"/>
              </w:rPr>
              <w:t>Robinson Sucroë</w:t>
            </w:r>
            <w:r w:rsidRPr="00096A4B">
              <w:rPr>
                <w:rFonts w:eastAsia="Calibri"/>
                <w:sz w:val="20"/>
                <w:lang w:val="fr-CA"/>
              </w:rPr>
              <w:t>, M. Robinson et Nilem intentent une action en contrefaçon devant la Cour supérieure du Québec, laquelle accueille l’action en partie.  En appel de cette cause, la Cour d’appel du Québec confirme en partie les conclusions de la Cour supérieure quant aux contrefacteurs mais révise à la baisse plusieurs aspects de la condamnation pécuniaire ordonnée en première instance, principalement sur la base de calculs révisés des profits et des dommages punitifs.</w:t>
            </w:r>
          </w:p>
          <w:p w:rsidR="001C36F8" w:rsidRPr="00096A4B" w:rsidRDefault="001C36F8" w:rsidP="00970CF7">
            <w:pPr>
              <w:jc w:val="both"/>
              <w:rPr>
                <w:rFonts w:eastAsia="Calibri"/>
                <w:sz w:val="20"/>
                <w:lang w:val="fr-CA"/>
              </w:rPr>
            </w:pPr>
          </w:p>
        </w:tc>
      </w:tr>
      <w:tr w:rsidR="001C36F8" w:rsidRPr="00643997"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t>Le 26 août 2009</w:t>
            </w:r>
          </w:p>
          <w:p w:rsidR="001C36F8" w:rsidRPr="00096A4B" w:rsidRDefault="001C36F8" w:rsidP="00970CF7">
            <w:pPr>
              <w:jc w:val="both"/>
              <w:rPr>
                <w:rFonts w:eastAsia="Calibri"/>
                <w:sz w:val="20"/>
                <w:lang w:val="fr-CA"/>
              </w:rPr>
            </w:pPr>
            <w:r w:rsidRPr="00096A4B">
              <w:rPr>
                <w:rFonts w:eastAsia="Calibri"/>
                <w:sz w:val="20"/>
                <w:lang w:val="fr-CA"/>
              </w:rPr>
              <w:t>Cour supérieure du Québec (Montréal)</w:t>
            </w:r>
          </w:p>
          <w:p w:rsidR="001C36F8" w:rsidRPr="00096A4B" w:rsidRDefault="001C36F8" w:rsidP="00970CF7">
            <w:pPr>
              <w:jc w:val="both"/>
              <w:rPr>
                <w:rFonts w:eastAsia="Calibri"/>
                <w:sz w:val="20"/>
                <w:lang w:val="fr-CA"/>
              </w:rPr>
            </w:pPr>
            <w:r w:rsidRPr="00096A4B">
              <w:rPr>
                <w:rFonts w:eastAsia="Calibri"/>
                <w:sz w:val="20"/>
                <w:lang w:val="fr-CA"/>
              </w:rPr>
              <w:t>(Le juge Auclair)</w:t>
            </w:r>
          </w:p>
          <w:p w:rsidR="001C36F8" w:rsidRPr="00096A4B" w:rsidRDefault="001C36F8" w:rsidP="00970CF7">
            <w:pPr>
              <w:jc w:val="both"/>
              <w:rPr>
                <w:rFonts w:eastAsia="Calibri"/>
                <w:sz w:val="20"/>
                <w:lang w:val="fr-CA"/>
              </w:rPr>
            </w:pPr>
            <w:r w:rsidRPr="00096A4B">
              <w:rPr>
                <w:rFonts w:eastAsia="Calibri"/>
                <w:sz w:val="20"/>
                <w:lang w:val="fr-CA"/>
              </w:rPr>
              <w:t>C.S.Q. No. 500</w:t>
            </w:r>
            <w:r w:rsidRPr="00096A4B">
              <w:rPr>
                <w:rFonts w:eastAsia="Calibri"/>
                <w:sz w:val="20"/>
                <w:lang w:val="fr-CA"/>
              </w:rPr>
              <w:noBreakHyphen/>
              <w:t>05</w:t>
            </w:r>
            <w:r w:rsidRPr="00096A4B">
              <w:rPr>
                <w:rFonts w:eastAsia="Calibri"/>
                <w:sz w:val="20"/>
                <w:lang w:val="fr-CA"/>
              </w:rPr>
              <w:noBreakHyphen/>
              <w:t>021498</w:t>
            </w:r>
            <w:r w:rsidRPr="00096A4B">
              <w:rPr>
                <w:rFonts w:eastAsia="Calibri"/>
                <w:sz w:val="20"/>
                <w:lang w:val="fr-CA"/>
              </w:rPr>
              <w:noBreakHyphen/>
              <w:t xml:space="preserve">967 </w:t>
            </w:r>
          </w:p>
          <w:p w:rsidR="001C36F8" w:rsidRPr="00096A4B" w:rsidRDefault="001C36F8" w:rsidP="00970CF7">
            <w:pPr>
              <w:jc w:val="both"/>
              <w:rPr>
                <w:rFonts w:eastAsia="Calibri"/>
                <w:sz w:val="20"/>
                <w:lang w:val="fr-CA"/>
              </w:rPr>
            </w:pPr>
            <w:r w:rsidRPr="00096A4B">
              <w:rPr>
                <w:rFonts w:eastAsia="Calibri"/>
                <w:sz w:val="20"/>
                <w:lang w:val="fr-CA"/>
              </w:rPr>
              <w:t>Référence neutre : 2009 QCCS 8395</w:t>
            </w:r>
          </w:p>
          <w:p w:rsidR="001C36F8" w:rsidRPr="00096A4B" w:rsidRDefault="001C36F8" w:rsidP="00970CF7">
            <w:pPr>
              <w:jc w:val="both"/>
              <w:rPr>
                <w:rFonts w:eastAsia="Calibri"/>
                <w:sz w:val="20"/>
                <w:lang w:val="fr-CA"/>
              </w:rPr>
            </w:pP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 xml:space="preserve">Action en contrefaçon de droits d’auteur en vertu de la </w:t>
            </w:r>
            <w:r w:rsidRPr="00096A4B">
              <w:rPr>
                <w:rFonts w:eastAsia="Calibri"/>
                <w:i/>
                <w:sz w:val="20"/>
                <w:lang w:val="fr-CA"/>
              </w:rPr>
              <w:t>Loi sur le droit d’auteur</w:t>
            </w:r>
            <w:r w:rsidRPr="00096A4B">
              <w:rPr>
                <w:rFonts w:eastAsia="Calibri"/>
                <w:sz w:val="20"/>
                <w:lang w:val="fr-CA"/>
              </w:rPr>
              <w:t>, L.R.C. (1985), c. C</w:t>
            </w:r>
            <w:r w:rsidRPr="00096A4B">
              <w:rPr>
                <w:rFonts w:eastAsia="Calibri"/>
                <w:sz w:val="20"/>
                <w:lang w:val="fr-CA"/>
              </w:rPr>
              <w:noBreakHyphen/>
              <w:t xml:space="preserve">42 et du </w:t>
            </w:r>
            <w:r w:rsidRPr="00096A4B">
              <w:rPr>
                <w:rFonts w:eastAsia="Calibri"/>
                <w:i/>
                <w:sz w:val="20"/>
                <w:lang w:val="fr-CA"/>
              </w:rPr>
              <w:t>Code civil du Québec</w:t>
            </w:r>
            <w:r w:rsidRPr="00096A4B">
              <w:rPr>
                <w:rFonts w:eastAsia="Calibri"/>
                <w:sz w:val="20"/>
                <w:lang w:val="fr-CA"/>
              </w:rPr>
              <w:t xml:space="preserve"> accueillie en partie avec condamnation au montant de 607 489 $ pour la violation du droit d’auteur, 1 716 804 $ pour le remboursement des profits réalisés à la suite de la contrefaçon, 400 000 $ pour le préjudice psychologique, 1 000 000 $ à titre de dommages punitifs, 1 500 000 $ pour les honoraires extrajudiciaires, de même que les frais d’experts.</w:t>
            </w:r>
          </w:p>
          <w:p w:rsidR="001C36F8" w:rsidRPr="00096A4B" w:rsidRDefault="001C36F8" w:rsidP="00970CF7">
            <w:pPr>
              <w:jc w:val="both"/>
              <w:rPr>
                <w:rFonts w:eastAsia="Calibri"/>
                <w:sz w:val="20"/>
                <w:lang w:val="fr-CA"/>
              </w:rPr>
            </w:pPr>
          </w:p>
        </w:tc>
      </w:tr>
      <w:tr w:rsidR="001C36F8" w:rsidRPr="00643997" w:rsidTr="006975B7">
        <w:trPr>
          <w:cantSplit/>
        </w:trPr>
        <w:tc>
          <w:tcPr>
            <w:tcW w:w="2427" w:type="pct"/>
          </w:tcPr>
          <w:p w:rsidR="001C36F8" w:rsidRPr="00096A4B" w:rsidRDefault="001C36F8" w:rsidP="00970CF7">
            <w:pPr>
              <w:jc w:val="both"/>
              <w:rPr>
                <w:rFonts w:eastAsia="Calibri"/>
                <w:sz w:val="20"/>
                <w:lang w:val="fr-CA"/>
              </w:rPr>
            </w:pPr>
            <w:r w:rsidRPr="00096A4B">
              <w:rPr>
                <w:rFonts w:eastAsia="Calibri"/>
                <w:sz w:val="20"/>
                <w:lang w:val="fr-CA"/>
              </w:rPr>
              <w:lastRenderedPageBreak/>
              <w:t>Le 20 juillet 2011</w:t>
            </w:r>
          </w:p>
          <w:p w:rsidR="001C36F8" w:rsidRPr="00096A4B" w:rsidRDefault="001C36F8" w:rsidP="00970CF7">
            <w:pPr>
              <w:jc w:val="both"/>
              <w:rPr>
                <w:rFonts w:eastAsia="Calibri"/>
                <w:sz w:val="20"/>
                <w:lang w:val="fr-CA"/>
              </w:rPr>
            </w:pPr>
            <w:r w:rsidRPr="00096A4B">
              <w:rPr>
                <w:rFonts w:eastAsia="Calibri"/>
                <w:sz w:val="20"/>
                <w:lang w:val="fr-CA"/>
              </w:rPr>
              <w:t>Cour d’appel du Québec (Montréal)</w:t>
            </w:r>
          </w:p>
          <w:p w:rsidR="001C36F8" w:rsidRPr="00096A4B" w:rsidRDefault="001C36F8" w:rsidP="00970CF7">
            <w:pPr>
              <w:jc w:val="both"/>
              <w:rPr>
                <w:rFonts w:eastAsia="Calibri"/>
                <w:sz w:val="20"/>
                <w:lang w:val="fr-CA"/>
              </w:rPr>
            </w:pPr>
            <w:r w:rsidRPr="00096A4B">
              <w:rPr>
                <w:rFonts w:eastAsia="Calibri"/>
                <w:sz w:val="20"/>
                <w:lang w:val="fr-CA"/>
              </w:rPr>
              <w:t>(Les juges Thibault, Morin et Doyon)</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020014</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020033</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020034</w:t>
            </w:r>
            <w:r w:rsidRPr="00096A4B">
              <w:rPr>
                <w:rFonts w:eastAsia="Calibri"/>
                <w:sz w:val="20"/>
              </w:rPr>
              <w:noBreakHyphen/>
              <w:t>096</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020035</w:t>
            </w:r>
            <w:r w:rsidRPr="00096A4B">
              <w:rPr>
                <w:rFonts w:eastAsia="Calibri"/>
                <w:sz w:val="20"/>
              </w:rPr>
              <w:noBreakHyphen/>
              <w:t>093</w:t>
            </w:r>
          </w:p>
          <w:p w:rsidR="001C36F8" w:rsidRPr="00096A4B" w:rsidRDefault="001C36F8" w:rsidP="00970CF7">
            <w:pPr>
              <w:jc w:val="both"/>
              <w:rPr>
                <w:rFonts w:eastAsia="Calibri"/>
                <w:sz w:val="20"/>
              </w:rPr>
            </w:pPr>
            <w:r w:rsidRPr="00096A4B">
              <w:rPr>
                <w:rFonts w:eastAsia="Calibri"/>
                <w:sz w:val="20"/>
              </w:rPr>
              <w:t>Référence neutre : 2011 QCCA 1361</w:t>
            </w:r>
          </w:p>
          <w:p w:rsidR="001C36F8" w:rsidRPr="00096A4B" w:rsidRDefault="001C36F8" w:rsidP="00970CF7">
            <w:pPr>
              <w:jc w:val="both"/>
              <w:rPr>
                <w:rFonts w:eastAsia="Calibri"/>
                <w:sz w:val="20"/>
                <w:lang w:val="fr-CA"/>
              </w:rPr>
            </w:pP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 xml:space="preserve">Appel accueilli en partie, confirmant </w:t>
            </w:r>
            <w:r w:rsidRPr="00096A4B">
              <w:rPr>
                <w:rFonts w:eastAsia="Calibri"/>
                <w:i/>
                <w:sz w:val="20"/>
                <w:lang w:val="fr-CA"/>
              </w:rPr>
              <w:t>inter alia</w:t>
            </w:r>
            <w:r w:rsidRPr="00096A4B">
              <w:rPr>
                <w:rFonts w:eastAsia="Calibri"/>
                <w:sz w:val="20"/>
                <w:lang w:val="fr-CA"/>
              </w:rPr>
              <w:t xml:space="preserve"> la responsabilité des défendeurs (à l’exception de Christian Davin) et révisant à la baisse le montant de la condamnation à savoir, outre les honoraires extrajudiciaires de 1 500 000 $, des dommages</w:t>
            </w:r>
            <w:r w:rsidRPr="00096A4B">
              <w:rPr>
                <w:rFonts w:eastAsia="Calibri"/>
                <w:sz w:val="20"/>
                <w:lang w:val="fr-CA"/>
              </w:rPr>
              <w:noBreakHyphen/>
              <w:t>intérêts compensatoires totalisant 725 839 $, le remboursement des profits au montant de 260 577 $ et des dommages punitifs globaux de 250 000 $.</w:t>
            </w:r>
          </w:p>
          <w:p w:rsidR="001C36F8" w:rsidRPr="00096A4B" w:rsidRDefault="001C36F8" w:rsidP="00970CF7">
            <w:pPr>
              <w:jc w:val="both"/>
              <w:rPr>
                <w:rFonts w:eastAsia="Calibri"/>
                <w:sz w:val="20"/>
                <w:lang w:val="fr-CA"/>
              </w:rPr>
            </w:pPr>
          </w:p>
        </w:tc>
      </w:tr>
      <w:tr w:rsidR="001C36F8" w:rsidRPr="00096A4B" w:rsidTr="006975B7">
        <w:trPr>
          <w:cantSplit/>
        </w:trPr>
        <w:tc>
          <w:tcPr>
            <w:tcW w:w="2427" w:type="pct"/>
          </w:tcPr>
          <w:p w:rsidR="001C36F8" w:rsidRPr="00096A4B" w:rsidRDefault="001C36F8" w:rsidP="00970CF7">
            <w:pPr>
              <w:jc w:val="both"/>
              <w:rPr>
                <w:rFonts w:eastAsia="Calibri"/>
                <w:sz w:val="20"/>
                <w:lang w:val="fr-CA"/>
              </w:rPr>
            </w:pPr>
            <w:r w:rsidRPr="00096A4B">
              <w:rPr>
                <w:rFonts w:eastAsia="Calibri"/>
                <w:sz w:val="20"/>
                <w:lang w:val="fr-CA"/>
              </w:rPr>
              <w:t>Le 29 septembre 2011</w:t>
            </w:r>
          </w:p>
          <w:p w:rsidR="001C36F8" w:rsidRPr="00096A4B" w:rsidRDefault="001C36F8" w:rsidP="00970CF7">
            <w:pPr>
              <w:jc w:val="both"/>
              <w:rPr>
                <w:rFonts w:eastAsia="Calibri"/>
                <w:sz w:val="20"/>
                <w:lang w:val="fr-CA"/>
              </w:rPr>
            </w:pPr>
            <w:r w:rsidRPr="00096A4B">
              <w:rPr>
                <w:rFonts w:eastAsia="Calibri"/>
                <w:sz w:val="20"/>
                <w:lang w:val="fr-CA"/>
              </w:rPr>
              <w:t>Cour suprême du Canada</w:t>
            </w: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rPr>
            </w:pPr>
            <w:r w:rsidRPr="00096A4B">
              <w:rPr>
                <w:rFonts w:eastAsia="Calibri"/>
                <w:sz w:val="20"/>
              </w:rPr>
              <w:t>Demande d'autorisation d'appel déposée</w:t>
            </w: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42"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75B7" w:rsidRPr="00643997" w:rsidTr="0017605E">
        <w:trPr>
          <w:cantSplit/>
        </w:trPr>
        <w:tc>
          <w:tcPr>
            <w:tcW w:w="1458" w:type="dxa"/>
          </w:tcPr>
          <w:p w:rsidR="006975B7" w:rsidRPr="008A084C" w:rsidRDefault="006975B7" w:rsidP="0017605E">
            <w:pPr>
              <w:rPr>
                <w:sz w:val="20"/>
                <w:szCs w:val="20"/>
              </w:rPr>
            </w:pPr>
            <w:r w:rsidRPr="008A084C">
              <w:rPr>
                <w:rStyle w:val="SCCFileNumberChar"/>
                <w:sz w:val="20"/>
                <w:szCs w:val="20"/>
              </w:rPr>
              <w:t>34467</w:t>
            </w:r>
          </w:p>
          <w:p w:rsidR="006975B7" w:rsidRPr="008A084C" w:rsidRDefault="006975B7" w:rsidP="0017605E">
            <w:pPr>
              <w:rPr>
                <w:b/>
                <w:sz w:val="20"/>
                <w:szCs w:val="20"/>
                <w:lang w:val="fr-CA"/>
              </w:rPr>
            </w:pPr>
          </w:p>
        </w:tc>
        <w:tc>
          <w:tcPr>
            <w:tcW w:w="8118" w:type="dxa"/>
          </w:tcPr>
          <w:p w:rsidR="006975B7" w:rsidRPr="008A084C" w:rsidRDefault="006975B7" w:rsidP="006975B7">
            <w:pPr>
              <w:jc w:val="both"/>
              <w:rPr>
                <w:sz w:val="20"/>
                <w:szCs w:val="20"/>
                <w:lang w:val="fr-CA"/>
              </w:rPr>
            </w:pPr>
            <w:r w:rsidRPr="008A084C">
              <w:rPr>
                <w:rStyle w:val="SCCLsocChar"/>
                <w:sz w:val="20"/>
                <w:szCs w:val="20"/>
              </w:rPr>
              <w:t>Ronald A. Weinberg</w:t>
            </w:r>
            <w:r w:rsidR="002B2052">
              <w:rPr>
                <w:rStyle w:val="SCCLsocChar"/>
                <w:sz w:val="20"/>
                <w:szCs w:val="20"/>
              </w:rPr>
              <w:t xml:space="preserve"> et</w:t>
            </w:r>
            <w:r w:rsidRPr="008A084C">
              <w:rPr>
                <w:rStyle w:val="SCCLsocChar"/>
                <w:sz w:val="20"/>
                <w:szCs w:val="20"/>
              </w:rPr>
              <w:t xml:space="preserve"> Ronald A. Weinberg, en qualité d'unique liquidateur de la succession de feu Micheline Charest c. Productions Nilem Inc.</w:t>
            </w:r>
            <w:r w:rsidR="002B2052">
              <w:rPr>
                <w:rStyle w:val="SCCLsocChar"/>
                <w:sz w:val="20"/>
                <w:szCs w:val="20"/>
              </w:rPr>
              <w:t xml:space="preserve"> et</w:t>
            </w:r>
            <w:r w:rsidRPr="008A084C">
              <w:rPr>
                <w:rStyle w:val="SCCLsocChar"/>
                <w:sz w:val="20"/>
                <w:szCs w:val="20"/>
              </w:rPr>
              <w:t xml:space="preserve"> Claude Robinson</w:t>
            </w:r>
            <w:r w:rsidRPr="008A084C">
              <w:rPr>
                <w:sz w:val="20"/>
                <w:szCs w:val="20"/>
                <w:lang w:val="fr-CA"/>
              </w:rPr>
              <w:t xml:space="preserve"> (Qc) (Civile) (Autorisation)</w:t>
            </w:r>
          </w:p>
          <w:p w:rsidR="006975B7" w:rsidRPr="008A084C" w:rsidRDefault="006975B7" w:rsidP="0017605E">
            <w:pPr>
              <w:rPr>
                <w:sz w:val="20"/>
                <w:szCs w:val="20"/>
                <w:lang w:val="fr-CA"/>
              </w:rPr>
            </w:pPr>
          </w:p>
        </w:tc>
      </w:tr>
      <w:tr w:rsidR="006975B7" w:rsidRPr="00643997" w:rsidTr="0017605E">
        <w:trPr>
          <w:cantSplit/>
        </w:trPr>
        <w:tc>
          <w:tcPr>
            <w:tcW w:w="1458" w:type="dxa"/>
          </w:tcPr>
          <w:p w:rsidR="006975B7" w:rsidRPr="008A084C" w:rsidRDefault="006975B7" w:rsidP="0017605E">
            <w:pPr>
              <w:rPr>
                <w:sz w:val="20"/>
                <w:szCs w:val="20"/>
              </w:rPr>
            </w:pPr>
            <w:r w:rsidRPr="008A084C">
              <w:rPr>
                <w:sz w:val="20"/>
                <w:szCs w:val="20"/>
              </w:rPr>
              <w:t>Coram :</w:t>
            </w:r>
          </w:p>
        </w:tc>
        <w:tc>
          <w:tcPr>
            <w:tcW w:w="8118" w:type="dxa"/>
          </w:tcPr>
          <w:p w:rsidR="006975B7" w:rsidRPr="008A084C" w:rsidRDefault="006975B7" w:rsidP="0017605E">
            <w:pPr>
              <w:rPr>
                <w:sz w:val="20"/>
                <w:szCs w:val="20"/>
                <w:lang w:val="fr-CA"/>
              </w:rPr>
            </w:pPr>
            <w:r w:rsidRPr="008A084C">
              <w:rPr>
                <w:rStyle w:val="SCCCoramChar"/>
                <w:sz w:val="20"/>
                <w:szCs w:val="20"/>
              </w:rPr>
              <w:t>Les juges LeBel, Fish et Karakatsanis</w:t>
            </w:r>
          </w:p>
          <w:p w:rsidR="006975B7" w:rsidRPr="008A084C" w:rsidRDefault="006975B7" w:rsidP="0017605E">
            <w:pPr>
              <w:rPr>
                <w:sz w:val="20"/>
                <w:szCs w:val="20"/>
                <w:u w:val="single"/>
                <w:lang w:val="fr-CA"/>
              </w:rPr>
            </w:pPr>
          </w:p>
        </w:tc>
      </w:tr>
      <w:tr w:rsidR="006975B7" w:rsidRPr="00711CD7" w:rsidTr="0017605E">
        <w:trPr>
          <w:cantSplit/>
        </w:trPr>
        <w:tc>
          <w:tcPr>
            <w:tcW w:w="9576" w:type="dxa"/>
            <w:gridSpan w:val="2"/>
          </w:tcPr>
          <w:p w:rsidR="006975B7" w:rsidRPr="008A084C" w:rsidRDefault="006975B7" w:rsidP="0017605E">
            <w:pPr>
              <w:pStyle w:val="SCCShortJudgment"/>
              <w:rPr>
                <w:szCs w:val="20"/>
              </w:rPr>
            </w:pPr>
            <w:r w:rsidRPr="008A084C">
              <w:rPr>
                <w:szCs w:val="20"/>
                <w:lang w:val="fr-CA"/>
              </w:rPr>
              <w:t xml:space="preserve">La demande d’autorisation d’appel de l’arrêt de la Cour d’appel du Québec (Montréal), numéros 500-09-020014-098, 500-09-020033-098, 500-09-020034-096 et 500-09-020035-093, 2011 QCCA 1361, daté du 20 juillet 2011, est accueillie avec dépens suivant l’issue de la cause. Cet appel sera entendu avec </w:t>
            </w:r>
            <w:r w:rsidRPr="002B2052">
              <w:rPr>
                <w:i/>
                <w:szCs w:val="20"/>
                <w:lang w:val="fr-CA"/>
              </w:rPr>
              <w:t>Cinar Corporation, et al. c. Claude Robinson, et al.</w:t>
            </w:r>
            <w:r w:rsidRPr="008A084C">
              <w:rPr>
                <w:szCs w:val="20"/>
                <w:lang w:val="fr-CA"/>
              </w:rPr>
              <w:t xml:space="preserve"> (34466), </w:t>
            </w:r>
            <w:r w:rsidRPr="002B2052">
              <w:rPr>
                <w:i/>
                <w:szCs w:val="20"/>
                <w:lang w:val="fr-CA"/>
              </w:rPr>
              <w:t>Christophe Izard, et al. c. Claude Robinson, et al.</w:t>
            </w:r>
            <w:r w:rsidRPr="008A084C">
              <w:rPr>
                <w:szCs w:val="20"/>
                <w:lang w:val="fr-CA"/>
              </w:rPr>
              <w:t xml:space="preserve"> (34468) et </w:t>
            </w:r>
            <w:r w:rsidRPr="002B2052">
              <w:rPr>
                <w:i/>
                <w:szCs w:val="20"/>
                <w:lang w:val="fr-CA"/>
              </w:rPr>
              <w:t>Claude Robinson, et</w:t>
            </w:r>
            <w:r w:rsidR="00711CD7">
              <w:rPr>
                <w:i/>
                <w:szCs w:val="20"/>
                <w:lang w:val="fr-CA"/>
              </w:rPr>
              <w:t> </w:t>
            </w:r>
            <w:r w:rsidRPr="002B2052">
              <w:rPr>
                <w:i/>
                <w:szCs w:val="20"/>
                <w:lang w:val="fr-CA"/>
              </w:rPr>
              <w:t xml:space="preserve">al. c. France Animation S.A., et al. </w:t>
            </w:r>
            <w:r w:rsidRPr="00142E0F">
              <w:rPr>
                <w:szCs w:val="20"/>
              </w:rPr>
              <w:t>(34469)</w:t>
            </w:r>
            <w:r w:rsidRPr="008A084C">
              <w:rPr>
                <w:szCs w:val="20"/>
              </w:rPr>
              <w:t>.</w:t>
            </w:r>
          </w:p>
          <w:p w:rsidR="006975B7" w:rsidRPr="008A084C" w:rsidRDefault="006975B7" w:rsidP="0017605E">
            <w:pPr>
              <w:pStyle w:val="SCCShortJudgment"/>
              <w:ind w:firstLine="0"/>
              <w:rPr>
                <w:szCs w:val="20"/>
              </w:rPr>
            </w:pPr>
          </w:p>
          <w:p w:rsidR="006975B7" w:rsidRPr="00711CD7" w:rsidRDefault="006975B7" w:rsidP="00711CD7">
            <w:pPr>
              <w:pStyle w:val="SCCShortJudgment"/>
              <w:rPr>
                <w:szCs w:val="20"/>
                <w:lang w:val="fr-CA"/>
              </w:rPr>
            </w:pPr>
            <w:r w:rsidRPr="008A084C">
              <w:rPr>
                <w:szCs w:val="20"/>
              </w:rPr>
              <w:t xml:space="preserve">The application for leave to appeal from the judgment of the Court of Appeal of Quebec (Montréal), Numbers 500-09-020014-098, 500-09-020033-098, 500-09-020034-096 and 500-09-020035-093, 2011 QCCA 1361, dated July 20, 2011, is granted with costs in the cause. This appeal will be heard with </w:t>
            </w:r>
            <w:r w:rsidRPr="002B2052">
              <w:rPr>
                <w:i/>
                <w:szCs w:val="20"/>
              </w:rPr>
              <w:t>Cinar Corporation, et al. v. Claude Robinson, et al.</w:t>
            </w:r>
            <w:r w:rsidRPr="008A084C">
              <w:rPr>
                <w:szCs w:val="20"/>
              </w:rPr>
              <w:t xml:space="preserve"> </w:t>
            </w:r>
            <w:r w:rsidRPr="008A084C">
              <w:rPr>
                <w:szCs w:val="20"/>
                <w:lang w:val="fr-CA"/>
              </w:rPr>
              <w:t xml:space="preserve">(34466), </w:t>
            </w:r>
            <w:r w:rsidRPr="002B2052">
              <w:rPr>
                <w:i/>
                <w:szCs w:val="20"/>
                <w:lang w:val="fr-CA"/>
              </w:rPr>
              <w:t>Christophe Izard, et al. v. Claude Robinson, et al.</w:t>
            </w:r>
            <w:r w:rsidRPr="008A084C">
              <w:rPr>
                <w:szCs w:val="20"/>
                <w:lang w:val="fr-CA"/>
              </w:rPr>
              <w:t xml:space="preserve"> (34468) and </w:t>
            </w:r>
            <w:r w:rsidRPr="002B2052">
              <w:rPr>
                <w:i/>
                <w:szCs w:val="20"/>
                <w:lang w:val="fr-CA"/>
              </w:rPr>
              <w:t>Claude Robinson, et</w:t>
            </w:r>
            <w:r w:rsidR="00711CD7">
              <w:rPr>
                <w:i/>
                <w:szCs w:val="20"/>
                <w:lang w:val="fr-CA"/>
              </w:rPr>
              <w:t> </w:t>
            </w:r>
            <w:r w:rsidRPr="002B2052">
              <w:rPr>
                <w:i/>
                <w:szCs w:val="20"/>
                <w:lang w:val="fr-CA"/>
              </w:rPr>
              <w:t>al. v. France Animation S.A., et al.</w:t>
            </w:r>
            <w:r w:rsidRPr="008A084C">
              <w:rPr>
                <w:szCs w:val="20"/>
                <w:lang w:val="fr-CA"/>
              </w:rPr>
              <w:t xml:space="preserve"> </w:t>
            </w:r>
            <w:r w:rsidRPr="00711CD7">
              <w:rPr>
                <w:szCs w:val="20"/>
                <w:lang w:val="fr-CA"/>
              </w:rPr>
              <w:t>(34469).</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36F8" w:rsidRPr="00096A4B" w:rsidTr="00970CF7">
        <w:tc>
          <w:tcPr>
            <w:tcW w:w="5000" w:type="pct"/>
            <w:gridSpan w:val="3"/>
          </w:tcPr>
          <w:p w:rsidR="001C36F8" w:rsidRPr="00096A4B" w:rsidRDefault="001C36F8" w:rsidP="00970CF7">
            <w:pPr>
              <w:jc w:val="both"/>
              <w:rPr>
                <w:rFonts w:eastAsia="Calibri"/>
                <w:sz w:val="20"/>
              </w:rPr>
            </w:pPr>
            <w:r w:rsidRPr="00096A4B">
              <w:rPr>
                <w:rFonts w:eastAsia="Calibri"/>
                <w:sz w:val="20"/>
              </w:rPr>
              <w:t xml:space="preserve">Intellectual property – </w:t>
            </w:r>
            <w:r w:rsidRPr="00096A4B">
              <w:rPr>
                <w:rFonts w:eastAsia="Calibri"/>
                <w:i/>
                <w:sz w:val="20"/>
              </w:rPr>
              <w:t>Copyright Act</w:t>
            </w:r>
            <w:r w:rsidRPr="00096A4B">
              <w:rPr>
                <w:rFonts w:eastAsia="Calibri"/>
                <w:sz w:val="20"/>
              </w:rPr>
              <w:t>, R.S.C. 1985, c. C</w:t>
            </w:r>
            <w:r w:rsidRPr="00096A4B">
              <w:rPr>
                <w:rFonts w:eastAsia="Calibri"/>
                <w:sz w:val="20"/>
              </w:rPr>
              <w:noBreakHyphen/>
              <w:t xml:space="preserve">42 – Infringement – Evidence – Steps and tests for determining whether substantial part of work reproduced within meaning of ss. 2 and 3 of </w:t>
            </w:r>
            <w:r w:rsidRPr="00096A4B">
              <w:rPr>
                <w:rFonts w:eastAsia="Calibri"/>
                <w:i/>
                <w:sz w:val="20"/>
              </w:rPr>
              <w:t>Copyright Act</w:t>
            </w:r>
            <w:r w:rsidRPr="00096A4B">
              <w:rPr>
                <w:rFonts w:eastAsia="Calibri"/>
                <w:sz w:val="20"/>
              </w:rPr>
              <w:t xml:space="preserve"> – Admissibility of expert’s testimony concerning reproduction of substantial part of work within meaning of ss. 2 and 3 of </w:t>
            </w:r>
            <w:r w:rsidRPr="00096A4B">
              <w:rPr>
                <w:rFonts w:eastAsia="Calibri"/>
                <w:i/>
                <w:sz w:val="20"/>
              </w:rPr>
              <w:t>Copyright Act</w:t>
            </w:r>
            <w:r w:rsidRPr="00096A4B">
              <w:rPr>
                <w:rFonts w:eastAsia="Calibri"/>
                <w:sz w:val="20"/>
              </w:rPr>
              <w:t xml:space="preserve"> – Tests for assignment of copyright within meaning of s. 13(4) of </w:t>
            </w:r>
            <w:r w:rsidRPr="00096A4B">
              <w:rPr>
                <w:rFonts w:eastAsia="Calibri"/>
                <w:i/>
                <w:sz w:val="20"/>
              </w:rPr>
              <w:t>Copyright Act</w:t>
            </w:r>
            <w:r w:rsidRPr="00096A4B">
              <w:rPr>
                <w:rFonts w:eastAsia="Calibri"/>
                <w:sz w:val="20"/>
              </w:rPr>
              <w:t xml:space="preserve"> – Scope of existence of reasonable and valid defence in case of liability for infringement of </w:t>
            </w:r>
            <w:r w:rsidRPr="00096A4B">
              <w:rPr>
                <w:rFonts w:eastAsia="Calibri"/>
                <w:i/>
                <w:sz w:val="20"/>
              </w:rPr>
              <w:t>Copyright Act</w:t>
            </w:r>
            <w:r w:rsidRPr="00096A4B">
              <w:rPr>
                <w:rFonts w:eastAsia="Calibri"/>
                <w:sz w:val="20"/>
              </w:rPr>
              <w:t>.</w:t>
            </w:r>
          </w:p>
        </w:tc>
      </w:tr>
      <w:tr w:rsidR="001C36F8" w:rsidRPr="00096A4B" w:rsidTr="00970CF7">
        <w:tc>
          <w:tcPr>
            <w:tcW w:w="5000" w:type="pct"/>
            <w:gridSpan w:val="3"/>
          </w:tcPr>
          <w:p w:rsidR="001C36F8" w:rsidRPr="00096A4B" w:rsidRDefault="001C36F8" w:rsidP="00970CF7">
            <w:pPr>
              <w:jc w:val="both"/>
              <w:rPr>
                <w:rFonts w:eastAsia="Calibri"/>
                <w:sz w:val="20"/>
              </w:rPr>
            </w:pPr>
          </w:p>
        </w:tc>
      </w:tr>
      <w:tr w:rsidR="001C36F8" w:rsidRPr="00096A4B" w:rsidTr="00970CF7">
        <w:tc>
          <w:tcPr>
            <w:tcW w:w="5000" w:type="pct"/>
            <w:gridSpan w:val="3"/>
          </w:tcPr>
          <w:p w:rsidR="001C36F8" w:rsidRPr="00096A4B" w:rsidRDefault="001C36F8" w:rsidP="00970CF7">
            <w:pPr>
              <w:jc w:val="both"/>
              <w:rPr>
                <w:rFonts w:eastAsia="Calibri"/>
                <w:sz w:val="20"/>
              </w:rPr>
            </w:pPr>
            <w:r w:rsidRPr="00096A4B">
              <w:rPr>
                <w:rFonts w:eastAsia="Calibri"/>
                <w:sz w:val="20"/>
              </w:rPr>
              <w:t xml:space="preserve">In 1982, Claude Robinson, an artist, drew the first sketches of the characters for a proposed children’s television services to be called </w:t>
            </w:r>
            <w:r w:rsidRPr="00096A4B">
              <w:rPr>
                <w:rFonts w:eastAsia="Calibri"/>
                <w:i/>
                <w:sz w:val="20"/>
              </w:rPr>
              <w:t>Robinson Curiosity</w:t>
            </w:r>
            <w:r w:rsidRPr="00096A4B">
              <w:rPr>
                <w:rFonts w:eastAsia="Calibri"/>
                <w:sz w:val="20"/>
              </w:rPr>
              <w:t xml:space="preserve">.  A few years later, in 1985, the Copyright Office issued a certificate of registration for </w:t>
            </w:r>
            <w:r w:rsidRPr="00096A4B">
              <w:rPr>
                <w:rFonts w:eastAsia="Calibri"/>
                <w:i/>
                <w:sz w:val="20"/>
              </w:rPr>
              <w:t>Robinson Curiosity</w:t>
            </w:r>
            <w:r w:rsidRPr="00096A4B">
              <w:rPr>
                <w:rFonts w:eastAsia="Calibri"/>
                <w:sz w:val="20"/>
              </w:rPr>
              <w:t xml:space="preserve"> listing Mr. Robinson as the author of the work and Les Productions Nilem inc. (“Nilem”), a corporation of which he was the sole shareholder, as the owner of the work.</w:t>
            </w:r>
          </w:p>
          <w:p w:rsidR="001C36F8" w:rsidRPr="00096A4B" w:rsidRDefault="001C36F8" w:rsidP="00970CF7">
            <w:pPr>
              <w:jc w:val="both"/>
              <w:rPr>
                <w:rFonts w:eastAsia="Calibri"/>
                <w:sz w:val="20"/>
              </w:rPr>
            </w:pPr>
          </w:p>
          <w:p w:rsidR="001C36F8" w:rsidRPr="00096A4B" w:rsidRDefault="001C36F8" w:rsidP="00970CF7">
            <w:pPr>
              <w:jc w:val="both"/>
              <w:rPr>
                <w:rFonts w:eastAsia="Calibri"/>
                <w:sz w:val="20"/>
              </w:rPr>
            </w:pPr>
            <w:r w:rsidRPr="00096A4B">
              <w:rPr>
                <w:rFonts w:eastAsia="Calibri"/>
                <w:sz w:val="20"/>
              </w:rPr>
              <w:t xml:space="preserve">Starting in 1985, Mr. Robinson and Nilem stepped up their efforts for the promotion and production of </w:t>
            </w:r>
            <w:r w:rsidRPr="00096A4B">
              <w:rPr>
                <w:rFonts w:eastAsia="Calibri"/>
                <w:i/>
                <w:sz w:val="20"/>
              </w:rPr>
              <w:t>Robinson Curiosity</w:t>
            </w:r>
            <w:r w:rsidRPr="00096A4B">
              <w:rPr>
                <w:rFonts w:eastAsia="Calibri"/>
                <w:sz w:val="20"/>
              </w:rPr>
              <w:t xml:space="preserve">, including with Cinar Corporation/Cinar Films Inc., but those efforts were unsuccessful for nearly 10 years.  In September 1995, however, the first episode of </w:t>
            </w:r>
            <w:r w:rsidRPr="00096A4B">
              <w:rPr>
                <w:rFonts w:eastAsia="Calibri"/>
                <w:i/>
                <w:sz w:val="20"/>
              </w:rPr>
              <w:t>Robinson Sucroe</w:t>
            </w:r>
            <w:r w:rsidRPr="00096A4B">
              <w:rPr>
                <w:rFonts w:eastAsia="Calibri"/>
                <w:sz w:val="20"/>
              </w:rPr>
              <w:t>, a work produced by Cinar Corporation/Cinar Films Inc., France Animation S.A. and Ravensburger Film + TV GmbH, was broadcast in Quebec.</w:t>
            </w:r>
          </w:p>
          <w:p w:rsidR="001C36F8" w:rsidRPr="00096A4B" w:rsidRDefault="001C36F8" w:rsidP="00970CF7">
            <w:pPr>
              <w:jc w:val="both"/>
              <w:rPr>
                <w:rFonts w:eastAsia="Calibri"/>
                <w:sz w:val="20"/>
              </w:rPr>
            </w:pPr>
          </w:p>
          <w:p w:rsidR="001C36F8" w:rsidRPr="00096A4B" w:rsidRDefault="001C36F8" w:rsidP="00970CF7">
            <w:pPr>
              <w:jc w:val="both"/>
              <w:rPr>
                <w:rFonts w:eastAsia="Calibri"/>
                <w:sz w:val="20"/>
              </w:rPr>
            </w:pPr>
            <w:r w:rsidRPr="00096A4B">
              <w:rPr>
                <w:rFonts w:eastAsia="Calibri"/>
                <w:sz w:val="20"/>
              </w:rPr>
              <w:t xml:space="preserve">Since Mr. Robinson and Nilem found similarities between their work, </w:t>
            </w:r>
            <w:r w:rsidRPr="00096A4B">
              <w:rPr>
                <w:rFonts w:eastAsia="Calibri"/>
                <w:i/>
                <w:sz w:val="20"/>
              </w:rPr>
              <w:t>Robinson Curiosity</w:t>
            </w:r>
            <w:r w:rsidRPr="00096A4B">
              <w:rPr>
                <w:rFonts w:eastAsia="Calibri"/>
                <w:sz w:val="20"/>
              </w:rPr>
              <w:t xml:space="preserve">, and the work produced as </w:t>
            </w:r>
            <w:r w:rsidRPr="00096A4B">
              <w:rPr>
                <w:rFonts w:eastAsia="Calibri"/>
                <w:i/>
                <w:sz w:val="20"/>
              </w:rPr>
              <w:lastRenderedPageBreak/>
              <w:t>Robinson Sucroe</w:t>
            </w:r>
            <w:r w:rsidRPr="00096A4B">
              <w:rPr>
                <w:rFonts w:eastAsia="Calibri"/>
                <w:sz w:val="20"/>
              </w:rPr>
              <w:t>, they brought an infringement action in the Quebec Superior Court, which allowed the action in part.  On appeal, the Quebec Court of Appeal upheld in part the Superior Court’s findings concerning the infringers but reduced several aspects of the monetary award made at trial, mainly on the basis of revised calculations of the profits and punitive damages.</w:t>
            </w:r>
          </w:p>
          <w:p w:rsidR="001C36F8" w:rsidRPr="00096A4B" w:rsidRDefault="001C36F8" w:rsidP="00970CF7">
            <w:pPr>
              <w:jc w:val="both"/>
              <w:rPr>
                <w:rFonts w:eastAsia="Calibri"/>
                <w:sz w:val="20"/>
              </w:rPr>
            </w:pPr>
          </w:p>
        </w:tc>
      </w:tr>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lastRenderedPageBreak/>
              <w:t>August 26, 2009</w:t>
            </w:r>
          </w:p>
          <w:p w:rsidR="001C36F8" w:rsidRPr="00096A4B" w:rsidRDefault="001C36F8" w:rsidP="00970CF7">
            <w:pPr>
              <w:jc w:val="both"/>
              <w:rPr>
                <w:rFonts w:eastAsia="Calibri"/>
                <w:sz w:val="20"/>
              </w:rPr>
            </w:pPr>
            <w:r w:rsidRPr="00096A4B">
              <w:rPr>
                <w:rFonts w:eastAsia="Calibri"/>
                <w:sz w:val="20"/>
              </w:rPr>
              <w:t>Quebec Superior Court (Montréal)</w:t>
            </w:r>
          </w:p>
          <w:p w:rsidR="001C36F8" w:rsidRPr="00096A4B" w:rsidRDefault="001C36F8" w:rsidP="00970CF7">
            <w:pPr>
              <w:jc w:val="both"/>
              <w:rPr>
                <w:rFonts w:eastAsia="Calibri"/>
                <w:sz w:val="20"/>
              </w:rPr>
            </w:pPr>
            <w:r w:rsidRPr="00096A4B">
              <w:rPr>
                <w:rFonts w:eastAsia="Calibri"/>
                <w:sz w:val="20"/>
              </w:rPr>
              <w:t>(Auclair J.)</w:t>
            </w:r>
          </w:p>
          <w:p w:rsidR="001C36F8" w:rsidRPr="00096A4B" w:rsidRDefault="001C36F8" w:rsidP="00970CF7">
            <w:pPr>
              <w:jc w:val="both"/>
              <w:rPr>
                <w:rFonts w:eastAsia="Calibri"/>
                <w:sz w:val="20"/>
              </w:rPr>
            </w:pPr>
            <w:r w:rsidRPr="00096A4B">
              <w:rPr>
                <w:rFonts w:eastAsia="Calibri"/>
                <w:sz w:val="20"/>
              </w:rPr>
              <w:t xml:space="preserve">C.S.Q. No. 500-05-021498-967 </w:t>
            </w:r>
          </w:p>
          <w:p w:rsidR="001C36F8" w:rsidRPr="00096A4B" w:rsidRDefault="001C36F8" w:rsidP="00970CF7">
            <w:pPr>
              <w:jc w:val="both"/>
              <w:rPr>
                <w:rFonts w:eastAsia="Calibri"/>
                <w:sz w:val="20"/>
              </w:rPr>
            </w:pPr>
            <w:r w:rsidRPr="00096A4B">
              <w:rPr>
                <w:rFonts w:eastAsia="Calibri"/>
                <w:sz w:val="20"/>
              </w:rPr>
              <w:t>Neutral citation: 2009 QCCS 8395</w:t>
            </w:r>
          </w:p>
          <w:p w:rsidR="001C36F8" w:rsidRPr="00096A4B" w:rsidRDefault="001C36F8" w:rsidP="00970CF7">
            <w:pPr>
              <w:jc w:val="both"/>
              <w:rPr>
                <w:rFonts w:eastAsia="Calibri"/>
                <w:sz w:val="20"/>
              </w:rPr>
            </w:pP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 xml:space="preserve">Copyright infringement action under </w:t>
            </w:r>
            <w:r w:rsidRPr="00096A4B">
              <w:rPr>
                <w:rFonts w:eastAsia="Calibri"/>
                <w:i/>
                <w:sz w:val="20"/>
              </w:rPr>
              <w:t>Copyright Act</w:t>
            </w:r>
            <w:r w:rsidRPr="00096A4B">
              <w:rPr>
                <w:rFonts w:eastAsia="Calibri"/>
                <w:sz w:val="20"/>
              </w:rPr>
              <w:t>, R.S.C. 1985, c. C</w:t>
            </w:r>
            <w:r w:rsidRPr="00096A4B">
              <w:rPr>
                <w:rFonts w:eastAsia="Calibri"/>
                <w:sz w:val="20"/>
              </w:rPr>
              <w:noBreakHyphen/>
              <w:t xml:space="preserve">42, and </w:t>
            </w:r>
            <w:r w:rsidRPr="00096A4B">
              <w:rPr>
                <w:rFonts w:eastAsia="Calibri"/>
                <w:i/>
                <w:sz w:val="20"/>
              </w:rPr>
              <w:t>Civil Code of Québec</w:t>
            </w:r>
            <w:r w:rsidRPr="00096A4B">
              <w:rPr>
                <w:rFonts w:eastAsia="Calibri"/>
                <w:sz w:val="20"/>
              </w:rPr>
              <w:t xml:space="preserve"> allowed in part with award of $607,489 for copyright infringement, $1,716,804 in reimbursement of profits made from infringement, $400,000 for psychological injury, $1,000,000 in punitive damages, $1,500,000 in extrajudicial fees and expert fees</w:t>
            </w:r>
          </w:p>
          <w:p w:rsidR="001C36F8" w:rsidRPr="00096A4B" w:rsidRDefault="001C36F8" w:rsidP="00970CF7">
            <w:pPr>
              <w:jc w:val="both"/>
              <w:rPr>
                <w:rFonts w:eastAsia="Calibri"/>
                <w:sz w:val="20"/>
              </w:rPr>
            </w:pPr>
          </w:p>
        </w:tc>
      </w:tr>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t>July 20, 2011</w:t>
            </w:r>
          </w:p>
          <w:p w:rsidR="001C36F8" w:rsidRPr="00096A4B" w:rsidRDefault="001C36F8" w:rsidP="00970CF7">
            <w:pPr>
              <w:jc w:val="both"/>
              <w:rPr>
                <w:rFonts w:eastAsia="Calibri"/>
                <w:sz w:val="20"/>
              </w:rPr>
            </w:pPr>
            <w:r w:rsidRPr="00096A4B">
              <w:rPr>
                <w:rFonts w:eastAsia="Calibri"/>
                <w:sz w:val="20"/>
              </w:rPr>
              <w:t>Quebec Court of Appeal (Montréal)</w:t>
            </w:r>
          </w:p>
          <w:p w:rsidR="001C36F8" w:rsidRPr="00096A4B" w:rsidRDefault="001C36F8" w:rsidP="00970CF7">
            <w:pPr>
              <w:jc w:val="both"/>
              <w:rPr>
                <w:rFonts w:eastAsia="Calibri"/>
                <w:sz w:val="20"/>
              </w:rPr>
            </w:pPr>
            <w:r w:rsidRPr="00096A4B">
              <w:rPr>
                <w:rFonts w:eastAsia="Calibri"/>
                <w:sz w:val="20"/>
              </w:rPr>
              <w:t>(Thibault, Morin and Doyon JJ.A.)</w:t>
            </w:r>
          </w:p>
          <w:p w:rsidR="001C36F8" w:rsidRPr="00096A4B" w:rsidRDefault="001C36F8" w:rsidP="00970CF7">
            <w:pPr>
              <w:jc w:val="both"/>
              <w:rPr>
                <w:rFonts w:eastAsia="Calibri"/>
                <w:sz w:val="20"/>
              </w:rPr>
            </w:pPr>
            <w:r w:rsidRPr="00096A4B">
              <w:rPr>
                <w:rFonts w:eastAsia="Calibri"/>
                <w:sz w:val="20"/>
              </w:rPr>
              <w:t>C.A.Q. No. 500-09-020014-098</w:t>
            </w:r>
          </w:p>
          <w:p w:rsidR="001C36F8" w:rsidRPr="00096A4B" w:rsidRDefault="001C36F8" w:rsidP="00970CF7">
            <w:pPr>
              <w:jc w:val="both"/>
              <w:rPr>
                <w:rFonts w:eastAsia="Calibri"/>
                <w:sz w:val="20"/>
              </w:rPr>
            </w:pPr>
            <w:r w:rsidRPr="00096A4B">
              <w:rPr>
                <w:rFonts w:eastAsia="Calibri"/>
                <w:sz w:val="20"/>
              </w:rPr>
              <w:t>C.A.Q. No. 500-09-020033-098</w:t>
            </w:r>
          </w:p>
          <w:p w:rsidR="001C36F8" w:rsidRPr="00096A4B" w:rsidRDefault="001C36F8" w:rsidP="00970CF7">
            <w:pPr>
              <w:jc w:val="both"/>
              <w:rPr>
                <w:rFonts w:eastAsia="Calibri"/>
                <w:sz w:val="20"/>
              </w:rPr>
            </w:pPr>
            <w:r w:rsidRPr="00096A4B">
              <w:rPr>
                <w:rFonts w:eastAsia="Calibri"/>
                <w:sz w:val="20"/>
              </w:rPr>
              <w:t>C.A.Q. No. 500-09-020034-096</w:t>
            </w:r>
          </w:p>
          <w:p w:rsidR="001C36F8" w:rsidRPr="00096A4B" w:rsidRDefault="001C36F8" w:rsidP="00970CF7">
            <w:pPr>
              <w:jc w:val="both"/>
              <w:rPr>
                <w:rFonts w:eastAsia="Calibri"/>
                <w:sz w:val="20"/>
              </w:rPr>
            </w:pPr>
            <w:r w:rsidRPr="00096A4B">
              <w:rPr>
                <w:rFonts w:eastAsia="Calibri"/>
                <w:sz w:val="20"/>
              </w:rPr>
              <w:t>C.A.Q. No. 500-09-020035-093</w:t>
            </w:r>
          </w:p>
          <w:p w:rsidR="001C36F8" w:rsidRPr="00096A4B" w:rsidRDefault="001C36F8" w:rsidP="00970CF7">
            <w:pPr>
              <w:jc w:val="both"/>
              <w:rPr>
                <w:rFonts w:eastAsia="Calibri"/>
                <w:sz w:val="20"/>
              </w:rPr>
            </w:pPr>
            <w:r w:rsidRPr="00096A4B">
              <w:rPr>
                <w:rFonts w:eastAsia="Calibri"/>
                <w:sz w:val="20"/>
              </w:rPr>
              <w:t>Neutral citation: 2011 QCCA 1361</w:t>
            </w:r>
          </w:p>
          <w:p w:rsidR="001C36F8" w:rsidRPr="00096A4B" w:rsidRDefault="001C36F8" w:rsidP="00970CF7">
            <w:pPr>
              <w:jc w:val="both"/>
              <w:rPr>
                <w:rFonts w:eastAsia="Calibri"/>
                <w:sz w:val="20"/>
              </w:rPr>
            </w:pP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 xml:space="preserve">Appeal allowed in part, upholding, </w:t>
            </w:r>
            <w:r w:rsidRPr="00096A4B">
              <w:rPr>
                <w:rFonts w:eastAsia="Calibri"/>
                <w:i/>
                <w:sz w:val="20"/>
              </w:rPr>
              <w:t>inter alia</w:t>
            </w:r>
            <w:r w:rsidRPr="00096A4B">
              <w:rPr>
                <w:rFonts w:eastAsia="Calibri"/>
                <w:sz w:val="20"/>
              </w:rPr>
              <w:t>, liability of defendants (except Christian Davin) and reducing award (apart from $1,500,000 in extrajudicial fees) to $725,839 in compensatory damages, $260,577 in reimbursement of profits and $250,000 in total punitive damages</w:t>
            </w:r>
          </w:p>
          <w:p w:rsidR="001C36F8" w:rsidRPr="00096A4B" w:rsidRDefault="001C36F8" w:rsidP="00970CF7">
            <w:pPr>
              <w:jc w:val="both"/>
              <w:rPr>
                <w:rFonts w:eastAsia="Calibri"/>
                <w:sz w:val="20"/>
              </w:rPr>
            </w:pPr>
          </w:p>
        </w:tc>
      </w:tr>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t>September 29, 2011</w:t>
            </w:r>
          </w:p>
          <w:p w:rsidR="001C36F8" w:rsidRPr="00096A4B" w:rsidRDefault="001C36F8" w:rsidP="00970CF7">
            <w:pPr>
              <w:jc w:val="both"/>
              <w:rPr>
                <w:rFonts w:eastAsia="Calibri"/>
                <w:sz w:val="20"/>
              </w:rPr>
            </w:pPr>
            <w:r w:rsidRPr="00096A4B">
              <w:rPr>
                <w:rFonts w:eastAsia="Calibri"/>
                <w:sz w:val="20"/>
              </w:rPr>
              <w:t>Supreme Court of Canada</w:t>
            </w: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Application for leave to appeal filed</w:t>
            </w: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43"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36F8" w:rsidRPr="00643997"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 xml:space="preserve">Propriété intellectuelle – </w:t>
            </w:r>
            <w:r w:rsidRPr="00096A4B">
              <w:rPr>
                <w:rFonts w:eastAsia="Calibri"/>
                <w:i/>
                <w:sz w:val="20"/>
                <w:lang w:val="fr-CA"/>
              </w:rPr>
              <w:t>Loi sur le droit d’auteur</w:t>
            </w:r>
            <w:r w:rsidRPr="00096A4B">
              <w:rPr>
                <w:rFonts w:eastAsia="Calibri"/>
                <w:sz w:val="20"/>
                <w:lang w:val="fr-CA"/>
              </w:rPr>
              <w:t>, L.R.C. (1985), c. C</w:t>
            </w:r>
            <w:r w:rsidRPr="00096A4B">
              <w:rPr>
                <w:rFonts w:eastAsia="Calibri"/>
                <w:sz w:val="20"/>
                <w:lang w:val="fr-CA"/>
              </w:rPr>
              <w:noBreakHyphen/>
              <w:t xml:space="preserve">42 – Contrefaçon – Preuve – Étapes et critères applicables en matière de reprise d’une partie importante ou substantielle d’une œuvre au sens des articles 2 et 3 de la </w:t>
            </w:r>
            <w:r w:rsidRPr="00096A4B">
              <w:rPr>
                <w:rFonts w:eastAsia="Calibri"/>
                <w:i/>
                <w:sz w:val="20"/>
                <w:lang w:val="fr-CA"/>
              </w:rPr>
              <w:t>Loi sur le droit d’auteur</w:t>
            </w:r>
            <w:r w:rsidRPr="00096A4B">
              <w:rPr>
                <w:rFonts w:eastAsia="Calibri"/>
                <w:sz w:val="20"/>
                <w:lang w:val="fr-CA"/>
              </w:rPr>
              <w:t xml:space="preserve"> – Admissibilité du témoignage d’un expert quant à la reprise d’une partie importante ou substantielle d’une œuvre au sens des articles 2 et 3 de la Loi sur le droit d’auteur – Critères applicables en matière de cession de droit d’auteur au sens de l’article 13(4) de la </w:t>
            </w:r>
            <w:r w:rsidRPr="00096A4B">
              <w:rPr>
                <w:rFonts w:eastAsia="Calibri"/>
                <w:i/>
                <w:sz w:val="20"/>
                <w:lang w:val="fr-CA"/>
              </w:rPr>
              <w:t>Loi sur le droit d’auteur</w:t>
            </w:r>
            <w:r w:rsidRPr="00096A4B">
              <w:rPr>
                <w:rFonts w:eastAsia="Calibri"/>
                <w:sz w:val="20"/>
                <w:lang w:val="fr-CA"/>
              </w:rPr>
              <w:t xml:space="preserve"> – Portée de l’existence d’une défense raisonnable et valable en cas de responsabilité pour violation de la </w:t>
            </w:r>
            <w:r w:rsidRPr="00096A4B">
              <w:rPr>
                <w:rFonts w:eastAsia="Calibri"/>
                <w:i/>
                <w:sz w:val="20"/>
                <w:lang w:val="fr-CA"/>
              </w:rPr>
              <w:t>Loi sur le droit d’auteur</w:t>
            </w:r>
            <w:r w:rsidRPr="00096A4B">
              <w:rPr>
                <w:rFonts w:eastAsia="Calibri"/>
                <w:sz w:val="20"/>
                <w:lang w:val="fr-CA"/>
              </w:rPr>
              <w:t>.</w:t>
            </w:r>
          </w:p>
        </w:tc>
      </w:tr>
      <w:tr w:rsidR="001C36F8" w:rsidRPr="00643997" w:rsidTr="00970CF7">
        <w:tc>
          <w:tcPr>
            <w:tcW w:w="5000" w:type="pct"/>
            <w:gridSpan w:val="3"/>
          </w:tcPr>
          <w:p w:rsidR="001C36F8" w:rsidRPr="00096A4B" w:rsidRDefault="001C36F8" w:rsidP="00970CF7">
            <w:pPr>
              <w:jc w:val="both"/>
              <w:rPr>
                <w:rFonts w:eastAsia="Calibri"/>
                <w:sz w:val="20"/>
                <w:lang w:val="fr-CA"/>
              </w:rPr>
            </w:pPr>
          </w:p>
        </w:tc>
      </w:tr>
      <w:tr w:rsidR="001C36F8" w:rsidRPr="00643997"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 xml:space="preserve"> M. Claude Robinson est un artiste qui a dessiné, en 1982, les premiers croquis des personnages d’un projet de série télévisée pour enfants qui porterait le nom de </w:t>
            </w:r>
            <w:r w:rsidRPr="00096A4B">
              <w:rPr>
                <w:rFonts w:eastAsia="Calibri"/>
                <w:i/>
                <w:sz w:val="20"/>
                <w:lang w:val="fr-CA"/>
              </w:rPr>
              <w:t>Robinson Curiosité</w:t>
            </w:r>
            <w:r w:rsidRPr="00096A4B">
              <w:rPr>
                <w:rFonts w:eastAsia="Calibri"/>
                <w:sz w:val="20"/>
                <w:lang w:val="fr-CA"/>
              </w:rPr>
              <w:t xml:space="preserve">.  Quelques années plus tard, en 1985, le Bureau du droit d’auteur délivre un certificat d’enregistrement de </w:t>
            </w:r>
            <w:r w:rsidRPr="00096A4B">
              <w:rPr>
                <w:rFonts w:eastAsia="Calibri"/>
                <w:i/>
                <w:sz w:val="20"/>
                <w:lang w:val="fr-CA"/>
              </w:rPr>
              <w:t>Robinson Curiosité</w:t>
            </w:r>
            <w:r w:rsidRPr="00096A4B">
              <w:rPr>
                <w:rFonts w:eastAsia="Calibri"/>
                <w:sz w:val="20"/>
                <w:lang w:val="fr-CA"/>
              </w:rPr>
              <w:t xml:space="preserve"> indiquant que M. Robinson est l’auteur de l’œuvre et que les Productions Nilem inc. (ci</w:t>
            </w:r>
            <w:r w:rsidRPr="00096A4B">
              <w:rPr>
                <w:rFonts w:eastAsia="Calibri"/>
                <w:sz w:val="20"/>
                <w:lang w:val="fr-CA"/>
              </w:rPr>
              <w:noBreakHyphen/>
              <w:t>après « Nilem »), une société commerciale dont il est le seul actionnaire, en est le propriétaire.</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r w:rsidRPr="00096A4B">
              <w:rPr>
                <w:rFonts w:eastAsia="Calibri"/>
                <w:sz w:val="20"/>
                <w:lang w:val="fr-CA"/>
              </w:rPr>
              <w:t xml:space="preserve">À compter de 1985, M. Robinson et Nilem multiplient les démarches destinées à faire la promotion et la production de </w:t>
            </w:r>
            <w:r w:rsidRPr="00096A4B">
              <w:rPr>
                <w:rFonts w:eastAsia="Calibri"/>
                <w:i/>
                <w:sz w:val="20"/>
                <w:lang w:val="fr-CA"/>
              </w:rPr>
              <w:t>Robinson Curiosité</w:t>
            </w:r>
            <w:r w:rsidRPr="00096A4B">
              <w:rPr>
                <w:rFonts w:eastAsia="Calibri"/>
                <w:sz w:val="20"/>
                <w:lang w:val="fr-CA"/>
              </w:rPr>
              <w:t xml:space="preserve">, y compris avec Corporation Cinar/Les Films Cinar inc., mais pendant près de 10 ans, ces démarches sont infructueuses.  En septembre 1995, il y a cependant diffusion au Québec du premier épisode de </w:t>
            </w:r>
            <w:r w:rsidRPr="00096A4B">
              <w:rPr>
                <w:rFonts w:eastAsia="Calibri"/>
                <w:i/>
                <w:sz w:val="20"/>
                <w:lang w:val="fr-CA"/>
              </w:rPr>
              <w:t>Robinson Sucroë</w:t>
            </w:r>
            <w:r w:rsidRPr="00096A4B">
              <w:rPr>
                <w:rFonts w:eastAsia="Calibri"/>
                <w:sz w:val="20"/>
                <w:lang w:val="fr-CA"/>
              </w:rPr>
              <w:t>, œuvre produite par Corporation Cinar/Les Films Cinar inc., France Animation S.A et Ravensburger Film + TV GmbH.</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r w:rsidRPr="00096A4B">
              <w:rPr>
                <w:rFonts w:eastAsia="Calibri"/>
                <w:sz w:val="20"/>
                <w:lang w:val="fr-CA"/>
              </w:rPr>
              <w:t xml:space="preserve">Constatant des similitudes entre son œuvre, </w:t>
            </w:r>
            <w:r w:rsidRPr="00096A4B">
              <w:rPr>
                <w:rFonts w:eastAsia="Calibri"/>
                <w:i/>
                <w:sz w:val="20"/>
                <w:lang w:val="fr-CA"/>
              </w:rPr>
              <w:t>Robinson Curiosité</w:t>
            </w:r>
            <w:r w:rsidRPr="00096A4B">
              <w:rPr>
                <w:rFonts w:eastAsia="Calibri"/>
                <w:sz w:val="20"/>
                <w:lang w:val="fr-CA"/>
              </w:rPr>
              <w:t xml:space="preserve">, et l’œuvre produite sous le titre </w:t>
            </w:r>
            <w:r w:rsidRPr="00096A4B">
              <w:rPr>
                <w:rFonts w:eastAsia="Calibri"/>
                <w:i/>
                <w:sz w:val="20"/>
                <w:lang w:val="fr-CA"/>
              </w:rPr>
              <w:t>Robinson Sucroë</w:t>
            </w:r>
            <w:r w:rsidRPr="00096A4B">
              <w:rPr>
                <w:rFonts w:eastAsia="Calibri"/>
                <w:sz w:val="20"/>
                <w:lang w:val="fr-CA"/>
              </w:rPr>
              <w:t xml:space="preserve">, M. Robinson et Nilem intentent une action en contrefaçon devant la Cour supérieure du Québec, laquelle accueille l’action en partie.  En appel de cette cause, la Cour d’appel du Québec confirme en partie les conclusions de la Cour </w:t>
            </w:r>
            <w:r w:rsidRPr="00096A4B">
              <w:rPr>
                <w:rFonts w:eastAsia="Calibri"/>
                <w:sz w:val="20"/>
                <w:lang w:val="fr-CA"/>
              </w:rPr>
              <w:lastRenderedPageBreak/>
              <w:t>supérieure quant aux contrefacteurs mais révise à la baisse plusieurs aspects de la condamnation pécuniaire ordonnée en première instance, principalement sur la base de calculs révisés des profits et des dommages punitifs.</w:t>
            </w:r>
          </w:p>
          <w:p w:rsidR="001C36F8" w:rsidRPr="00096A4B" w:rsidRDefault="001C36F8" w:rsidP="00970CF7">
            <w:pPr>
              <w:jc w:val="both"/>
              <w:rPr>
                <w:rFonts w:eastAsia="Calibri"/>
                <w:sz w:val="20"/>
                <w:lang w:val="fr-CA"/>
              </w:rPr>
            </w:pPr>
          </w:p>
        </w:tc>
      </w:tr>
      <w:tr w:rsidR="001C36F8" w:rsidRPr="00643997"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lastRenderedPageBreak/>
              <w:t>Le 26 août 2009</w:t>
            </w:r>
          </w:p>
          <w:p w:rsidR="001C36F8" w:rsidRPr="00096A4B" w:rsidRDefault="001C36F8" w:rsidP="00970CF7">
            <w:pPr>
              <w:jc w:val="both"/>
              <w:rPr>
                <w:rFonts w:eastAsia="Calibri"/>
                <w:sz w:val="20"/>
                <w:lang w:val="fr-CA"/>
              </w:rPr>
            </w:pPr>
            <w:r w:rsidRPr="00096A4B">
              <w:rPr>
                <w:rFonts w:eastAsia="Calibri"/>
                <w:sz w:val="20"/>
                <w:lang w:val="fr-CA"/>
              </w:rPr>
              <w:t>Cour supérieure du Québec (Montréal)</w:t>
            </w:r>
          </w:p>
          <w:p w:rsidR="001C36F8" w:rsidRPr="00096A4B" w:rsidRDefault="001C36F8" w:rsidP="00970CF7">
            <w:pPr>
              <w:jc w:val="both"/>
              <w:rPr>
                <w:rFonts w:eastAsia="Calibri"/>
                <w:sz w:val="20"/>
                <w:lang w:val="fr-CA"/>
              </w:rPr>
            </w:pPr>
            <w:r w:rsidRPr="00096A4B">
              <w:rPr>
                <w:rFonts w:eastAsia="Calibri"/>
                <w:sz w:val="20"/>
                <w:lang w:val="fr-CA"/>
              </w:rPr>
              <w:t>(Le juge Auclair)</w:t>
            </w:r>
          </w:p>
          <w:p w:rsidR="001C36F8" w:rsidRPr="00096A4B" w:rsidRDefault="001C36F8" w:rsidP="00970CF7">
            <w:pPr>
              <w:jc w:val="both"/>
              <w:rPr>
                <w:rFonts w:eastAsia="Calibri"/>
                <w:sz w:val="20"/>
                <w:lang w:val="fr-CA"/>
              </w:rPr>
            </w:pPr>
            <w:r w:rsidRPr="00096A4B">
              <w:rPr>
                <w:rFonts w:eastAsia="Calibri"/>
                <w:sz w:val="20"/>
                <w:lang w:val="fr-CA"/>
              </w:rPr>
              <w:t>C.S.Q. No. 500</w:t>
            </w:r>
            <w:r w:rsidRPr="00096A4B">
              <w:rPr>
                <w:rFonts w:eastAsia="Calibri"/>
                <w:sz w:val="20"/>
                <w:lang w:val="fr-CA"/>
              </w:rPr>
              <w:noBreakHyphen/>
              <w:t>05</w:t>
            </w:r>
            <w:r w:rsidRPr="00096A4B">
              <w:rPr>
                <w:rFonts w:eastAsia="Calibri"/>
                <w:sz w:val="20"/>
                <w:lang w:val="fr-CA"/>
              </w:rPr>
              <w:noBreakHyphen/>
              <w:t>021498</w:t>
            </w:r>
            <w:r w:rsidRPr="00096A4B">
              <w:rPr>
                <w:rFonts w:eastAsia="Calibri"/>
                <w:sz w:val="20"/>
                <w:lang w:val="fr-CA"/>
              </w:rPr>
              <w:noBreakHyphen/>
              <w:t xml:space="preserve">967 </w:t>
            </w:r>
          </w:p>
          <w:p w:rsidR="001C36F8" w:rsidRPr="00096A4B" w:rsidRDefault="001C36F8" w:rsidP="00970CF7">
            <w:pPr>
              <w:jc w:val="both"/>
              <w:rPr>
                <w:rFonts w:eastAsia="Calibri"/>
                <w:sz w:val="20"/>
                <w:lang w:val="fr-CA"/>
              </w:rPr>
            </w:pPr>
            <w:r w:rsidRPr="00096A4B">
              <w:rPr>
                <w:rFonts w:eastAsia="Calibri"/>
                <w:sz w:val="20"/>
                <w:lang w:val="fr-CA"/>
              </w:rPr>
              <w:t>Référence neutre : 2009 QCCS 8395</w:t>
            </w:r>
          </w:p>
          <w:p w:rsidR="001C36F8" w:rsidRPr="00096A4B" w:rsidRDefault="001C36F8" w:rsidP="00970CF7">
            <w:pPr>
              <w:jc w:val="both"/>
              <w:rPr>
                <w:rFonts w:eastAsia="Calibri"/>
                <w:sz w:val="20"/>
                <w:lang w:val="fr-CA"/>
              </w:rPr>
            </w:pP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 xml:space="preserve">Action en contrefaçon de droits d’auteur en vertu de la </w:t>
            </w:r>
            <w:r w:rsidRPr="00096A4B">
              <w:rPr>
                <w:rFonts w:eastAsia="Calibri"/>
                <w:i/>
                <w:sz w:val="20"/>
                <w:lang w:val="fr-CA"/>
              </w:rPr>
              <w:t>Loi sur le droit d’auteur</w:t>
            </w:r>
            <w:r w:rsidRPr="00096A4B">
              <w:rPr>
                <w:rFonts w:eastAsia="Calibri"/>
                <w:sz w:val="20"/>
                <w:lang w:val="fr-CA"/>
              </w:rPr>
              <w:t>, L.R.C. (1985), c. C</w:t>
            </w:r>
            <w:r w:rsidRPr="00096A4B">
              <w:rPr>
                <w:rFonts w:eastAsia="Calibri"/>
                <w:sz w:val="20"/>
                <w:lang w:val="fr-CA"/>
              </w:rPr>
              <w:noBreakHyphen/>
              <w:t xml:space="preserve">42 et du </w:t>
            </w:r>
            <w:r w:rsidRPr="00096A4B">
              <w:rPr>
                <w:rFonts w:eastAsia="Calibri"/>
                <w:i/>
                <w:sz w:val="20"/>
                <w:lang w:val="fr-CA"/>
              </w:rPr>
              <w:t>Code civil du Québec</w:t>
            </w:r>
            <w:r w:rsidRPr="00096A4B">
              <w:rPr>
                <w:rFonts w:eastAsia="Calibri"/>
                <w:sz w:val="20"/>
                <w:lang w:val="fr-CA"/>
              </w:rPr>
              <w:t xml:space="preserve"> accueillie en partie avec condamnation au montant de 607 489 $ pour la violation du droit d’auteur, 1 716 804 $ pour le remboursement des profits réalisés à la suite de la contrefaçon, 400 000 $ pour le préjudice psychologique, 1 000 000 $ à titre de dommages punitifs, 1 500 000 $ pour les honoraires extrajudiciaires, de même que les frais d’experts.</w:t>
            </w:r>
          </w:p>
          <w:p w:rsidR="001C36F8" w:rsidRPr="00096A4B" w:rsidRDefault="001C36F8" w:rsidP="00970CF7">
            <w:pPr>
              <w:jc w:val="both"/>
              <w:rPr>
                <w:rFonts w:eastAsia="Calibri"/>
                <w:sz w:val="20"/>
                <w:lang w:val="fr-CA"/>
              </w:rPr>
            </w:pPr>
          </w:p>
        </w:tc>
      </w:tr>
      <w:tr w:rsidR="001C36F8" w:rsidRPr="00643997"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t>Le 20 juillet 2011</w:t>
            </w:r>
          </w:p>
          <w:p w:rsidR="001C36F8" w:rsidRPr="00096A4B" w:rsidRDefault="001C36F8" w:rsidP="00970CF7">
            <w:pPr>
              <w:jc w:val="both"/>
              <w:rPr>
                <w:rFonts w:eastAsia="Calibri"/>
                <w:sz w:val="20"/>
                <w:lang w:val="fr-CA"/>
              </w:rPr>
            </w:pPr>
            <w:r w:rsidRPr="00096A4B">
              <w:rPr>
                <w:rFonts w:eastAsia="Calibri"/>
                <w:sz w:val="20"/>
                <w:lang w:val="fr-CA"/>
              </w:rPr>
              <w:t>Cour d’appel du Québec (Montréal)</w:t>
            </w:r>
          </w:p>
          <w:p w:rsidR="001C36F8" w:rsidRPr="00096A4B" w:rsidRDefault="001C36F8" w:rsidP="00970CF7">
            <w:pPr>
              <w:jc w:val="both"/>
              <w:rPr>
                <w:rFonts w:eastAsia="Calibri"/>
                <w:sz w:val="20"/>
                <w:lang w:val="fr-CA"/>
              </w:rPr>
            </w:pPr>
            <w:r w:rsidRPr="00096A4B">
              <w:rPr>
                <w:rFonts w:eastAsia="Calibri"/>
                <w:sz w:val="20"/>
                <w:lang w:val="fr-CA"/>
              </w:rPr>
              <w:t>(Les juges Thibault, Morin et Doyon)</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020014</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020033</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020034</w:t>
            </w:r>
            <w:r w:rsidRPr="00096A4B">
              <w:rPr>
                <w:rFonts w:eastAsia="Calibri"/>
                <w:sz w:val="20"/>
              </w:rPr>
              <w:noBreakHyphen/>
              <w:t>096</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020035</w:t>
            </w:r>
            <w:r w:rsidRPr="00096A4B">
              <w:rPr>
                <w:rFonts w:eastAsia="Calibri"/>
                <w:sz w:val="20"/>
              </w:rPr>
              <w:noBreakHyphen/>
              <w:t>093</w:t>
            </w:r>
          </w:p>
          <w:p w:rsidR="001C36F8" w:rsidRPr="00096A4B" w:rsidRDefault="001C36F8" w:rsidP="00970CF7">
            <w:pPr>
              <w:jc w:val="both"/>
              <w:rPr>
                <w:rFonts w:eastAsia="Calibri"/>
                <w:sz w:val="20"/>
                <w:lang w:val="fr-CA"/>
              </w:rPr>
            </w:pPr>
            <w:r w:rsidRPr="00096A4B">
              <w:rPr>
                <w:rFonts w:eastAsia="Calibri"/>
                <w:sz w:val="20"/>
                <w:lang w:val="fr-CA"/>
              </w:rPr>
              <w:t>Référence neutre : 2011 QCCA 1361</w:t>
            </w:r>
          </w:p>
          <w:p w:rsidR="001C36F8" w:rsidRPr="00096A4B" w:rsidRDefault="001C36F8" w:rsidP="00970CF7">
            <w:pPr>
              <w:jc w:val="both"/>
              <w:rPr>
                <w:rFonts w:eastAsia="Calibri"/>
                <w:sz w:val="20"/>
                <w:lang w:val="fr-CA"/>
              </w:rPr>
            </w:pP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 xml:space="preserve">Appel accueilli en partie, confirmant </w:t>
            </w:r>
            <w:r w:rsidRPr="00096A4B">
              <w:rPr>
                <w:rFonts w:eastAsia="Calibri"/>
                <w:i/>
                <w:sz w:val="20"/>
                <w:lang w:val="fr-CA"/>
              </w:rPr>
              <w:t>inter alia</w:t>
            </w:r>
            <w:r w:rsidRPr="00096A4B">
              <w:rPr>
                <w:rFonts w:eastAsia="Calibri"/>
                <w:sz w:val="20"/>
                <w:lang w:val="fr-CA"/>
              </w:rPr>
              <w:t xml:space="preserve"> la responsabilité des défendeurs (à l’exception de Christian Davin) et révisant à la baisse le montant de la condamnation à savoir, outre les honoraires extrajudiciaires de 1 500 000 $, des dommages</w:t>
            </w:r>
            <w:r w:rsidRPr="00096A4B">
              <w:rPr>
                <w:rFonts w:eastAsia="Calibri"/>
                <w:sz w:val="20"/>
                <w:lang w:val="fr-CA"/>
              </w:rPr>
              <w:noBreakHyphen/>
              <w:t>intérêts compensatoires totalisant 725 839 $, le remboursement des profits au montant de 260 577 $ et des dommages punitifs globaux de 250 000 $.</w:t>
            </w:r>
          </w:p>
          <w:p w:rsidR="001C36F8" w:rsidRPr="00096A4B" w:rsidRDefault="001C36F8" w:rsidP="00970CF7">
            <w:pPr>
              <w:jc w:val="both"/>
              <w:rPr>
                <w:rFonts w:eastAsia="Calibri"/>
                <w:sz w:val="20"/>
                <w:lang w:val="fr-CA"/>
              </w:rPr>
            </w:pPr>
          </w:p>
        </w:tc>
      </w:tr>
      <w:tr w:rsidR="001C36F8" w:rsidRPr="00096A4B"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t>Le 29 septembre 2011</w:t>
            </w:r>
          </w:p>
          <w:p w:rsidR="001C36F8" w:rsidRPr="00096A4B" w:rsidRDefault="001C36F8" w:rsidP="00970CF7">
            <w:pPr>
              <w:jc w:val="both"/>
              <w:rPr>
                <w:rFonts w:eastAsia="Calibri"/>
                <w:sz w:val="20"/>
                <w:lang w:val="fr-CA"/>
              </w:rPr>
            </w:pPr>
            <w:r w:rsidRPr="00096A4B">
              <w:rPr>
                <w:rFonts w:eastAsia="Calibri"/>
                <w:sz w:val="20"/>
                <w:lang w:val="fr-CA"/>
              </w:rPr>
              <w:t>Cour suprême du Canada</w:t>
            </w: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Demande d'autorisation d'appel déposée</w:t>
            </w: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44"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75B7" w:rsidRPr="00485DE8" w:rsidTr="0017605E">
        <w:trPr>
          <w:cantSplit/>
        </w:trPr>
        <w:tc>
          <w:tcPr>
            <w:tcW w:w="1458" w:type="dxa"/>
          </w:tcPr>
          <w:p w:rsidR="006975B7" w:rsidRPr="008A084C" w:rsidRDefault="006975B7" w:rsidP="0017605E">
            <w:pPr>
              <w:rPr>
                <w:sz w:val="20"/>
                <w:szCs w:val="20"/>
              </w:rPr>
            </w:pPr>
            <w:r w:rsidRPr="008A084C">
              <w:rPr>
                <w:rStyle w:val="SCCFileNumberChar"/>
                <w:sz w:val="20"/>
                <w:szCs w:val="20"/>
              </w:rPr>
              <w:t>34468</w:t>
            </w:r>
          </w:p>
          <w:p w:rsidR="006975B7" w:rsidRPr="008A084C" w:rsidRDefault="006975B7" w:rsidP="0017605E">
            <w:pPr>
              <w:rPr>
                <w:b/>
                <w:sz w:val="20"/>
                <w:szCs w:val="20"/>
                <w:lang w:val="fr-CA"/>
              </w:rPr>
            </w:pPr>
          </w:p>
        </w:tc>
        <w:tc>
          <w:tcPr>
            <w:tcW w:w="8118" w:type="dxa"/>
          </w:tcPr>
          <w:p w:rsidR="006975B7" w:rsidRPr="00485DE8" w:rsidRDefault="006975B7" w:rsidP="006975B7">
            <w:pPr>
              <w:jc w:val="both"/>
              <w:rPr>
                <w:sz w:val="20"/>
                <w:szCs w:val="20"/>
                <w:lang w:val="fr-CA"/>
              </w:rPr>
            </w:pPr>
            <w:r w:rsidRPr="00085158">
              <w:rPr>
                <w:rStyle w:val="SCCLsocChar"/>
                <w:sz w:val="20"/>
                <w:szCs w:val="20"/>
                <w:lang w:val="en-CA"/>
              </w:rPr>
              <w:t>Christophe Izard, France Animation S.A., Ravensburger Film + TV GmbH et RTV Family Entertainment AG c. Claude Robinson</w:t>
            </w:r>
            <w:r w:rsidR="00485DE8" w:rsidRPr="00085158">
              <w:rPr>
                <w:rStyle w:val="SCCLsocChar"/>
                <w:sz w:val="20"/>
                <w:szCs w:val="20"/>
                <w:lang w:val="en-CA"/>
              </w:rPr>
              <w:t xml:space="preserve"> and</w:t>
            </w:r>
            <w:r w:rsidRPr="00085158">
              <w:rPr>
                <w:rStyle w:val="SCCLsocChar"/>
                <w:sz w:val="20"/>
                <w:szCs w:val="20"/>
                <w:lang w:val="en-CA"/>
              </w:rPr>
              <w:t xml:space="preserve"> Productions Nilem Inc.</w:t>
            </w:r>
            <w:r w:rsidRPr="00085158">
              <w:rPr>
                <w:sz w:val="20"/>
                <w:szCs w:val="20"/>
              </w:rPr>
              <w:t xml:space="preserve"> </w:t>
            </w:r>
            <w:r w:rsidRPr="00485DE8">
              <w:rPr>
                <w:sz w:val="20"/>
                <w:szCs w:val="20"/>
                <w:lang w:val="fr-CA"/>
              </w:rPr>
              <w:t>(Qc) (Civile) (Autorisation)</w:t>
            </w:r>
          </w:p>
          <w:p w:rsidR="006975B7" w:rsidRPr="00485DE8" w:rsidRDefault="006975B7" w:rsidP="0017605E">
            <w:pPr>
              <w:rPr>
                <w:sz w:val="20"/>
                <w:szCs w:val="20"/>
                <w:lang w:val="fr-CA"/>
              </w:rPr>
            </w:pPr>
          </w:p>
        </w:tc>
      </w:tr>
      <w:tr w:rsidR="006975B7" w:rsidRPr="00643997" w:rsidTr="0017605E">
        <w:trPr>
          <w:cantSplit/>
        </w:trPr>
        <w:tc>
          <w:tcPr>
            <w:tcW w:w="1458" w:type="dxa"/>
          </w:tcPr>
          <w:p w:rsidR="006975B7" w:rsidRPr="008A084C" w:rsidRDefault="006975B7" w:rsidP="0017605E">
            <w:pPr>
              <w:rPr>
                <w:sz w:val="20"/>
                <w:szCs w:val="20"/>
              </w:rPr>
            </w:pPr>
            <w:r w:rsidRPr="008A084C">
              <w:rPr>
                <w:sz w:val="20"/>
                <w:szCs w:val="20"/>
              </w:rPr>
              <w:t>Coram :</w:t>
            </w:r>
          </w:p>
        </w:tc>
        <w:tc>
          <w:tcPr>
            <w:tcW w:w="8118" w:type="dxa"/>
          </w:tcPr>
          <w:p w:rsidR="006975B7" w:rsidRPr="008A084C" w:rsidRDefault="006975B7" w:rsidP="0017605E">
            <w:pPr>
              <w:rPr>
                <w:sz w:val="20"/>
                <w:szCs w:val="20"/>
                <w:lang w:val="fr-CA"/>
              </w:rPr>
            </w:pPr>
            <w:r w:rsidRPr="008A084C">
              <w:rPr>
                <w:rStyle w:val="SCCCoramChar"/>
                <w:sz w:val="20"/>
                <w:szCs w:val="20"/>
              </w:rPr>
              <w:t>Les juges LeBel, Fish et Karakatsanis</w:t>
            </w:r>
          </w:p>
          <w:p w:rsidR="006975B7" w:rsidRPr="008A084C" w:rsidRDefault="006975B7" w:rsidP="0017605E">
            <w:pPr>
              <w:rPr>
                <w:sz w:val="20"/>
                <w:szCs w:val="20"/>
                <w:u w:val="single"/>
                <w:lang w:val="fr-CA"/>
              </w:rPr>
            </w:pPr>
          </w:p>
        </w:tc>
      </w:tr>
      <w:tr w:rsidR="006975B7" w:rsidRPr="008A084C" w:rsidTr="0017605E">
        <w:trPr>
          <w:cantSplit/>
        </w:trPr>
        <w:tc>
          <w:tcPr>
            <w:tcW w:w="9576" w:type="dxa"/>
            <w:gridSpan w:val="2"/>
          </w:tcPr>
          <w:p w:rsidR="006975B7" w:rsidRPr="008A084C" w:rsidRDefault="006975B7" w:rsidP="0017605E">
            <w:pPr>
              <w:pStyle w:val="SCCShortJudgment"/>
              <w:rPr>
                <w:szCs w:val="20"/>
              </w:rPr>
            </w:pPr>
            <w:r w:rsidRPr="008A084C">
              <w:rPr>
                <w:szCs w:val="20"/>
                <w:lang w:val="fr-CA"/>
              </w:rPr>
              <w:t xml:space="preserve">La demande d’autorisation d’appel de l’arrêt de la Cour d’appel du Québec (Montréal), numéros 500-09-020014-098, 500-09-020033-098, 500-09-020034-096 et 500-09-020035-093, 2011 QCCA 1361, daté du 20 juillet 2011, est accueillie avec dépens suivant l’issue de la cause. Cet appel sera entendu avec </w:t>
            </w:r>
            <w:r w:rsidRPr="00485DE8">
              <w:rPr>
                <w:i/>
                <w:szCs w:val="20"/>
                <w:lang w:val="fr-CA"/>
              </w:rPr>
              <w:t>Cinar Corporation, et al. c. Claude Robinson, et al.</w:t>
            </w:r>
            <w:r w:rsidRPr="008A084C">
              <w:rPr>
                <w:szCs w:val="20"/>
                <w:lang w:val="fr-CA"/>
              </w:rPr>
              <w:t xml:space="preserve"> (34466), </w:t>
            </w:r>
            <w:r w:rsidRPr="00485DE8">
              <w:rPr>
                <w:i/>
                <w:szCs w:val="20"/>
                <w:lang w:val="fr-CA"/>
              </w:rPr>
              <w:t>Ronald A. Weinberg, et al. c. Productions Nilem Inc., et al.</w:t>
            </w:r>
            <w:r w:rsidRPr="008A084C">
              <w:rPr>
                <w:szCs w:val="20"/>
                <w:lang w:val="fr-CA"/>
              </w:rPr>
              <w:t xml:space="preserve"> (34467) et </w:t>
            </w:r>
            <w:r w:rsidRPr="00485DE8">
              <w:rPr>
                <w:i/>
                <w:szCs w:val="20"/>
                <w:lang w:val="fr-CA"/>
              </w:rPr>
              <w:t>Claude Robinson, et al. c. France Animation S.A., et al.</w:t>
            </w:r>
            <w:r w:rsidRPr="008A084C">
              <w:rPr>
                <w:szCs w:val="20"/>
                <w:lang w:val="fr-CA"/>
              </w:rPr>
              <w:t xml:space="preserve"> </w:t>
            </w:r>
            <w:r w:rsidRPr="008A084C">
              <w:rPr>
                <w:szCs w:val="20"/>
              </w:rPr>
              <w:t>(34469).</w:t>
            </w:r>
          </w:p>
          <w:p w:rsidR="006975B7" w:rsidRPr="008A084C" w:rsidRDefault="006975B7" w:rsidP="0017605E">
            <w:pPr>
              <w:pStyle w:val="SCCShortJudgment"/>
              <w:ind w:firstLine="0"/>
              <w:rPr>
                <w:szCs w:val="20"/>
              </w:rPr>
            </w:pPr>
          </w:p>
          <w:p w:rsidR="006975B7" w:rsidRPr="008A084C" w:rsidRDefault="006975B7" w:rsidP="0017605E">
            <w:pPr>
              <w:pStyle w:val="SCCShortJudgment"/>
              <w:rPr>
                <w:szCs w:val="20"/>
              </w:rPr>
            </w:pPr>
            <w:r w:rsidRPr="008A084C">
              <w:rPr>
                <w:szCs w:val="20"/>
              </w:rPr>
              <w:t xml:space="preserve">The application for leave to appeal from the judgment of the Court of Appeal of Quebec (Montréal), Numbers 500-09-020014-098, 500-09-020033-098, 500-09-020034-096 and 500-09-020035-093, 2011 QCCA 1361, dated July 20, 2011, is granted with costs in the cause. This appeal will be heard with </w:t>
            </w:r>
            <w:r w:rsidRPr="00485DE8">
              <w:rPr>
                <w:i/>
                <w:szCs w:val="20"/>
              </w:rPr>
              <w:t>Cinar Corporation, et al. v. Claude Robinson, et al.</w:t>
            </w:r>
            <w:r w:rsidRPr="008A084C">
              <w:rPr>
                <w:szCs w:val="20"/>
              </w:rPr>
              <w:t xml:space="preserve"> </w:t>
            </w:r>
            <w:r w:rsidRPr="008A084C">
              <w:rPr>
                <w:szCs w:val="20"/>
                <w:lang w:val="fr-CA"/>
              </w:rPr>
              <w:t xml:space="preserve">(34466), </w:t>
            </w:r>
            <w:r w:rsidRPr="00485DE8">
              <w:rPr>
                <w:i/>
                <w:szCs w:val="20"/>
                <w:lang w:val="fr-CA"/>
              </w:rPr>
              <w:t>Ronald A. Weinberg, et al. v. Productions Nilem Inc., et al.</w:t>
            </w:r>
            <w:r w:rsidRPr="008A084C">
              <w:rPr>
                <w:szCs w:val="20"/>
                <w:lang w:val="fr-CA"/>
              </w:rPr>
              <w:t xml:space="preserve"> (34467) and </w:t>
            </w:r>
            <w:r w:rsidRPr="00485DE8">
              <w:rPr>
                <w:i/>
                <w:szCs w:val="20"/>
                <w:lang w:val="fr-CA"/>
              </w:rPr>
              <w:t>Claude Robinson, et al. v. France Animation S.A., et al.</w:t>
            </w:r>
            <w:r w:rsidRPr="008A084C">
              <w:rPr>
                <w:szCs w:val="20"/>
                <w:lang w:val="fr-CA"/>
              </w:rPr>
              <w:t xml:space="preserve"> </w:t>
            </w:r>
            <w:r w:rsidRPr="008A084C">
              <w:rPr>
                <w:szCs w:val="20"/>
              </w:rPr>
              <w:t>(34469).</w:t>
            </w:r>
          </w:p>
        </w:tc>
      </w:tr>
    </w:tbl>
    <w:p w:rsidR="00691AA0" w:rsidRPr="001C36F8" w:rsidRDefault="00691AA0" w:rsidP="00691AA0">
      <w:pPr>
        <w:rPr>
          <w:sz w:val="20"/>
          <w:szCs w:val="20"/>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36F8" w:rsidRPr="00096A4B" w:rsidTr="00970CF7">
        <w:tc>
          <w:tcPr>
            <w:tcW w:w="5000" w:type="pct"/>
            <w:gridSpan w:val="3"/>
          </w:tcPr>
          <w:p w:rsidR="001C36F8" w:rsidRPr="00096A4B" w:rsidRDefault="001C36F8" w:rsidP="00970CF7">
            <w:pPr>
              <w:jc w:val="both"/>
              <w:rPr>
                <w:rFonts w:eastAsia="Calibri"/>
                <w:sz w:val="20"/>
              </w:rPr>
            </w:pPr>
            <w:r w:rsidRPr="00096A4B">
              <w:rPr>
                <w:rFonts w:eastAsia="Calibri"/>
                <w:sz w:val="20"/>
              </w:rPr>
              <w:t xml:space="preserve">Intellectual property – </w:t>
            </w:r>
            <w:r w:rsidRPr="00096A4B">
              <w:rPr>
                <w:rFonts w:eastAsia="Calibri"/>
                <w:i/>
                <w:sz w:val="20"/>
              </w:rPr>
              <w:t>Copyright Act</w:t>
            </w:r>
            <w:r w:rsidRPr="00096A4B">
              <w:rPr>
                <w:rFonts w:eastAsia="Calibri"/>
                <w:sz w:val="20"/>
              </w:rPr>
              <w:t>, R.S.C. 1985, c. C</w:t>
            </w:r>
            <w:r w:rsidRPr="00096A4B">
              <w:rPr>
                <w:rFonts w:eastAsia="Calibri"/>
                <w:sz w:val="20"/>
              </w:rPr>
              <w:noBreakHyphen/>
              <w:t xml:space="preserve">42 – Infringement – Evidence – Steps and tests for determining whether substantial part of work reproduced within meaning of ss. 2 and 3 of </w:t>
            </w:r>
            <w:r w:rsidRPr="00096A4B">
              <w:rPr>
                <w:rFonts w:eastAsia="Calibri"/>
                <w:i/>
                <w:sz w:val="20"/>
              </w:rPr>
              <w:t>Copyright Act</w:t>
            </w:r>
            <w:r w:rsidRPr="00096A4B">
              <w:rPr>
                <w:rFonts w:eastAsia="Calibri"/>
                <w:sz w:val="20"/>
              </w:rPr>
              <w:t xml:space="preserve"> – Admissibility of expert’s testimony concerning reproduction of substantial part of work within meaning of ss. 2 and 3 of </w:t>
            </w:r>
            <w:r w:rsidRPr="00096A4B">
              <w:rPr>
                <w:rFonts w:eastAsia="Calibri"/>
                <w:i/>
                <w:sz w:val="20"/>
              </w:rPr>
              <w:t>Copyright Act</w:t>
            </w:r>
            <w:r w:rsidRPr="00096A4B">
              <w:rPr>
                <w:rFonts w:eastAsia="Calibri"/>
                <w:sz w:val="20"/>
              </w:rPr>
              <w:t>.</w:t>
            </w:r>
          </w:p>
        </w:tc>
      </w:tr>
      <w:tr w:rsidR="001C36F8" w:rsidRPr="00096A4B" w:rsidTr="00970CF7">
        <w:tc>
          <w:tcPr>
            <w:tcW w:w="5000" w:type="pct"/>
            <w:gridSpan w:val="3"/>
          </w:tcPr>
          <w:p w:rsidR="001C36F8" w:rsidRPr="00096A4B" w:rsidRDefault="001C36F8" w:rsidP="00970CF7">
            <w:pPr>
              <w:jc w:val="both"/>
              <w:rPr>
                <w:rFonts w:eastAsia="Calibri"/>
                <w:sz w:val="20"/>
              </w:rPr>
            </w:pPr>
          </w:p>
        </w:tc>
      </w:tr>
      <w:tr w:rsidR="001C36F8" w:rsidRPr="00096A4B" w:rsidTr="00970CF7">
        <w:tc>
          <w:tcPr>
            <w:tcW w:w="5000" w:type="pct"/>
            <w:gridSpan w:val="3"/>
          </w:tcPr>
          <w:p w:rsidR="001C36F8" w:rsidRPr="00096A4B" w:rsidRDefault="001C36F8" w:rsidP="00970CF7">
            <w:pPr>
              <w:jc w:val="both"/>
              <w:rPr>
                <w:rFonts w:eastAsia="Calibri"/>
                <w:sz w:val="20"/>
              </w:rPr>
            </w:pPr>
            <w:r w:rsidRPr="00096A4B">
              <w:rPr>
                <w:rFonts w:eastAsia="Calibri"/>
                <w:sz w:val="20"/>
              </w:rPr>
              <w:t xml:space="preserve">In 1982, Claude Robinson, an artist, drew the first sketches of the characters for a proposed children’s television services to be called </w:t>
            </w:r>
            <w:r w:rsidRPr="00096A4B">
              <w:rPr>
                <w:rFonts w:eastAsia="Calibri"/>
                <w:i/>
                <w:sz w:val="20"/>
              </w:rPr>
              <w:t>Robinson Curiosity</w:t>
            </w:r>
            <w:r w:rsidRPr="00096A4B">
              <w:rPr>
                <w:rFonts w:eastAsia="Calibri"/>
                <w:sz w:val="20"/>
              </w:rPr>
              <w:t xml:space="preserve">.  A few years later, in 1985, the Copyright Office issued a certificate of registration for </w:t>
            </w:r>
            <w:r w:rsidRPr="00096A4B">
              <w:rPr>
                <w:rFonts w:eastAsia="Calibri"/>
                <w:i/>
                <w:sz w:val="20"/>
              </w:rPr>
              <w:t>Robinson Curiosity</w:t>
            </w:r>
            <w:r w:rsidRPr="00096A4B">
              <w:rPr>
                <w:rFonts w:eastAsia="Calibri"/>
                <w:sz w:val="20"/>
              </w:rPr>
              <w:t xml:space="preserve"> listing Mr. Robinson as the author of the work and Les Productions Nilem inc. (“Nilem”), a corporation of which he was the sole shareholder, as the owner of the work.</w:t>
            </w:r>
          </w:p>
          <w:p w:rsidR="001C36F8" w:rsidRPr="00096A4B" w:rsidRDefault="001C36F8" w:rsidP="00970CF7">
            <w:pPr>
              <w:jc w:val="both"/>
              <w:rPr>
                <w:rFonts w:eastAsia="Calibri"/>
                <w:sz w:val="20"/>
              </w:rPr>
            </w:pPr>
          </w:p>
          <w:p w:rsidR="001C36F8" w:rsidRPr="00096A4B" w:rsidRDefault="001C36F8" w:rsidP="00970CF7">
            <w:pPr>
              <w:jc w:val="both"/>
              <w:rPr>
                <w:rFonts w:eastAsia="Calibri"/>
                <w:sz w:val="20"/>
              </w:rPr>
            </w:pPr>
            <w:r w:rsidRPr="00096A4B">
              <w:rPr>
                <w:rFonts w:eastAsia="Calibri"/>
                <w:sz w:val="20"/>
              </w:rPr>
              <w:t xml:space="preserve">Starting in 1985, Mr. Robinson and Nilem stepped up their efforts for the promotion and production of </w:t>
            </w:r>
            <w:r w:rsidRPr="00096A4B">
              <w:rPr>
                <w:rFonts w:eastAsia="Calibri"/>
                <w:i/>
                <w:sz w:val="20"/>
              </w:rPr>
              <w:t>Robinson Curiosity</w:t>
            </w:r>
            <w:r w:rsidRPr="00096A4B">
              <w:rPr>
                <w:rFonts w:eastAsia="Calibri"/>
                <w:sz w:val="20"/>
              </w:rPr>
              <w:t xml:space="preserve">, including with Cinar Corporation/Cinar Films Inc., but those efforts were unsuccessful for nearly 10 years.  In September 1995, however, the first episode of </w:t>
            </w:r>
            <w:r w:rsidRPr="00096A4B">
              <w:rPr>
                <w:rFonts w:eastAsia="Calibri"/>
                <w:i/>
                <w:sz w:val="20"/>
              </w:rPr>
              <w:t>Robinson Sucroe</w:t>
            </w:r>
            <w:r w:rsidRPr="00096A4B">
              <w:rPr>
                <w:rFonts w:eastAsia="Calibri"/>
                <w:sz w:val="20"/>
              </w:rPr>
              <w:t>, a work produced by Cinar Corporation/Cinar Films Inc., France Animation S.A. and Ravensburger Film + TV GmbH, was broadcast in Quebec.</w:t>
            </w:r>
          </w:p>
          <w:p w:rsidR="001C36F8" w:rsidRPr="00096A4B" w:rsidRDefault="001C36F8" w:rsidP="00970CF7">
            <w:pPr>
              <w:jc w:val="both"/>
              <w:rPr>
                <w:rFonts w:eastAsia="Calibri"/>
                <w:sz w:val="20"/>
              </w:rPr>
            </w:pPr>
          </w:p>
          <w:p w:rsidR="001C36F8" w:rsidRPr="00096A4B" w:rsidRDefault="001C36F8" w:rsidP="00970CF7">
            <w:pPr>
              <w:jc w:val="both"/>
              <w:rPr>
                <w:rFonts w:eastAsia="Calibri"/>
                <w:sz w:val="20"/>
              </w:rPr>
            </w:pPr>
            <w:r w:rsidRPr="00096A4B">
              <w:rPr>
                <w:rFonts w:eastAsia="Calibri"/>
                <w:sz w:val="20"/>
              </w:rPr>
              <w:t xml:space="preserve">Since Mr. Robinson and Nilem found similarities between their work, </w:t>
            </w:r>
            <w:r w:rsidRPr="00096A4B">
              <w:rPr>
                <w:rFonts w:eastAsia="Calibri"/>
                <w:i/>
                <w:sz w:val="20"/>
              </w:rPr>
              <w:t>Robinson Curiosity</w:t>
            </w:r>
            <w:r w:rsidRPr="00096A4B">
              <w:rPr>
                <w:rFonts w:eastAsia="Calibri"/>
                <w:sz w:val="20"/>
              </w:rPr>
              <w:t xml:space="preserve">, and the work produced as </w:t>
            </w:r>
            <w:r w:rsidRPr="00096A4B">
              <w:rPr>
                <w:rFonts w:eastAsia="Calibri"/>
                <w:i/>
                <w:sz w:val="20"/>
              </w:rPr>
              <w:t>Robinson Sucroe</w:t>
            </w:r>
            <w:r w:rsidRPr="00096A4B">
              <w:rPr>
                <w:rFonts w:eastAsia="Calibri"/>
                <w:sz w:val="20"/>
              </w:rPr>
              <w:t>, they brought an infringement action in the Quebec Superior Court, which allowed the action in part.  On appeal, the Quebec Court of Appeal upheld in part the Superior Court’s findings concerning the infringers but reduced several aspects of the monetary award made at trial, mainly on the basis of revised calculations of the profits and punitive damages.</w:t>
            </w:r>
          </w:p>
          <w:p w:rsidR="001C36F8" w:rsidRPr="00096A4B" w:rsidRDefault="001C36F8" w:rsidP="00970CF7">
            <w:pPr>
              <w:jc w:val="both"/>
              <w:rPr>
                <w:rFonts w:eastAsia="Calibri"/>
                <w:sz w:val="20"/>
              </w:rPr>
            </w:pPr>
          </w:p>
        </w:tc>
      </w:tr>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t>August 26, 2009</w:t>
            </w:r>
          </w:p>
          <w:p w:rsidR="001C36F8" w:rsidRPr="00096A4B" w:rsidRDefault="001C36F8" w:rsidP="00970CF7">
            <w:pPr>
              <w:jc w:val="both"/>
              <w:rPr>
                <w:rFonts w:eastAsia="Calibri"/>
                <w:sz w:val="20"/>
              </w:rPr>
            </w:pPr>
            <w:r w:rsidRPr="00096A4B">
              <w:rPr>
                <w:rFonts w:eastAsia="Calibri"/>
                <w:sz w:val="20"/>
              </w:rPr>
              <w:t>Quebec Superior Court (Montréal)</w:t>
            </w:r>
          </w:p>
          <w:p w:rsidR="001C36F8" w:rsidRPr="00096A4B" w:rsidRDefault="001C36F8" w:rsidP="00970CF7">
            <w:pPr>
              <w:jc w:val="both"/>
              <w:rPr>
                <w:rFonts w:eastAsia="Calibri"/>
                <w:sz w:val="20"/>
              </w:rPr>
            </w:pPr>
            <w:r w:rsidRPr="00096A4B">
              <w:rPr>
                <w:rFonts w:eastAsia="Calibri"/>
                <w:sz w:val="20"/>
              </w:rPr>
              <w:t>(Auclair J.)</w:t>
            </w:r>
          </w:p>
          <w:p w:rsidR="001C36F8" w:rsidRPr="00096A4B" w:rsidRDefault="001C36F8" w:rsidP="00970CF7">
            <w:pPr>
              <w:jc w:val="both"/>
              <w:rPr>
                <w:rFonts w:eastAsia="Calibri"/>
                <w:sz w:val="20"/>
              </w:rPr>
            </w:pPr>
            <w:r w:rsidRPr="00096A4B">
              <w:rPr>
                <w:rFonts w:eastAsia="Calibri"/>
                <w:sz w:val="20"/>
              </w:rPr>
              <w:t>C.S.Q. No. 500</w:t>
            </w:r>
            <w:r w:rsidRPr="00096A4B">
              <w:rPr>
                <w:rFonts w:eastAsia="Calibri"/>
                <w:sz w:val="20"/>
              </w:rPr>
              <w:noBreakHyphen/>
              <w:t>05</w:t>
            </w:r>
            <w:r w:rsidRPr="00096A4B">
              <w:rPr>
                <w:rFonts w:eastAsia="Calibri"/>
                <w:sz w:val="20"/>
              </w:rPr>
              <w:noBreakHyphen/>
              <w:t>021498</w:t>
            </w:r>
            <w:r w:rsidRPr="00096A4B">
              <w:rPr>
                <w:rFonts w:eastAsia="Calibri"/>
                <w:sz w:val="20"/>
              </w:rPr>
              <w:noBreakHyphen/>
              <w:t xml:space="preserve">967 </w:t>
            </w:r>
          </w:p>
          <w:p w:rsidR="001C36F8" w:rsidRPr="00096A4B" w:rsidRDefault="001C36F8" w:rsidP="00970CF7">
            <w:pPr>
              <w:jc w:val="both"/>
              <w:rPr>
                <w:rFonts w:eastAsia="Calibri"/>
                <w:sz w:val="20"/>
              </w:rPr>
            </w:pPr>
            <w:r w:rsidRPr="00096A4B">
              <w:rPr>
                <w:rFonts w:eastAsia="Calibri"/>
                <w:sz w:val="20"/>
              </w:rPr>
              <w:t>Neutral citation: 2009 QCCS 8395</w:t>
            </w:r>
          </w:p>
          <w:p w:rsidR="001C36F8" w:rsidRPr="00096A4B" w:rsidRDefault="001C36F8" w:rsidP="00970CF7">
            <w:pPr>
              <w:jc w:val="both"/>
              <w:rPr>
                <w:rFonts w:eastAsia="Calibri"/>
                <w:sz w:val="20"/>
              </w:rPr>
            </w:pP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 xml:space="preserve">Copyright infringement action under </w:t>
            </w:r>
            <w:r w:rsidRPr="00096A4B">
              <w:rPr>
                <w:rFonts w:eastAsia="Calibri"/>
                <w:i/>
                <w:sz w:val="20"/>
              </w:rPr>
              <w:t>Copyright Act</w:t>
            </w:r>
            <w:r w:rsidRPr="00096A4B">
              <w:rPr>
                <w:rFonts w:eastAsia="Calibri"/>
                <w:sz w:val="20"/>
              </w:rPr>
              <w:t>, R.S.C. 1985, c. C</w:t>
            </w:r>
            <w:r w:rsidRPr="00096A4B">
              <w:rPr>
                <w:rFonts w:eastAsia="Calibri"/>
                <w:sz w:val="20"/>
              </w:rPr>
              <w:noBreakHyphen/>
              <w:t xml:space="preserve">42, and </w:t>
            </w:r>
            <w:r w:rsidRPr="00096A4B">
              <w:rPr>
                <w:rFonts w:eastAsia="Calibri"/>
                <w:i/>
                <w:sz w:val="20"/>
              </w:rPr>
              <w:t>Civil Code of Québec</w:t>
            </w:r>
            <w:r w:rsidRPr="00096A4B">
              <w:rPr>
                <w:rFonts w:eastAsia="Calibri"/>
                <w:sz w:val="20"/>
              </w:rPr>
              <w:t xml:space="preserve"> allowed in part with award of $607,489 for copyright infringement, $1,716,804 in reimbursement of profits made from infringement, $400,000 for psychological injury, $1,000,000 in punitive damages, $1,500,000 in extrajudicial fees and expert fees</w:t>
            </w:r>
          </w:p>
          <w:p w:rsidR="001C36F8" w:rsidRPr="00096A4B" w:rsidRDefault="001C36F8" w:rsidP="00970CF7">
            <w:pPr>
              <w:jc w:val="both"/>
              <w:rPr>
                <w:rFonts w:eastAsia="Calibri"/>
                <w:sz w:val="20"/>
              </w:rPr>
            </w:pPr>
          </w:p>
        </w:tc>
      </w:tr>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t>July 20, 2011</w:t>
            </w:r>
          </w:p>
          <w:p w:rsidR="001C36F8" w:rsidRPr="00096A4B" w:rsidRDefault="001C36F8" w:rsidP="00970CF7">
            <w:pPr>
              <w:jc w:val="both"/>
              <w:rPr>
                <w:rFonts w:eastAsia="Calibri"/>
                <w:sz w:val="20"/>
              </w:rPr>
            </w:pPr>
            <w:r w:rsidRPr="00096A4B">
              <w:rPr>
                <w:rFonts w:eastAsia="Calibri"/>
                <w:sz w:val="20"/>
              </w:rPr>
              <w:t>Quebec Court of Appeal (Montréal)</w:t>
            </w:r>
          </w:p>
          <w:p w:rsidR="001C36F8" w:rsidRPr="00096A4B" w:rsidRDefault="001C36F8" w:rsidP="00970CF7">
            <w:pPr>
              <w:jc w:val="both"/>
              <w:rPr>
                <w:rFonts w:eastAsia="Calibri"/>
                <w:sz w:val="20"/>
              </w:rPr>
            </w:pPr>
            <w:r w:rsidRPr="00096A4B">
              <w:rPr>
                <w:rFonts w:eastAsia="Calibri"/>
                <w:sz w:val="20"/>
              </w:rPr>
              <w:t>(Thibault, Morin and Doyon JJ.A.)</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020014</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020033</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020034</w:t>
            </w:r>
            <w:r w:rsidRPr="00096A4B">
              <w:rPr>
                <w:rFonts w:eastAsia="Calibri"/>
                <w:sz w:val="20"/>
              </w:rPr>
              <w:noBreakHyphen/>
              <w:t>096</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020035</w:t>
            </w:r>
            <w:r w:rsidRPr="00096A4B">
              <w:rPr>
                <w:rFonts w:eastAsia="Calibri"/>
                <w:sz w:val="20"/>
              </w:rPr>
              <w:noBreakHyphen/>
              <w:t>093</w:t>
            </w:r>
          </w:p>
          <w:p w:rsidR="001C36F8" w:rsidRPr="00096A4B" w:rsidRDefault="001C36F8" w:rsidP="00970CF7">
            <w:pPr>
              <w:jc w:val="both"/>
              <w:rPr>
                <w:rFonts w:eastAsia="Calibri"/>
                <w:sz w:val="20"/>
              </w:rPr>
            </w:pPr>
            <w:r w:rsidRPr="00096A4B">
              <w:rPr>
                <w:rFonts w:eastAsia="Calibri"/>
                <w:sz w:val="20"/>
              </w:rPr>
              <w:t>Neutral citation: 2011 QCCA 1361</w:t>
            </w:r>
          </w:p>
          <w:p w:rsidR="001C36F8" w:rsidRPr="00096A4B" w:rsidRDefault="001C36F8" w:rsidP="00970CF7">
            <w:pPr>
              <w:jc w:val="both"/>
              <w:rPr>
                <w:rFonts w:eastAsia="Calibri"/>
                <w:sz w:val="20"/>
              </w:rPr>
            </w:pP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 xml:space="preserve">Appeal allowed in part, upholding, </w:t>
            </w:r>
            <w:r w:rsidRPr="00096A4B">
              <w:rPr>
                <w:rFonts w:eastAsia="Calibri"/>
                <w:i/>
                <w:sz w:val="20"/>
              </w:rPr>
              <w:t>inter alia</w:t>
            </w:r>
            <w:r w:rsidRPr="00096A4B">
              <w:rPr>
                <w:rFonts w:eastAsia="Calibri"/>
                <w:sz w:val="20"/>
              </w:rPr>
              <w:t>, liability of defendants (except Christian Davin) and reducing award (apart from $1,500,000 in extrajudicial fees) to $725,839 in compensatory damages, $260,577 in reimbursement of profits and $250,000 in total punitive damages</w:t>
            </w:r>
          </w:p>
          <w:p w:rsidR="001C36F8" w:rsidRPr="00096A4B" w:rsidRDefault="001C36F8" w:rsidP="00970CF7">
            <w:pPr>
              <w:jc w:val="both"/>
              <w:rPr>
                <w:rFonts w:eastAsia="Calibri"/>
                <w:sz w:val="20"/>
              </w:rPr>
            </w:pPr>
          </w:p>
        </w:tc>
      </w:tr>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t>September 21, 2011</w:t>
            </w:r>
          </w:p>
          <w:p w:rsidR="001C36F8" w:rsidRPr="00096A4B" w:rsidRDefault="001C36F8" w:rsidP="00970CF7">
            <w:pPr>
              <w:jc w:val="both"/>
              <w:rPr>
                <w:rFonts w:eastAsia="Calibri"/>
                <w:sz w:val="20"/>
              </w:rPr>
            </w:pPr>
            <w:r w:rsidRPr="00096A4B">
              <w:rPr>
                <w:rFonts w:eastAsia="Calibri"/>
                <w:sz w:val="20"/>
              </w:rPr>
              <w:t>Supreme Court of Canada</w:t>
            </w: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Application for leave to appeal filed</w:t>
            </w: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45"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36F8" w:rsidRPr="00643997"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 xml:space="preserve">Propriété intellectuelle – </w:t>
            </w:r>
            <w:r w:rsidRPr="00096A4B">
              <w:rPr>
                <w:rFonts w:eastAsia="Calibri"/>
                <w:i/>
                <w:sz w:val="20"/>
                <w:lang w:val="fr-CA"/>
              </w:rPr>
              <w:t>Loi sur le droit d’auteur</w:t>
            </w:r>
            <w:r w:rsidRPr="00096A4B">
              <w:rPr>
                <w:rFonts w:eastAsia="Calibri"/>
                <w:sz w:val="20"/>
                <w:lang w:val="fr-CA"/>
              </w:rPr>
              <w:t xml:space="preserve">, L.R.C. (1985), c. C-42 – Contrefaçon – Preuve – Étapes et critères applicables en matière de reprise d’une partie importante ou substantielle d’une œuvre au sens des articles 2 et 3 de la </w:t>
            </w:r>
            <w:r w:rsidRPr="00096A4B">
              <w:rPr>
                <w:rFonts w:eastAsia="Calibri"/>
                <w:i/>
                <w:sz w:val="20"/>
                <w:lang w:val="fr-CA"/>
              </w:rPr>
              <w:t>Loi sur le droit d’auteur</w:t>
            </w:r>
            <w:r w:rsidRPr="00096A4B">
              <w:rPr>
                <w:rFonts w:eastAsia="Calibri"/>
                <w:sz w:val="20"/>
                <w:lang w:val="fr-CA"/>
              </w:rPr>
              <w:t xml:space="preserve"> – Admissibilité du témoignage d’un expert quant à la reprise d’une partie importante ou substantielle d’une œuvre au sens des articles 2 et 3 de la </w:t>
            </w:r>
            <w:r w:rsidRPr="00096A4B">
              <w:rPr>
                <w:rFonts w:eastAsia="Calibri"/>
                <w:i/>
                <w:sz w:val="20"/>
                <w:lang w:val="fr-CA"/>
              </w:rPr>
              <w:t>Loi sur le droit d’auteur</w:t>
            </w:r>
            <w:r w:rsidRPr="00096A4B">
              <w:rPr>
                <w:rFonts w:eastAsia="Calibri"/>
                <w:sz w:val="20"/>
                <w:lang w:val="fr-CA"/>
              </w:rPr>
              <w:t>.</w:t>
            </w:r>
          </w:p>
        </w:tc>
      </w:tr>
      <w:tr w:rsidR="001C36F8" w:rsidRPr="00643997" w:rsidTr="00970CF7">
        <w:tc>
          <w:tcPr>
            <w:tcW w:w="5000" w:type="pct"/>
            <w:gridSpan w:val="3"/>
          </w:tcPr>
          <w:p w:rsidR="001C36F8" w:rsidRPr="00096A4B" w:rsidRDefault="001C36F8" w:rsidP="00970CF7">
            <w:pPr>
              <w:jc w:val="both"/>
              <w:rPr>
                <w:rFonts w:eastAsia="Calibri"/>
                <w:sz w:val="20"/>
                <w:lang w:val="fr-CA"/>
              </w:rPr>
            </w:pPr>
          </w:p>
        </w:tc>
      </w:tr>
      <w:tr w:rsidR="001C36F8" w:rsidRPr="00643997"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 xml:space="preserve">M. Claude Robinson est un artiste qui a dessiné, en 1982, les premiers croquis des personnages d’un projet de série télévisée pour enfants qui porterait le nom de </w:t>
            </w:r>
            <w:r w:rsidRPr="00096A4B">
              <w:rPr>
                <w:rFonts w:eastAsia="Calibri"/>
                <w:i/>
                <w:sz w:val="20"/>
                <w:lang w:val="fr-CA"/>
              </w:rPr>
              <w:t>Robinson Curiosité</w:t>
            </w:r>
            <w:r w:rsidRPr="00096A4B">
              <w:rPr>
                <w:rFonts w:eastAsia="Calibri"/>
                <w:sz w:val="20"/>
                <w:lang w:val="fr-CA"/>
              </w:rPr>
              <w:t xml:space="preserve">.  Quelques années plus tard, en 1985, le Bureau du droit d’auteur délivre un certificat d’enregistrement de </w:t>
            </w:r>
            <w:r w:rsidRPr="00096A4B">
              <w:rPr>
                <w:rFonts w:eastAsia="Calibri"/>
                <w:i/>
                <w:sz w:val="20"/>
                <w:lang w:val="fr-CA"/>
              </w:rPr>
              <w:t>Robinson Curiosité</w:t>
            </w:r>
            <w:r w:rsidRPr="00096A4B">
              <w:rPr>
                <w:rFonts w:eastAsia="Calibri"/>
                <w:sz w:val="20"/>
                <w:lang w:val="fr-CA"/>
              </w:rPr>
              <w:t xml:space="preserve"> indiquant que M. Robinson est l’auteur de l’œuvre et que les Productions Nilem inc. (ci-après « Nilem »), une société commerciale dont il est le seul actionnaire, en est le propriétaire.</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r w:rsidRPr="00096A4B">
              <w:rPr>
                <w:rFonts w:eastAsia="Calibri"/>
                <w:sz w:val="20"/>
                <w:lang w:val="fr-CA"/>
              </w:rPr>
              <w:t xml:space="preserve">À compter de 1985, M. Robinson et Nilem multiplient les démarches destinées à faire la promotion et la production de </w:t>
            </w:r>
            <w:r w:rsidRPr="00096A4B">
              <w:rPr>
                <w:rFonts w:eastAsia="Calibri"/>
                <w:i/>
                <w:sz w:val="20"/>
                <w:lang w:val="fr-CA"/>
              </w:rPr>
              <w:t>Robinson Curiosité</w:t>
            </w:r>
            <w:r w:rsidRPr="00096A4B">
              <w:rPr>
                <w:rFonts w:eastAsia="Calibri"/>
                <w:sz w:val="20"/>
                <w:lang w:val="fr-CA"/>
              </w:rPr>
              <w:t xml:space="preserve">, y compris avec Corporation Cinar/Les Films Cinar inc., mais pendant près de 10 ans, ces démarches sont infructueuses.  En septembre 1995, il y a cependant diffusion au Québec du premier épisode de </w:t>
            </w:r>
            <w:r w:rsidRPr="00096A4B">
              <w:rPr>
                <w:rFonts w:eastAsia="Calibri"/>
                <w:i/>
                <w:sz w:val="20"/>
                <w:lang w:val="fr-CA"/>
              </w:rPr>
              <w:t>Robinson Sucroë</w:t>
            </w:r>
            <w:r w:rsidRPr="00096A4B">
              <w:rPr>
                <w:rFonts w:eastAsia="Calibri"/>
                <w:sz w:val="20"/>
                <w:lang w:val="fr-CA"/>
              </w:rPr>
              <w:t>, œuvre produite par Corporation Cinar/Les Films Cinar inc., France Animation S.A et Ravensburger Film + TV GmbH.</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r w:rsidRPr="00096A4B">
              <w:rPr>
                <w:rFonts w:eastAsia="Calibri"/>
                <w:sz w:val="20"/>
                <w:lang w:val="fr-CA"/>
              </w:rPr>
              <w:t xml:space="preserve">Constatant des similitudes entre son œuvre, </w:t>
            </w:r>
            <w:r w:rsidRPr="00096A4B">
              <w:rPr>
                <w:rFonts w:eastAsia="Calibri"/>
                <w:i/>
                <w:sz w:val="20"/>
                <w:lang w:val="fr-CA"/>
              </w:rPr>
              <w:t>Robinson Curiosité</w:t>
            </w:r>
            <w:r w:rsidRPr="00096A4B">
              <w:rPr>
                <w:rFonts w:eastAsia="Calibri"/>
                <w:sz w:val="20"/>
                <w:lang w:val="fr-CA"/>
              </w:rPr>
              <w:t xml:space="preserve">, et l’œuvre produite sous le titre </w:t>
            </w:r>
            <w:r w:rsidRPr="00096A4B">
              <w:rPr>
                <w:rFonts w:eastAsia="Calibri"/>
                <w:i/>
                <w:sz w:val="20"/>
                <w:lang w:val="fr-CA"/>
              </w:rPr>
              <w:t>Robinson Sucroë</w:t>
            </w:r>
            <w:r w:rsidRPr="00096A4B">
              <w:rPr>
                <w:rFonts w:eastAsia="Calibri"/>
                <w:sz w:val="20"/>
                <w:lang w:val="fr-CA"/>
              </w:rPr>
              <w:t>, M. Robinson et Nilem intentent une action en contrefaçon devant la Cour supérieure du Québec, laquelle accueille l’action en partie.  En appel de cette cause, la Cour d’appel du Québec confirme en partie les conclusions de la Cour supérieure quant aux contrefacteurs mais révise à la baisse plusieurs aspects de la condamnation pécuniaire ordonnée en première instance, principalement sur la base de calculs révisés des profits et des dommages punitifs.</w:t>
            </w:r>
          </w:p>
          <w:p w:rsidR="001C36F8" w:rsidRPr="00096A4B" w:rsidRDefault="001C36F8" w:rsidP="00970CF7">
            <w:pPr>
              <w:jc w:val="both"/>
              <w:rPr>
                <w:rFonts w:eastAsia="Calibri"/>
                <w:sz w:val="20"/>
                <w:lang w:val="fr-CA"/>
              </w:rPr>
            </w:pPr>
          </w:p>
        </w:tc>
      </w:tr>
      <w:tr w:rsidR="001C36F8" w:rsidRPr="00643997"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lastRenderedPageBreak/>
              <w:t>Le 26 août 2009</w:t>
            </w:r>
          </w:p>
          <w:p w:rsidR="001C36F8" w:rsidRPr="00096A4B" w:rsidRDefault="001C36F8" w:rsidP="00970CF7">
            <w:pPr>
              <w:jc w:val="both"/>
              <w:rPr>
                <w:rFonts w:eastAsia="Calibri"/>
                <w:sz w:val="20"/>
                <w:lang w:val="fr-CA"/>
              </w:rPr>
            </w:pPr>
            <w:r w:rsidRPr="00096A4B">
              <w:rPr>
                <w:rFonts w:eastAsia="Calibri"/>
                <w:sz w:val="20"/>
                <w:lang w:val="fr-CA"/>
              </w:rPr>
              <w:t>Cour supérieure du Québec (Montréal)</w:t>
            </w:r>
          </w:p>
          <w:p w:rsidR="001C36F8" w:rsidRPr="00096A4B" w:rsidRDefault="001C36F8" w:rsidP="00970CF7">
            <w:pPr>
              <w:jc w:val="both"/>
              <w:rPr>
                <w:rFonts w:eastAsia="Calibri"/>
                <w:sz w:val="20"/>
                <w:lang w:val="fr-CA"/>
              </w:rPr>
            </w:pPr>
            <w:r w:rsidRPr="00096A4B">
              <w:rPr>
                <w:rFonts w:eastAsia="Calibri"/>
                <w:sz w:val="20"/>
                <w:lang w:val="fr-CA"/>
              </w:rPr>
              <w:t>(Le juge Auclair)</w:t>
            </w:r>
          </w:p>
          <w:p w:rsidR="001C36F8" w:rsidRPr="00096A4B" w:rsidRDefault="001C36F8" w:rsidP="00970CF7">
            <w:pPr>
              <w:jc w:val="both"/>
              <w:rPr>
                <w:rFonts w:eastAsia="Calibri"/>
                <w:sz w:val="20"/>
                <w:lang w:val="fr-CA"/>
              </w:rPr>
            </w:pPr>
            <w:r w:rsidRPr="00096A4B">
              <w:rPr>
                <w:rFonts w:eastAsia="Calibri"/>
                <w:sz w:val="20"/>
                <w:lang w:val="fr-CA"/>
              </w:rPr>
              <w:t xml:space="preserve">C.S.Q. No. 500-05-021498-967 </w:t>
            </w:r>
          </w:p>
          <w:p w:rsidR="001C36F8" w:rsidRPr="00096A4B" w:rsidRDefault="001C36F8" w:rsidP="00970CF7">
            <w:pPr>
              <w:jc w:val="both"/>
              <w:rPr>
                <w:rFonts w:eastAsia="Calibri"/>
                <w:sz w:val="20"/>
                <w:lang w:val="fr-CA"/>
              </w:rPr>
            </w:pPr>
            <w:r w:rsidRPr="00096A4B">
              <w:rPr>
                <w:rFonts w:eastAsia="Calibri"/>
                <w:sz w:val="20"/>
                <w:lang w:val="fr-CA"/>
              </w:rPr>
              <w:t>Référence neutre : 2009 QCCS 8395</w:t>
            </w:r>
          </w:p>
          <w:p w:rsidR="001C36F8" w:rsidRPr="00096A4B" w:rsidRDefault="001C36F8" w:rsidP="00970CF7">
            <w:pPr>
              <w:jc w:val="both"/>
              <w:rPr>
                <w:rFonts w:eastAsia="Calibri"/>
                <w:sz w:val="20"/>
              </w:rPr>
            </w:pP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 xml:space="preserve">Action en contrefaçon de droits d’auteur en vertu de la </w:t>
            </w:r>
            <w:r w:rsidRPr="00096A4B">
              <w:rPr>
                <w:rFonts w:eastAsia="Calibri"/>
                <w:i/>
                <w:sz w:val="20"/>
                <w:lang w:val="fr-CA"/>
              </w:rPr>
              <w:t>Loi sur le droit d’auteur</w:t>
            </w:r>
            <w:r w:rsidRPr="00096A4B">
              <w:rPr>
                <w:rFonts w:eastAsia="Calibri"/>
                <w:sz w:val="20"/>
                <w:lang w:val="fr-CA"/>
              </w:rPr>
              <w:t xml:space="preserve">, L.R.C. (1985), c. C-42 et du </w:t>
            </w:r>
            <w:r w:rsidRPr="00096A4B">
              <w:rPr>
                <w:rFonts w:eastAsia="Calibri"/>
                <w:i/>
                <w:sz w:val="20"/>
                <w:lang w:val="fr-CA"/>
              </w:rPr>
              <w:t>Code civil du Québec</w:t>
            </w:r>
            <w:r w:rsidRPr="00096A4B">
              <w:rPr>
                <w:rFonts w:eastAsia="Calibri"/>
                <w:sz w:val="20"/>
                <w:lang w:val="fr-CA"/>
              </w:rPr>
              <w:t xml:space="preserve"> accueillie en partie avec condamnation au montant de 607 489 $ pour la violation du droit d’auteur, 1 716 804 $ pour le remboursement des profits réalisés à la suite de la contrefaçon, 400 000 $ pour le préjudice psychologique, 1 000 000 $ à titre de dommages punitifs, 1 500 000 $ pour les honoraires extrajudiciaires, de même que les frais d’experts.</w:t>
            </w:r>
          </w:p>
          <w:p w:rsidR="001C36F8" w:rsidRPr="00096A4B" w:rsidRDefault="001C36F8" w:rsidP="00970CF7">
            <w:pPr>
              <w:jc w:val="both"/>
              <w:rPr>
                <w:rFonts w:eastAsia="Calibri"/>
                <w:sz w:val="20"/>
                <w:lang w:val="fr-CA"/>
              </w:rPr>
            </w:pPr>
          </w:p>
        </w:tc>
      </w:tr>
      <w:tr w:rsidR="001C36F8" w:rsidRPr="00643997"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t>Le 20 juillet 2011</w:t>
            </w:r>
          </w:p>
          <w:p w:rsidR="001C36F8" w:rsidRPr="00096A4B" w:rsidRDefault="001C36F8" w:rsidP="00970CF7">
            <w:pPr>
              <w:jc w:val="both"/>
              <w:rPr>
                <w:rFonts w:eastAsia="Calibri"/>
                <w:sz w:val="20"/>
                <w:lang w:val="fr-CA"/>
              </w:rPr>
            </w:pPr>
            <w:r w:rsidRPr="00096A4B">
              <w:rPr>
                <w:rFonts w:eastAsia="Calibri"/>
                <w:sz w:val="20"/>
                <w:lang w:val="fr-CA"/>
              </w:rPr>
              <w:t>Cour d’appel du Québec (Montréal)</w:t>
            </w:r>
          </w:p>
          <w:p w:rsidR="001C36F8" w:rsidRPr="00096A4B" w:rsidRDefault="001C36F8" w:rsidP="00970CF7">
            <w:pPr>
              <w:jc w:val="both"/>
              <w:rPr>
                <w:rFonts w:eastAsia="Calibri"/>
                <w:sz w:val="20"/>
                <w:lang w:val="fr-CA"/>
              </w:rPr>
            </w:pPr>
            <w:r w:rsidRPr="00096A4B">
              <w:rPr>
                <w:rFonts w:eastAsia="Calibri"/>
                <w:sz w:val="20"/>
                <w:lang w:val="fr-CA"/>
              </w:rPr>
              <w:t>(Les juges Thibault, Morin et Doyon)</w:t>
            </w:r>
          </w:p>
          <w:p w:rsidR="001C36F8" w:rsidRPr="00096A4B" w:rsidRDefault="001C36F8" w:rsidP="00970CF7">
            <w:pPr>
              <w:jc w:val="both"/>
              <w:rPr>
                <w:rFonts w:eastAsia="Calibri"/>
                <w:sz w:val="20"/>
              </w:rPr>
            </w:pPr>
            <w:r w:rsidRPr="00096A4B">
              <w:rPr>
                <w:rFonts w:eastAsia="Calibri"/>
                <w:sz w:val="20"/>
              </w:rPr>
              <w:t>C.A.Q. No. 500-09-020014-098</w:t>
            </w:r>
          </w:p>
          <w:p w:rsidR="001C36F8" w:rsidRPr="00096A4B" w:rsidRDefault="001C36F8" w:rsidP="00970CF7">
            <w:pPr>
              <w:jc w:val="both"/>
              <w:rPr>
                <w:rFonts w:eastAsia="Calibri"/>
                <w:sz w:val="20"/>
              </w:rPr>
            </w:pPr>
            <w:r w:rsidRPr="00096A4B">
              <w:rPr>
                <w:rFonts w:eastAsia="Calibri"/>
                <w:sz w:val="20"/>
              </w:rPr>
              <w:t>C.A.Q. No. 500-09-020033-098</w:t>
            </w:r>
          </w:p>
          <w:p w:rsidR="001C36F8" w:rsidRPr="00096A4B" w:rsidRDefault="001C36F8" w:rsidP="00970CF7">
            <w:pPr>
              <w:jc w:val="both"/>
              <w:rPr>
                <w:rFonts w:eastAsia="Calibri"/>
                <w:sz w:val="20"/>
              </w:rPr>
            </w:pPr>
            <w:r w:rsidRPr="00096A4B">
              <w:rPr>
                <w:rFonts w:eastAsia="Calibri"/>
                <w:sz w:val="20"/>
              </w:rPr>
              <w:t>C.A.Q. No. 500-09-020034-096</w:t>
            </w:r>
          </w:p>
          <w:p w:rsidR="001C36F8" w:rsidRPr="00096A4B" w:rsidRDefault="001C36F8" w:rsidP="00970CF7">
            <w:pPr>
              <w:jc w:val="both"/>
              <w:rPr>
                <w:rFonts w:eastAsia="Calibri"/>
                <w:sz w:val="20"/>
              </w:rPr>
            </w:pPr>
            <w:r w:rsidRPr="00096A4B">
              <w:rPr>
                <w:rFonts w:eastAsia="Calibri"/>
                <w:sz w:val="20"/>
              </w:rPr>
              <w:t>C.A.Q. No. 500-09-020035-093</w:t>
            </w:r>
          </w:p>
          <w:p w:rsidR="001C36F8" w:rsidRPr="00096A4B" w:rsidRDefault="001C36F8" w:rsidP="00970CF7">
            <w:pPr>
              <w:jc w:val="both"/>
              <w:rPr>
                <w:rFonts w:eastAsia="Calibri"/>
                <w:sz w:val="20"/>
                <w:lang w:val="fr-CA"/>
              </w:rPr>
            </w:pPr>
            <w:r w:rsidRPr="00096A4B">
              <w:rPr>
                <w:rFonts w:eastAsia="Calibri"/>
                <w:sz w:val="20"/>
                <w:lang w:val="fr-CA"/>
              </w:rPr>
              <w:t>Référence neutre : 2011 QCCA 1361</w:t>
            </w:r>
          </w:p>
          <w:p w:rsidR="001C36F8" w:rsidRPr="00096A4B" w:rsidRDefault="001C36F8" w:rsidP="00970CF7">
            <w:pPr>
              <w:jc w:val="both"/>
              <w:rPr>
                <w:rFonts w:eastAsia="Calibri"/>
                <w:sz w:val="20"/>
                <w:lang w:val="fr-CA"/>
              </w:rPr>
            </w:pP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 xml:space="preserve">Appel accueilli en partie, confirmant </w:t>
            </w:r>
            <w:r w:rsidRPr="00096A4B">
              <w:rPr>
                <w:rFonts w:eastAsia="Calibri"/>
                <w:i/>
                <w:sz w:val="20"/>
                <w:lang w:val="fr-CA"/>
              </w:rPr>
              <w:t>inter alia</w:t>
            </w:r>
            <w:r w:rsidRPr="00096A4B">
              <w:rPr>
                <w:rFonts w:eastAsia="Calibri"/>
                <w:sz w:val="20"/>
                <w:lang w:val="fr-CA"/>
              </w:rPr>
              <w:t xml:space="preserve"> la responsabilité des défendeurs (à l’exception de Christian Davin) et révisant à la baisse le montant de la condamnation à savoir, outre les honoraires extrajudiciaires de 1 500 000 $, des dommages-intérêts compensatoires totalisant 725 839 $, le remboursement des profits au montant de 260 577 $ et des dommages punitifs globaux de 250 000 $.</w:t>
            </w:r>
          </w:p>
          <w:p w:rsidR="001C36F8" w:rsidRPr="00096A4B" w:rsidRDefault="001C36F8" w:rsidP="00970CF7">
            <w:pPr>
              <w:jc w:val="both"/>
              <w:rPr>
                <w:rFonts w:eastAsia="Calibri"/>
                <w:sz w:val="20"/>
                <w:lang w:val="fr-CA"/>
              </w:rPr>
            </w:pPr>
          </w:p>
        </w:tc>
      </w:tr>
      <w:tr w:rsidR="001C36F8" w:rsidRPr="00096A4B"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t>Le 21 septembre 2011</w:t>
            </w:r>
          </w:p>
          <w:p w:rsidR="001C36F8" w:rsidRPr="00096A4B" w:rsidRDefault="001C36F8" w:rsidP="00970CF7">
            <w:pPr>
              <w:jc w:val="both"/>
              <w:rPr>
                <w:rFonts w:eastAsia="Calibri"/>
                <w:sz w:val="20"/>
                <w:lang w:val="fr-CA"/>
              </w:rPr>
            </w:pPr>
            <w:r w:rsidRPr="00096A4B">
              <w:rPr>
                <w:rFonts w:eastAsia="Calibri"/>
                <w:sz w:val="20"/>
                <w:lang w:val="fr-CA"/>
              </w:rPr>
              <w:t>Cour suprême du Canada</w:t>
            </w: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Demande d'autorisation d'appel déposée</w:t>
            </w:r>
          </w:p>
          <w:p w:rsidR="001C36F8" w:rsidRPr="00096A4B" w:rsidRDefault="001C36F8" w:rsidP="00970CF7">
            <w:pPr>
              <w:jc w:val="both"/>
              <w:rPr>
                <w:rFonts w:eastAsia="Calibri"/>
                <w:sz w:val="20"/>
                <w:lang w:val="fr-CA"/>
              </w:rPr>
            </w:pP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46"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75B7" w:rsidRPr="00643997" w:rsidTr="0017605E">
        <w:trPr>
          <w:cantSplit/>
        </w:trPr>
        <w:tc>
          <w:tcPr>
            <w:tcW w:w="1458" w:type="dxa"/>
          </w:tcPr>
          <w:p w:rsidR="006975B7" w:rsidRPr="006975B7" w:rsidRDefault="006975B7" w:rsidP="0017605E">
            <w:pPr>
              <w:rPr>
                <w:sz w:val="20"/>
                <w:szCs w:val="20"/>
              </w:rPr>
            </w:pPr>
            <w:r w:rsidRPr="006975B7">
              <w:rPr>
                <w:rStyle w:val="SCCFileNumberChar"/>
                <w:sz w:val="20"/>
                <w:szCs w:val="20"/>
              </w:rPr>
              <w:t>34469</w:t>
            </w:r>
          </w:p>
          <w:p w:rsidR="006975B7" w:rsidRPr="006975B7" w:rsidRDefault="006975B7" w:rsidP="0017605E">
            <w:pPr>
              <w:rPr>
                <w:b/>
                <w:sz w:val="20"/>
                <w:szCs w:val="20"/>
                <w:lang w:val="fr-CA"/>
              </w:rPr>
            </w:pPr>
          </w:p>
        </w:tc>
        <w:tc>
          <w:tcPr>
            <w:tcW w:w="8118" w:type="dxa"/>
          </w:tcPr>
          <w:p w:rsidR="006975B7" w:rsidRPr="006975B7" w:rsidRDefault="006975B7" w:rsidP="006975B7">
            <w:pPr>
              <w:jc w:val="both"/>
              <w:rPr>
                <w:sz w:val="20"/>
                <w:szCs w:val="20"/>
                <w:lang w:val="fr-CA"/>
              </w:rPr>
            </w:pPr>
            <w:r w:rsidRPr="006975B7">
              <w:rPr>
                <w:rStyle w:val="SCCLsocChar"/>
                <w:sz w:val="20"/>
                <w:szCs w:val="20"/>
              </w:rPr>
              <w:t>Claude Robinson</w:t>
            </w:r>
            <w:r w:rsidR="00275DFD">
              <w:rPr>
                <w:rStyle w:val="SCCLsocChar"/>
                <w:sz w:val="20"/>
                <w:szCs w:val="20"/>
              </w:rPr>
              <w:t xml:space="preserve"> et</w:t>
            </w:r>
            <w:r w:rsidRPr="006975B7">
              <w:rPr>
                <w:rStyle w:val="SCCLsocChar"/>
                <w:sz w:val="20"/>
                <w:szCs w:val="20"/>
              </w:rPr>
              <w:t xml:space="preserve"> Productions Nilem Inc. c. France Animation S.A., Ravensburger Film + TV GmbH, Videal Gesellschaft Zur Hertellung Von Audiovisuellen Produkten MHB, RTV Family Entertainment AG, Christian Davin, Christophe Izard, Films Cinar Inc., Cinar Corporation, 3918203 Canada Inc., Ronald A. Weinberg</w:t>
            </w:r>
            <w:r w:rsidR="00275DFD">
              <w:rPr>
                <w:rStyle w:val="SCCLsocChar"/>
                <w:sz w:val="20"/>
                <w:szCs w:val="20"/>
              </w:rPr>
              <w:t xml:space="preserve"> et</w:t>
            </w:r>
            <w:r w:rsidRPr="006975B7">
              <w:rPr>
                <w:rStyle w:val="SCCLsocChar"/>
                <w:sz w:val="20"/>
                <w:szCs w:val="20"/>
              </w:rPr>
              <w:t xml:space="preserve"> Ronald A. Weinberg, en qualité d'unique </w:t>
            </w:r>
            <w:r w:rsidR="00275DFD">
              <w:rPr>
                <w:rStyle w:val="SCCLsocChar"/>
                <w:sz w:val="20"/>
                <w:szCs w:val="20"/>
              </w:rPr>
              <w:t>l</w:t>
            </w:r>
            <w:r w:rsidRPr="006975B7">
              <w:rPr>
                <w:rStyle w:val="SCCLsocChar"/>
                <w:sz w:val="20"/>
                <w:szCs w:val="20"/>
              </w:rPr>
              <w:t xml:space="preserve">iquidateur de la </w:t>
            </w:r>
            <w:r w:rsidR="00275DFD">
              <w:rPr>
                <w:rStyle w:val="SCCLsocChar"/>
                <w:sz w:val="20"/>
                <w:szCs w:val="20"/>
              </w:rPr>
              <w:t>s</w:t>
            </w:r>
            <w:r w:rsidRPr="006975B7">
              <w:rPr>
                <w:rStyle w:val="SCCLsocChar"/>
                <w:sz w:val="20"/>
                <w:szCs w:val="20"/>
              </w:rPr>
              <w:t>uccession de feu Micheline Charest</w:t>
            </w:r>
            <w:r w:rsidRPr="006975B7">
              <w:rPr>
                <w:sz w:val="20"/>
                <w:szCs w:val="20"/>
                <w:lang w:val="fr-CA"/>
              </w:rPr>
              <w:t xml:space="preserve"> (Qc) (Civile) (Autorisation)</w:t>
            </w:r>
          </w:p>
          <w:p w:rsidR="006975B7" w:rsidRPr="006975B7" w:rsidRDefault="006975B7" w:rsidP="006975B7">
            <w:pPr>
              <w:jc w:val="both"/>
              <w:rPr>
                <w:sz w:val="20"/>
                <w:szCs w:val="20"/>
                <w:lang w:val="fr-CA"/>
              </w:rPr>
            </w:pPr>
          </w:p>
        </w:tc>
      </w:tr>
      <w:tr w:rsidR="006975B7" w:rsidRPr="00643997" w:rsidTr="0017605E">
        <w:trPr>
          <w:cantSplit/>
        </w:trPr>
        <w:tc>
          <w:tcPr>
            <w:tcW w:w="1458" w:type="dxa"/>
          </w:tcPr>
          <w:p w:rsidR="006975B7" w:rsidRPr="006975B7" w:rsidRDefault="006975B7" w:rsidP="0017605E">
            <w:pPr>
              <w:rPr>
                <w:sz w:val="20"/>
                <w:szCs w:val="20"/>
              </w:rPr>
            </w:pPr>
            <w:r w:rsidRPr="006975B7">
              <w:rPr>
                <w:sz w:val="20"/>
                <w:szCs w:val="20"/>
              </w:rPr>
              <w:t>Coram :</w:t>
            </w:r>
          </w:p>
        </w:tc>
        <w:tc>
          <w:tcPr>
            <w:tcW w:w="8118" w:type="dxa"/>
          </w:tcPr>
          <w:p w:rsidR="006975B7" w:rsidRPr="006975B7" w:rsidRDefault="006975B7" w:rsidP="0017605E">
            <w:pPr>
              <w:rPr>
                <w:sz w:val="20"/>
                <w:szCs w:val="20"/>
                <w:lang w:val="fr-CA"/>
              </w:rPr>
            </w:pPr>
            <w:r w:rsidRPr="006975B7">
              <w:rPr>
                <w:rStyle w:val="SCCCoramChar"/>
                <w:sz w:val="20"/>
                <w:szCs w:val="20"/>
              </w:rPr>
              <w:t>Les juges LeBel, Fish et Karakatsanis</w:t>
            </w:r>
          </w:p>
          <w:p w:rsidR="006975B7" w:rsidRPr="006975B7" w:rsidRDefault="006975B7" w:rsidP="0017605E">
            <w:pPr>
              <w:rPr>
                <w:sz w:val="20"/>
                <w:szCs w:val="20"/>
                <w:u w:val="single"/>
                <w:lang w:val="fr-CA"/>
              </w:rPr>
            </w:pPr>
          </w:p>
        </w:tc>
      </w:tr>
      <w:tr w:rsidR="006975B7" w:rsidRPr="006975B7" w:rsidTr="0017605E">
        <w:trPr>
          <w:cantSplit/>
        </w:trPr>
        <w:tc>
          <w:tcPr>
            <w:tcW w:w="9576" w:type="dxa"/>
            <w:gridSpan w:val="2"/>
          </w:tcPr>
          <w:p w:rsidR="006975B7" w:rsidRPr="006975B7" w:rsidRDefault="006975B7" w:rsidP="0017605E">
            <w:pPr>
              <w:pStyle w:val="SCCShortJudgment"/>
              <w:rPr>
                <w:szCs w:val="20"/>
              </w:rPr>
            </w:pPr>
            <w:r w:rsidRPr="006975B7">
              <w:rPr>
                <w:szCs w:val="20"/>
                <w:lang w:val="fr-CA"/>
              </w:rPr>
              <w:lastRenderedPageBreak/>
              <w:t xml:space="preserve">La demande d’autorisation d’appel de l’arrêt de la Cour d’appel du Québec (Montréal), numéros 500-09-020014-098, 500-09-020033-098, 500-09-020034-096 et 500-09-020035-093, 2011 QCCA 1361, daté du 20 juillet 2011, est accueillie avec dépens suivant l’issue de la cause. Cet appel sera entendu avec </w:t>
            </w:r>
            <w:r w:rsidRPr="00275DFD">
              <w:rPr>
                <w:i/>
                <w:szCs w:val="20"/>
                <w:lang w:val="fr-CA"/>
              </w:rPr>
              <w:t>Cinar Corporation, et al. c. Claude Robinson, et al.</w:t>
            </w:r>
            <w:r w:rsidRPr="006975B7">
              <w:rPr>
                <w:szCs w:val="20"/>
                <w:lang w:val="fr-CA"/>
              </w:rPr>
              <w:t xml:space="preserve"> (34466), </w:t>
            </w:r>
            <w:r w:rsidRPr="00275DFD">
              <w:rPr>
                <w:i/>
                <w:szCs w:val="20"/>
                <w:lang w:val="fr-CA"/>
              </w:rPr>
              <w:t>Ronald A. Weinberg, et al. c. Productions Nilem, et al.</w:t>
            </w:r>
            <w:r w:rsidRPr="006975B7">
              <w:rPr>
                <w:szCs w:val="20"/>
                <w:lang w:val="fr-CA"/>
              </w:rPr>
              <w:t xml:space="preserve"> (34467) et </w:t>
            </w:r>
            <w:r w:rsidRPr="00275DFD">
              <w:rPr>
                <w:i/>
                <w:szCs w:val="20"/>
                <w:lang w:val="fr-CA"/>
              </w:rPr>
              <w:t>Christophe Izard, et al. c. Claude Robinson, et al.</w:t>
            </w:r>
            <w:r w:rsidRPr="006975B7">
              <w:rPr>
                <w:szCs w:val="20"/>
                <w:lang w:val="fr-CA"/>
              </w:rPr>
              <w:t xml:space="preserve"> </w:t>
            </w:r>
            <w:r w:rsidRPr="006975B7">
              <w:rPr>
                <w:szCs w:val="20"/>
              </w:rPr>
              <w:t>(34468).</w:t>
            </w:r>
          </w:p>
          <w:p w:rsidR="006975B7" w:rsidRPr="006975B7" w:rsidRDefault="006975B7" w:rsidP="0017605E">
            <w:pPr>
              <w:pStyle w:val="SCCShortJudgment"/>
              <w:ind w:firstLine="0"/>
              <w:rPr>
                <w:szCs w:val="20"/>
              </w:rPr>
            </w:pPr>
          </w:p>
          <w:p w:rsidR="006975B7" w:rsidRPr="006975B7" w:rsidRDefault="006975B7" w:rsidP="0017605E">
            <w:pPr>
              <w:pStyle w:val="SCCShortJudgment"/>
              <w:rPr>
                <w:szCs w:val="20"/>
              </w:rPr>
            </w:pPr>
            <w:r w:rsidRPr="006975B7">
              <w:rPr>
                <w:szCs w:val="20"/>
              </w:rPr>
              <w:t xml:space="preserve">The application for leave to appeal from the judgment of the Court of Appeal of Quebec (Montréal), Numbers 500-09-020014-098, 500-09-020033-098, 500-09-020034-096 and 500-09-020035-093, 2011 QCCA 1361, dated July 20, 2011, is granted with costs in the cause. This appeal will be heard with </w:t>
            </w:r>
            <w:r w:rsidRPr="00275DFD">
              <w:rPr>
                <w:i/>
                <w:szCs w:val="20"/>
              </w:rPr>
              <w:t>Cinar Corporation, et al. v. Claude Robinson, et al.</w:t>
            </w:r>
            <w:r w:rsidRPr="006975B7">
              <w:rPr>
                <w:szCs w:val="20"/>
              </w:rPr>
              <w:t xml:space="preserve"> </w:t>
            </w:r>
            <w:r w:rsidRPr="006975B7">
              <w:rPr>
                <w:szCs w:val="20"/>
                <w:lang w:val="fr-CA"/>
              </w:rPr>
              <w:t xml:space="preserve">(34466), </w:t>
            </w:r>
            <w:r w:rsidRPr="00275DFD">
              <w:rPr>
                <w:i/>
                <w:szCs w:val="20"/>
                <w:lang w:val="fr-CA"/>
              </w:rPr>
              <w:t>Ronald A. Weinberg, et al. v. Productions Nilem, et al.</w:t>
            </w:r>
            <w:r w:rsidRPr="006975B7">
              <w:rPr>
                <w:szCs w:val="20"/>
                <w:lang w:val="fr-CA"/>
              </w:rPr>
              <w:t xml:space="preserve"> (34467) and </w:t>
            </w:r>
            <w:r w:rsidRPr="00275DFD">
              <w:rPr>
                <w:i/>
                <w:szCs w:val="20"/>
                <w:lang w:val="fr-CA"/>
              </w:rPr>
              <w:t>Christophe Izard, et al. v. Claude Robinson, et al.</w:t>
            </w:r>
            <w:r w:rsidRPr="006975B7">
              <w:rPr>
                <w:szCs w:val="20"/>
                <w:lang w:val="fr-CA"/>
              </w:rPr>
              <w:t xml:space="preserve"> </w:t>
            </w:r>
            <w:r w:rsidRPr="006975B7">
              <w:rPr>
                <w:szCs w:val="20"/>
              </w:rPr>
              <w:t>(34468).</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36F8" w:rsidRPr="00096A4B" w:rsidTr="00970CF7">
        <w:tc>
          <w:tcPr>
            <w:tcW w:w="5000" w:type="pct"/>
            <w:gridSpan w:val="3"/>
          </w:tcPr>
          <w:p w:rsidR="001C36F8" w:rsidRPr="00096A4B" w:rsidRDefault="001C36F8" w:rsidP="00970CF7">
            <w:pPr>
              <w:jc w:val="both"/>
              <w:rPr>
                <w:sz w:val="20"/>
              </w:rPr>
            </w:pPr>
            <w:r w:rsidRPr="00096A4B">
              <w:rPr>
                <w:sz w:val="20"/>
              </w:rPr>
              <w:t xml:space="preserve">Intellectual property – </w:t>
            </w:r>
            <w:r w:rsidRPr="00096A4B">
              <w:rPr>
                <w:i/>
                <w:sz w:val="20"/>
              </w:rPr>
              <w:t>Copyright Act</w:t>
            </w:r>
            <w:r w:rsidRPr="00096A4B">
              <w:rPr>
                <w:sz w:val="20"/>
              </w:rPr>
              <w:t>, R.S.C. 1985, c. C</w:t>
            </w:r>
            <w:r w:rsidRPr="00096A4B">
              <w:rPr>
                <w:sz w:val="20"/>
              </w:rPr>
              <w:noBreakHyphen/>
              <w:t xml:space="preserve">42 – Infringement – Scope of terms “cinematographic work” and “maker” within meaning of s. 2 of </w:t>
            </w:r>
            <w:r w:rsidRPr="00096A4B">
              <w:rPr>
                <w:i/>
                <w:sz w:val="20"/>
              </w:rPr>
              <w:t>Copyright Act</w:t>
            </w:r>
            <w:r w:rsidRPr="00096A4B">
              <w:rPr>
                <w:sz w:val="20"/>
              </w:rPr>
              <w:t xml:space="preserve"> – Tests for compensation for copyright infringement within meaning of s. 35 of </w:t>
            </w:r>
            <w:r w:rsidRPr="00096A4B">
              <w:rPr>
                <w:i/>
                <w:sz w:val="20"/>
              </w:rPr>
              <w:t>Copyright Act </w:t>
            </w:r>
            <w:r w:rsidRPr="00096A4B">
              <w:rPr>
                <w:sz w:val="20"/>
              </w:rPr>
              <w:t>– Tests for damages for moral, psychological or physical injury – Tests for punitive damages – Standard of judicial review applicable on appeal as regards assessment of facts, presumptions based on facts and determination of quantum – Solicitor</w:t>
            </w:r>
            <w:r w:rsidRPr="00096A4B">
              <w:rPr>
                <w:sz w:val="20"/>
              </w:rPr>
              <w:noBreakHyphen/>
              <w:t xml:space="preserve">client costs. </w:t>
            </w:r>
          </w:p>
        </w:tc>
      </w:tr>
      <w:tr w:rsidR="001C36F8" w:rsidRPr="00096A4B" w:rsidTr="00970CF7">
        <w:tc>
          <w:tcPr>
            <w:tcW w:w="5000" w:type="pct"/>
            <w:gridSpan w:val="3"/>
          </w:tcPr>
          <w:p w:rsidR="001C36F8" w:rsidRPr="00096A4B" w:rsidRDefault="001C36F8" w:rsidP="00970CF7">
            <w:pPr>
              <w:jc w:val="both"/>
              <w:rPr>
                <w:sz w:val="20"/>
              </w:rPr>
            </w:pPr>
          </w:p>
        </w:tc>
      </w:tr>
      <w:tr w:rsidR="001C36F8" w:rsidRPr="00096A4B" w:rsidTr="00970CF7">
        <w:tc>
          <w:tcPr>
            <w:tcW w:w="5000" w:type="pct"/>
            <w:gridSpan w:val="3"/>
          </w:tcPr>
          <w:p w:rsidR="001C36F8" w:rsidRPr="00096A4B" w:rsidRDefault="001C36F8" w:rsidP="00970CF7">
            <w:pPr>
              <w:jc w:val="both"/>
              <w:rPr>
                <w:sz w:val="20"/>
              </w:rPr>
            </w:pPr>
            <w:r w:rsidRPr="00096A4B">
              <w:rPr>
                <w:sz w:val="20"/>
              </w:rPr>
              <w:t xml:space="preserve">In 1982, Claude Robinson, an artist, drew the first sketches of the characters for a proposed children’s television services to be called </w:t>
            </w:r>
            <w:r w:rsidRPr="00096A4B">
              <w:rPr>
                <w:i/>
                <w:sz w:val="20"/>
              </w:rPr>
              <w:t>Robinson Curiosity</w:t>
            </w:r>
            <w:r w:rsidRPr="00096A4B">
              <w:rPr>
                <w:sz w:val="20"/>
              </w:rPr>
              <w:t xml:space="preserve">.  A few years later, in 1985, the Copyright Office issued a certificate of registration for </w:t>
            </w:r>
            <w:r w:rsidRPr="00096A4B">
              <w:rPr>
                <w:i/>
                <w:sz w:val="20"/>
              </w:rPr>
              <w:t>Robinson Curiosity</w:t>
            </w:r>
            <w:r w:rsidRPr="00096A4B">
              <w:rPr>
                <w:sz w:val="20"/>
              </w:rPr>
              <w:t xml:space="preserve"> listing Mr. Robinson as the author of the work and Les Productions Nilem inc. (“Nilem”), a corporation of which he was the sole shareholder, as the owner of the work.</w:t>
            </w:r>
          </w:p>
          <w:p w:rsidR="001C36F8" w:rsidRPr="00096A4B" w:rsidRDefault="001C36F8" w:rsidP="00970CF7">
            <w:pPr>
              <w:jc w:val="both"/>
              <w:rPr>
                <w:sz w:val="20"/>
              </w:rPr>
            </w:pPr>
          </w:p>
          <w:p w:rsidR="001C36F8" w:rsidRPr="00096A4B" w:rsidRDefault="001C36F8" w:rsidP="00970CF7">
            <w:pPr>
              <w:jc w:val="both"/>
              <w:rPr>
                <w:sz w:val="20"/>
              </w:rPr>
            </w:pPr>
            <w:r w:rsidRPr="00096A4B">
              <w:rPr>
                <w:sz w:val="20"/>
              </w:rPr>
              <w:t xml:space="preserve">Starting in 1985, Mr. Robinson and Nilem stepped up their efforts for the promotion and production of </w:t>
            </w:r>
            <w:r w:rsidRPr="00096A4B">
              <w:rPr>
                <w:i/>
                <w:sz w:val="20"/>
              </w:rPr>
              <w:t>Robinson Curiosity</w:t>
            </w:r>
            <w:r w:rsidRPr="00096A4B">
              <w:rPr>
                <w:sz w:val="20"/>
              </w:rPr>
              <w:t xml:space="preserve">, including with Cinar Corporation/Cinar Films Inc., but those efforts were unsuccessful for nearly 10 years.  In September 1995, however, the first episode of </w:t>
            </w:r>
            <w:r w:rsidRPr="00096A4B">
              <w:rPr>
                <w:i/>
                <w:sz w:val="20"/>
              </w:rPr>
              <w:t>Robinson Sucroe</w:t>
            </w:r>
            <w:r w:rsidRPr="00096A4B">
              <w:rPr>
                <w:sz w:val="20"/>
              </w:rPr>
              <w:t>, a work produced by Cinar Corporation/Cinar Films Inc., France Animation S.A. and Ravensburger Film + TV GmbH, was broadcast in Quebec.</w:t>
            </w:r>
          </w:p>
          <w:p w:rsidR="001C36F8" w:rsidRPr="00096A4B" w:rsidRDefault="001C36F8" w:rsidP="00970CF7">
            <w:pPr>
              <w:jc w:val="both"/>
              <w:rPr>
                <w:sz w:val="20"/>
              </w:rPr>
            </w:pPr>
          </w:p>
          <w:p w:rsidR="001C36F8" w:rsidRPr="00096A4B" w:rsidRDefault="001C36F8" w:rsidP="00970CF7">
            <w:pPr>
              <w:jc w:val="both"/>
              <w:rPr>
                <w:sz w:val="20"/>
              </w:rPr>
            </w:pPr>
            <w:r w:rsidRPr="00096A4B">
              <w:rPr>
                <w:sz w:val="20"/>
              </w:rPr>
              <w:t xml:space="preserve">Since Mr. Robinson and Nilem found similarities between their work, </w:t>
            </w:r>
            <w:r w:rsidRPr="00096A4B">
              <w:rPr>
                <w:i/>
                <w:sz w:val="20"/>
              </w:rPr>
              <w:t>Robinson Curiosity</w:t>
            </w:r>
            <w:r w:rsidRPr="00096A4B">
              <w:rPr>
                <w:sz w:val="20"/>
              </w:rPr>
              <w:t xml:space="preserve">, and the work produced as </w:t>
            </w:r>
            <w:r w:rsidRPr="00096A4B">
              <w:rPr>
                <w:i/>
                <w:sz w:val="20"/>
              </w:rPr>
              <w:t>Robinson Sucroe</w:t>
            </w:r>
            <w:r w:rsidRPr="00096A4B">
              <w:rPr>
                <w:sz w:val="20"/>
              </w:rPr>
              <w:t>, they brought an infringement action in the Quebec Superior Court, which allowed the action in part.  On appeal, the Quebec Court of Appeal upheld in part the Superior Court’s findings concerning the infringers but reduced several aspects of the monetary award made at trial, mainly on the basis of revised calculations of the profits and punitive damages.</w:t>
            </w:r>
          </w:p>
          <w:p w:rsidR="001C36F8" w:rsidRPr="00096A4B" w:rsidRDefault="001C36F8" w:rsidP="00970CF7">
            <w:pPr>
              <w:jc w:val="both"/>
              <w:rPr>
                <w:sz w:val="20"/>
              </w:rPr>
            </w:pPr>
          </w:p>
        </w:tc>
      </w:tr>
      <w:tr w:rsidR="001C36F8" w:rsidRPr="00096A4B" w:rsidTr="00970CF7">
        <w:tc>
          <w:tcPr>
            <w:tcW w:w="2427" w:type="pct"/>
          </w:tcPr>
          <w:p w:rsidR="001C36F8" w:rsidRPr="00096A4B" w:rsidRDefault="001C36F8" w:rsidP="00970CF7">
            <w:pPr>
              <w:jc w:val="both"/>
              <w:rPr>
                <w:sz w:val="20"/>
              </w:rPr>
            </w:pPr>
            <w:r w:rsidRPr="00096A4B">
              <w:rPr>
                <w:sz w:val="20"/>
              </w:rPr>
              <w:t>August 26, 2009</w:t>
            </w:r>
          </w:p>
          <w:p w:rsidR="001C36F8" w:rsidRPr="00096A4B" w:rsidRDefault="001C36F8" w:rsidP="00970CF7">
            <w:pPr>
              <w:jc w:val="both"/>
              <w:rPr>
                <w:sz w:val="20"/>
              </w:rPr>
            </w:pPr>
            <w:r w:rsidRPr="00096A4B">
              <w:rPr>
                <w:sz w:val="20"/>
              </w:rPr>
              <w:t>Quebec Superior Court (Montréal)</w:t>
            </w:r>
          </w:p>
          <w:p w:rsidR="001C36F8" w:rsidRPr="00096A4B" w:rsidRDefault="001C36F8" w:rsidP="00970CF7">
            <w:pPr>
              <w:jc w:val="both"/>
              <w:rPr>
                <w:sz w:val="20"/>
              </w:rPr>
            </w:pPr>
            <w:r w:rsidRPr="00096A4B">
              <w:rPr>
                <w:sz w:val="20"/>
              </w:rPr>
              <w:t>(Auclair J.)</w:t>
            </w:r>
          </w:p>
          <w:p w:rsidR="001C36F8" w:rsidRPr="00096A4B" w:rsidRDefault="001C36F8" w:rsidP="00970CF7">
            <w:pPr>
              <w:jc w:val="both"/>
              <w:rPr>
                <w:sz w:val="20"/>
              </w:rPr>
            </w:pPr>
            <w:r w:rsidRPr="00096A4B">
              <w:rPr>
                <w:sz w:val="20"/>
              </w:rPr>
              <w:t>C.S.Q. No. 500</w:t>
            </w:r>
            <w:r w:rsidRPr="00096A4B">
              <w:rPr>
                <w:sz w:val="20"/>
              </w:rPr>
              <w:noBreakHyphen/>
              <w:t>05</w:t>
            </w:r>
            <w:r w:rsidRPr="00096A4B">
              <w:rPr>
                <w:sz w:val="20"/>
              </w:rPr>
              <w:noBreakHyphen/>
              <w:t>021498</w:t>
            </w:r>
            <w:r w:rsidRPr="00096A4B">
              <w:rPr>
                <w:sz w:val="20"/>
              </w:rPr>
              <w:noBreakHyphen/>
              <w:t xml:space="preserve">967 </w:t>
            </w:r>
          </w:p>
          <w:p w:rsidR="001C36F8" w:rsidRPr="00096A4B" w:rsidRDefault="001C36F8" w:rsidP="00970CF7">
            <w:pPr>
              <w:jc w:val="both"/>
              <w:rPr>
                <w:sz w:val="20"/>
              </w:rPr>
            </w:pPr>
            <w:r w:rsidRPr="00096A4B">
              <w:rPr>
                <w:sz w:val="20"/>
              </w:rPr>
              <w:t>Neutral citation: 2009 QCCS 8395</w:t>
            </w:r>
          </w:p>
          <w:p w:rsidR="001C36F8" w:rsidRPr="00096A4B" w:rsidRDefault="001C36F8" w:rsidP="00970CF7">
            <w:pPr>
              <w:jc w:val="both"/>
              <w:rPr>
                <w:sz w:val="20"/>
              </w:rPr>
            </w:pPr>
          </w:p>
        </w:tc>
        <w:tc>
          <w:tcPr>
            <w:tcW w:w="243" w:type="pct"/>
          </w:tcPr>
          <w:p w:rsidR="001C36F8" w:rsidRPr="00096A4B" w:rsidRDefault="001C36F8" w:rsidP="00970CF7">
            <w:pPr>
              <w:jc w:val="both"/>
              <w:rPr>
                <w:sz w:val="20"/>
              </w:rPr>
            </w:pPr>
          </w:p>
        </w:tc>
        <w:tc>
          <w:tcPr>
            <w:tcW w:w="2330" w:type="pct"/>
          </w:tcPr>
          <w:p w:rsidR="001C36F8" w:rsidRPr="00096A4B" w:rsidRDefault="001C36F8" w:rsidP="00970CF7">
            <w:pPr>
              <w:jc w:val="both"/>
              <w:rPr>
                <w:sz w:val="20"/>
              </w:rPr>
            </w:pPr>
            <w:r w:rsidRPr="00096A4B">
              <w:rPr>
                <w:sz w:val="20"/>
              </w:rPr>
              <w:t xml:space="preserve">Copyright infringement action under </w:t>
            </w:r>
            <w:r w:rsidRPr="00096A4B">
              <w:rPr>
                <w:i/>
                <w:sz w:val="20"/>
              </w:rPr>
              <w:t>Copyright Act</w:t>
            </w:r>
            <w:r w:rsidRPr="00096A4B">
              <w:rPr>
                <w:sz w:val="20"/>
              </w:rPr>
              <w:t>, R.S.C. 1985, c. C</w:t>
            </w:r>
            <w:r w:rsidRPr="00096A4B">
              <w:rPr>
                <w:sz w:val="20"/>
              </w:rPr>
              <w:noBreakHyphen/>
              <w:t xml:space="preserve">42, and </w:t>
            </w:r>
            <w:r w:rsidRPr="00096A4B">
              <w:rPr>
                <w:i/>
                <w:sz w:val="20"/>
              </w:rPr>
              <w:t>Civil Code of Québec</w:t>
            </w:r>
            <w:r w:rsidRPr="00096A4B">
              <w:rPr>
                <w:sz w:val="20"/>
              </w:rPr>
              <w:t xml:space="preserve"> allowed in part with award of $607,489 for copyright infringement, $1,716,804 in reimbursement of profits made from infringement, $400,000 for psychological injury, $1,000,000 in punitive damages, $1,500,000 in extrajudicial fees and expert fees</w:t>
            </w:r>
          </w:p>
          <w:p w:rsidR="001C36F8" w:rsidRPr="00096A4B" w:rsidRDefault="001C36F8" w:rsidP="00970CF7">
            <w:pPr>
              <w:jc w:val="both"/>
              <w:rPr>
                <w:sz w:val="20"/>
              </w:rPr>
            </w:pPr>
          </w:p>
        </w:tc>
      </w:tr>
      <w:tr w:rsidR="001C36F8" w:rsidRPr="00096A4B" w:rsidTr="00970CF7">
        <w:tc>
          <w:tcPr>
            <w:tcW w:w="2427" w:type="pct"/>
          </w:tcPr>
          <w:p w:rsidR="001C36F8" w:rsidRPr="00096A4B" w:rsidRDefault="001C36F8" w:rsidP="00970CF7">
            <w:pPr>
              <w:jc w:val="both"/>
              <w:rPr>
                <w:sz w:val="20"/>
              </w:rPr>
            </w:pPr>
            <w:r w:rsidRPr="00096A4B">
              <w:rPr>
                <w:sz w:val="20"/>
              </w:rPr>
              <w:t>July 20, 2011</w:t>
            </w:r>
          </w:p>
          <w:p w:rsidR="001C36F8" w:rsidRPr="00096A4B" w:rsidRDefault="001C36F8" w:rsidP="00970CF7">
            <w:pPr>
              <w:jc w:val="both"/>
              <w:rPr>
                <w:sz w:val="20"/>
              </w:rPr>
            </w:pPr>
            <w:r w:rsidRPr="00096A4B">
              <w:rPr>
                <w:sz w:val="20"/>
              </w:rPr>
              <w:t>Quebec Court of appeal (Montréal)</w:t>
            </w:r>
          </w:p>
          <w:p w:rsidR="001C36F8" w:rsidRPr="00096A4B" w:rsidRDefault="001C36F8" w:rsidP="00970CF7">
            <w:pPr>
              <w:jc w:val="both"/>
              <w:rPr>
                <w:sz w:val="20"/>
              </w:rPr>
            </w:pPr>
            <w:r w:rsidRPr="00096A4B">
              <w:rPr>
                <w:sz w:val="20"/>
              </w:rPr>
              <w:t>(Thibault, Morin and Doyon JJ.A.)</w:t>
            </w:r>
          </w:p>
          <w:p w:rsidR="001C36F8" w:rsidRPr="00096A4B" w:rsidRDefault="001C36F8" w:rsidP="00970CF7">
            <w:pPr>
              <w:jc w:val="both"/>
              <w:rPr>
                <w:sz w:val="20"/>
              </w:rPr>
            </w:pPr>
            <w:r w:rsidRPr="00096A4B">
              <w:rPr>
                <w:sz w:val="20"/>
              </w:rPr>
              <w:t>C.A.Q. No. 500</w:t>
            </w:r>
            <w:r w:rsidRPr="00096A4B">
              <w:rPr>
                <w:sz w:val="20"/>
              </w:rPr>
              <w:noBreakHyphen/>
              <w:t>09</w:t>
            </w:r>
            <w:r w:rsidRPr="00096A4B">
              <w:rPr>
                <w:sz w:val="20"/>
              </w:rPr>
              <w:noBreakHyphen/>
              <w:t>020014</w:t>
            </w:r>
            <w:r w:rsidRPr="00096A4B">
              <w:rPr>
                <w:sz w:val="20"/>
              </w:rPr>
              <w:noBreakHyphen/>
              <w:t>098</w:t>
            </w:r>
          </w:p>
          <w:p w:rsidR="001C36F8" w:rsidRPr="00096A4B" w:rsidRDefault="001C36F8" w:rsidP="00970CF7">
            <w:pPr>
              <w:jc w:val="both"/>
              <w:rPr>
                <w:sz w:val="20"/>
              </w:rPr>
            </w:pPr>
            <w:r w:rsidRPr="00096A4B">
              <w:rPr>
                <w:sz w:val="20"/>
              </w:rPr>
              <w:t>C.A.Q. No. 500</w:t>
            </w:r>
            <w:r w:rsidRPr="00096A4B">
              <w:rPr>
                <w:sz w:val="20"/>
              </w:rPr>
              <w:noBreakHyphen/>
              <w:t>09</w:t>
            </w:r>
            <w:r w:rsidRPr="00096A4B">
              <w:rPr>
                <w:sz w:val="20"/>
              </w:rPr>
              <w:noBreakHyphen/>
              <w:t>020033</w:t>
            </w:r>
            <w:r w:rsidRPr="00096A4B">
              <w:rPr>
                <w:sz w:val="20"/>
              </w:rPr>
              <w:noBreakHyphen/>
              <w:t>098</w:t>
            </w:r>
          </w:p>
          <w:p w:rsidR="001C36F8" w:rsidRPr="00096A4B" w:rsidRDefault="001C36F8" w:rsidP="00970CF7">
            <w:pPr>
              <w:jc w:val="both"/>
              <w:rPr>
                <w:sz w:val="20"/>
              </w:rPr>
            </w:pPr>
            <w:r w:rsidRPr="00096A4B">
              <w:rPr>
                <w:sz w:val="20"/>
              </w:rPr>
              <w:t>C.A.Q. No. 500</w:t>
            </w:r>
            <w:r w:rsidRPr="00096A4B">
              <w:rPr>
                <w:sz w:val="20"/>
              </w:rPr>
              <w:noBreakHyphen/>
              <w:t>09</w:t>
            </w:r>
            <w:r w:rsidRPr="00096A4B">
              <w:rPr>
                <w:sz w:val="20"/>
              </w:rPr>
              <w:noBreakHyphen/>
              <w:t>020034</w:t>
            </w:r>
            <w:r w:rsidRPr="00096A4B">
              <w:rPr>
                <w:sz w:val="20"/>
              </w:rPr>
              <w:noBreakHyphen/>
              <w:t>096</w:t>
            </w:r>
          </w:p>
          <w:p w:rsidR="001C36F8" w:rsidRPr="00096A4B" w:rsidRDefault="001C36F8" w:rsidP="00970CF7">
            <w:pPr>
              <w:jc w:val="both"/>
              <w:rPr>
                <w:sz w:val="20"/>
              </w:rPr>
            </w:pPr>
            <w:r w:rsidRPr="00096A4B">
              <w:rPr>
                <w:sz w:val="20"/>
              </w:rPr>
              <w:t>C.A.Q. No. 500</w:t>
            </w:r>
            <w:r w:rsidRPr="00096A4B">
              <w:rPr>
                <w:sz w:val="20"/>
              </w:rPr>
              <w:noBreakHyphen/>
              <w:t>09</w:t>
            </w:r>
            <w:r w:rsidRPr="00096A4B">
              <w:rPr>
                <w:sz w:val="20"/>
              </w:rPr>
              <w:noBreakHyphen/>
              <w:t>020035</w:t>
            </w:r>
            <w:r w:rsidRPr="00096A4B">
              <w:rPr>
                <w:sz w:val="20"/>
              </w:rPr>
              <w:noBreakHyphen/>
              <w:t>093</w:t>
            </w:r>
          </w:p>
          <w:p w:rsidR="001C36F8" w:rsidRPr="00096A4B" w:rsidRDefault="001C36F8" w:rsidP="00970CF7">
            <w:pPr>
              <w:jc w:val="both"/>
              <w:rPr>
                <w:sz w:val="20"/>
              </w:rPr>
            </w:pPr>
            <w:r w:rsidRPr="00096A4B">
              <w:rPr>
                <w:sz w:val="20"/>
              </w:rPr>
              <w:t>Neutral citation: 2011 QCCA 1361</w:t>
            </w:r>
          </w:p>
          <w:p w:rsidR="001C36F8" w:rsidRPr="00096A4B" w:rsidRDefault="001C36F8" w:rsidP="00970CF7">
            <w:pPr>
              <w:jc w:val="both"/>
              <w:rPr>
                <w:sz w:val="20"/>
              </w:rPr>
            </w:pPr>
          </w:p>
        </w:tc>
        <w:tc>
          <w:tcPr>
            <w:tcW w:w="243" w:type="pct"/>
          </w:tcPr>
          <w:p w:rsidR="001C36F8" w:rsidRPr="00096A4B" w:rsidRDefault="001C36F8" w:rsidP="00970CF7">
            <w:pPr>
              <w:jc w:val="both"/>
              <w:rPr>
                <w:sz w:val="20"/>
              </w:rPr>
            </w:pPr>
          </w:p>
        </w:tc>
        <w:tc>
          <w:tcPr>
            <w:tcW w:w="2330" w:type="pct"/>
          </w:tcPr>
          <w:p w:rsidR="001C36F8" w:rsidRPr="00096A4B" w:rsidRDefault="001C36F8" w:rsidP="00970CF7">
            <w:pPr>
              <w:jc w:val="both"/>
              <w:rPr>
                <w:sz w:val="20"/>
              </w:rPr>
            </w:pPr>
            <w:r w:rsidRPr="00096A4B">
              <w:rPr>
                <w:sz w:val="20"/>
              </w:rPr>
              <w:t xml:space="preserve">Appeal allowed in part, upholding, </w:t>
            </w:r>
            <w:r w:rsidRPr="00096A4B">
              <w:rPr>
                <w:i/>
                <w:sz w:val="20"/>
              </w:rPr>
              <w:t>inter alia</w:t>
            </w:r>
            <w:r w:rsidRPr="00096A4B">
              <w:rPr>
                <w:sz w:val="20"/>
              </w:rPr>
              <w:t>, liability of defendants (except Christian Davin) and reducing award (apart from $1,500,000 in extrajudicial fees) to $725,839 in compensatory damages, $260,577 in reimbursement of profits and $250,000 in total punitive damages</w:t>
            </w:r>
          </w:p>
          <w:p w:rsidR="001C36F8" w:rsidRPr="00096A4B" w:rsidRDefault="001C36F8" w:rsidP="00970CF7">
            <w:pPr>
              <w:jc w:val="both"/>
              <w:rPr>
                <w:sz w:val="20"/>
              </w:rPr>
            </w:pPr>
          </w:p>
        </w:tc>
      </w:tr>
      <w:tr w:rsidR="001C36F8" w:rsidRPr="00096A4B" w:rsidTr="00970CF7">
        <w:tc>
          <w:tcPr>
            <w:tcW w:w="2427" w:type="pct"/>
          </w:tcPr>
          <w:p w:rsidR="001C36F8" w:rsidRPr="00096A4B" w:rsidRDefault="001C36F8" w:rsidP="00970CF7">
            <w:pPr>
              <w:jc w:val="both"/>
              <w:rPr>
                <w:sz w:val="20"/>
              </w:rPr>
            </w:pPr>
            <w:r w:rsidRPr="00096A4B">
              <w:rPr>
                <w:sz w:val="20"/>
              </w:rPr>
              <w:lastRenderedPageBreak/>
              <w:t>September 28, 2011</w:t>
            </w:r>
          </w:p>
          <w:p w:rsidR="001C36F8" w:rsidRPr="00096A4B" w:rsidRDefault="001C36F8" w:rsidP="00970CF7">
            <w:pPr>
              <w:jc w:val="both"/>
              <w:rPr>
                <w:sz w:val="20"/>
              </w:rPr>
            </w:pPr>
            <w:r w:rsidRPr="00096A4B">
              <w:rPr>
                <w:sz w:val="20"/>
              </w:rPr>
              <w:t>Supreme Court of Canada</w:t>
            </w:r>
          </w:p>
        </w:tc>
        <w:tc>
          <w:tcPr>
            <w:tcW w:w="243" w:type="pct"/>
          </w:tcPr>
          <w:p w:rsidR="001C36F8" w:rsidRPr="00096A4B" w:rsidRDefault="001C36F8" w:rsidP="00970CF7">
            <w:pPr>
              <w:jc w:val="both"/>
              <w:rPr>
                <w:sz w:val="20"/>
              </w:rPr>
            </w:pPr>
          </w:p>
        </w:tc>
        <w:tc>
          <w:tcPr>
            <w:tcW w:w="2330" w:type="pct"/>
          </w:tcPr>
          <w:p w:rsidR="001C36F8" w:rsidRPr="00096A4B" w:rsidRDefault="001C36F8" w:rsidP="00970CF7">
            <w:pPr>
              <w:jc w:val="both"/>
              <w:rPr>
                <w:sz w:val="20"/>
              </w:rPr>
            </w:pPr>
            <w:r w:rsidRPr="00096A4B">
              <w:rPr>
                <w:sz w:val="20"/>
              </w:rPr>
              <w:t>Application for leave to appeal filed</w:t>
            </w: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47"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C36F8" w:rsidRPr="00643997"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 xml:space="preserve">Propriété intellectuelle – </w:t>
            </w:r>
            <w:r w:rsidRPr="00096A4B">
              <w:rPr>
                <w:rFonts w:eastAsia="Calibri"/>
                <w:i/>
                <w:sz w:val="20"/>
                <w:lang w:val="fr-CA"/>
              </w:rPr>
              <w:t>Loi sur le droit d’auteur</w:t>
            </w:r>
            <w:r w:rsidRPr="00096A4B">
              <w:rPr>
                <w:rFonts w:eastAsia="Calibri"/>
                <w:sz w:val="20"/>
                <w:lang w:val="fr-CA"/>
              </w:rPr>
              <w:t>, L.R.C. (1985), c. C</w:t>
            </w:r>
            <w:r w:rsidRPr="00096A4B">
              <w:rPr>
                <w:rFonts w:eastAsia="Calibri"/>
                <w:sz w:val="20"/>
                <w:lang w:val="fr-CA"/>
              </w:rPr>
              <w:noBreakHyphen/>
              <w:t xml:space="preserve">42 – Contrefaçon – Portée des termes « œuvre cinématographique » et « producteur » au sens de l’article 2 de la </w:t>
            </w:r>
            <w:r w:rsidRPr="00096A4B">
              <w:rPr>
                <w:rFonts w:eastAsia="Calibri"/>
                <w:i/>
                <w:sz w:val="20"/>
                <w:lang w:val="fr-CA"/>
              </w:rPr>
              <w:t>Loi sur le droit d’auteur</w:t>
            </w:r>
            <w:r w:rsidRPr="00096A4B">
              <w:rPr>
                <w:rFonts w:eastAsia="Calibri"/>
                <w:sz w:val="20"/>
                <w:lang w:val="fr-CA"/>
              </w:rPr>
              <w:t xml:space="preserve"> – Critères applicables à la compensation pour violation du droit d’auteur au sens de l’article 35 de la </w:t>
            </w:r>
            <w:r w:rsidRPr="00096A4B">
              <w:rPr>
                <w:rFonts w:eastAsia="Calibri"/>
                <w:i/>
                <w:sz w:val="20"/>
                <w:lang w:val="fr-CA"/>
              </w:rPr>
              <w:t>Loi sur le droit d’auteur</w:t>
            </w:r>
            <w:r w:rsidRPr="00096A4B">
              <w:rPr>
                <w:rFonts w:eastAsia="Calibri"/>
                <w:sz w:val="20"/>
                <w:lang w:val="fr-CA"/>
              </w:rPr>
              <w:t xml:space="preserve"> – Critères applicables aux dommages</w:t>
            </w:r>
            <w:r w:rsidRPr="00096A4B">
              <w:rPr>
                <w:rFonts w:eastAsia="Calibri"/>
                <w:sz w:val="20"/>
                <w:lang w:val="fr-CA"/>
              </w:rPr>
              <w:noBreakHyphen/>
              <w:t>intérêts pour préjudice moral, psychologique ou physique – Critères applicables aux dommages</w:t>
            </w:r>
            <w:r w:rsidRPr="00096A4B">
              <w:rPr>
                <w:rFonts w:eastAsia="Calibri"/>
                <w:sz w:val="20"/>
                <w:lang w:val="fr-CA"/>
              </w:rPr>
              <w:noBreakHyphen/>
              <w:t>intérêts punitifs – Norme de contrôle judiciaire applicable en appel quant à l’appréciation des faits, les  présomptions tirées des faits et la détermination du quantum – Dépens avocat</w:t>
            </w:r>
            <w:r w:rsidRPr="00096A4B">
              <w:rPr>
                <w:rFonts w:eastAsia="Calibri"/>
                <w:sz w:val="20"/>
                <w:lang w:val="fr-CA"/>
              </w:rPr>
              <w:noBreakHyphen/>
              <w:t xml:space="preserve">client. </w:t>
            </w:r>
          </w:p>
        </w:tc>
      </w:tr>
      <w:tr w:rsidR="001C36F8" w:rsidRPr="00643997" w:rsidTr="00970CF7">
        <w:tc>
          <w:tcPr>
            <w:tcW w:w="5000" w:type="pct"/>
            <w:gridSpan w:val="3"/>
          </w:tcPr>
          <w:p w:rsidR="001C36F8" w:rsidRPr="00096A4B" w:rsidRDefault="001C36F8" w:rsidP="00970CF7">
            <w:pPr>
              <w:jc w:val="both"/>
              <w:rPr>
                <w:rFonts w:eastAsia="Calibri"/>
                <w:sz w:val="20"/>
                <w:lang w:val="fr-CA"/>
              </w:rPr>
            </w:pPr>
          </w:p>
        </w:tc>
      </w:tr>
      <w:tr w:rsidR="001C36F8" w:rsidRPr="00643997"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 xml:space="preserve">M. Claude Robinson est un artiste qui a dessiné, en 1982, les premiers croquis des personnages d’un projet de série télévisée pour enfants qui porterait le nom de </w:t>
            </w:r>
            <w:r w:rsidRPr="00096A4B">
              <w:rPr>
                <w:rFonts w:eastAsia="Calibri"/>
                <w:i/>
                <w:sz w:val="20"/>
                <w:lang w:val="fr-CA"/>
              </w:rPr>
              <w:t>Robinson Curiosité</w:t>
            </w:r>
            <w:r w:rsidRPr="00096A4B">
              <w:rPr>
                <w:rFonts w:eastAsia="Calibri"/>
                <w:sz w:val="20"/>
                <w:lang w:val="fr-CA"/>
              </w:rPr>
              <w:t xml:space="preserve">.  Quelques années plus tard, en 1985, le Bureau du droit d’auteur délivre un certificat d’enregistrement de </w:t>
            </w:r>
            <w:r w:rsidRPr="00096A4B">
              <w:rPr>
                <w:rFonts w:eastAsia="Calibri"/>
                <w:i/>
                <w:sz w:val="20"/>
                <w:lang w:val="fr-CA"/>
              </w:rPr>
              <w:t>Robinson Curiosité</w:t>
            </w:r>
            <w:r w:rsidRPr="00096A4B">
              <w:rPr>
                <w:rFonts w:eastAsia="Calibri"/>
                <w:sz w:val="20"/>
                <w:lang w:val="fr-CA"/>
              </w:rPr>
              <w:t xml:space="preserve"> indiquant que M. Robinson est l’auteur de l’œuvre et que les Productions Nilem inc. (ci</w:t>
            </w:r>
            <w:r w:rsidRPr="00096A4B">
              <w:rPr>
                <w:rFonts w:eastAsia="Calibri"/>
                <w:sz w:val="20"/>
                <w:lang w:val="fr-CA"/>
              </w:rPr>
              <w:noBreakHyphen/>
              <w:t>après « Nilem »), une société commerciale dont il est le seul actionnaire, en est le propriétaire.</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r w:rsidRPr="00096A4B">
              <w:rPr>
                <w:rFonts w:eastAsia="Calibri"/>
                <w:sz w:val="20"/>
                <w:lang w:val="fr-CA"/>
              </w:rPr>
              <w:t xml:space="preserve">À compter de 1985, M. Robinson et Nilem multiplient les démarches destinées à faire la promotion et la production de </w:t>
            </w:r>
            <w:r w:rsidRPr="00096A4B">
              <w:rPr>
                <w:rFonts w:eastAsia="Calibri"/>
                <w:i/>
                <w:sz w:val="20"/>
                <w:lang w:val="fr-CA"/>
              </w:rPr>
              <w:t>Robinson Curiosité</w:t>
            </w:r>
            <w:r w:rsidRPr="00096A4B">
              <w:rPr>
                <w:rFonts w:eastAsia="Calibri"/>
                <w:sz w:val="20"/>
                <w:lang w:val="fr-CA"/>
              </w:rPr>
              <w:t xml:space="preserve">, y compris avec Corporation Cinar/Les Films Cinar inc., mais pendant près de 10 ans, ces démarches sont infructueuses.  En septembre 1995, il y a cependant diffusion au Québec du premier épisode de </w:t>
            </w:r>
            <w:r w:rsidRPr="00096A4B">
              <w:rPr>
                <w:rFonts w:eastAsia="Calibri"/>
                <w:i/>
                <w:sz w:val="20"/>
                <w:lang w:val="fr-CA"/>
              </w:rPr>
              <w:t>Robinson Sucroë</w:t>
            </w:r>
            <w:r w:rsidRPr="00096A4B">
              <w:rPr>
                <w:rFonts w:eastAsia="Calibri"/>
                <w:sz w:val="20"/>
                <w:lang w:val="fr-CA"/>
              </w:rPr>
              <w:t>, œuvre produite par Corporation Cinar/Les Films Cinar inc., France Animation S.A et Ravensburger Film + TV GmbH.</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r w:rsidRPr="00096A4B">
              <w:rPr>
                <w:rFonts w:eastAsia="Calibri"/>
                <w:sz w:val="20"/>
                <w:lang w:val="fr-CA"/>
              </w:rPr>
              <w:t xml:space="preserve">Constatant des similitudes entre son œuvre, </w:t>
            </w:r>
            <w:r w:rsidRPr="00096A4B">
              <w:rPr>
                <w:rFonts w:eastAsia="Calibri"/>
                <w:i/>
                <w:sz w:val="20"/>
                <w:lang w:val="fr-CA"/>
              </w:rPr>
              <w:t>Robinson Curiosité</w:t>
            </w:r>
            <w:r w:rsidRPr="00096A4B">
              <w:rPr>
                <w:rFonts w:eastAsia="Calibri"/>
                <w:sz w:val="20"/>
                <w:lang w:val="fr-CA"/>
              </w:rPr>
              <w:t xml:space="preserve">, et l’œuvre produite sous le titre </w:t>
            </w:r>
            <w:r w:rsidRPr="00096A4B">
              <w:rPr>
                <w:rFonts w:eastAsia="Calibri"/>
                <w:i/>
                <w:sz w:val="20"/>
                <w:lang w:val="fr-CA"/>
              </w:rPr>
              <w:t>Robinson Sucroë</w:t>
            </w:r>
            <w:r w:rsidRPr="00096A4B">
              <w:rPr>
                <w:rFonts w:eastAsia="Calibri"/>
                <w:sz w:val="20"/>
                <w:lang w:val="fr-CA"/>
              </w:rPr>
              <w:t>, M. Robinson et Nilem intentent une action en contrefaçon devant la Cour supérieure du Québec, laquelle accueille l’action en partie.  En appel de cette cause, la Cour d’appel du Québec confirme en partie les conclusions de la Cour supérieure quant aux contrefacteurs mais révise à la baisse plusieurs aspects de la condamnation pécuniaire ordonnée en première instance, principalement sur la base de calculs révisés des profits et des dommages punitifs.</w:t>
            </w:r>
          </w:p>
          <w:p w:rsidR="001C36F8" w:rsidRPr="00096A4B" w:rsidRDefault="001C36F8" w:rsidP="00970CF7">
            <w:pPr>
              <w:jc w:val="both"/>
              <w:rPr>
                <w:rFonts w:eastAsia="Calibri"/>
                <w:sz w:val="20"/>
                <w:lang w:val="fr-CA"/>
              </w:rPr>
            </w:pPr>
          </w:p>
        </w:tc>
      </w:tr>
      <w:tr w:rsidR="001C36F8" w:rsidRPr="00643997"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t>Le 26 août 2009</w:t>
            </w:r>
          </w:p>
          <w:p w:rsidR="001C36F8" w:rsidRPr="00096A4B" w:rsidRDefault="001C36F8" w:rsidP="00970CF7">
            <w:pPr>
              <w:jc w:val="both"/>
              <w:rPr>
                <w:rFonts w:eastAsia="Calibri"/>
                <w:sz w:val="20"/>
                <w:lang w:val="fr-CA"/>
              </w:rPr>
            </w:pPr>
            <w:r w:rsidRPr="00096A4B">
              <w:rPr>
                <w:rFonts w:eastAsia="Calibri"/>
                <w:sz w:val="20"/>
                <w:lang w:val="fr-CA"/>
              </w:rPr>
              <w:t>Cour supérieure du Québec (Montréal)</w:t>
            </w:r>
          </w:p>
          <w:p w:rsidR="001C36F8" w:rsidRPr="00096A4B" w:rsidRDefault="001C36F8" w:rsidP="00970CF7">
            <w:pPr>
              <w:jc w:val="both"/>
              <w:rPr>
                <w:rFonts w:eastAsia="Calibri"/>
                <w:sz w:val="20"/>
                <w:lang w:val="fr-CA"/>
              </w:rPr>
            </w:pPr>
            <w:r w:rsidRPr="00096A4B">
              <w:rPr>
                <w:rFonts w:eastAsia="Calibri"/>
                <w:sz w:val="20"/>
                <w:lang w:val="fr-CA"/>
              </w:rPr>
              <w:t>(Le juge Auclair)</w:t>
            </w:r>
          </w:p>
          <w:p w:rsidR="001C36F8" w:rsidRPr="00096A4B" w:rsidRDefault="001C36F8" w:rsidP="00970CF7">
            <w:pPr>
              <w:jc w:val="both"/>
              <w:rPr>
                <w:rFonts w:eastAsia="Calibri"/>
                <w:sz w:val="20"/>
                <w:lang w:val="fr-CA"/>
              </w:rPr>
            </w:pPr>
            <w:r w:rsidRPr="00096A4B">
              <w:rPr>
                <w:rFonts w:eastAsia="Calibri"/>
                <w:sz w:val="20"/>
                <w:lang w:val="fr-CA"/>
              </w:rPr>
              <w:t>C.S.Q. No. 500</w:t>
            </w:r>
            <w:r w:rsidRPr="00096A4B">
              <w:rPr>
                <w:rFonts w:eastAsia="Calibri"/>
                <w:sz w:val="20"/>
                <w:lang w:val="fr-CA"/>
              </w:rPr>
              <w:noBreakHyphen/>
              <w:t>05</w:t>
            </w:r>
            <w:r w:rsidRPr="00096A4B">
              <w:rPr>
                <w:rFonts w:eastAsia="Calibri"/>
                <w:sz w:val="20"/>
                <w:lang w:val="fr-CA"/>
              </w:rPr>
              <w:noBreakHyphen/>
              <w:t>021498</w:t>
            </w:r>
            <w:r w:rsidRPr="00096A4B">
              <w:rPr>
                <w:rFonts w:eastAsia="Calibri"/>
                <w:sz w:val="20"/>
                <w:lang w:val="fr-CA"/>
              </w:rPr>
              <w:noBreakHyphen/>
              <w:t xml:space="preserve">967 </w:t>
            </w:r>
          </w:p>
          <w:p w:rsidR="001C36F8" w:rsidRPr="00096A4B" w:rsidRDefault="001C36F8" w:rsidP="00970CF7">
            <w:pPr>
              <w:jc w:val="both"/>
              <w:rPr>
                <w:rFonts w:eastAsia="Calibri"/>
                <w:sz w:val="20"/>
                <w:lang w:val="fr-CA"/>
              </w:rPr>
            </w:pPr>
            <w:r w:rsidRPr="00096A4B">
              <w:rPr>
                <w:rFonts w:eastAsia="Calibri"/>
                <w:sz w:val="20"/>
                <w:lang w:val="fr-CA"/>
              </w:rPr>
              <w:t>Référence neutre : 2009 QCCS 8395</w:t>
            </w:r>
          </w:p>
          <w:p w:rsidR="001C36F8" w:rsidRPr="00096A4B" w:rsidRDefault="001C36F8" w:rsidP="00970CF7">
            <w:pPr>
              <w:jc w:val="both"/>
              <w:rPr>
                <w:rFonts w:eastAsia="Calibri"/>
                <w:sz w:val="20"/>
                <w:lang w:val="fr-CA"/>
              </w:rPr>
            </w:pP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 xml:space="preserve">Action en contrefaçon de droits d’auteur en vertu de la </w:t>
            </w:r>
            <w:r w:rsidRPr="00096A4B">
              <w:rPr>
                <w:rFonts w:eastAsia="Calibri"/>
                <w:i/>
                <w:sz w:val="20"/>
                <w:lang w:val="fr-CA"/>
              </w:rPr>
              <w:t>Loi sur le droit d’auteur</w:t>
            </w:r>
            <w:r w:rsidRPr="00096A4B">
              <w:rPr>
                <w:rFonts w:eastAsia="Calibri"/>
                <w:sz w:val="20"/>
                <w:lang w:val="fr-CA"/>
              </w:rPr>
              <w:t>, L.R.C. (1985), c. C</w:t>
            </w:r>
            <w:r w:rsidRPr="00096A4B">
              <w:rPr>
                <w:rFonts w:eastAsia="Calibri"/>
                <w:sz w:val="20"/>
                <w:lang w:val="fr-CA"/>
              </w:rPr>
              <w:noBreakHyphen/>
              <w:t xml:space="preserve">42 et du </w:t>
            </w:r>
            <w:r w:rsidRPr="00096A4B">
              <w:rPr>
                <w:rFonts w:eastAsia="Calibri"/>
                <w:i/>
                <w:sz w:val="20"/>
                <w:lang w:val="fr-CA"/>
              </w:rPr>
              <w:t>Code civil du Québec</w:t>
            </w:r>
            <w:r w:rsidRPr="00096A4B">
              <w:rPr>
                <w:rFonts w:eastAsia="Calibri"/>
                <w:sz w:val="20"/>
                <w:lang w:val="fr-CA"/>
              </w:rPr>
              <w:t xml:space="preserve"> accueillie en partie avec condamnation au montant de 607 489 $ pour la violation du droit d’auteur, 1 716 804 $ pour le remboursement des profits réalisés à la suite de la contrefaçon, 400 000 $ pour le préjudice psychologique, 1 000 000 $ à titre de dommages punitifs, 1 500 000 $ pour les honoraires extrajudiciaires, de même que les frais d’experts.</w:t>
            </w:r>
          </w:p>
          <w:p w:rsidR="001C36F8" w:rsidRPr="00096A4B" w:rsidRDefault="001C36F8" w:rsidP="00970CF7">
            <w:pPr>
              <w:jc w:val="both"/>
              <w:rPr>
                <w:rFonts w:eastAsia="Calibri"/>
                <w:sz w:val="20"/>
                <w:lang w:val="fr-CA"/>
              </w:rPr>
            </w:pPr>
          </w:p>
        </w:tc>
      </w:tr>
      <w:tr w:rsidR="001C36F8" w:rsidRPr="00643997" w:rsidTr="006975B7">
        <w:trPr>
          <w:cantSplit/>
        </w:trPr>
        <w:tc>
          <w:tcPr>
            <w:tcW w:w="2427" w:type="pct"/>
          </w:tcPr>
          <w:p w:rsidR="001C36F8" w:rsidRPr="00096A4B" w:rsidRDefault="001C36F8" w:rsidP="00970CF7">
            <w:pPr>
              <w:jc w:val="both"/>
              <w:rPr>
                <w:rFonts w:eastAsia="Calibri"/>
                <w:sz w:val="20"/>
                <w:lang w:val="fr-CA"/>
              </w:rPr>
            </w:pPr>
            <w:r w:rsidRPr="00096A4B">
              <w:rPr>
                <w:rFonts w:eastAsia="Calibri"/>
                <w:sz w:val="20"/>
                <w:lang w:val="fr-CA"/>
              </w:rPr>
              <w:lastRenderedPageBreak/>
              <w:t>Le 20 juillet 2011</w:t>
            </w:r>
          </w:p>
          <w:p w:rsidR="001C36F8" w:rsidRPr="00096A4B" w:rsidRDefault="001C36F8" w:rsidP="00970CF7">
            <w:pPr>
              <w:jc w:val="both"/>
              <w:rPr>
                <w:rFonts w:eastAsia="Calibri"/>
                <w:sz w:val="20"/>
                <w:lang w:val="fr-CA"/>
              </w:rPr>
            </w:pPr>
            <w:r w:rsidRPr="00096A4B">
              <w:rPr>
                <w:rFonts w:eastAsia="Calibri"/>
                <w:sz w:val="20"/>
                <w:lang w:val="fr-CA"/>
              </w:rPr>
              <w:t>Cour d’appel du Québec (Montréal)</w:t>
            </w:r>
          </w:p>
          <w:p w:rsidR="001C36F8" w:rsidRPr="00096A4B" w:rsidRDefault="001C36F8" w:rsidP="00970CF7">
            <w:pPr>
              <w:jc w:val="both"/>
              <w:rPr>
                <w:rFonts w:eastAsia="Calibri"/>
                <w:sz w:val="20"/>
                <w:lang w:val="fr-CA"/>
              </w:rPr>
            </w:pPr>
            <w:r w:rsidRPr="00096A4B">
              <w:rPr>
                <w:rFonts w:eastAsia="Calibri"/>
                <w:sz w:val="20"/>
                <w:lang w:val="fr-CA"/>
              </w:rPr>
              <w:t>(Les juges Thibault, Morin et Doyon)</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020014</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020033</w:t>
            </w:r>
            <w:r w:rsidRPr="00096A4B">
              <w:rPr>
                <w:rFonts w:eastAsia="Calibri"/>
                <w:sz w:val="20"/>
              </w:rPr>
              <w:noBreakHyphen/>
              <w:t>098</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020034</w:t>
            </w:r>
            <w:r w:rsidRPr="00096A4B">
              <w:rPr>
                <w:rFonts w:eastAsia="Calibri"/>
                <w:sz w:val="20"/>
              </w:rPr>
              <w:noBreakHyphen/>
              <w:t>096</w:t>
            </w:r>
          </w:p>
          <w:p w:rsidR="001C36F8" w:rsidRPr="00096A4B" w:rsidRDefault="001C36F8" w:rsidP="00970CF7">
            <w:pPr>
              <w:jc w:val="both"/>
              <w:rPr>
                <w:rFonts w:eastAsia="Calibri"/>
                <w:sz w:val="20"/>
              </w:rPr>
            </w:pPr>
            <w:r w:rsidRPr="00096A4B">
              <w:rPr>
                <w:rFonts w:eastAsia="Calibri"/>
                <w:sz w:val="20"/>
              </w:rPr>
              <w:t>C.A.Q. No. 500</w:t>
            </w:r>
            <w:r w:rsidRPr="00096A4B">
              <w:rPr>
                <w:rFonts w:eastAsia="Calibri"/>
                <w:sz w:val="20"/>
              </w:rPr>
              <w:noBreakHyphen/>
              <w:t>09</w:t>
            </w:r>
            <w:r w:rsidRPr="00096A4B">
              <w:rPr>
                <w:rFonts w:eastAsia="Calibri"/>
                <w:sz w:val="20"/>
              </w:rPr>
              <w:noBreakHyphen/>
              <w:t>020035</w:t>
            </w:r>
            <w:r w:rsidRPr="00096A4B">
              <w:rPr>
                <w:rFonts w:eastAsia="Calibri"/>
                <w:sz w:val="20"/>
              </w:rPr>
              <w:noBreakHyphen/>
              <w:t>093</w:t>
            </w:r>
          </w:p>
          <w:p w:rsidR="001C36F8" w:rsidRPr="00096A4B" w:rsidRDefault="001C36F8" w:rsidP="00970CF7">
            <w:pPr>
              <w:jc w:val="both"/>
              <w:rPr>
                <w:rFonts w:eastAsia="Calibri"/>
                <w:sz w:val="20"/>
                <w:lang w:val="fr-CA"/>
              </w:rPr>
            </w:pPr>
            <w:r w:rsidRPr="00096A4B">
              <w:rPr>
                <w:rFonts w:eastAsia="Calibri"/>
                <w:sz w:val="20"/>
                <w:lang w:val="fr-CA"/>
              </w:rPr>
              <w:t>Référence neutre : 2011 QCCA 1361</w:t>
            </w:r>
          </w:p>
          <w:p w:rsidR="001C36F8" w:rsidRPr="00096A4B" w:rsidRDefault="001C36F8" w:rsidP="00970CF7">
            <w:pPr>
              <w:jc w:val="both"/>
              <w:rPr>
                <w:rFonts w:eastAsia="Calibri"/>
                <w:sz w:val="20"/>
                <w:lang w:val="fr-CA"/>
              </w:rPr>
            </w:pP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 xml:space="preserve">Appel accueilli en partie, confirmant </w:t>
            </w:r>
            <w:r w:rsidRPr="00096A4B">
              <w:rPr>
                <w:rFonts w:eastAsia="Calibri"/>
                <w:i/>
                <w:sz w:val="20"/>
                <w:lang w:val="fr-CA"/>
              </w:rPr>
              <w:t>inter alia</w:t>
            </w:r>
            <w:r w:rsidRPr="00096A4B">
              <w:rPr>
                <w:rFonts w:eastAsia="Calibri"/>
                <w:sz w:val="20"/>
                <w:lang w:val="fr-CA"/>
              </w:rPr>
              <w:t xml:space="preserve"> la responsabilité des défendeurs (à l’exception de Christian Davin) et révisant à la baisse le montant de la condamnation à savoir, outre les honoraires extrajudiciaires de 1 500 000 $, des dommages</w:t>
            </w:r>
            <w:r w:rsidRPr="00096A4B">
              <w:rPr>
                <w:rFonts w:eastAsia="Calibri"/>
                <w:sz w:val="20"/>
                <w:lang w:val="fr-CA"/>
              </w:rPr>
              <w:noBreakHyphen/>
              <w:t>intérêts compensatoires totalisant 725 839 $, le remboursement des profits au montant de 260 577 $ et des dommages punitifs globaux de 250 000 $.</w:t>
            </w:r>
          </w:p>
          <w:p w:rsidR="001C36F8" w:rsidRPr="00096A4B" w:rsidRDefault="001C36F8" w:rsidP="00970CF7">
            <w:pPr>
              <w:jc w:val="both"/>
              <w:rPr>
                <w:rFonts w:eastAsia="Calibri"/>
                <w:sz w:val="20"/>
                <w:lang w:val="fr-CA"/>
              </w:rPr>
            </w:pPr>
          </w:p>
        </w:tc>
      </w:tr>
      <w:tr w:rsidR="001C36F8" w:rsidRPr="00096A4B" w:rsidTr="006975B7">
        <w:trPr>
          <w:cantSplit/>
        </w:trPr>
        <w:tc>
          <w:tcPr>
            <w:tcW w:w="2427" w:type="pct"/>
          </w:tcPr>
          <w:p w:rsidR="001C36F8" w:rsidRPr="00096A4B" w:rsidRDefault="001C36F8" w:rsidP="00970CF7">
            <w:pPr>
              <w:jc w:val="both"/>
              <w:rPr>
                <w:rFonts w:eastAsia="Calibri"/>
                <w:sz w:val="20"/>
                <w:lang w:val="fr-CA"/>
              </w:rPr>
            </w:pPr>
            <w:r w:rsidRPr="00096A4B">
              <w:rPr>
                <w:rFonts w:eastAsia="Calibri"/>
                <w:sz w:val="20"/>
                <w:lang w:val="fr-CA"/>
              </w:rPr>
              <w:t>Le 28 septembre 2011</w:t>
            </w:r>
          </w:p>
          <w:p w:rsidR="001C36F8" w:rsidRPr="00096A4B" w:rsidRDefault="001C36F8" w:rsidP="00970CF7">
            <w:pPr>
              <w:jc w:val="both"/>
              <w:rPr>
                <w:rFonts w:eastAsia="Calibri"/>
                <w:sz w:val="20"/>
                <w:lang w:val="fr-CA"/>
              </w:rPr>
            </w:pPr>
            <w:r w:rsidRPr="00096A4B">
              <w:rPr>
                <w:rFonts w:eastAsia="Calibri"/>
                <w:sz w:val="20"/>
                <w:lang w:val="fr-CA"/>
              </w:rPr>
              <w:t>Cour suprême du Canada</w:t>
            </w: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Demande d'autorisation d'appel déposée</w:t>
            </w:r>
          </w:p>
          <w:p w:rsidR="001C36F8" w:rsidRPr="00096A4B" w:rsidRDefault="001C36F8" w:rsidP="00970CF7">
            <w:pPr>
              <w:jc w:val="both"/>
              <w:rPr>
                <w:rFonts w:eastAsia="Calibri"/>
                <w:sz w:val="20"/>
                <w:lang w:val="fr-CA"/>
              </w:rPr>
            </w:pP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48"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75B7" w:rsidRPr="002303D8" w:rsidTr="0017605E">
        <w:trPr>
          <w:cantSplit/>
        </w:trPr>
        <w:tc>
          <w:tcPr>
            <w:tcW w:w="1458" w:type="dxa"/>
          </w:tcPr>
          <w:p w:rsidR="006975B7" w:rsidRPr="002303D8" w:rsidRDefault="006975B7" w:rsidP="0017605E">
            <w:pPr>
              <w:rPr>
                <w:sz w:val="20"/>
                <w:szCs w:val="20"/>
              </w:rPr>
            </w:pPr>
            <w:r w:rsidRPr="002303D8">
              <w:rPr>
                <w:rStyle w:val="SCCFileNumberChar"/>
                <w:sz w:val="20"/>
                <w:szCs w:val="20"/>
              </w:rPr>
              <w:t>34481</w:t>
            </w:r>
          </w:p>
          <w:p w:rsidR="006975B7" w:rsidRPr="002303D8" w:rsidRDefault="006975B7" w:rsidP="0017605E">
            <w:pPr>
              <w:rPr>
                <w:b/>
                <w:sz w:val="20"/>
                <w:szCs w:val="20"/>
                <w:lang w:val="fr-CA"/>
              </w:rPr>
            </w:pPr>
          </w:p>
        </w:tc>
        <w:tc>
          <w:tcPr>
            <w:tcW w:w="8118" w:type="dxa"/>
          </w:tcPr>
          <w:p w:rsidR="006975B7" w:rsidRPr="002303D8" w:rsidRDefault="006975B7" w:rsidP="0017605E">
            <w:pPr>
              <w:rPr>
                <w:sz w:val="20"/>
                <w:szCs w:val="20"/>
              </w:rPr>
            </w:pPr>
            <w:r w:rsidRPr="006975B7">
              <w:rPr>
                <w:rStyle w:val="SCCLsocChar"/>
                <w:sz w:val="20"/>
                <w:szCs w:val="20"/>
                <w:lang w:val="en-CA"/>
              </w:rPr>
              <w:t>Lojas Renner S.A. v. Tucows.Com Co.</w:t>
            </w:r>
            <w:r w:rsidRPr="002303D8">
              <w:rPr>
                <w:sz w:val="20"/>
                <w:szCs w:val="20"/>
              </w:rPr>
              <w:t xml:space="preserve"> (Ont.) (Civil) (By Leave)</w:t>
            </w:r>
          </w:p>
          <w:p w:rsidR="006975B7" w:rsidRPr="002303D8" w:rsidRDefault="006975B7" w:rsidP="0017605E">
            <w:pPr>
              <w:rPr>
                <w:sz w:val="20"/>
                <w:szCs w:val="20"/>
              </w:rPr>
            </w:pPr>
          </w:p>
        </w:tc>
      </w:tr>
      <w:tr w:rsidR="006975B7" w:rsidRPr="002303D8" w:rsidTr="0017605E">
        <w:trPr>
          <w:cantSplit/>
        </w:trPr>
        <w:tc>
          <w:tcPr>
            <w:tcW w:w="1458" w:type="dxa"/>
          </w:tcPr>
          <w:p w:rsidR="006975B7" w:rsidRPr="002303D8" w:rsidRDefault="006975B7" w:rsidP="0017605E">
            <w:pPr>
              <w:rPr>
                <w:sz w:val="20"/>
                <w:szCs w:val="20"/>
              </w:rPr>
            </w:pPr>
            <w:r w:rsidRPr="002303D8">
              <w:rPr>
                <w:sz w:val="20"/>
                <w:szCs w:val="20"/>
              </w:rPr>
              <w:t>Coram :</w:t>
            </w:r>
          </w:p>
        </w:tc>
        <w:tc>
          <w:tcPr>
            <w:tcW w:w="8118" w:type="dxa"/>
          </w:tcPr>
          <w:p w:rsidR="006975B7" w:rsidRPr="002303D8" w:rsidRDefault="006975B7" w:rsidP="0017605E">
            <w:pPr>
              <w:rPr>
                <w:sz w:val="20"/>
                <w:szCs w:val="20"/>
              </w:rPr>
            </w:pPr>
            <w:r w:rsidRPr="006975B7">
              <w:rPr>
                <w:rStyle w:val="SCCCoramChar"/>
                <w:sz w:val="20"/>
                <w:szCs w:val="20"/>
                <w:lang w:val="en-CA"/>
              </w:rPr>
              <w:t>Deschamps, Fish and Karakatsanis JJ.</w:t>
            </w:r>
          </w:p>
          <w:p w:rsidR="006975B7" w:rsidRPr="002303D8" w:rsidRDefault="006975B7" w:rsidP="0017605E">
            <w:pPr>
              <w:rPr>
                <w:sz w:val="20"/>
                <w:szCs w:val="20"/>
                <w:u w:val="single"/>
              </w:rPr>
            </w:pPr>
          </w:p>
        </w:tc>
      </w:tr>
      <w:tr w:rsidR="006975B7" w:rsidRPr="00643997" w:rsidTr="0017605E">
        <w:trPr>
          <w:cantSplit/>
        </w:trPr>
        <w:tc>
          <w:tcPr>
            <w:tcW w:w="9576" w:type="dxa"/>
            <w:gridSpan w:val="2"/>
          </w:tcPr>
          <w:p w:rsidR="006975B7" w:rsidRPr="002303D8" w:rsidRDefault="006975B7" w:rsidP="0017605E">
            <w:pPr>
              <w:pStyle w:val="SCCShortJudgment"/>
              <w:rPr>
                <w:szCs w:val="20"/>
              </w:rPr>
            </w:pPr>
            <w:r w:rsidRPr="002303D8">
              <w:rPr>
                <w:szCs w:val="20"/>
              </w:rPr>
              <w:t>The motion to file additional material is dismissed without costs.  The application for leave to appeal from the judgment of the Court of Appeal for Ontario, Number C52972, 2011 ONCA 548, dated August 5, 2011, is dismissed with costs.</w:t>
            </w:r>
          </w:p>
          <w:p w:rsidR="006975B7" w:rsidRPr="002303D8" w:rsidRDefault="006975B7" w:rsidP="0017605E">
            <w:pPr>
              <w:pStyle w:val="SCCShortJudgment"/>
              <w:ind w:firstLine="0"/>
              <w:rPr>
                <w:szCs w:val="20"/>
              </w:rPr>
            </w:pPr>
          </w:p>
          <w:p w:rsidR="006975B7" w:rsidRPr="002303D8" w:rsidRDefault="006975B7" w:rsidP="0017605E">
            <w:pPr>
              <w:pStyle w:val="SCCShortJudgment"/>
              <w:rPr>
                <w:szCs w:val="20"/>
                <w:lang w:val="fr-CA"/>
              </w:rPr>
            </w:pPr>
            <w:r w:rsidRPr="002303D8">
              <w:rPr>
                <w:szCs w:val="20"/>
                <w:lang w:val="fr-CA"/>
              </w:rPr>
              <w:t>La requête visant à déposer des documents supplémentaires est rejetée sans dépens. La demande d’autorisation d’appel de l’arrêt de la Cour d’appel de l’Ontario, numéro C52972, 2011 ONCA 548, daté du 5 août 2011, est rejetée avec dépens.</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9527"/>
      </w:tblGrid>
      <w:tr w:rsidR="001C36F8" w:rsidRPr="00096A4B" w:rsidTr="00970CF7">
        <w:tc>
          <w:tcPr>
            <w:tcW w:w="5000" w:type="pct"/>
          </w:tcPr>
          <w:p w:rsidR="001C36F8" w:rsidRPr="00096A4B" w:rsidRDefault="001C36F8" w:rsidP="00970CF7">
            <w:pPr>
              <w:jc w:val="both"/>
              <w:rPr>
                <w:rFonts w:eastAsia="Calibri"/>
                <w:sz w:val="20"/>
              </w:rPr>
            </w:pPr>
            <w:r w:rsidRPr="00096A4B">
              <w:rPr>
                <w:rFonts w:eastAsia="Calibri"/>
                <w:sz w:val="20"/>
              </w:rPr>
              <w:t xml:space="preserve">Civil procedure – Service outside Ontario – Jurisdiction – Real and substantial connection – Internet – Domain names – Whether the Court of Appeal erred in stating that the policy of the </w:t>
            </w:r>
            <w:r w:rsidRPr="00096A4B">
              <w:rPr>
                <w:rFonts w:eastAsia="Calibri"/>
                <w:i/>
                <w:sz w:val="20"/>
              </w:rPr>
              <w:t>UDRP</w:t>
            </w:r>
            <w:r w:rsidRPr="00096A4B">
              <w:rPr>
                <w:rFonts w:eastAsia="Calibri"/>
                <w:sz w:val="20"/>
              </w:rPr>
              <w:t xml:space="preserve"> is to “refer” legitimate disputes to the Court – Whether the Court of Appeal erred in holding that the Superior Court of Ontario’s jurisdiction was “unlimited and unrestricted” – Whether the Court of Appeal erred in making no assessment of whether the claim before it was justiciable – Whether the Court of Appeal erred in determining in the abstract that a domain name was “personal property in Ontario” – Whether the Court of Appeal erred in failing to consider whether it accords with principles of order, fairness and comity to read “intangible” into Rule 17.02 – </w:t>
            </w:r>
            <w:r w:rsidRPr="00096A4B">
              <w:rPr>
                <w:rFonts w:eastAsia="Calibri"/>
                <w:i/>
                <w:sz w:val="20"/>
              </w:rPr>
              <w:t>Rules of Civil Procedure</w:t>
            </w:r>
            <w:r w:rsidRPr="00096A4B">
              <w:rPr>
                <w:rFonts w:eastAsia="Calibri"/>
                <w:sz w:val="20"/>
              </w:rPr>
              <w:t xml:space="preserve">, R.S.O. 1990, Reg. 194, Rules 17.02(a), 17.06(1). </w:t>
            </w:r>
          </w:p>
        </w:tc>
      </w:tr>
      <w:tr w:rsidR="001C36F8" w:rsidRPr="00096A4B" w:rsidTr="00970CF7">
        <w:tc>
          <w:tcPr>
            <w:tcW w:w="5000" w:type="pct"/>
          </w:tcPr>
          <w:p w:rsidR="001C36F8" w:rsidRPr="00096A4B" w:rsidRDefault="001C36F8" w:rsidP="00970CF7">
            <w:pPr>
              <w:jc w:val="both"/>
              <w:rPr>
                <w:rFonts w:eastAsia="Calibri"/>
                <w:sz w:val="20"/>
              </w:rPr>
            </w:pPr>
          </w:p>
        </w:tc>
      </w:tr>
      <w:tr w:rsidR="001C36F8" w:rsidRPr="00096A4B" w:rsidTr="00970CF7">
        <w:tc>
          <w:tcPr>
            <w:tcW w:w="5000" w:type="pct"/>
          </w:tcPr>
          <w:p w:rsidR="001C36F8" w:rsidRPr="00096A4B" w:rsidRDefault="001C36F8" w:rsidP="00970CF7">
            <w:pPr>
              <w:jc w:val="both"/>
              <w:rPr>
                <w:rFonts w:eastAsia="Calibri"/>
                <w:sz w:val="20"/>
              </w:rPr>
            </w:pPr>
            <w:r w:rsidRPr="00096A4B">
              <w:rPr>
                <w:rFonts w:eastAsia="Calibri"/>
                <w:sz w:val="20"/>
              </w:rPr>
              <w:t xml:space="preserve">The dispute concerns the right to the internet domain name “renner.com”.  The applicant operates a number of retail department stores in Brazil and owns the registered trademark “Renner”, while the respondent purchased the domain name “renner.com” in 2006 and is the registrant of that domain name with the internationally-recognized non-profit organization, the Internet Corporation for Assigned Names and Numbers (“ICANN”).  The application is brought in respect of an interlocutory procedural motion concerning the jurisdiction of the Ontario court. In particular, the issue before the motions judge was whether service of Tucows's statement of claim on Renner outside of Ontario was valid or should be validated under the </w:t>
            </w:r>
            <w:r w:rsidRPr="00096A4B">
              <w:rPr>
                <w:rFonts w:eastAsia="Calibri"/>
                <w:i/>
                <w:sz w:val="20"/>
              </w:rPr>
              <w:t>Rules of Civil Procedure</w:t>
            </w:r>
            <w:r w:rsidRPr="00096A4B">
              <w:rPr>
                <w:rFonts w:eastAsia="Calibri"/>
                <w:sz w:val="20"/>
              </w:rPr>
              <w:t>.</w:t>
            </w:r>
          </w:p>
          <w:p w:rsidR="001C36F8" w:rsidRPr="00096A4B" w:rsidRDefault="001C36F8" w:rsidP="00970CF7">
            <w:pPr>
              <w:jc w:val="both"/>
              <w:rPr>
                <w:rFonts w:eastAsia="Calibri"/>
                <w:sz w:val="20"/>
              </w:rPr>
            </w:pPr>
          </w:p>
          <w:p w:rsidR="001C36F8" w:rsidRPr="00096A4B" w:rsidRDefault="001C36F8" w:rsidP="00970CF7">
            <w:pPr>
              <w:jc w:val="both"/>
              <w:rPr>
                <w:rFonts w:eastAsia="Calibri"/>
                <w:sz w:val="20"/>
              </w:rPr>
            </w:pPr>
            <w:r w:rsidRPr="00096A4B">
              <w:rPr>
                <w:rFonts w:eastAsia="Calibri"/>
                <w:sz w:val="20"/>
              </w:rPr>
              <w:t>The applicant’s motion in the Ontario Superior Court of Justice to set aside service of the respondent’s statement of claim and to stay the action for want of jurisdiction was granted.  The Ontario Court of Appeal unanimously allowed the respondent’s appeal.</w:t>
            </w:r>
          </w:p>
          <w:p w:rsidR="001C36F8" w:rsidRPr="00096A4B" w:rsidRDefault="001C36F8" w:rsidP="00970CF7">
            <w:pPr>
              <w:jc w:val="both"/>
              <w:rPr>
                <w:rFonts w:eastAsia="Calibri"/>
                <w:sz w:val="20"/>
              </w:rPr>
            </w:pPr>
          </w:p>
        </w:tc>
      </w:tr>
    </w:tbl>
    <w:p w:rsidR="006975B7" w:rsidRDefault="006975B7"/>
    <w:tbl>
      <w:tblPr>
        <w:tblW w:w="4952" w:type="pct"/>
        <w:tblLayout w:type="fixed"/>
        <w:tblCellMar>
          <w:left w:w="0" w:type="dxa"/>
          <w:bottom w:w="99" w:type="dxa"/>
          <w:right w:w="0" w:type="dxa"/>
        </w:tblCellMar>
        <w:tblLook w:val="04A0"/>
      </w:tblPr>
      <w:tblGrid>
        <w:gridCol w:w="4624"/>
        <w:gridCol w:w="463"/>
        <w:gridCol w:w="4440"/>
      </w:tblGrid>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lastRenderedPageBreak/>
              <w:t>October 28, 2010</w:t>
            </w:r>
          </w:p>
          <w:p w:rsidR="001C36F8" w:rsidRPr="00096A4B" w:rsidRDefault="001C36F8" w:rsidP="00970CF7">
            <w:pPr>
              <w:jc w:val="both"/>
              <w:rPr>
                <w:rFonts w:eastAsia="Calibri"/>
                <w:sz w:val="20"/>
              </w:rPr>
            </w:pPr>
            <w:r w:rsidRPr="00096A4B">
              <w:rPr>
                <w:rFonts w:eastAsia="Calibri"/>
                <w:sz w:val="20"/>
              </w:rPr>
              <w:t>Ontario Superior Court of Justice</w:t>
            </w:r>
          </w:p>
          <w:p w:rsidR="001C36F8" w:rsidRPr="00096A4B" w:rsidRDefault="001C36F8" w:rsidP="00970CF7">
            <w:pPr>
              <w:jc w:val="both"/>
              <w:rPr>
                <w:rFonts w:eastAsia="Calibri"/>
                <w:sz w:val="20"/>
              </w:rPr>
            </w:pPr>
            <w:r w:rsidRPr="00096A4B">
              <w:rPr>
                <w:rFonts w:eastAsia="Calibri"/>
                <w:sz w:val="20"/>
              </w:rPr>
              <w:t>(Chapnik J.)</w:t>
            </w:r>
          </w:p>
          <w:p w:rsidR="001C36F8" w:rsidRPr="00096A4B" w:rsidRDefault="001C36F8" w:rsidP="00970CF7">
            <w:pPr>
              <w:jc w:val="both"/>
              <w:rPr>
                <w:rFonts w:eastAsia="Calibri"/>
                <w:sz w:val="20"/>
              </w:rPr>
            </w:pP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Applicant’s motion to set aside service of respondent’s statement of claim and to stay action for want of jurisdiction, granted; respondent’s cross motion to validate service, dismissed.</w:t>
            </w:r>
          </w:p>
          <w:p w:rsidR="001C36F8" w:rsidRPr="00096A4B" w:rsidRDefault="001C36F8" w:rsidP="00970CF7">
            <w:pPr>
              <w:jc w:val="both"/>
              <w:rPr>
                <w:rFonts w:eastAsia="Calibri"/>
                <w:sz w:val="20"/>
              </w:rPr>
            </w:pPr>
          </w:p>
        </w:tc>
      </w:tr>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t>August 5, 2011</w:t>
            </w:r>
          </w:p>
          <w:p w:rsidR="001C36F8" w:rsidRPr="00096A4B" w:rsidRDefault="001C36F8" w:rsidP="00970CF7">
            <w:pPr>
              <w:jc w:val="both"/>
              <w:rPr>
                <w:rFonts w:eastAsia="Calibri"/>
                <w:sz w:val="20"/>
              </w:rPr>
            </w:pPr>
            <w:r w:rsidRPr="00096A4B">
              <w:rPr>
                <w:rFonts w:eastAsia="Calibri"/>
                <w:sz w:val="20"/>
              </w:rPr>
              <w:t>Court of Appeal for Ontario</w:t>
            </w:r>
          </w:p>
          <w:p w:rsidR="001C36F8" w:rsidRPr="00096A4B" w:rsidRDefault="001C36F8" w:rsidP="00970CF7">
            <w:pPr>
              <w:jc w:val="both"/>
              <w:rPr>
                <w:rFonts w:eastAsia="Calibri"/>
                <w:sz w:val="20"/>
              </w:rPr>
            </w:pPr>
            <w:r w:rsidRPr="00096A4B">
              <w:rPr>
                <w:rFonts w:eastAsia="Calibri"/>
                <w:sz w:val="20"/>
              </w:rPr>
              <w:t>(Weiler, Simmons and Epstein JJ.A.)</w:t>
            </w:r>
          </w:p>
          <w:p w:rsidR="001C36F8" w:rsidRPr="00096A4B" w:rsidRDefault="001C36F8" w:rsidP="00970CF7">
            <w:pPr>
              <w:jc w:val="both"/>
              <w:rPr>
                <w:rFonts w:eastAsia="Calibri"/>
                <w:sz w:val="20"/>
              </w:rPr>
            </w:pP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Respondent’s appeal, allowed.</w:t>
            </w:r>
          </w:p>
          <w:p w:rsidR="001C36F8" w:rsidRPr="00096A4B" w:rsidRDefault="001C36F8" w:rsidP="00970CF7">
            <w:pPr>
              <w:jc w:val="both"/>
              <w:rPr>
                <w:rFonts w:eastAsia="Calibri"/>
                <w:sz w:val="20"/>
              </w:rPr>
            </w:pPr>
          </w:p>
          <w:p w:rsidR="001C36F8" w:rsidRPr="00096A4B" w:rsidRDefault="001C36F8" w:rsidP="00970CF7">
            <w:pPr>
              <w:jc w:val="both"/>
              <w:rPr>
                <w:rFonts w:eastAsia="Calibri"/>
                <w:sz w:val="20"/>
              </w:rPr>
            </w:pPr>
          </w:p>
        </w:tc>
      </w:tr>
      <w:tr w:rsidR="001C36F8" w:rsidRPr="00096A4B" w:rsidTr="00970CF7">
        <w:tc>
          <w:tcPr>
            <w:tcW w:w="2427" w:type="pct"/>
          </w:tcPr>
          <w:p w:rsidR="001C36F8" w:rsidRPr="00096A4B" w:rsidRDefault="001C36F8" w:rsidP="00970CF7">
            <w:pPr>
              <w:jc w:val="both"/>
              <w:rPr>
                <w:rFonts w:eastAsia="Calibri"/>
                <w:sz w:val="20"/>
              </w:rPr>
            </w:pPr>
            <w:r w:rsidRPr="00096A4B">
              <w:rPr>
                <w:rFonts w:eastAsia="Calibri"/>
                <w:sz w:val="20"/>
              </w:rPr>
              <w:t>October 4, 2011</w:t>
            </w:r>
          </w:p>
          <w:p w:rsidR="001C36F8" w:rsidRPr="00096A4B" w:rsidRDefault="001C36F8" w:rsidP="00970CF7">
            <w:pPr>
              <w:jc w:val="both"/>
              <w:rPr>
                <w:rFonts w:eastAsia="Calibri"/>
                <w:sz w:val="20"/>
              </w:rPr>
            </w:pPr>
            <w:r w:rsidRPr="00096A4B">
              <w:rPr>
                <w:rFonts w:eastAsia="Calibri"/>
                <w:sz w:val="20"/>
              </w:rPr>
              <w:t>Supreme Court of Canada</w:t>
            </w:r>
          </w:p>
        </w:tc>
        <w:tc>
          <w:tcPr>
            <w:tcW w:w="243" w:type="pct"/>
          </w:tcPr>
          <w:p w:rsidR="001C36F8" w:rsidRPr="00096A4B" w:rsidRDefault="001C36F8" w:rsidP="00970CF7">
            <w:pPr>
              <w:jc w:val="both"/>
              <w:rPr>
                <w:rFonts w:eastAsia="Calibri"/>
                <w:sz w:val="20"/>
              </w:rPr>
            </w:pPr>
          </w:p>
        </w:tc>
        <w:tc>
          <w:tcPr>
            <w:tcW w:w="2330" w:type="pct"/>
          </w:tcPr>
          <w:p w:rsidR="001C36F8" w:rsidRPr="00096A4B" w:rsidRDefault="001C36F8" w:rsidP="00970CF7">
            <w:pPr>
              <w:jc w:val="both"/>
              <w:rPr>
                <w:rFonts w:eastAsia="Calibri"/>
                <w:sz w:val="20"/>
              </w:rPr>
            </w:pPr>
            <w:r w:rsidRPr="00096A4B">
              <w:rPr>
                <w:rFonts w:eastAsia="Calibri"/>
                <w:sz w:val="20"/>
              </w:rPr>
              <w:t>Application for leave to appeal, filed.</w:t>
            </w:r>
          </w:p>
          <w:p w:rsidR="001C36F8" w:rsidRPr="00096A4B" w:rsidRDefault="001C36F8" w:rsidP="00970CF7">
            <w:pPr>
              <w:jc w:val="both"/>
              <w:rPr>
                <w:rFonts w:eastAsia="Calibri"/>
                <w:sz w:val="20"/>
              </w:rPr>
            </w:pP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49"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C36F8" w:rsidRPr="004E349F"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Procédure civile – Signification en dehors de l’Ontario – Compétence – Lien réel et substantiel – Internet – Noms de domaines – La Cour d'appel a-t-elle eu tort d'affirmer qu’en vertu des principes directeurs de règlement uniforme des litiges relatifs aux noms de domaine (</w:t>
            </w:r>
            <w:r w:rsidRPr="00096A4B">
              <w:rPr>
                <w:rFonts w:eastAsia="Calibri"/>
                <w:i/>
                <w:sz w:val="20"/>
                <w:lang w:val="fr-CA"/>
              </w:rPr>
              <w:t>UDRP</w:t>
            </w:r>
            <w:r w:rsidRPr="00096A4B">
              <w:rPr>
                <w:rFonts w:eastAsia="Calibri"/>
                <w:sz w:val="20"/>
                <w:lang w:val="fr-CA"/>
              </w:rPr>
              <w:t>) les différends légitimes doivent être « renvoyés » à la Cour? – La Cour d'appel a-t-elle eu tort de statuer que la compétence de la Cour supérieure de l'Ontario était « illimitée et absolue »? – La Cour d'appel a-t-elle eu tort de ne pas avoir évalué la question de savoir si la demande dont elle était saisie était justiciable? – La Cour d'appel a-t-elle eu tort de conclure dans l'abstrait que le nom de domaine était un « bien meuble se trouvant en Ontario »? – La Cour d'appel a-t-elle eu tort de ne pas se demander s’il était conforme aux principes d'ordre, d'équité et de courtoisie de considérer que le mot « intangible » faisait implicitement partie de la règle 17.02? –</w:t>
            </w:r>
            <w:r w:rsidRPr="00096A4B">
              <w:rPr>
                <w:rFonts w:eastAsia="Calibri"/>
                <w:i/>
                <w:sz w:val="20"/>
                <w:lang w:val="fr-CA"/>
              </w:rPr>
              <w:t xml:space="preserve"> Règles de procédure civile</w:t>
            </w:r>
            <w:r w:rsidRPr="00096A4B">
              <w:rPr>
                <w:rFonts w:eastAsia="Calibri"/>
                <w:sz w:val="20"/>
                <w:lang w:val="fr-CA"/>
              </w:rPr>
              <w:t>, L.R.O. 1990, règl. 194, règles 17.02</w:t>
            </w:r>
            <w:r w:rsidRPr="00096A4B">
              <w:rPr>
                <w:rFonts w:eastAsia="Calibri"/>
                <w:i/>
                <w:sz w:val="20"/>
                <w:lang w:val="fr-CA"/>
              </w:rPr>
              <w:t>a</w:t>
            </w:r>
            <w:r w:rsidRPr="00096A4B">
              <w:rPr>
                <w:rFonts w:eastAsia="Calibri"/>
                <w:sz w:val="20"/>
                <w:lang w:val="fr-CA"/>
              </w:rPr>
              <w:t xml:space="preserve">), 17.06(1). </w:t>
            </w:r>
          </w:p>
        </w:tc>
      </w:tr>
      <w:tr w:rsidR="001C36F8" w:rsidRPr="004E349F" w:rsidTr="00970CF7">
        <w:tc>
          <w:tcPr>
            <w:tcW w:w="5000" w:type="pct"/>
            <w:gridSpan w:val="3"/>
          </w:tcPr>
          <w:p w:rsidR="001C36F8" w:rsidRPr="00096A4B" w:rsidRDefault="001C36F8" w:rsidP="00970CF7">
            <w:pPr>
              <w:jc w:val="both"/>
              <w:rPr>
                <w:rFonts w:eastAsia="Calibri"/>
                <w:sz w:val="20"/>
                <w:lang w:val="fr-CA"/>
              </w:rPr>
            </w:pPr>
          </w:p>
        </w:tc>
      </w:tr>
      <w:tr w:rsidR="001C36F8" w:rsidRPr="00643997" w:rsidTr="00970CF7">
        <w:tc>
          <w:tcPr>
            <w:tcW w:w="5000" w:type="pct"/>
            <w:gridSpan w:val="3"/>
          </w:tcPr>
          <w:p w:rsidR="001C36F8" w:rsidRPr="00096A4B" w:rsidRDefault="001C36F8" w:rsidP="00970CF7">
            <w:pPr>
              <w:jc w:val="both"/>
              <w:rPr>
                <w:rFonts w:eastAsia="Calibri"/>
                <w:sz w:val="20"/>
                <w:lang w:val="fr-CA"/>
              </w:rPr>
            </w:pPr>
            <w:r w:rsidRPr="00096A4B">
              <w:rPr>
                <w:rFonts w:eastAsia="Calibri"/>
                <w:sz w:val="20"/>
                <w:lang w:val="fr-CA"/>
              </w:rPr>
              <w:t xml:space="preserve">Le présent litige porte sur le droit au nom de domaine Internet « renner.com ». La demanderesse exploite un certain nombre de grands magasins de détail au Brésil et est propriétaire de la marque de commerce déposée « Renner », alors que l'intimée a acheté le nom de domaine « renner.com » en 2006 et est titulaire de l'enregistrement de ce nom de domaine auprès de l'organisme sans but lucratif internationalement accepté, la </w:t>
            </w:r>
            <w:r w:rsidRPr="00096A4B">
              <w:rPr>
                <w:rFonts w:eastAsia="Calibri"/>
                <w:bCs/>
                <w:sz w:val="20"/>
                <w:lang w:val="fr-CA"/>
              </w:rPr>
              <w:t>Société pour l'attribution des noms de domaine et des numéros sur Internet</w:t>
            </w:r>
            <w:r w:rsidRPr="00096A4B">
              <w:rPr>
                <w:rFonts w:eastAsia="Calibri"/>
                <w:sz w:val="20"/>
                <w:lang w:val="fr-CA"/>
              </w:rPr>
              <w:t xml:space="preserve"> (« ICANN »). La demande est introduite relativement à une motion de procédure interlocutoire ayant pour objet la compétence du tribunal ontarien. En particulier, la question dont était saisi le juge de première instance était de savoir si la signification de la déclaration de Tucows à Renner en dehors de l’Ontario était valide ou si elle devait être validée en vertu des</w:t>
            </w:r>
            <w:r w:rsidRPr="00096A4B">
              <w:rPr>
                <w:rFonts w:eastAsia="Calibri"/>
                <w:i/>
                <w:sz w:val="20"/>
                <w:lang w:val="fr-CA"/>
              </w:rPr>
              <w:t xml:space="preserve"> Règles de procédure civile</w:t>
            </w:r>
            <w:r w:rsidRPr="00096A4B">
              <w:rPr>
                <w:rFonts w:eastAsia="Calibri"/>
                <w:sz w:val="20"/>
                <w:lang w:val="fr-CA"/>
              </w:rPr>
              <w:t>.</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r w:rsidRPr="00096A4B">
              <w:rPr>
                <w:rFonts w:eastAsia="Calibri"/>
                <w:sz w:val="20"/>
                <w:lang w:val="fr-CA"/>
              </w:rPr>
              <w:t>La motion présentée par la demanderesse à la Cour supérieure de justice de l'Ontario en annulation de la signification de la déclaration de l'intimée et en sursis d'instance pour défaut de compétence a été accueillie. La Cour d'appel de l'Ontario a accueilli l'appel de l'intimée, à l'unanimité.</w:t>
            </w:r>
          </w:p>
          <w:p w:rsidR="001C36F8" w:rsidRPr="00096A4B" w:rsidRDefault="001C36F8" w:rsidP="00970CF7">
            <w:pPr>
              <w:jc w:val="both"/>
              <w:rPr>
                <w:rFonts w:eastAsia="Calibri"/>
                <w:sz w:val="20"/>
                <w:lang w:val="fr-CA"/>
              </w:rPr>
            </w:pPr>
          </w:p>
        </w:tc>
      </w:tr>
      <w:tr w:rsidR="001C36F8" w:rsidRPr="00643997"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t>28 octobre 2010</w:t>
            </w:r>
          </w:p>
          <w:p w:rsidR="001C36F8" w:rsidRPr="00096A4B" w:rsidRDefault="001C36F8" w:rsidP="00970CF7">
            <w:pPr>
              <w:jc w:val="both"/>
              <w:rPr>
                <w:rFonts w:eastAsia="Calibri"/>
                <w:sz w:val="20"/>
                <w:lang w:val="fr-CA"/>
              </w:rPr>
            </w:pPr>
            <w:r w:rsidRPr="00096A4B">
              <w:rPr>
                <w:rFonts w:eastAsia="Calibri"/>
                <w:sz w:val="20"/>
                <w:lang w:val="fr-CA"/>
              </w:rPr>
              <w:t xml:space="preserve">Cour supérieure de justice de l'Ontario </w:t>
            </w:r>
          </w:p>
          <w:p w:rsidR="001C36F8" w:rsidRPr="00096A4B" w:rsidRDefault="001C36F8" w:rsidP="00970CF7">
            <w:pPr>
              <w:jc w:val="both"/>
              <w:rPr>
                <w:rFonts w:eastAsia="Calibri"/>
                <w:sz w:val="20"/>
                <w:lang w:val="fr-CA"/>
              </w:rPr>
            </w:pPr>
            <w:r w:rsidRPr="00096A4B">
              <w:rPr>
                <w:rFonts w:eastAsia="Calibri"/>
                <w:sz w:val="20"/>
                <w:lang w:val="fr-CA"/>
              </w:rPr>
              <w:t>(Juge Chapnik)</w:t>
            </w:r>
          </w:p>
          <w:p w:rsidR="001C36F8" w:rsidRPr="00096A4B" w:rsidRDefault="001C36F8" w:rsidP="00970CF7">
            <w:pPr>
              <w:jc w:val="both"/>
              <w:rPr>
                <w:rFonts w:eastAsia="Calibri"/>
                <w:sz w:val="20"/>
                <w:lang w:val="fr-CA"/>
              </w:rPr>
            </w:pP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Motion de la demanderesse en annulation de la signification de la déclaration de l'intimée et en sursis d'instance pour défaut de compétence, accueillie; motion incidente de l'intimée en validation de la signification, rejetée.</w:t>
            </w:r>
          </w:p>
          <w:p w:rsidR="001C36F8" w:rsidRPr="00096A4B" w:rsidRDefault="001C36F8" w:rsidP="00970CF7">
            <w:pPr>
              <w:jc w:val="both"/>
              <w:rPr>
                <w:rFonts w:eastAsia="Calibri"/>
                <w:sz w:val="20"/>
                <w:lang w:val="fr-CA"/>
              </w:rPr>
            </w:pPr>
          </w:p>
        </w:tc>
      </w:tr>
      <w:tr w:rsidR="001C36F8" w:rsidRPr="00096A4B" w:rsidTr="00970CF7">
        <w:tc>
          <w:tcPr>
            <w:tcW w:w="2427" w:type="pct"/>
          </w:tcPr>
          <w:p w:rsidR="001C36F8" w:rsidRPr="00096A4B" w:rsidRDefault="001C36F8" w:rsidP="00970CF7">
            <w:pPr>
              <w:jc w:val="both"/>
              <w:rPr>
                <w:rFonts w:eastAsia="Calibri"/>
                <w:sz w:val="20"/>
                <w:lang w:val="fr-CA"/>
              </w:rPr>
            </w:pPr>
            <w:r w:rsidRPr="00096A4B">
              <w:rPr>
                <w:rFonts w:eastAsia="Calibri"/>
                <w:sz w:val="20"/>
                <w:lang w:val="fr-CA"/>
              </w:rPr>
              <w:t>5 août 2011</w:t>
            </w:r>
          </w:p>
          <w:p w:rsidR="001C36F8" w:rsidRPr="00096A4B" w:rsidRDefault="001C36F8" w:rsidP="00970CF7">
            <w:pPr>
              <w:jc w:val="both"/>
              <w:rPr>
                <w:rFonts w:eastAsia="Calibri"/>
                <w:sz w:val="20"/>
                <w:lang w:val="fr-CA"/>
              </w:rPr>
            </w:pPr>
            <w:r w:rsidRPr="00096A4B">
              <w:rPr>
                <w:rFonts w:eastAsia="Calibri"/>
                <w:sz w:val="20"/>
                <w:lang w:val="fr-CA"/>
              </w:rPr>
              <w:t>Cour d'appel de l'Ontario</w:t>
            </w:r>
          </w:p>
          <w:p w:rsidR="001C36F8" w:rsidRPr="00096A4B" w:rsidRDefault="001C36F8" w:rsidP="00970CF7">
            <w:pPr>
              <w:jc w:val="both"/>
              <w:rPr>
                <w:rFonts w:eastAsia="Calibri"/>
                <w:sz w:val="20"/>
                <w:lang w:val="fr-CA"/>
              </w:rPr>
            </w:pPr>
            <w:r w:rsidRPr="00096A4B">
              <w:rPr>
                <w:rFonts w:eastAsia="Calibri"/>
                <w:sz w:val="20"/>
                <w:lang w:val="fr-CA"/>
              </w:rPr>
              <w:t>(Juges Weiler, Simmons et Epstein)</w:t>
            </w:r>
          </w:p>
          <w:p w:rsidR="001C36F8" w:rsidRPr="00096A4B" w:rsidRDefault="001C36F8" w:rsidP="00970CF7">
            <w:pPr>
              <w:jc w:val="both"/>
              <w:rPr>
                <w:rFonts w:eastAsia="Calibri"/>
                <w:sz w:val="20"/>
                <w:lang w:val="fr-CA"/>
              </w:rPr>
            </w:pP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Appel de l'intimée, accueilli.</w:t>
            </w:r>
          </w:p>
          <w:p w:rsidR="001C36F8" w:rsidRPr="00096A4B" w:rsidRDefault="001C36F8" w:rsidP="00970CF7">
            <w:pPr>
              <w:jc w:val="both"/>
              <w:rPr>
                <w:rFonts w:eastAsia="Calibri"/>
                <w:sz w:val="20"/>
                <w:lang w:val="fr-CA"/>
              </w:rPr>
            </w:pPr>
          </w:p>
          <w:p w:rsidR="001C36F8" w:rsidRPr="00096A4B" w:rsidRDefault="001C36F8" w:rsidP="00970CF7">
            <w:pPr>
              <w:jc w:val="both"/>
              <w:rPr>
                <w:rFonts w:eastAsia="Calibri"/>
                <w:sz w:val="20"/>
                <w:lang w:val="fr-CA"/>
              </w:rPr>
            </w:pPr>
          </w:p>
        </w:tc>
      </w:tr>
      <w:tr w:rsidR="001C36F8" w:rsidRPr="00096A4B" w:rsidTr="00865E33">
        <w:trPr>
          <w:cantSplit/>
        </w:trPr>
        <w:tc>
          <w:tcPr>
            <w:tcW w:w="2427" w:type="pct"/>
          </w:tcPr>
          <w:p w:rsidR="001C36F8" w:rsidRPr="00096A4B" w:rsidRDefault="001C36F8" w:rsidP="00970CF7">
            <w:pPr>
              <w:jc w:val="both"/>
              <w:rPr>
                <w:rFonts w:eastAsia="Calibri"/>
                <w:sz w:val="20"/>
                <w:lang w:val="fr-CA"/>
              </w:rPr>
            </w:pPr>
            <w:r w:rsidRPr="00096A4B">
              <w:rPr>
                <w:rFonts w:eastAsia="Calibri"/>
                <w:sz w:val="20"/>
                <w:lang w:val="fr-CA"/>
              </w:rPr>
              <w:lastRenderedPageBreak/>
              <w:t>4 octobre 2011</w:t>
            </w:r>
          </w:p>
          <w:p w:rsidR="001C36F8" w:rsidRPr="00096A4B" w:rsidRDefault="001C36F8" w:rsidP="00970CF7">
            <w:pPr>
              <w:jc w:val="both"/>
              <w:rPr>
                <w:rFonts w:eastAsia="Calibri"/>
                <w:sz w:val="20"/>
                <w:lang w:val="fr-CA"/>
              </w:rPr>
            </w:pPr>
            <w:r w:rsidRPr="00096A4B">
              <w:rPr>
                <w:rFonts w:eastAsia="Calibri"/>
                <w:sz w:val="20"/>
                <w:lang w:val="fr-CA"/>
              </w:rPr>
              <w:t>Cour suprême du Canada</w:t>
            </w:r>
          </w:p>
        </w:tc>
        <w:tc>
          <w:tcPr>
            <w:tcW w:w="243" w:type="pct"/>
          </w:tcPr>
          <w:p w:rsidR="001C36F8" w:rsidRPr="00096A4B" w:rsidRDefault="001C36F8" w:rsidP="00970CF7">
            <w:pPr>
              <w:jc w:val="both"/>
              <w:rPr>
                <w:rFonts w:eastAsia="Calibri"/>
                <w:sz w:val="20"/>
                <w:lang w:val="fr-CA"/>
              </w:rPr>
            </w:pPr>
          </w:p>
        </w:tc>
        <w:tc>
          <w:tcPr>
            <w:tcW w:w="2330" w:type="pct"/>
          </w:tcPr>
          <w:p w:rsidR="001C36F8" w:rsidRPr="00096A4B" w:rsidRDefault="001C36F8" w:rsidP="00970CF7">
            <w:pPr>
              <w:jc w:val="both"/>
              <w:rPr>
                <w:rFonts w:eastAsia="Calibri"/>
                <w:sz w:val="20"/>
                <w:lang w:val="fr-CA"/>
              </w:rPr>
            </w:pPr>
            <w:r w:rsidRPr="00096A4B">
              <w:rPr>
                <w:rFonts w:eastAsia="Calibri"/>
                <w:sz w:val="20"/>
                <w:lang w:val="fr-CA"/>
              </w:rPr>
              <w:t>Demande d'autorisation d'appel, déposée.</w:t>
            </w:r>
          </w:p>
          <w:p w:rsidR="001C36F8" w:rsidRPr="00096A4B" w:rsidRDefault="001C36F8" w:rsidP="00970CF7">
            <w:pPr>
              <w:jc w:val="both"/>
              <w:rPr>
                <w:rFonts w:eastAsia="Calibri"/>
                <w:sz w:val="20"/>
                <w:lang w:val="fr-CA"/>
              </w:rPr>
            </w:pP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50"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65E33" w:rsidRPr="00B9644F" w:rsidTr="0017605E">
        <w:trPr>
          <w:cantSplit/>
        </w:trPr>
        <w:tc>
          <w:tcPr>
            <w:tcW w:w="1458" w:type="dxa"/>
          </w:tcPr>
          <w:p w:rsidR="00865E33" w:rsidRPr="00B9644F" w:rsidRDefault="00865E33" w:rsidP="0017605E">
            <w:pPr>
              <w:rPr>
                <w:sz w:val="20"/>
                <w:szCs w:val="20"/>
              </w:rPr>
            </w:pPr>
            <w:r w:rsidRPr="00B9644F">
              <w:rPr>
                <w:rStyle w:val="SCCFileNumberChar"/>
                <w:sz w:val="20"/>
                <w:szCs w:val="20"/>
              </w:rPr>
              <w:t>34522</w:t>
            </w:r>
          </w:p>
          <w:p w:rsidR="00865E33" w:rsidRPr="00B9644F" w:rsidRDefault="00865E33" w:rsidP="0017605E">
            <w:pPr>
              <w:rPr>
                <w:b/>
                <w:sz w:val="20"/>
                <w:szCs w:val="20"/>
                <w:lang w:val="fr-CA"/>
              </w:rPr>
            </w:pPr>
          </w:p>
        </w:tc>
        <w:tc>
          <w:tcPr>
            <w:tcW w:w="8118" w:type="dxa"/>
          </w:tcPr>
          <w:p w:rsidR="00865E33" w:rsidRPr="00B9644F" w:rsidRDefault="00865E33" w:rsidP="0017605E">
            <w:pPr>
              <w:rPr>
                <w:sz w:val="20"/>
                <w:szCs w:val="20"/>
              </w:rPr>
            </w:pPr>
            <w:r w:rsidRPr="00865E33">
              <w:rPr>
                <w:rStyle w:val="SCCLsocChar"/>
                <w:sz w:val="20"/>
                <w:szCs w:val="20"/>
                <w:lang w:val="en-CA"/>
              </w:rPr>
              <w:t>Her Majesty the Queen v. W.H.</w:t>
            </w:r>
            <w:r w:rsidRPr="00B9644F">
              <w:rPr>
                <w:sz w:val="20"/>
                <w:szCs w:val="20"/>
              </w:rPr>
              <w:t xml:space="preserve"> (N.L.) (Criminal) (By Leave)</w:t>
            </w:r>
          </w:p>
          <w:p w:rsidR="00865E33" w:rsidRPr="00B9644F" w:rsidRDefault="00865E33" w:rsidP="0017605E">
            <w:pPr>
              <w:rPr>
                <w:sz w:val="20"/>
                <w:szCs w:val="20"/>
              </w:rPr>
            </w:pPr>
          </w:p>
        </w:tc>
      </w:tr>
      <w:tr w:rsidR="00865E33" w:rsidRPr="00B9644F" w:rsidTr="0017605E">
        <w:trPr>
          <w:cantSplit/>
        </w:trPr>
        <w:tc>
          <w:tcPr>
            <w:tcW w:w="1458" w:type="dxa"/>
          </w:tcPr>
          <w:p w:rsidR="00865E33" w:rsidRPr="00B9644F" w:rsidRDefault="00865E33" w:rsidP="0017605E">
            <w:pPr>
              <w:rPr>
                <w:sz w:val="20"/>
                <w:szCs w:val="20"/>
              </w:rPr>
            </w:pPr>
            <w:r w:rsidRPr="00B9644F">
              <w:rPr>
                <w:sz w:val="20"/>
                <w:szCs w:val="20"/>
              </w:rPr>
              <w:t>Coram :</w:t>
            </w:r>
          </w:p>
        </w:tc>
        <w:tc>
          <w:tcPr>
            <w:tcW w:w="8118" w:type="dxa"/>
          </w:tcPr>
          <w:p w:rsidR="00865E33" w:rsidRPr="00B9644F" w:rsidRDefault="00865E33" w:rsidP="0017605E">
            <w:pPr>
              <w:rPr>
                <w:sz w:val="20"/>
                <w:szCs w:val="20"/>
              </w:rPr>
            </w:pPr>
            <w:r w:rsidRPr="00865E33">
              <w:rPr>
                <w:rStyle w:val="SCCCoramChar"/>
                <w:sz w:val="20"/>
                <w:szCs w:val="20"/>
                <w:lang w:val="en-CA"/>
              </w:rPr>
              <w:t>McLachlin C.J. and Rothstein and Moldaver JJ.</w:t>
            </w:r>
          </w:p>
          <w:p w:rsidR="00865E33" w:rsidRPr="00B9644F" w:rsidRDefault="00865E33" w:rsidP="0017605E">
            <w:pPr>
              <w:rPr>
                <w:sz w:val="20"/>
                <w:szCs w:val="20"/>
                <w:u w:val="single"/>
              </w:rPr>
            </w:pPr>
          </w:p>
        </w:tc>
      </w:tr>
      <w:tr w:rsidR="00865E33" w:rsidRPr="00643997" w:rsidTr="0017605E">
        <w:trPr>
          <w:cantSplit/>
        </w:trPr>
        <w:tc>
          <w:tcPr>
            <w:tcW w:w="9576" w:type="dxa"/>
            <w:gridSpan w:val="2"/>
          </w:tcPr>
          <w:p w:rsidR="00865E33" w:rsidRPr="00B9644F" w:rsidRDefault="00865E33" w:rsidP="0017605E">
            <w:pPr>
              <w:pStyle w:val="SCCShortJudgment"/>
              <w:rPr>
                <w:szCs w:val="20"/>
              </w:rPr>
            </w:pPr>
            <w:r w:rsidRPr="00B9644F">
              <w:rPr>
                <w:szCs w:val="20"/>
              </w:rPr>
              <w:t>The application for leave to appeal from the judgment of the Supreme Court of Newfoundland and Labrador - Court of Appeal, Number 10/29, 2011 NLCA 59, dated September 14, 2011, is granted without costs.</w:t>
            </w:r>
          </w:p>
          <w:p w:rsidR="00865E33" w:rsidRPr="00B9644F" w:rsidRDefault="00865E33" w:rsidP="0017605E">
            <w:pPr>
              <w:pStyle w:val="SCCShortJudgment"/>
              <w:ind w:firstLine="0"/>
              <w:rPr>
                <w:szCs w:val="20"/>
              </w:rPr>
            </w:pPr>
          </w:p>
          <w:p w:rsidR="00865E33" w:rsidRPr="00B9644F" w:rsidRDefault="00865E33" w:rsidP="0017605E">
            <w:pPr>
              <w:pStyle w:val="SCCShortJudgment"/>
              <w:rPr>
                <w:szCs w:val="20"/>
                <w:lang w:val="fr-CA"/>
              </w:rPr>
            </w:pPr>
            <w:r w:rsidRPr="00B9644F">
              <w:rPr>
                <w:szCs w:val="20"/>
                <w:lang w:val="fr-CA"/>
              </w:rPr>
              <w:t>La demande d’autorisation d’appel de l’arrêt de la Cour suprême de Terre-Neuve-et-Labrador - Cour d'appel, numéro 10/29, 2011 NLCA 59, daté du 14 septembre 2011, est accueillie sans dépens.</w:t>
            </w:r>
          </w:p>
        </w:tc>
      </w:tr>
    </w:tbl>
    <w:p w:rsidR="00691AA0" w:rsidRPr="00865E33"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1C36F8" w:rsidRPr="00096A4B" w:rsidTr="00970CF7">
        <w:trPr>
          <w:gridAfter w:val="1"/>
          <w:wAfter w:w="48" w:type="pct"/>
        </w:trPr>
        <w:tc>
          <w:tcPr>
            <w:tcW w:w="4952" w:type="pct"/>
            <w:gridSpan w:val="3"/>
          </w:tcPr>
          <w:p w:rsidR="001C36F8" w:rsidRPr="00096A4B" w:rsidRDefault="001C36F8" w:rsidP="00970CF7">
            <w:pPr>
              <w:jc w:val="both"/>
              <w:rPr>
                <w:rFonts w:eastAsia="Calibri"/>
                <w:smallCaps/>
                <w:sz w:val="20"/>
              </w:rPr>
            </w:pPr>
            <w:r w:rsidRPr="00096A4B">
              <w:rPr>
                <w:rFonts w:eastAsia="Calibri"/>
                <w:smallCaps/>
                <w:sz w:val="20"/>
              </w:rPr>
              <w:t>(Publication Ban in Case) (Publication Ban on Party)</w:t>
            </w:r>
          </w:p>
          <w:p w:rsidR="001C36F8" w:rsidRPr="00096A4B" w:rsidRDefault="001C36F8" w:rsidP="00970CF7">
            <w:pPr>
              <w:jc w:val="both"/>
              <w:rPr>
                <w:rFonts w:eastAsia="Calibri"/>
                <w:sz w:val="20"/>
              </w:rPr>
            </w:pPr>
          </w:p>
          <w:p w:rsidR="001C36F8" w:rsidRPr="00096A4B" w:rsidRDefault="001C36F8" w:rsidP="00970CF7">
            <w:pPr>
              <w:jc w:val="both"/>
              <w:rPr>
                <w:rFonts w:eastAsia="Calibri"/>
                <w:sz w:val="20"/>
              </w:rPr>
            </w:pPr>
            <w:r w:rsidRPr="00096A4B">
              <w:rPr>
                <w:rFonts w:eastAsia="Calibri"/>
                <w:sz w:val="20"/>
              </w:rPr>
              <w:t xml:space="preserve">Criminal Law – Appeals – Whether Court of Appeal erred by substituting findings of credibility for those of the jury and concluding that the verdict was unreasonable – Whether Court of Appeal erred in interpretation and application of </w:t>
            </w:r>
            <w:r w:rsidRPr="00096A4B">
              <w:rPr>
                <w:rFonts w:eastAsia="Calibri"/>
                <w:i/>
                <w:sz w:val="20"/>
              </w:rPr>
              <w:t>R. v. R.E.M</w:t>
            </w:r>
            <w:r w:rsidRPr="00096A4B">
              <w:rPr>
                <w:rFonts w:eastAsia="Calibri"/>
                <w:sz w:val="20"/>
              </w:rPr>
              <w:t>, [2008] 3 S.C.R. 3.</w:t>
            </w:r>
          </w:p>
        </w:tc>
      </w:tr>
      <w:tr w:rsidR="001C36F8" w:rsidRPr="00096A4B" w:rsidTr="00970CF7">
        <w:trPr>
          <w:gridAfter w:val="1"/>
          <w:wAfter w:w="48" w:type="pct"/>
        </w:trPr>
        <w:tc>
          <w:tcPr>
            <w:tcW w:w="4952" w:type="pct"/>
            <w:gridSpan w:val="3"/>
          </w:tcPr>
          <w:p w:rsidR="001C36F8" w:rsidRPr="00096A4B" w:rsidRDefault="001C36F8" w:rsidP="00970CF7">
            <w:pPr>
              <w:jc w:val="both"/>
              <w:rPr>
                <w:rFonts w:eastAsia="Calibri"/>
                <w:sz w:val="20"/>
              </w:rPr>
            </w:pPr>
          </w:p>
        </w:tc>
      </w:tr>
      <w:tr w:rsidR="001C36F8" w:rsidRPr="00096A4B" w:rsidTr="00970CF7">
        <w:trPr>
          <w:gridAfter w:val="1"/>
          <w:wAfter w:w="48" w:type="pct"/>
        </w:trPr>
        <w:tc>
          <w:tcPr>
            <w:tcW w:w="4952" w:type="pct"/>
            <w:gridSpan w:val="3"/>
          </w:tcPr>
          <w:p w:rsidR="001C36F8" w:rsidRPr="00096A4B" w:rsidRDefault="001C36F8" w:rsidP="00970CF7">
            <w:pPr>
              <w:jc w:val="both"/>
              <w:rPr>
                <w:rFonts w:eastAsia="Calibri"/>
                <w:sz w:val="20"/>
              </w:rPr>
            </w:pPr>
            <w:r w:rsidRPr="00096A4B">
              <w:rPr>
                <w:rFonts w:eastAsia="Calibri"/>
                <w:sz w:val="20"/>
              </w:rPr>
              <w:t xml:space="preserve">The respondent was convicted by a jury of one count of sexual assault and one count of sexual interference, based on the testimony of a child complainant describing three incidents of abuse and a fourth incident for which she could recall no details other than an apology from the respondent.  The charge of sexual interference was stayed by the trial judge under the </w:t>
            </w:r>
            <w:r w:rsidRPr="00096A4B">
              <w:rPr>
                <w:rFonts w:eastAsia="Calibri"/>
                <w:i/>
                <w:sz w:val="20"/>
              </w:rPr>
              <w:t xml:space="preserve">Kienapple </w:t>
            </w:r>
            <w:r w:rsidRPr="00096A4B">
              <w:rPr>
                <w:rFonts w:eastAsia="Calibri"/>
                <w:sz w:val="20"/>
              </w:rPr>
              <w:t>principle</w:t>
            </w:r>
            <w:r w:rsidRPr="00096A4B">
              <w:rPr>
                <w:rFonts w:eastAsia="Calibri"/>
                <w:i/>
                <w:sz w:val="20"/>
              </w:rPr>
              <w:t>.</w:t>
            </w:r>
            <w:r w:rsidRPr="00096A4B">
              <w:rPr>
                <w:rFonts w:eastAsia="Calibri"/>
                <w:sz w:val="20"/>
              </w:rPr>
              <w:t xml:space="preserve"> The Court of Appeal held that, on the whole of the evidence, the verdict of guilty of sexual assault was not one that a properly instructed jury, acting judicially, could reasonably have rendered.  It found that the complainant’s testimony contained unexplained inconsistencies and improbabilities.  It overturned the jury’s verdict and entered an acquittal.</w:t>
            </w:r>
          </w:p>
          <w:p w:rsidR="001C36F8" w:rsidRPr="00096A4B" w:rsidRDefault="001C36F8" w:rsidP="00970CF7">
            <w:pPr>
              <w:jc w:val="both"/>
              <w:rPr>
                <w:rFonts w:eastAsia="Calibri"/>
                <w:sz w:val="20"/>
              </w:rPr>
            </w:pPr>
          </w:p>
        </w:tc>
      </w:tr>
      <w:tr w:rsidR="001C36F8" w:rsidRPr="00096A4B" w:rsidTr="00970CF7">
        <w:tblPrEx>
          <w:tblCellMar>
            <w:bottom w:w="0" w:type="dxa"/>
          </w:tblCellMar>
        </w:tblPrEx>
        <w:tc>
          <w:tcPr>
            <w:tcW w:w="2367" w:type="pct"/>
          </w:tcPr>
          <w:p w:rsidR="001C36F8" w:rsidRPr="00096A4B" w:rsidRDefault="001C36F8" w:rsidP="00970CF7">
            <w:pPr>
              <w:jc w:val="both"/>
              <w:rPr>
                <w:rFonts w:eastAsia="Calibri"/>
                <w:sz w:val="20"/>
              </w:rPr>
            </w:pPr>
            <w:r w:rsidRPr="00096A4B">
              <w:rPr>
                <w:rFonts w:eastAsia="Calibri"/>
                <w:sz w:val="20"/>
              </w:rPr>
              <w:t>March 26, 2010</w:t>
            </w:r>
          </w:p>
          <w:p w:rsidR="001C36F8" w:rsidRPr="00096A4B" w:rsidRDefault="001C36F8" w:rsidP="00970CF7">
            <w:pPr>
              <w:jc w:val="both"/>
              <w:rPr>
                <w:rFonts w:eastAsia="Calibri"/>
                <w:sz w:val="20"/>
              </w:rPr>
            </w:pPr>
            <w:r w:rsidRPr="00096A4B">
              <w:rPr>
                <w:rFonts w:eastAsia="Calibri"/>
                <w:sz w:val="20"/>
              </w:rPr>
              <w:t>Supreme Court of Newfoundland &amp; Labrador, Trial Division</w:t>
            </w:r>
          </w:p>
          <w:p w:rsidR="001C36F8" w:rsidRPr="00096A4B" w:rsidRDefault="001C36F8" w:rsidP="00970CF7">
            <w:pPr>
              <w:jc w:val="both"/>
              <w:rPr>
                <w:rFonts w:eastAsia="Calibri"/>
                <w:sz w:val="20"/>
              </w:rPr>
            </w:pPr>
            <w:r w:rsidRPr="00096A4B">
              <w:rPr>
                <w:rFonts w:eastAsia="Calibri"/>
                <w:sz w:val="20"/>
              </w:rPr>
              <w:t xml:space="preserve">(Dunn J.) </w:t>
            </w:r>
          </w:p>
          <w:p w:rsidR="001C36F8" w:rsidRPr="00096A4B" w:rsidRDefault="001C36F8" w:rsidP="00970CF7">
            <w:pPr>
              <w:jc w:val="both"/>
              <w:rPr>
                <w:rFonts w:eastAsia="Calibri"/>
                <w:sz w:val="20"/>
              </w:rPr>
            </w:pPr>
          </w:p>
        </w:tc>
        <w:tc>
          <w:tcPr>
            <w:tcW w:w="267" w:type="pct"/>
          </w:tcPr>
          <w:p w:rsidR="001C36F8" w:rsidRPr="00096A4B" w:rsidRDefault="001C36F8" w:rsidP="00970CF7">
            <w:pPr>
              <w:jc w:val="both"/>
              <w:rPr>
                <w:rFonts w:eastAsia="Calibri"/>
                <w:sz w:val="20"/>
              </w:rPr>
            </w:pPr>
          </w:p>
        </w:tc>
        <w:tc>
          <w:tcPr>
            <w:tcW w:w="2366" w:type="pct"/>
            <w:gridSpan w:val="2"/>
          </w:tcPr>
          <w:p w:rsidR="001C36F8" w:rsidRPr="00096A4B" w:rsidRDefault="001C36F8" w:rsidP="00970CF7">
            <w:pPr>
              <w:jc w:val="both"/>
              <w:rPr>
                <w:rFonts w:eastAsia="Calibri"/>
                <w:sz w:val="20"/>
              </w:rPr>
            </w:pPr>
            <w:r w:rsidRPr="00096A4B">
              <w:rPr>
                <w:rFonts w:eastAsia="Calibri"/>
                <w:sz w:val="20"/>
              </w:rPr>
              <w:t>Conviction by jury of sexual assault and sexual interference: Conviction on count of sexual interference stayed</w:t>
            </w:r>
          </w:p>
          <w:p w:rsidR="001C36F8" w:rsidRPr="00096A4B" w:rsidRDefault="001C36F8" w:rsidP="00970CF7">
            <w:pPr>
              <w:jc w:val="both"/>
              <w:rPr>
                <w:rFonts w:eastAsia="Calibri"/>
                <w:sz w:val="20"/>
              </w:rPr>
            </w:pPr>
          </w:p>
        </w:tc>
      </w:tr>
      <w:tr w:rsidR="001C36F8" w:rsidRPr="00096A4B" w:rsidTr="00970CF7">
        <w:tblPrEx>
          <w:tblCellMar>
            <w:bottom w:w="0" w:type="dxa"/>
          </w:tblCellMar>
        </w:tblPrEx>
        <w:tc>
          <w:tcPr>
            <w:tcW w:w="2367" w:type="pct"/>
          </w:tcPr>
          <w:p w:rsidR="001C36F8" w:rsidRPr="00096A4B" w:rsidRDefault="001C36F8" w:rsidP="00970CF7">
            <w:pPr>
              <w:jc w:val="both"/>
              <w:rPr>
                <w:rFonts w:eastAsia="Calibri"/>
                <w:sz w:val="20"/>
              </w:rPr>
            </w:pPr>
            <w:r w:rsidRPr="00096A4B">
              <w:rPr>
                <w:rFonts w:eastAsia="Calibri"/>
                <w:sz w:val="20"/>
              </w:rPr>
              <w:t>September 14, 2011</w:t>
            </w:r>
          </w:p>
          <w:p w:rsidR="001C36F8" w:rsidRPr="00096A4B" w:rsidRDefault="001C36F8" w:rsidP="00970CF7">
            <w:pPr>
              <w:jc w:val="both"/>
              <w:rPr>
                <w:rFonts w:eastAsia="Calibri"/>
                <w:sz w:val="20"/>
              </w:rPr>
            </w:pPr>
            <w:r w:rsidRPr="00096A4B">
              <w:rPr>
                <w:rFonts w:eastAsia="Calibri"/>
                <w:sz w:val="20"/>
              </w:rPr>
              <w:t>Supreme Court of Newfoundland and Labrador - Court of Appeal</w:t>
            </w:r>
          </w:p>
          <w:p w:rsidR="001C36F8" w:rsidRPr="00096A4B" w:rsidRDefault="001C36F8" w:rsidP="00970CF7">
            <w:pPr>
              <w:jc w:val="both"/>
              <w:rPr>
                <w:rFonts w:eastAsia="Calibri"/>
                <w:sz w:val="20"/>
              </w:rPr>
            </w:pPr>
            <w:r w:rsidRPr="00096A4B">
              <w:rPr>
                <w:rFonts w:eastAsia="Calibri"/>
                <w:sz w:val="20"/>
              </w:rPr>
              <w:t>(Wells, Barry, White JJ.A.)</w:t>
            </w:r>
          </w:p>
          <w:p w:rsidR="001C36F8" w:rsidRPr="00096A4B" w:rsidRDefault="001C36F8" w:rsidP="00970CF7">
            <w:pPr>
              <w:jc w:val="both"/>
              <w:rPr>
                <w:rFonts w:eastAsia="Calibri"/>
                <w:sz w:val="20"/>
              </w:rPr>
            </w:pPr>
            <w:r w:rsidRPr="00096A4B">
              <w:rPr>
                <w:rFonts w:eastAsia="Calibri"/>
                <w:sz w:val="20"/>
              </w:rPr>
              <w:t>2011 NLCA 59; 2010 01H 0029</w:t>
            </w:r>
          </w:p>
          <w:p w:rsidR="001C36F8" w:rsidRPr="00096A4B" w:rsidRDefault="001C36F8" w:rsidP="00970CF7">
            <w:pPr>
              <w:jc w:val="both"/>
              <w:rPr>
                <w:rFonts w:eastAsia="Calibri"/>
                <w:sz w:val="20"/>
              </w:rPr>
            </w:pPr>
          </w:p>
        </w:tc>
        <w:tc>
          <w:tcPr>
            <w:tcW w:w="267" w:type="pct"/>
          </w:tcPr>
          <w:p w:rsidR="001C36F8" w:rsidRPr="00096A4B" w:rsidRDefault="001C36F8" w:rsidP="00970CF7">
            <w:pPr>
              <w:jc w:val="both"/>
              <w:rPr>
                <w:rFonts w:eastAsia="Calibri"/>
                <w:sz w:val="20"/>
              </w:rPr>
            </w:pPr>
          </w:p>
        </w:tc>
        <w:tc>
          <w:tcPr>
            <w:tcW w:w="2366" w:type="pct"/>
            <w:gridSpan w:val="2"/>
          </w:tcPr>
          <w:p w:rsidR="001C36F8" w:rsidRPr="00096A4B" w:rsidRDefault="001C36F8" w:rsidP="00970CF7">
            <w:pPr>
              <w:jc w:val="both"/>
              <w:rPr>
                <w:rFonts w:eastAsia="Calibri"/>
                <w:sz w:val="20"/>
              </w:rPr>
            </w:pPr>
            <w:r w:rsidRPr="00096A4B">
              <w:rPr>
                <w:rFonts w:eastAsia="Calibri"/>
                <w:sz w:val="20"/>
              </w:rPr>
              <w:t>Appeal from conviction for sexual assault allowed, acquittal entered</w:t>
            </w:r>
          </w:p>
          <w:p w:rsidR="001C36F8" w:rsidRPr="00096A4B" w:rsidRDefault="001C36F8" w:rsidP="00970CF7">
            <w:pPr>
              <w:jc w:val="both"/>
              <w:rPr>
                <w:rFonts w:eastAsia="Calibri"/>
                <w:sz w:val="20"/>
              </w:rPr>
            </w:pPr>
          </w:p>
        </w:tc>
      </w:tr>
      <w:tr w:rsidR="001C36F8" w:rsidRPr="00096A4B" w:rsidTr="00970CF7">
        <w:tblPrEx>
          <w:tblCellMar>
            <w:bottom w:w="0" w:type="dxa"/>
          </w:tblCellMar>
        </w:tblPrEx>
        <w:tc>
          <w:tcPr>
            <w:tcW w:w="2367" w:type="pct"/>
          </w:tcPr>
          <w:p w:rsidR="001C36F8" w:rsidRPr="00096A4B" w:rsidRDefault="001C36F8" w:rsidP="00970CF7">
            <w:pPr>
              <w:jc w:val="both"/>
              <w:rPr>
                <w:rFonts w:eastAsia="Calibri"/>
                <w:sz w:val="20"/>
              </w:rPr>
            </w:pPr>
            <w:r w:rsidRPr="00096A4B">
              <w:rPr>
                <w:rFonts w:eastAsia="Calibri"/>
                <w:sz w:val="20"/>
              </w:rPr>
              <w:t>November 9, 2011</w:t>
            </w:r>
          </w:p>
          <w:p w:rsidR="001C36F8" w:rsidRPr="00096A4B" w:rsidRDefault="001C36F8" w:rsidP="00970CF7">
            <w:pPr>
              <w:jc w:val="both"/>
              <w:rPr>
                <w:rFonts w:eastAsia="Calibri"/>
                <w:sz w:val="20"/>
              </w:rPr>
            </w:pPr>
            <w:r w:rsidRPr="00096A4B">
              <w:rPr>
                <w:rFonts w:eastAsia="Calibri"/>
                <w:sz w:val="20"/>
              </w:rPr>
              <w:t>Supreme Court of Canada</w:t>
            </w:r>
          </w:p>
        </w:tc>
        <w:tc>
          <w:tcPr>
            <w:tcW w:w="267" w:type="pct"/>
          </w:tcPr>
          <w:p w:rsidR="001C36F8" w:rsidRPr="00096A4B" w:rsidRDefault="001C36F8" w:rsidP="00970CF7">
            <w:pPr>
              <w:jc w:val="both"/>
              <w:rPr>
                <w:rFonts w:eastAsia="Calibri"/>
                <w:sz w:val="20"/>
              </w:rPr>
            </w:pPr>
          </w:p>
        </w:tc>
        <w:tc>
          <w:tcPr>
            <w:tcW w:w="2366" w:type="pct"/>
            <w:gridSpan w:val="2"/>
          </w:tcPr>
          <w:p w:rsidR="001C36F8" w:rsidRPr="00096A4B" w:rsidRDefault="001C36F8" w:rsidP="00970CF7">
            <w:pPr>
              <w:jc w:val="both"/>
              <w:rPr>
                <w:rFonts w:eastAsia="Calibri"/>
                <w:sz w:val="20"/>
              </w:rPr>
            </w:pPr>
            <w:r w:rsidRPr="00096A4B">
              <w:rPr>
                <w:rFonts w:eastAsia="Calibri"/>
                <w:sz w:val="20"/>
              </w:rPr>
              <w:t>Application for leave to appeal filed</w:t>
            </w:r>
          </w:p>
          <w:p w:rsidR="001C36F8" w:rsidRPr="00096A4B" w:rsidRDefault="001C36F8" w:rsidP="00970CF7">
            <w:pPr>
              <w:jc w:val="both"/>
              <w:rPr>
                <w:rFonts w:eastAsia="Calibri"/>
                <w:sz w:val="20"/>
              </w:rPr>
            </w:pP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51" style="width:2in;height:1pt" o:hrpct="0" o:hralign="center" o:hrstd="t" o:hrnoshade="t" o:hr="t" fillcolor="black [3213]" stroked="f"/>
        </w:pict>
      </w:r>
    </w:p>
    <w:p w:rsidR="00691AA0" w:rsidRDefault="00691AA0" w:rsidP="00691AA0">
      <w:pPr>
        <w:rPr>
          <w:sz w:val="20"/>
          <w:szCs w:val="20"/>
        </w:rPr>
      </w:pPr>
    </w:p>
    <w:p w:rsidR="00326E3D" w:rsidRDefault="00326E3D">
      <w:pPr>
        <w:rPr>
          <w:sz w:val="20"/>
          <w:szCs w:val="20"/>
          <w:u w:val="single"/>
          <w:lang w:val="fr-CA"/>
        </w:rPr>
      </w:pPr>
      <w:r>
        <w:rPr>
          <w:sz w:val="20"/>
          <w:szCs w:val="20"/>
          <w:u w:val="single"/>
          <w:lang w:val="fr-CA"/>
        </w:rPr>
        <w:br w:type="page"/>
      </w:r>
    </w:p>
    <w:p w:rsidR="00691AA0" w:rsidRPr="001B157C" w:rsidRDefault="00691AA0" w:rsidP="00691AA0">
      <w:pPr>
        <w:rPr>
          <w:sz w:val="20"/>
          <w:szCs w:val="20"/>
          <w:u w:val="single"/>
          <w:lang w:val="fr-CA"/>
        </w:rPr>
      </w:pPr>
      <w:r w:rsidRPr="001B157C">
        <w:rPr>
          <w:sz w:val="20"/>
          <w:szCs w:val="20"/>
          <w:u w:val="single"/>
          <w:lang w:val="fr-CA"/>
        </w:rPr>
        <w:lastRenderedPageBreak/>
        <w:t>RÉSUMÉ DE L’AFFAIRE</w:t>
      </w:r>
    </w:p>
    <w:p w:rsidR="00691AA0" w:rsidRDefault="00691AA0" w:rsidP="00691AA0">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1C36F8" w:rsidRPr="00643997" w:rsidTr="00970CF7">
        <w:trPr>
          <w:gridAfter w:val="1"/>
          <w:wAfter w:w="48" w:type="pct"/>
        </w:trPr>
        <w:tc>
          <w:tcPr>
            <w:tcW w:w="4952" w:type="pct"/>
            <w:gridSpan w:val="3"/>
          </w:tcPr>
          <w:p w:rsidR="001C36F8" w:rsidRPr="00096A4B" w:rsidRDefault="001C36F8" w:rsidP="00970CF7">
            <w:pPr>
              <w:pStyle w:val="SCCBanSummary"/>
              <w:rPr>
                <w:sz w:val="20"/>
                <w:szCs w:val="20"/>
                <w:lang w:val="fr-FR"/>
              </w:rPr>
            </w:pPr>
            <w:r w:rsidRPr="00096A4B">
              <w:rPr>
                <w:sz w:val="20"/>
                <w:szCs w:val="20"/>
                <w:lang w:val="fr-FR"/>
              </w:rPr>
              <w:t>(Ordonnance de non-publication dans le dossier) (Ordonnance de non-publication visant une partie)</w:t>
            </w:r>
          </w:p>
          <w:p w:rsidR="001C36F8" w:rsidRPr="00096A4B" w:rsidRDefault="001C36F8" w:rsidP="00970CF7">
            <w:pPr>
              <w:jc w:val="both"/>
              <w:rPr>
                <w:sz w:val="20"/>
                <w:lang w:val="fr-FR"/>
              </w:rPr>
            </w:pPr>
          </w:p>
          <w:p w:rsidR="001C36F8" w:rsidRPr="00096A4B" w:rsidRDefault="001C36F8" w:rsidP="00970CF7">
            <w:pPr>
              <w:jc w:val="both"/>
              <w:rPr>
                <w:sz w:val="20"/>
                <w:lang w:val="fr-FR"/>
              </w:rPr>
            </w:pPr>
            <w:r w:rsidRPr="00096A4B">
              <w:rPr>
                <w:sz w:val="20"/>
                <w:lang w:val="fr-FR"/>
              </w:rPr>
              <w:t xml:space="preserve">Droit criminel – Appels – La Cour d’appel a-t-elle eu tort de substituer ses conclusions sur la crédibilité à celle du jury et de juger que le verdict était déraisonnable? – La Cour d’appel a-t-elle mal interprété et appliqué l’arrêt </w:t>
            </w:r>
            <w:r w:rsidRPr="00096A4B">
              <w:rPr>
                <w:i/>
                <w:sz w:val="20"/>
                <w:lang w:val="fr-FR"/>
              </w:rPr>
              <w:t>R. c. R.E.M</w:t>
            </w:r>
            <w:r w:rsidRPr="00096A4B">
              <w:rPr>
                <w:sz w:val="20"/>
                <w:lang w:val="fr-FR"/>
              </w:rPr>
              <w:t>, [2008] 3 R.C.S. 3?</w:t>
            </w:r>
          </w:p>
        </w:tc>
      </w:tr>
      <w:tr w:rsidR="001C36F8" w:rsidRPr="00643997" w:rsidTr="00970CF7">
        <w:trPr>
          <w:gridAfter w:val="1"/>
          <w:wAfter w:w="48" w:type="pct"/>
        </w:trPr>
        <w:tc>
          <w:tcPr>
            <w:tcW w:w="4952" w:type="pct"/>
            <w:gridSpan w:val="3"/>
          </w:tcPr>
          <w:p w:rsidR="001C36F8" w:rsidRPr="00096A4B" w:rsidRDefault="001C36F8" w:rsidP="00970CF7">
            <w:pPr>
              <w:jc w:val="both"/>
              <w:rPr>
                <w:sz w:val="20"/>
                <w:lang w:val="fr-FR"/>
              </w:rPr>
            </w:pPr>
          </w:p>
        </w:tc>
      </w:tr>
      <w:tr w:rsidR="001C36F8" w:rsidRPr="00643997" w:rsidTr="00970CF7">
        <w:trPr>
          <w:gridAfter w:val="1"/>
          <w:wAfter w:w="48" w:type="pct"/>
        </w:trPr>
        <w:tc>
          <w:tcPr>
            <w:tcW w:w="4952" w:type="pct"/>
            <w:gridSpan w:val="3"/>
          </w:tcPr>
          <w:p w:rsidR="001C36F8" w:rsidRPr="00096A4B" w:rsidRDefault="001C36F8" w:rsidP="00970CF7">
            <w:pPr>
              <w:jc w:val="both"/>
              <w:rPr>
                <w:sz w:val="20"/>
                <w:lang w:val="fr-FR"/>
              </w:rPr>
            </w:pPr>
            <w:r w:rsidRPr="00096A4B">
              <w:rPr>
                <w:sz w:val="20"/>
                <w:lang w:val="fr-FR"/>
              </w:rPr>
              <w:t xml:space="preserve">Un jury a reconnu l’intimé coupable d’un chef d’agression sexuelle et d’un chef de contacts sexuels sur la foi du témoignage d’une enfant plaignante qui a décrit trois épisodes d’agression et un quatrième épisode dont elle ne se rappelait rien à part une excuse de l’intimé. La juge du procès a prononcé l’arrêt des procédures relativement à l’accusation de contacts sexuels en vertu du principe établi dans </w:t>
            </w:r>
            <w:r w:rsidRPr="00096A4B">
              <w:rPr>
                <w:i/>
                <w:sz w:val="20"/>
                <w:lang w:val="fr-FR"/>
              </w:rPr>
              <w:t>Kienapple.</w:t>
            </w:r>
            <w:r w:rsidRPr="00096A4B">
              <w:rPr>
                <w:sz w:val="20"/>
                <w:lang w:val="fr-FR"/>
              </w:rPr>
              <w:t xml:space="preserve"> La Cour d’appel a conclu qu’eu égard à l’ensemble de la preuve, un jury ayant reçu les directives appropriées et agissant d’une manière judiciaire n’aurait pas pu raisonnablement rendre le verdict de culpabilité pour agression sexuelle. Selon elle, le témoignage de la plaignante contenait des contradictions et des invraisemblances qui n’ont pas été expliquées. La Cour d’appel a annulé le verdict du jury et inscrit un acquittement. </w:t>
            </w:r>
          </w:p>
          <w:p w:rsidR="001C36F8" w:rsidRPr="00096A4B" w:rsidRDefault="001C36F8" w:rsidP="00970CF7">
            <w:pPr>
              <w:jc w:val="both"/>
              <w:rPr>
                <w:sz w:val="20"/>
                <w:lang w:val="fr-FR"/>
              </w:rPr>
            </w:pPr>
          </w:p>
        </w:tc>
      </w:tr>
      <w:tr w:rsidR="001C36F8" w:rsidRPr="00643997" w:rsidTr="00970CF7">
        <w:tblPrEx>
          <w:tblCellMar>
            <w:bottom w:w="0" w:type="dxa"/>
          </w:tblCellMar>
        </w:tblPrEx>
        <w:tc>
          <w:tcPr>
            <w:tcW w:w="2367" w:type="pct"/>
          </w:tcPr>
          <w:p w:rsidR="001C36F8" w:rsidRPr="00096A4B" w:rsidRDefault="001C36F8" w:rsidP="00970CF7">
            <w:pPr>
              <w:jc w:val="both"/>
              <w:rPr>
                <w:sz w:val="20"/>
                <w:lang w:val="fr-FR"/>
              </w:rPr>
            </w:pPr>
            <w:r w:rsidRPr="00096A4B">
              <w:rPr>
                <w:sz w:val="20"/>
                <w:lang w:val="fr-FR"/>
              </w:rPr>
              <w:t>26 mars 2010</w:t>
            </w:r>
          </w:p>
          <w:p w:rsidR="001C36F8" w:rsidRPr="00096A4B" w:rsidRDefault="001C36F8" w:rsidP="00970CF7">
            <w:pPr>
              <w:jc w:val="both"/>
              <w:rPr>
                <w:sz w:val="20"/>
                <w:lang w:val="fr-FR"/>
              </w:rPr>
            </w:pPr>
            <w:r w:rsidRPr="00096A4B">
              <w:rPr>
                <w:sz w:val="20"/>
                <w:lang w:val="fr-FR"/>
              </w:rPr>
              <w:t>Section de première instance de la Cour suprême de Terre-Neuve-et-Labrador</w:t>
            </w:r>
          </w:p>
          <w:p w:rsidR="001C36F8" w:rsidRPr="00096A4B" w:rsidRDefault="001C36F8" w:rsidP="00970CF7">
            <w:pPr>
              <w:jc w:val="both"/>
              <w:rPr>
                <w:sz w:val="20"/>
              </w:rPr>
            </w:pPr>
            <w:r w:rsidRPr="00096A4B">
              <w:rPr>
                <w:sz w:val="20"/>
              </w:rPr>
              <w:t xml:space="preserve">(Juge Dunn) </w:t>
            </w:r>
          </w:p>
          <w:p w:rsidR="001C36F8" w:rsidRPr="00096A4B" w:rsidRDefault="001C36F8" w:rsidP="00970CF7">
            <w:pPr>
              <w:jc w:val="both"/>
              <w:rPr>
                <w:sz w:val="20"/>
              </w:rPr>
            </w:pPr>
          </w:p>
        </w:tc>
        <w:tc>
          <w:tcPr>
            <w:tcW w:w="267" w:type="pct"/>
          </w:tcPr>
          <w:p w:rsidR="001C36F8" w:rsidRPr="00096A4B" w:rsidRDefault="001C36F8" w:rsidP="00970CF7">
            <w:pPr>
              <w:jc w:val="both"/>
              <w:rPr>
                <w:sz w:val="20"/>
              </w:rPr>
            </w:pPr>
          </w:p>
        </w:tc>
        <w:tc>
          <w:tcPr>
            <w:tcW w:w="2366" w:type="pct"/>
            <w:gridSpan w:val="2"/>
          </w:tcPr>
          <w:p w:rsidR="001C36F8" w:rsidRPr="00096A4B" w:rsidRDefault="001C36F8" w:rsidP="00970CF7">
            <w:pPr>
              <w:jc w:val="both"/>
              <w:rPr>
                <w:sz w:val="20"/>
                <w:lang w:val="fr-FR"/>
              </w:rPr>
            </w:pPr>
            <w:r w:rsidRPr="00096A4B">
              <w:rPr>
                <w:sz w:val="20"/>
                <w:lang w:val="fr-FR"/>
              </w:rPr>
              <w:t>Déclaration de culpabilité pour agression sexuelle et contacts sexuels prononcée par le jury : Déclaration de culpabilité au chef de contacts sexuels suspendue</w:t>
            </w:r>
          </w:p>
          <w:p w:rsidR="001C36F8" w:rsidRPr="00096A4B" w:rsidRDefault="001C36F8" w:rsidP="00970CF7">
            <w:pPr>
              <w:jc w:val="both"/>
              <w:rPr>
                <w:sz w:val="20"/>
                <w:lang w:val="fr-FR"/>
              </w:rPr>
            </w:pPr>
          </w:p>
        </w:tc>
      </w:tr>
      <w:tr w:rsidR="001C36F8" w:rsidRPr="00643997" w:rsidTr="00970CF7">
        <w:tblPrEx>
          <w:tblCellMar>
            <w:bottom w:w="0" w:type="dxa"/>
          </w:tblCellMar>
        </w:tblPrEx>
        <w:tc>
          <w:tcPr>
            <w:tcW w:w="2367" w:type="pct"/>
          </w:tcPr>
          <w:p w:rsidR="001C36F8" w:rsidRPr="00096A4B" w:rsidRDefault="001C36F8" w:rsidP="00970CF7">
            <w:pPr>
              <w:jc w:val="both"/>
              <w:rPr>
                <w:sz w:val="20"/>
                <w:lang w:val="fr-FR"/>
              </w:rPr>
            </w:pPr>
            <w:r w:rsidRPr="00096A4B">
              <w:rPr>
                <w:sz w:val="20"/>
                <w:lang w:val="fr-FR"/>
              </w:rPr>
              <w:t>14 septembre 2011</w:t>
            </w:r>
          </w:p>
          <w:p w:rsidR="001C36F8" w:rsidRPr="00096A4B" w:rsidRDefault="001C36F8" w:rsidP="00970CF7">
            <w:pPr>
              <w:jc w:val="both"/>
              <w:rPr>
                <w:sz w:val="20"/>
                <w:lang w:val="fr-FR"/>
              </w:rPr>
            </w:pPr>
            <w:r w:rsidRPr="00096A4B">
              <w:rPr>
                <w:sz w:val="20"/>
                <w:lang w:val="fr-FR"/>
              </w:rPr>
              <w:t>Cour d’appel de la Cour suprême de Terre-Neuve-et-Labrador</w:t>
            </w:r>
          </w:p>
          <w:p w:rsidR="001C36F8" w:rsidRPr="00096A4B" w:rsidRDefault="001C36F8" w:rsidP="00970CF7">
            <w:pPr>
              <w:jc w:val="both"/>
              <w:rPr>
                <w:sz w:val="20"/>
              </w:rPr>
            </w:pPr>
            <w:r w:rsidRPr="00096A4B">
              <w:rPr>
                <w:sz w:val="20"/>
              </w:rPr>
              <w:t>(Juges Wells, Barry et White)</w:t>
            </w:r>
          </w:p>
          <w:p w:rsidR="001C36F8" w:rsidRPr="00096A4B" w:rsidRDefault="001C36F8" w:rsidP="00970CF7">
            <w:pPr>
              <w:jc w:val="both"/>
              <w:rPr>
                <w:sz w:val="20"/>
              </w:rPr>
            </w:pPr>
            <w:r w:rsidRPr="00096A4B">
              <w:rPr>
                <w:sz w:val="20"/>
              </w:rPr>
              <w:t>2011 NLCA 59; 2010 01H 0029</w:t>
            </w:r>
          </w:p>
          <w:p w:rsidR="001C36F8" w:rsidRPr="00096A4B" w:rsidRDefault="001C36F8" w:rsidP="00970CF7">
            <w:pPr>
              <w:jc w:val="both"/>
              <w:rPr>
                <w:sz w:val="20"/>
              </w:rPr>
            </w:pPr>
          </w:p>
        </w:tc>
        <w:tc>
          <w:tcPr>
            <w:tcW w:w="267" w:type="pct"/>
          </w:tcPr>
          <w:p w:rsidR="001C36F8" w:rsidRPr="00096A4B" w:rsidRDefault="001C36F8" w:rsidP="00970CF7">
            <w:pPr>
              <w:jc w:val="both"/>
              <w:rPr>
                <w:sz w:val="20"/>
              </w:rPr>
            </w:pPr>
          </w:p>
        </w:tc>
        <w:tc>
          <w:tcPr>
            <w:tcW w:w="2366" w:type="pct"/>
            <w:gridSpan w:val="2"/>
          </w:tcPr>
          <w:p w:rsidR="001C36F8" w:rsidRPr="00096A4B" w:rsidRDefault="001C36F8" w:rsidP="00970CF7">
            <w:pPr>
              <w:jc w:val="both"/>
              <w:rPr>
                <w:sz w:val="20"/>
                <w:lang w:val="fr-FR"/>
              </w:rPr>
            </w:pPr>
            <w:r w:rsidRPr="00096A4B">
              <w:rPr>
                <w:sz w:val="20"/>
                <w:lang w:val="fr-FR"/>
              </w:rPr>
              <w:t>Appel de la déclaration de culpabilité pour agression sexuelle accueilli, acquittement inscrit</w:t>
            </w:r>
          </w:p>
          <w:p w:rsidR="001C36F8" w:rsidRPr="00096A4B" w:rsidRDefault="001C36F8" w:rsidP="00970CF7">
            <w:pPr>
              <w:jc w:val="both"/>
              <w:rPr>
                <w:sz w:val="20"/>
                <w:lang w:val="fr-FR"/>
              </w:rPr>
            </w:pPr>
          </w:p>
        </w:tc>
      </w:tr>
      <w:tr w:rsidR="001C36F8" w:rsidRPr="00096A4B" w:rsidTr="00970CF7">
        <w:tblPrEx>
          <w:tblCellMar>
            <w:bottom w:w="0" w:type="dxa"/>
          </w:tblCellMar>
        </w:tblPrEx>
        <w:tc>
          <w:tcPr>
            <w:tcW w:w="2367" w:type="pct"/>
          </w:tcPr>
          <w:p w:rsidR="001C36F8" w:rsidRPr="00096A4B" w:rsidRDefault="001C36F8" w:rsidP="00970CF7">
            <w:pPr>
              <w:jc w:val="both"/>
              <w:rPr>
                <w:sz w:val="20"/>
                <w:lang w:val="fr-FR"/>
              </w:rPr>
            </w:pPr>
            <w:r w:rsidRPr="00096A4B">
              <w:rPr>
                <w:sz w:val="20"/>
                <w:lang w:val="fr-FR"/>
              </w:rPr>
              <w:t>9 novembre 2011</w:t>
            </w:r>
          </w:p>
          <w:p w:rsidR="001C36F8" w:rsidRPr="00096A4B" w:rsidRDefault="001C36F8" w:rsidP="00970CF7">
            <w:pPr>
              <w:jc w:val="both"/>
              <w:rPr>
                <w:sz w:val="20"/>
                <w:lang w:val="fr-FR"/>
              </w:rPr>
            </w:pPr>
            <w:r w:rsidRPr="00096A4B">
              <w:rPr>
                <w:sz w:val="20"/>
                <w:lang w:val="fr-FR"/>
              </w:rPr>
              <w:t>Cour suprême du Canada</w:t>
            </w:r>
          </w:p>
        </w:tc>
        <w:tc>
          <w:tcPr>
            <w:tcW w:w="267" w:type="pct"/>
          </w:tcPr>
          <w:p w:rsidR="001C36F8" w:rsidRPr="00096A4B" w:rsidRDefault="001C36F8" w:rsidP="00970CF7">
            <w:pPr>
              <w:jc w:val="both"/>
              <w:rPr>
                <w:sz w:val="20"/>
                <w:lang w:val="fr-FR"/>
              </w:rPr>
            </w:pPr>
          </w:p>
        </w:tc>
        <w:tc>
          <w:tcPr>
            <w:tcW w:w="2366" w:type="pct"/>
            <w:gridSpan w:val="2"/>
          </w:tcPr>
          <w:p w:rsidR="001C36F8" w:rsidRPr="00096A4B" w:rsidRDefault="001C36F8" w:rsidP="00970CF7">
            <w:pPr>
              <w:jc w:val="both"/>
              <w:rPr>
                <w:sz w:val="20"/>
              </w:rPr>
            </w:pPr>
            <w:r w:rsidRPr="00096A4B">
              <w:rPr>
                <w:sz w:val="20"/>
                <w:lang w:val="fr-FR"/>
              </w:rPr>
              <w:t xml:space="preserve">Demande d’autorisation d’appel déposée </w:t>
            </w:r>
          </w:p>
          <w:p w:rsidR="001C36F8" w:rsidRPr="00096A4B" w:rsidRDefault="001C36F8" w:rsidP="00970CF7">
            <w:pPr>
              <w:jc w:val="both"/>
              <w:rPr>
                <w:sz w:val="20"/>
              </w:rPr>
            </w:pP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52"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65E33" w:rsidRPr="00B9644F" w:rsidTr="0017605E">
        <w:trPr>
          <w:cantSplit/>
        </w:trPr>
        <w:tc>
          <w:tcPr>
            <w:tcW w:w="1458" w:type="dxa"/>
          </w:tcPr>
          <w:p w:rsidR="00865E33" w:rsidRPr="00B9644F" w:rsidRDefault="00865E33" w:rsidP="0017605E">
            <w:pPr>
              <w:rPr>
                <w:sz w:val="20"/>
                <w:szCs w:val="20"/>
              </w:rPr>
            </w:pPr>
            <w:r w:rsidRPr="00B9644F">
              <w:rPr>
                <w:rStyle w:val="SCCFileNumberChar"/>
                <w:sz w:val="20"/>
                <w:szCs w:val="20"/>
              </w:rPr>
              <w:t>34545</w:t>
            </w:r>
          </w:p>
          <w:p w:rsidR="00865E33" w:rsidRPr="00B9644F" w:rsidRDefault="00865E33" w:rsidP="0017605E">
            <w:pPr>
              <w:rPr>
                <w:b/>
                <w:sz w:val="20"/>
                <w:szCs w:val="20"/>
                <w:lang w:val="fr-CA"/>
              </w:rPr>
            </w:pPr>
          </w:p>
        </w:tc>
        <w:tc>
          <w:tcPr>
            <w:tcW w:w="8118" w:type="dxa"/>
          </w:tcPr>
          <w:p w:rsidR="00865E33" w:rsidRPr="00B9644F" w:rsidRDefault="00865E33" w:rsidP="00AB0B13">
            <w:pPr>
              <w:jc w:val="both"/>
              <w:rPr>
                <w:sz w:val="20"/>
                <w:szCs w:val="20"/>
              </w:rPr>
            </w:pPr>
            <w:r w:rsidRPr="00865E33">
              <w:rPr>
                <w:rStyle w:val="SCCLsocChar"/>
                <w:sz w:val="20"/>
                <w:szCs w:val="20"/>
                <w:lang w:val="en-CA"/>
              </w:rPr>
              <w:t>Canadian Na</w:t>
            </w:r>
            <w:r w:rsidR="00AB0B13">
              <w:rPr>
                <w:rStyle w:val="SCCLsocChar"/>
                <w:sz w:val="20"/>
                <w:szCs w:val="20"/>
                <w:lang w:val="en-CA"/>
              </w:rPr>
              <w:t>tional Railway v. McKercher LLP and</w:t>
            </w:r>
            <w:r w:rsidRPr="00865E33">
              <w:rPr>
                <w:rStyle w:val="SCCLsocChar"/>
                <w:sz w:val="20"/>
                <w:szCs w:val="20"/>
                <w:lang w:val="en-CA"/>
              </w:rPr>
              <w:t xml:space="preserve"> Gordon Wallace</w:t>
            </w:r>
            <w:r w:rsidRPr="00B9644F">
              <w:rPr>
                <w:sz w:val="20"/>
                <w:szCs w:val="20"/>
              </w:rPr>
              <w:t xml:space="preserve"> (Sask.) (Civil) (By</w:t>
            </w:r>
            <w:r w:rsidR="00AB0B13">
              <w:rPr>
                <w:sz w:val="20"/>
                <w:szCs w:val="20"/>
              </w:rPr>
              <w:t> </w:t>
            </w:r>
            <w:r w:rsidRPr="00B9644F">
              <w:rPr>
                <w:sz w:val="20"/>
                <w:szCs w:val="20"/>
              </w:rPr>
              <w:t>Leave)</w:t>
            </w:r>
          </w:p>
          <w:p w:rsidR="00865E33" w:rsidRPr="00B9644F" w:rsidRDefault="00865E33" w:rsidP="00AB0B13">
            <w:pPr>
              <w:jc w:val="both"/>
              <w:rPr>
                <w:sz w:val="20"/>
                <w:szCs w:val="20"/>
              </w:rPr>
            </w:pPr>
          </w:p>
        </w:tc>
      </w:tr>
      <w:tr w:rsidR="00865E33" w:rsidRPr="00B9644F" w:rsidTr="0017605E">
        <w:trPr>
          <w:cantSplit/>
        </w:trPr>
        <w:tc>
          <w:tcPr>
            <w:tcW w:w="1458" w:type="dxa"/>
          </w:tcPr>
          <w:p w:rsidR="00865E33" w:rsidRPr="00B9644F" w:rsidRDefault="00865E33" w:rsidP="0017605E">
            <w:pPr>
              <w:rPr>
                <w:sz w:val="20"/>
                <w:szCs w:val="20"/>
              </w:rPr>
            </w:pPr>
            <w:r w:rsidRPr="00B9644F">
              <w:rPr>
                <w:sz w:val="20"/>
                <w:szCs w:val="20"/>
              </w:rPr>
              <w:t>Coram :</w:t>
            </w:r>
          </w:p>
        </w:tc>
        <w:tc>
          <w:tcPr>
            <w:tcW w:w="8118" w:type="dxa"/>
          </w:tcPr>
          <w:p w:rsidR="00865E33" w:rsidRPr="00B9644F" w:rsidRDefault="00865E33" w:rsidP="0017605E">
            <w:pPr>
              <w:rPr>
                <w:sz w:val="20"/>
                <w:szCs w:val="20"/>
              </w:rPr>
            </w:pPr>
            <w:r w:rsidRPr="00865E33">
              <w:rPr>
                <w:rStyle w:val="SCCCoramChar"/>
                <w:sz w:val="20"/>
                <w:szCs w:val="20"/>
                <w:lang w:val="en-CA"/>
              </w:rPr>
              <w:t>Deschamps, Fish and Karakatsanis JJ.</w:t>
            </w:r>
          </w:p>
          <w:p w:rsidR="00865E33" w:rsidRPr="00B9644F" w:rsidRDefault="00865E33" w:rsidP="0017605E">
            <w:pPr>
              <w:rPr>
                <w:sz w:val="20"/>
                <w:szCs w:val="20"/>
                <w:u w:val="single"/>
              </w:rPr>
            </w:pPr>
          </w:p>
        </w:tc>
      </w:tr>
      <w:tr w:rsidR="00865E33" w:rsidRPr="00643997" w:rsidTr="0017605E">
        <w:trPr>
          <w:cantSplit/>
        </w:trPr>
        <w:tc>
          <w:tcPr>
            <w:tcW w:w="9576" w:type="dxa"/>
            <w:gridSpan w:val="2"/>
          </w:tcPr>
          <w:p w:rsidR="00865E33" w:rsidRPr="00B9644F" w:rsidRDefault="00865E33" w:rsidP="0017605E">
            <w:pPr>
              <w:pStyle w:val="SCCShortJudgment"/>
              <w:rPr>
                <w:szCs w:val="20"/>
              </w:rPr>
            </w:pPr>
            <w:r w:rsidRPr="00B9644F">
              <w:rPr>
                <w:szCs w:val="20"/>
              </w:rPr>
              <w:t>The application for leave to appeal from the judgment of the Court of Appeal for Saskatchewan, Number 1859, 2011 SKCA 108, dated September 28, 2011, is granted with costs in the cause.</w:t>
            </w:r>
          </w:p>
          <w:p w:rsidR="00865E33" w:rsidRPr="00B9644F" w:rsidRDefault="00865E33" w:rsidP="0017605E">
            <w:pPr>
              <w:pStyle w:val="SCCShortJudgment"/>
              <w:ind w:firstLine="0"/>
              <w:rPr>
                <w:szCs w:val="20"/>
              </w:rPr>
            </w:pPr>
          </w:p>
          <w:p w:rsidR="00865E33" w:rsidRPr="00B9644F" w:rsidRDefault="00865E33" w:rsidP="0017605E">
            <w:pPr>
              <w:pStyle w:val="SCCShortJudgment"/>
              <w:rPr>
                <w:szCs w:val="20"/>
                <w:lang w:val="fr-CA"/>
              </w:rPr>
            </w:pPr>
            <w:r w:rsidRPr="00B9644F">
              <w:rPr>
                <w:szCs w:val="20"/>
                <w:lang w:val="fr-CA"/>
              </w:rPr>
              <w:t>La demande d’autorisation d’appel de l’arrêt de la Cour d’appel de la Saskatchewan, numéro 1859, 2011 SKCA 108, daté du 28 septembre 2011, est accueillie avec dépens selon l’issue de la cause.</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67F02" w:rsidRPr="00096A4B" w:rsidTr="00970CF7">
        <w:tc>
          <w:tcPr>
            <w:tcW w:w="5000" w:type="pct"/>
            <w:gridSpan w:val="3"/>
          </w:tcPr>
          <w:p w:rsidR="00967F02" w:rsidRPr="00096A4B" w:rsidRDefault="00967F02" w:rsidP="00970CF7">
            <w:pPr>
              <w:jc w:val="both"/>
              <w:rPr>
                <w:rFonts w:eastAsia="Calibri"/>
                <w:sz w:val="20"/>
              </w:rPr>
            </w:pPr>
            <w:r w:rsidRPr="00096A4B">
              <w:rPr>
                <w:rFonts w:eastAsia="Calibri"/>
                <w:sz w:val="20"/>
              </w:rPr>
              <w:t xml:space="preserve">Fiduciary Duty – Attorneys – Conflict of Interest – Whether it is a conflict of interest for a law firm to accept a retainer to sue a current client on an unrelated matter without first obtaining the informed consent of the current client – The proper test for determining the exceptional cases where the informed consent of a current client to act adverse can be inferred by legal counsel – When the remedy of disqualification of legal counsel is available or appropriate for breaches of the duty of loyalty – Whether information relating to a client’s practices, policies and attitudes towards </w:t>
            </w:r>
            <w:r w:rsidRPr="00096A4B">
              <w:rPr>
                <w:rFonts w:eastAsia="Calibri"/>
                <w:sz w:val="20"/>
              </w:rPr>
              <w:lastRenderedPageBreak/>
              <w:t>litigation constitutes confidential information.</w:t>
            </w:r>
          </w:p>
        </w:tc>
      </w:tr>
      <w:tr w:rsidR="00967F02" w:rsidRPr="00096A4B" w:rsidTr="00970CF7">
        <w:tc>
          <w:tcPr>
            <w:tcW w:w="5000" w:type="pct"/>
            <w:gridSpan w:val="3"/>
          </w:tcPr>
          <w:p w:rsidR="00967F02" w:rsidRPr="00096A4B" w:rsidRDefault="00967F02" w:rsidP="00970CF7">
            <w:pPr>
              <w:jc w:val="both"/>
              <w:rPr>
                <w:rFonts w:eastAsia="Calibri"/>
                <w:sz w:val="20"/>
              </w:rPr>
            </w:pPr>
          </w:p>
        </w:tc>
      </w:tr>
      <w:tr w:rsidR="00967F02" w:rsidRPr="00096A4B" w:rsidTr="00970CF7">
        <w:tc>
          <w:tcPr>
            <w:tcW w:w="5000" w:type="pct"/>
            <w:gridSpan w:val="3"/>
          </w:tcPr>
          <w:p w:rsidR="00967F02" w:rsidRPr="00096A4B" w:rsidRDefault="00967F02" w:rsidP="00970CF7">
            <w:pPr>
              <w:jc w:val="both"/>
              <w:rPr>
                <w:rFonts w:eastAsia="Calibri"/>
                <w:sz w:val="20"/>
              </w:rPr>
            </w:pPr>
            <w:r w:rsidRPr="00096A4B">
              <w:rPr>
                <w:rFonts w:eastAsia="Calibri"/>
                <w:sz w:val="20"/>
              </w:rPr>
              <w:t xml:space="preserve">In 2008, the law firm McKercher LLP </w:t>
            </w:r>
            <w:bookmarkStart w:id="0" w:name="HIT_4"/>
            <w:bookmarkStart w:id="1" w:name="ORIGHIT_4"/>
            <w:bookmarkEnd w:id="0"/>
            <w:bookmarkEnd w:id="1"/>
            <w:r w:rsidRPr="00096A4B">
              <w:rPr>
                <w:rFonts w:eastAsia="Calibri"/>
                <w:sz w:val="20"/>
              </w:rPr>
              <w:t xml:space="preserve">began representing Gordon Wallace as the representative plaintiff in a class action law suit against Canadian National Railway, Canadian Pacific Railway and others, in which prairie farmers allege that the railways overcharged western farmers for grain transportation over a 25 year period.  When the claim was launched, McKercher LLP also was acting for Canadian National Railway on a number of other matters.  Canadian National Railway applied to disqualify McKercher LLP from acting on the class action law suit. </w:t>
            </w:r>
          </w:p>
          <w:p w:rsidR="00967F02" w:rsidRPr="00096A4B" w:rsidRDefault="00967F02" w:rsidP="00970CF7">
            <w:pPr>
              <w:jc w:val="both"/>
              <w:rPr>
                <w:rFonts w:eastAsia="Calibri"/>
                <w:sz w:val="20"/>
              </w:rPr>
            </w:pPr>
          </w:p>
        </w:tc>
      </w:tr>
      <w:tr w:rsidR="00967F02" w:rsidRPr="00096A4B" w:rsidTr="00970CF7">
        <w:tc>
          <w:tcPr>
            <w:tcW w:w="2427" w:type="pct"/>
          </w:tcPr>
          <w:p w:rsidR="00967F02" w:rsidRPr="00096A4B" w:rsidRDefault="00967F02" w:rsidP="00970CF7">
            <w:pPr>
              <w:jc w:val="both"/>
              <w:rPr>
                <w:rFonts w:eastAsia="Calibri"/>
                <w:sz w:val="20"/>
              </w:rPr>
            </w:pPr>
            <w:r w:rsidRPr="00096A4B">
              <w:rPr>
                <w:rFonts w:eastAsia="Calibri"/>
                <w:sz w:val="20"/>
              </w:rPr>
              <w:t>September 21, 2009</w:t>
            </w:r>
          </w:p>
          <w:p w:rsidR="00967F02" w:rsidRPr="00096A4B" w:rsidRDefault="00967F02" w:rsidP="00970CF7">
            <w:pPr>
              <w:jc w:val="both"/>
              <w:rPr>
                <w:rFonts w:eastAsia="Calibri"/>
                <w:sz w:val="20"/>
              </w:rPr>
            </w:pPr>
            <w:r w:rsidRPr="00096A4B">
              <w:rPr>
                <w:rFonts w:eastAsia="Calibri"/>
                <w:sz w:val="20"/>
              </w:rPr>
              <w:t>Court of Queen’s Bench of Saskatchewan</w:t>
            </w:r>
          </w:p>
          <w:p w:rsidR="00967F02" w:rsidRPr="00096A4B" w:rsidRDefault="00967F02" w:rsidP="00970CF7">
            <w:pPr>
              <w:jc w:val="both"/>
              <w:rPr>
                <w:rFonts w:eastAsia="Calibri"/>
                <w:sz w:val="20"/>
              </w:rPr>
            </w:pPr>
            <w:r w:rsidRPr="00096A4B">
              <w:rPr>
                <w:rFonts w:eastAsia="Calibri"/>
                <w:sz w:val="20"/>
              </w:rPr>
              <w:t>(Popescul J.)</w:t>
            </w:r>
          </w:p>
          <w:p w:rsidR="00967F02" w:rsidRPr="00096A4B" w:rsidRDefault="00967F02" w:rsidP="00970CF7">
            <w:pPr>
              <w:jc w:val="both"/>
              <w:rPr>
                <w:rFonts w:eastAsia="Calibri"/>
                <w:sz w:val="20"/>
              </w:rPr>
            </w:pPr>
            <w:r w:rsidRPr="00096A4B">
              <w:rPr>
                <w:rFonts w:eastAsia="Calibri"/>
                <w:sz w:val="20"/>
              </w:rPr>
              <w:t>2009 SKQB 369</w:t>
            </w:r>
          </w:p>
          <w:p w:rsidR="00967F02" w:rsidRPr="00096A4B" w:rsidRDefault="00967F02" w:rsidP="00970CF7">
            <w:pPr>
              <w:jc w:val="both"/>
              <w:rPr>
                <w:rFonts w:eastAsia="Calibri"/>
                <w:sz w:val="20"/>
              </w:rPr>
            </w:pPr>
          </w:p>
        </w:tc>
        <w:tc>
          <w:tcPr>
            <w:tcW w:w="243" w:type="pct"/>
          </w:tcPr>
          <w:p w:rsidR="00967F02" w:rsidRPr="00096A4B" w:rsidRDefault="00967F02" w:rsidP="00970CF7">
            <w:pPr>
              <w:jc w:val="both"/>
              <w:rPr>
                <w:rFonts w:eastAsia="Calibri"/>
                <w:sz w:val="20"/>
              </w:rPr>
            </w:pPr>
          </w:p>
        </w:tc>
        <w:tc>
          <w:tcPr>
            <w:tcW w:w="2330" w:type="pct"/>
          </w:tcPr>
          <w:p w:rsidR="00967F02" w:rsidRPr="00096A4B" w:rsidRDefault="00967F02" w:rsidP="00970CF7">
            <w:pPr>
              <w:jc w:val="both"/>
              <w:rPr>
                <w:rFonts w:eastAsia="Calibri"/>
                <w:sz w:val="20"/>
              </w:rPr>
            </w:pPr>
            <w:r w:rsidRPr="00096A4B">
              <w:rPr>
                <w:rFonts w:eastAsia="Calibri"/>
                <w:sz w:val="20"/>
              </w:rPr>
              <w:t>Order disqualifying McKercher LLP from acting further in action by Gordon Wallace</w:t>
            </w:r>
          </w:p>
          <w:p w:rsidR="00967F02" w:rsidRPr="00096A4B" w:rsidRDefault="00967F02" w:rsidP="00970CF7">
            <w:pPr>
              <w:jc w:val="both"/>
              <w:rPr>
                <w:rFonts w:eastAsia="Calibri"/>
                <w:sz w:val="20"/>
              </w:rPr>
            </w:pPr>
          </w:p>
        </w:tc>
      </w:tr>
      <w:tr w:rsidR="00967F02" w:rsidRPr="00096A4B" w:rsidTr="00970CF7">
        <w:tc>
          <w:tcPr>
            <w:tcW w:w="2427" w:type="pct"/>
          </w:tcPr>
          <w:p w:rsidR="00967F02" w:rsidRPr="00096A4B" w:rsidRDefault="00967F02" w:rsidP="00970CF7">
            <w:pPr>
              <w:jc w:val="both"/>
              <w:rPr>
                <w:rFonts w:eastAsia="Calibri"/>
                <w:sz w:val="20"/>
              </w:rPr>
            </w:pPr>
            <w:r w:rsidRPr="00096A4B">
              <w:rPr>
                <w:rFonts w:eastAsia="Calibri"/>
                <w:sz w:val="20"/>
              </w:rPr>
              <w:t>September 28, 2011</w:t>
            </w:r>
          </w:p>
          <w:p w:rsidR="00967F02" w:rsidRPr="00096A4B" w:rsidRDefault="00967F02" w:rsidP="00970CF7">
            <w:pPr>
              <w:jc w:val="both"/>
              <w:rPr>
                <w:rFonts w:eastAsia="Calibri"/>
                <w:sz w:val="20"/>
              </w:rPr>
            </w:pPr>
            <w:r w:rsidRPr="00096A4B">
              <w:rPr>
                <w:rFonts w:eastAsia="Calibri"/>
                <w:sz w:val="20"/>
              </w:rPr>
              <w:t>Court of Appeal for Saskatchewan</w:t>
            </w:r>
          </w:p>
          <w:p w:rsidR="00967F02" w:rsidRPr="00096A4B" w:rsidRDefault="00967F02" w:rsidP="00970CF7">
            <w:pPr>
              <w:jc w:val="both"/>
              <w:rPr>
                <w:rFonts w:eastAsia="Calibri"/>
                <w:sz w:val="20"/>
              </w:rPr>
            </w:pPr>
            <w:r w:rsidRPr="00096A4B">
              <w:rPr>
                <w:rFonts w:eastAsia="Calibri"/>
                <w:sz w:val="20"/>
              </w:rPr>
              <w:t>(Lane, Ottenbreit, Caldwell JJ.A.)</w:t>
            </w:r>
          </w:p>
          <w:p w:rsidR="00967F02" w:rsidRPr="00096A4B" w:rsidRDefault="00967F02" w:rsidP="00970CF7">
            <w:pPr>
              <w:jc w:val="both"/>
              <w:rPr>
                <w:rFonts w:eastAsia="Calibri"/>
                <w:sz w:val="20"/>
              </w:rPr>
            </w:pPr>
            <w:r w:rsidRPr="00096A4B">
              <w:rPr>
                <w:rFonts w:eastAsia="Calibri"/>
                <w:sz w:val="20"/>
              </w:rPr>
              <w:t>2011 SKCA 108; Docket No. 1859</w:t>
            </w:r>
          </w:p>
          <w:p w:rsidR="00967F02" w:rsidRPr="00096A4B" w:rsidRDefault="00967F02" w:rsidP="00970CF7">
            <w:pPr>
              <w:jc w:val="both"/>
              <w:rPr>
                <w:rFonts w:eastAsia="Calibri"/>
                <w:sz w:val="20"/>
              </w:rPr>
            </w:pPr>
          </w:p>
        </w:tc>
        <w:tc>
          <w:tcPr>
            <w:tcW w:w="243" w:type="pct"/>
          </w:tcPr>
          <w:p w:rsidR="00967F02" w:rsidRPr="00096A4B" w:rsidRDefault="00967F02" w:rsidP="00970CF7">
            <w:pPr>
              <w:jc w:val="both"/>
              <w:rPr>
                <w:rFonts w:eastAsia="Calibri"/>
                <w:sz w:val="20"/>
              </w:rPr>
            </w:pPr>
          </w:p>
        </w:tc>
        <w:tc>
          <w:tcPr>
            <w:tcW w:w="2330" w:type="pct"/>
          </w:tcPr>
          <w:p w:rsidR="00967F02" w:rsidRPr="00096A4B" w:rsidRDefault="00967F02" w:rsidP="00970CF7">
            <w:pPr>
              <w:jc w:val="both"/>
              <w:rPr>
                <w:rFonts w:eastAsia="Calibri"/>
                <w:sz w:val="20"/>
              </w:rPr>
            </w:pPr>
            <w:r w:rsidRPr="00096A4B">
              <w:rPr>
                <w:rFonts w:eastAsia="Calibri"/>
                <w:sz w:val="20"/>
              </w:rPr>
              <w:t xml:space="preserve">Appeal allowed </w:t>
            </w:r>
          </w:p>
          <w:p w:rsidR="00967F02" w:rsidRPr="00096A4B" w:rsidRDefault="00967F02" w:rsidP="00970CF7">
            <w:pPr>
              <w:jc w:val="both"/>
              <w:rPr>
                <w:rFonts w:eastAsia="Calibri"/>
                <w:sz w:val="20"/>
              </w:rPr>
            </w:pPr>
          </w:p>
        </w:tc>
      </w:tr>
      <w:tr w:rsidR="00967F02" w:rsidRPr="00096A4B" w:rsidTr="00970CF7">
        <w:tc>
          <w:tcPr>
            <w:tcW w:w="2427" w:type="pct"/>
          </w:tcPr>
          <w:p w:rsidR="00967F02" w:rsidRPr="00096A4B" w:rsidRDefault="00967F02" w:rsidP="00970CF7">
            <w:pPr>
              <w:jc w:val="both"/>
              <w:rPr>
                <w:rFonts w:eastAsia="Calibri"/>
                <w:sz w:val="20"/>
              </w:rPr>
            </w:pPr>
            <w:r w:rsidRPr="00096A4B">
              <w:rPr>
                <w:rFonts w:eastAsia="Calibri"/>
                <w:sz w:val="20"/>
              </w:rPr>
              <w:t>November 28, 2011</w:t>
            </w:r>
          </w:p>
          <w:p w:rsidR="00967F02" w:rsidRPr="00096A4B" w:rsidRDefault="00967F02" w:rsidP="00970CF7">
            <w:pPr>
              <w:jc w:val="both"/>
              <w:rPr>
                <w:rFonts w:eastAsia="Calibri"/>
                <w:sz w:val="20"/>
              </w:rPr>
            </w:pPr>
            <w:r w:rsidRPr="00096A4B">
              <w:rPr>
                <w:rFonts w:eastAsia="Calibri"/>
                <w:sz w:val="20"/>
              </w:rPr>
              <w:t>Supreme Court of Canada</w:t>
            </w:r>
          </w:p>
        </w:tc>
        <w:tc>
          <w:tcPr>
            <w:tcW w:w="243" w:type="pct"/>
          </w:tcPr>
          <w:p w:rsidR="00967F02" w:rsidRPr="00096A4B" w:rsidRDefault="00967F02" w:rsidP="00970CF7">
            <w:pPr>
              <w:jc w:val="both"/>
              <w:rPr>
                <w:rFonts w:eastAsia="Calibri"/>
                <w:sz w:val="20"/>
              </w:rPr>
            </w:pPr>
          </w:p>
        </w:tc>
        <w:tc>
          <w:tcPr>
            <w:tcW w:w="2330" w:type="pct"/>
          </w:tcPr>
          <w:p w:rsidR="00967F02" w:rsidRPr="00096A4B" w:rsidRDefault="00967F02" w:rsidP="00970CF7">
            <w:pPr>
              <w:jc w:val="both"/>
              <w:rPr>
                <w:rFonts w:eastAsia="Calibri"/>
                <w:sz w:val="20"/>
              </w:rPr>
            </w:pPr>
            <w:r w:rsidRPr="00096A4B">
              <w:rPr>
                <w:rFonts w:eastAsia="Calibri"/>
                <w:sz w:val="20"/>
              </w:rPr>
              <w:t>Application for leave to appeal filed</w:t>
            </w:r>
          </w:p>
          <w:p w:rsidR="00967F02" w:rsidRPr="00096A4B" w:rsidRDefault="00967F02" w:rsidP="00970CF7">
            <w:pPr>
              <w:jc w:val="both"/>
              <w:rPr>
                <w:rFonts w:eastAsia="Calibri"/>
                <w:sz w:val="20"/>
              </w:rPr>
            </w:pP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53"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67F02" w:rsidRPr="00643997" w:rsidTr="00970CF7">
        <w:tc>
          <w:tcPr>
            <w:tcW w:w="5000" w:type="pct"/>
            <w:gridSpan w:val="3"/>
          </w:tcPr>
          <w:p w:rsidR="00967F02" w:rsidRPr="00096A4B" w:rsidRDefault="00967F02" w:rsidP="00970CF7">
            <w:pPr>
              <w:jc w:val="both"/>
              <w:rPr>
                <w:rFonts w:eastAsia="Calibri"/>
                <w:sz w:val="20"/>
                <w:lang w:val="fr-CA"/>
              </w:rPr>
            </w:pPr>
            <w:r w:rsidRPr="00096A4B">
              <w:rPr>
                <w:rFonts w:eastAsia="Calibri"/>
                <w:sz w:val="20"/>
                <w:lang w:val="fr-CA"/>
              </w:rPr>
              <w:t>Obligation fiduciaire – Procureurs – Conflits d'intérêts – Un cabinet d'avocats est-il en conflit d'intérêts lorsqu'il accepte un mandat pour poursuivre un client actuel sur une question non liée sans avoir d'abord obtenu le consentement éclairé de ce client? – Critère pour déterminer les cas exceptionnels où le consentement éclairé d'un client actuel pour agir contre lui peut être présumé par l'avocat – Dans quels cas l'avocat peut-il être déclaré inhabile pour un manquement à l'obligation de loyauté? – Les renseignements relatifs aux pratiques, politiques et attitudes du client à l'égard d'un litige constituent-ils des renseignements confidentiels?</w:t>
            </w:r>
          </w:p>
        </w:tc>
      </w:tr>
      <w:tr w:rsidR="00967F02" w:rsidRPr="00643997" w:rsidTr="00970CF7">
        <w:tc>
          <w:tcPr>
            <w:tcW w:w="5000" w:type="pct"/>
            <w:gridSpan w:val="3"/>
          </w:tcPr>
          <w:p w:rsidR="00967F02" w:rsidRPr="00096A4B" w:rsidRDefault="00967F02" w:rsidP="00970CF7">
            <w:pPr>
              <w:jc w:val="both"/>
              <w:rPr>
                <w:rFonts w:eastAsia="Calibri"/>
                <w:sz w:val="20"/>
                <w:lang w:val="fr-CA"/>
              </w:rPr>
            </w:pPr>
          </w:p>
        </w:tc>
      </w:tr>
      <w:tr w:rsidR="00967F02" w:rsidRPr="00643997" w:rsidTr="00970CF7">
        <w:tc>
          <w:tcPr>
            <w:tcW w:w="5000" w:type="pct"/>
            <w:gridSpan w:val="3"/>
          </w:tcPr>
          <w:p w:rsidR="00967F02" w:rsidRPr="00096A4B" w:rsidRDefault="00967F02" w:rsidP="00970CF7">
            <w:pPr>
              <w:jc w:val="both"/>
              <w:rPr>
                <w:rFonts w:eastAsia="Calibri"/>
                <w:sz w:val="20"/>
                <w:lang w:val="fr-CA"/>
              </w:rPr>
            </w:pPr>
            <w:r w:rsidRPr="00096A4B">
              <w:rPr>
                <w:rFonts w:eastAsia="Calibri"/>
                <w:sz w:val="20"/>
                <w:lang w:val="fr-CA"/>
              </w:rPr>
              <w:t xml:space="preserve">En 2008, le cabinet d'avocats McKercher LLP a commencé à représenter Gordon Wallace comme représentant des demandeurs dans un recours collectif contre la Compagnie des chemins de fer nationaux du Canada, le Chemin de fer Canadien Pacifique Limitée et d'autres, dans lequel des agriculteurs des Prairies allèguent que les chemins de fer ont surfacturé les agriculteurs de l’Ouest sur une période de 25 ans. Lorsque le recours a été intenté, McKercher LLP agissait également pour la Compagnie des chemins de fers nationaux du Canada dans plusieurs autres dossiers. La Compagnie des chemins de fers nationaux du Canada a présenté une demande pour faire déclarer McKercher LLP inhabile à agir dans le recours collectif. </w:t>
            </w:r>
          </w:p>
          <w:p w:rsidR="00967F02" w:rsidRPr="00096A4B" w:rsidRDefault="00967F02" w:rsidP="00970CF7">
            <w:pPr>
              <w:jc w:val="both"/>
              <w:rPr>
                <w:rFonts w:eastAsia="Calibri"/>
                <w:sz w:val="20"/>
                <w:lang w:val="fr-CA"/>
              </w:rPr>
            </w:pPr>
          </w:p>
        </w:tc>
      </w:tr>
      <w:tr w:rsidR="00967F02" w:rsidRPr="00643997" w:rsidTr="00970CF7">
        <w:tc>
          <w:tcPr>
            <w:tcW w:w="2427" w:type="pct"/>
          </w:tcPr>
          <w:p w:rsidR="00967F02" w:rsidRPr="00096A4B" w:rsidRDefault="00967F02" w:rsidP="00970CF7">
            <w:pPr>
              <w:jc w:val="both"/>
              <w:rPr>
                <w:rFonts w:eastAsia="Calibri"/>
                <w:sz w:val="20"/>
                <w:lang w:val="fr-CA"/>
              </w:rPr>
            </w:pPr>
            <w:r w:rsidRPr="00096A4B">
              <w:rPr>
                <w:rFonts w:eastAsia="Calibri"/>
                <w:sz w:val="20"/>
                <w:lang w:val="fr-CA"/>
              </w:rPr>
              <w:t>21 septembre 2009</w:t>
            </w:r>
          </w:p>
          <w:p w:rsidR="00967F02" w:rsidRPr="00096A4B" w:rsidRDefault="00967F02" w:rsidP="00970CF7">
            <w:pPr>
              <w:jc w:val="both"/>
              <w:rPr>
                <w:rFonts w:eastAsia="Calibri"/>
                <w:sz w:val="20"/>
                <w:lang w:val="fr-CA"/>
              </w:rPr>
            </w:pPr>
            <w:r w:rsidRPr="00096A4B">
              <w:rPr>
                <w:rFonts w:eastAsia="Calibri"/>
                <w:sz w:val="20"/>
                <w:lang w:val="fr-CA"/>
              </w:rPr>
              <w:t>Cour du Banc de la Reine de la Saskatchewan</w:t>
            </w:r>
          </w:p>
          <w:p w:rsidR="00967F02" w:rsidRPr="00096A4B" w:rsidRDefault="00967F02" w:rsidP="00970CF7">
            <w:pPr>
              <w:jc w:val="both"/>
              <w:rPr>
                <w:rFonts w:eastAsia="Calibri"/>
                <w:sz w:val="20"/>
                <w:lang w:val="fr-CA"/>
              </w:rPr>
            </w:pPr>
            <w:r w:rsidRPr="00096A4B">
              <w:rPr>
                <w:rFonts w:eastAsia="Calibri"/>
                <w:sz w:val="20"/>
                <w:lang w:val="fr-CA"/>
              </w:rPr>
              <w:t>(Juge Popescul)</w:t>
            </w:r>
          </w:p>
          <w:p w:rsidR="00967F02" w:rsidRPr="00096A4B" w:rsidRDefault="00967F02" w:rsidP="00970CF7">
            <w:pPr>
              <w:jc w:val="both"/>
              <w:rPr>
                <w:rFonts w:eastAsia="Calibri"/>
                <w:sz w:val="20"/>
                <w:lang w:val="fr-CA"/>
              </w:rPr>
            </w:pPr>
            <w:r w:rsidRPr="00096A4B">
              <w:rPr>
                <w:rFonts w:eastAsia="Calibri"/>
                <w:sz w:val="20"/>
                <w:lang w:val="fr-CA"/>
              </w:rPr>
              <w:t>2009 SKQB 369</w:t>
            </w:r>
          </w:p>
          <w:p w:rsidR="00967F02" w:rsidRPr="00096A4B" w:rsidRDefault="00967F02" w:rsidP="00970CF7">
            <w:pPr>
              <w:jc w:val="both"/>
              <w:rPr>
                <w:rFonts w:eastAsia="Calibri"/>
                <w:sz w:val="20"/>
                <w:lang w:val="fr-CA"/>
              </w:rPr>
            </w:pPr>
          </w:p>
        </w:tc>
        <w:tc>
          <w:tcPr>
            <w:tcW w:w="243" w:type="pct"/>
          </w:tcPr>
          <w:p w:rsidR="00967F02" w:rsidRPr="00096A4B" w:rsidRDefault="00967F02" w:rsidP="00970CF7">
            <w:pPr>
              <w:jc w:val="both"/>
              <w:rPr>
                <w:rFonts w:eastAsia="Calibri"/>
                <w:sz w:val="20"/>
                <w:lang w:val="fr-CA"/>
              </w:rPr>
            </w:pPr>
          </w:p>
        </w:tc>
        <w:tc>
          <w:tcPr>
            <w:tcW w:w="2330" w:type="pct"/>
          </w:tcPr>
          <w:p w:rsidR="00967F02" w:rsidRPr="00096A4B" w:rsidRDefault="00967F02" w:rsidP="00970CF7">
            <w:pPr>
              <w:jc w:val="both"/>
              <w:rPr>
                <w:rFonts w:eastAsia="Calibri"/>
                <w:sz w:val="20"/>
                <w:lang w:val="fr-CA"/>
              </w:rPr>
            </w:pPr>
            <w:r w:rsidRPr="00096A4B">
              <w:rPr>
                <w:rFonts w:eastAsia="Calibri"/>
                <w:sz w:val="20"/>
                <w:lang w:val="fr-CA"/>
              </w:rPr>
              <w:t>Ordonnance déclarant McKercher LLP inhabile à agir dans le recours intenté par Gordon Wallace</w:t>
            </w:r>
          </w:p>
          <w:p w:rsidR="00967F02" w:rsidRPr="00096A4B" w:rsidRDefault="00967F02" w:rsidP="00970CF7">
            <w:pPr>
              <w:jc w:val="both"/>
              <w:rPr>
                <w:rFonts w:eastAsia="Calibri"/>
                <w:sz w:val="20"/>
                <w:lang w:val="fr-CA"/>
              </w:rPr>
            </w:pPr>
          </w:p>
        </w:tc>
      </w:tr>
      <w:tr w:rsidR="00967F02" w:rsidRPr="00096A4B" w:rsidTr="00970CF7">
        <w:tc>
          <w:tcPr>
            <w:tcW w:w="2427" w:type="pct"/>
          </w:tcPr>
          <w:p w:rsidR="00967F02" w:rsidRPr="00096A4B" w:rsidRDefault="00967F02" w:rsidP="00970CF7">
            <w:pPr>
              <w:jc w:val="both"/>
              <w:rPr>
                <w:rFonts w:eastAsia="Calibri"/>
                <w:sz w:val="20"/>
                <w:lang w:val="fr-CA"/>
              </w:rPr>
            </w:pPr>
            <w:r w:rsidRPr="00096A4B">
              <w:rPr>
                <w:rFonts w:eastAsia="Calibri"/>
                <w:sz w:val="20"/>
                <w:lang w:val="fr-CA"/>
              </w:rPr>
              <w:t>28 septembre 2011</w:t>
            </w:r>
          </w:p>
          <w:p w:rsidR="00967F02" w:rsidRPr="00096A4B" w:rsidRDefault="00967F02" w:rsidP="00970CF7">
            <w:pPr>
              <w:jc w:val="both"/>
              <w:rPr>
                <w:rFonts w:eastAsia="Calibri"/>
                <w:sz w:val="20"/>
                <w:lang w:val="fr-CA"/>
              </w:rPr>
            </w:pPr>
            <w:r w:rsidRPr="00096A4B">
              <w:rPr>
                <w:rFonts w:eastAsia="Calibri"/>
                <w:sz w:val="20"/>
                <w:lang w:val="fr-CA"/>
              </w:rPr>
              <w:t>Cour d'appel de la Saskatchewan</w:t>
            </w:r>
          </w:p>
          <w:p w:rsidR="00967F02" w:rsidRPr="00096A4B" w:rsidRDefault="00967F02" w:rsidP="00970CF7">
            <w:pPr>
              <w:jc w:val="both"/>
              <w:rPr>
                <w:rFonts w:eastAsia="Calibri"/>
                <w:sz w:val="20"/>
                <w:lang w:val="fr-CA"/>
              </w:rPr>
            </w:pPr>
            <w:r w:rsidRPr="00096A4B">
              <w:rPr>
                <w:rFonts w:eastAsia="Calibri"/>
                <w:sz w:val="20"/>
                <w:lang w:val="fr-CA"/>
              </w:rPr>
              <w:t>(Juges Lane, Ottenbreit et Caldwell)</w:t>
            </w:r>
          </w:p>
          <w:p w:rsidR="00967F02" w:rsidRPr="00096A4B" w:rsidRDefault="00967F02" w:rsidP="00970CF7">
            <w:pPr>
              <w:jc w:val="both"/>
              <w:rPr>
                <w:rFonts w:eastAsia="Calibri"/>
                <w:sz w:val="20"/>
                <w:lang w:val="fr-CA"/>
              </w:rPr>
            </w:pPr>
            <w:r w:rsidRPr="00096A4B">
              <w:rPr>
                <w:rFonts w:eastAsia="Calibri"/>
                <w:sz w:val="20"/>
                <w:lang w:val="fr-CA"/>
              </w:rPr>
              <w:t>2011 SKCA 108; n</w:t>
            </w:r>
            <w:r w:rsidRPr="00096A4B">
              <w:rPr>
                <w:rFonts w:eastAsia="Calibri"/>
                <w:sz w:val="20"/>
                <w:vertAlign w:val="superscript"/>
                <w:lang w:val="fr-CA"/>
              </w:rPr>
              <w:t>o</w:t>
            </w:r>
            <w:r w:rsidRPr="00096A4B">
              <w:rPr>
                <w:rFonts w:eastAsia="Calibri"/>
                <w:sz w:val="20"/>
                <w:lang w:val="fr-CA"/>
              </w:rPr>
              <w:t xml:space="preserve"> du greffe 1859</w:t>
            </w:r>
          </w:p>
          <w:p w:rsidR="00967F02" w:rsidRPr="00096A4B" w:rsidRDefault="00967F02" w:rsidP="00970CF7">
            <w:pPr>
              <w:jc w:val="both"/>
              <w:rPr>
                <w:rFonts w:eastAsia="Calibri"/>
                <w:sz w:val="20"/>
                <w:lang w:val="fr-CA"/>
              </w:rPr>
            </w:pPr>
          </w:p>
        </w:tc>
        <w:tc>
          <w:tcPr>
            <w:tcW w:w="243" w:type="pct"/>
          </w:tcPr>
          <w:p w:rsidR="00967F02" w:rsidRPr="00096A4B" w:rsidRDefault="00967F02" w:rsidP="00970CF7">
            <w:pPr>
              <w:jc w:val="both"/>
              <w:rPr>
                <w:rFonts w:eastAsia="Calibri"/>
                <w:sz w:val="20"/>
                <w:lang w:val="fr-CA"/>
              </w:rPr>
            </w:pPr>
          </w:p>
        </w:tc>
        <w:tc>
          <w:tcPr>
            <w:tcW w:w="2330" w:type="pct"/>
          </w:tcPr>
          <w:p w:rsidR="00967F02" w:rsidRPr="00096A4B" w:rsidRDefault="00967F02" w:rsidP="00970CF7">
            <w:pPr>
              <w:jc w:val="both"/>
              <w:rPr>
                <w:rFonts w:eastAsia="Calibri"/>
                <w:sz w:val="20"/>
                <w:lang w:val="fr-CA"/>
              </w:rPr>
            </w:pPr>
            <w:r w:rsidRPr="00096A4B">
              <w:rPr>
                <w:rFonts w:eastAsia="Calibri"/>
                <w:sz w:val="20"/>
                <w:lang w:val="fr-CA"/>
              </w:rPr>
              <w:t>Appel accueilli</w:t>
            </w:r>
          </w:p>
          <w:p w:rsidR="00967F02" w:rsidRPr="00096A4B" w:rsidRDefault="00967F02" w:rsidP="00970CF7">
            <w:pPr>
              <w:jc w:val="both"/>
              <w:rPr>
                <w:rFonts w:eastAsia="Calibri"/>
                <w:sz w:val="20"/>
                <w:lang w:val="fr-CA"/>
              </w:rPr>
            </w:pPr>
          </w:p>
        </w:tc>
      </w:tr>
      <w:tr w:rsidR="00967F02" w:rsidRPr="00096A4B" w:rsidTr="00326E3D">
        <w:trPr>
          <w:cantSplit/>
        </w:trPr>
        <w:tc>
          <w:tcPr>
            <w:tcW w:w="2427" w:type="pct"/>
          </w:tcPr>
          <w:p w:rsidR="00967F02" w:rsidRPr="00096A4B" w:rsidRDefault="00967F02" w:rsidP="00970CF7">
            <w:pPr>
              <w:jc w:val="both"/>
              <w:rPr>
                <w:rFonts w:eastAsia="Calibri"/>
                <w:sz w:val="20"/>
                <w:lang w:val="fr-CA"/>
              </w:rPr>
            </w:pPr>
            <w:r w:rsidRPr="00096A4B">
              <w:rPr>
                <w:rFonts w:eastAsia="Calibri"/>
                <w:sz w:val="20"/>
                <w:lang w:val="fr-CA"/>
              </w:rPr>
              <w:lastRenderedPageBreak/>
              <w:t>28 novembre 2011</w:t>
            </w:r>
          </w:p>
          <w:p w:rsidR="00967F02" w:rsidRPr="00096A4B" w:rsidRDefault="00967F02" w:rsidP="00970CF7">
            <w:pPr>
              <w:jc w:val="both"/>
              <w:rPr>
                <w:rFonts w:eastAsia="Calibri"/>
                <w:sz w:val="20"/>
                <w:lang w:val="fr-CA"/>
              </w:rPr>
            </w:pPr>
            <w:r w:rsidRPr="00096A4B">
              <w:rPr>
                <w:rFonts w:eastAsia="Calibri"/>
                <w:sz w:val="20"/>
                <w:lang w:val="fr-CA"/>
              </w:rPr>
              <w:t>Cour suprême du Canada</w:t>
            </w:r>
          </w:p>
        </w:tc>
        <w:tc>
          <w:tcPr>
            <w:tcW w:w="243" w:type="pct"/>
          </w:tcPr>
          <w:p w:rsidR="00967F02" w:rsidRPr="00096A4B" w:rsidRDefault="00967F02" w:rsidP="00970CF7">
            <w:pPr>
              <w:jc w:val="both"/>
              <w:rPr>
                <w:rFonts w:eastAsia="Calibri"/>
                <w:sz w:val="20"/>
                <w:lang w:val="fr-CA"/>
              </w:rPr>
            </w:pPr>
          </w:p>
        </w:tc>
        <w:tc>
          <w:tcPr>
            <w:tcW w:w="2330" w:type="pct"/>
          </w:tcPr>
          <w:p w:rsidR="00967F02" w:rsidRPr="00096A4B" w:rsidRDefault="00967F02" w:rsidP="00970CF7">
            <w:pPr>
              <w:jc w:val="both"/>
              <w:rPr>
                <w:rFonts w:eastAsia="Calibri"/>
                <w:sz w:val="20"/>
                <w:lang w:val="fr-CA"/>
              </w:rPr>
            </w:pPr>
            <w:r w:rsidRPr="00096A4B">
              <w:rPr>
                <w:rFonts w:eastAsia="Calibri"/>
                <w:sz w:val="20"/>
                <w:lang w:val="fr-CA"/>
              </w:rPr>
              <w:t>Demande d'autorisation d'appel, déposée</w:t>
            </w:r>
          </w:p>
          <w:p w:rsidR="00967F02" w:rsidRPr="00096A4B" w:rsidRDefault="00967F02" w:rsidP="00970CF7">
            <w:pPr>
              <w:jc w:val="both"/>
              <w:rPr>
                <w:rFonts w:eastAsia="Calibri"/>
                <w:sz w:val="20"/>
                <w:lang w:val="fr-CA"/>
              </w:rPr>
            </w:pP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54"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65E33" w:rsidRPr="00B9644F" w:rsidTr="0017605E">
        <w:trPr>
          <w:cantSplit/>
        </w:trPr>
        <w:tc>
          <w:tcPr>
            <w:tcW w:w="1458" w:type="dxa"/>
          </w:tcPr>
          <w:p w:rsidR="00865E33" w:rsidRPr="00B9644F" w:rsidRDefault="00865E33" w:rsidP="0017605E">
            <w:pPr>
              <w:rPr>
                <w:sz w:val="20"/>
                <w:szCs w:val="20"/>
              </w:rPr>
            </w:pPr>
            <w:r w:rsidRPr="00B9644F">
              <w:rPr>
                <w:rStyle w:val="SCCFileNumberChar"/>
                <w:sz w:val="20"/>
                <w:szCs w:val="20"/>
              </w:rPr>
              <w:t>34599</w:t>
            </w:r>
          </w:p>
          <w:p w:rsidR="00865E33" w:rsidRPr="00B9644F" w:rsidRDefault="00865E33" w:rsidP="0017605E">
            <w:pPr>
              <w:rPr>
                <w:b/>
                <w:sz w:val="20"/>
                <w:szCs w:val="20"/>
                <w:lang w:val="fr-CA"/>
              </w:rPr>
            </w:pPr>
          </w:p>
        </w:tc>
        <w:tc>
          <w:tcPr>
            <w:tcW w:w="8118" w:type="dxa"/>
          </w:tcPr>
          <w:p w:rsidR="00865E33" w:rsidRPr="00B9644F" w:rsidRDefault="00865E33" w:rsidP="00865E33">
            <w:pPr>
              <w:jc w:val="both"/>
              <w:rPr>
                <w:sz w:val="20"/>
                <w:szCs w:val="20"/>
              </w:rPr>
            </w:pPr>
            <w:r w:rsidRPr="00865E33">
              <w:rPr>
                <w:rStyle w:val="SCCLsocChar"/>
                <w:sz w:val="20"/>
                <w:szCs w:val="20"/>
                <w:lang w:val="en-CA"/>
              </w:rPr>
              <w:t>James Jeffery</w:t>
            </w:r>
            <w:r w:rsidR="006B2671">
              <w:rPr>
                <w:rStyle w:val="SCCLsocChar"/>
                <w:sz w:val="20"/>
                <w:szCs w:val="20"/>
                <w:lang w:val="en-CA"/>
              </w:rPr>
              <w:t xml:space="preserve"> and</w:t>
            </w:r>
            <w:r w:rsidRPr="00865E33">
              <w:rPr>
                <w:rStyle w:val="SCCLsocChar"/>
                <w:sz w:val="20"/>
                <w:szCs w:val="20"/>
                <w:lang w:val="en-CA"/>
              </w:rPr>
              <w:t xml:space="preserve"> D'Alton S. Rudd v. London Life Insurance Company</w:t>
            </w:r>
            <w:r w:rsidR="006B2671">
              <w:rPr>
                <w:rStyle w:val="SCCLsocChar"/>
                <w:sz w:val="20"/>
                <w:szCs w:val="20"/>
                <w:lang w:val="en-CA"/>
              </w:rPr>
              <w:t xml:space="preserve"> and</w:t>
            </w:r>
            <w:r w:rsidRPr="00865E33">
              <w:rPr>
                <w:rStyle w:val="SCCLsocChar"/>
                <w:sz w:val="20"/>
                <w:szCs w:val="20"/>
                <w:lang w:val="en-CA"/>
              </w:rPr>
              <w:t xml:space="preserve"> Great-West Life Assurance Company AND BETWEEN John Douglas McKittrick v. Great-West Life Assurance Company</w:t>
            </w:r>
            <w:r w:rsidR="006B2671">
              <w:rPr>
                <w:rStyle w:val="SCCLsocChar"/>
                <w:sz w:val="20"/>
                <w:szCs w:val="20"/>
                <w:lang w:val="en-CA"/>
              </w:rPr>
              <w:t xml:space="preserve"> and</w:t>
            </w:r>
            <w:r w:rsidRPr="00865E33">
              <w:rPr>
                <w:rStyle w:val="SCCLsocChar"/>
                <w:sz w:val="20"/>
                <w:szCs w:val="20"/>
                <w:lang w:val="en-CA"/>
              </w:rPr>
              <w:t xml:space="preserve"> Great West Lifeco Inc.</w:t>
            </w:r>
            <w:r w:rsidRPr="00B9644F">
              <w:rPr>
                <w:sz w:val="20"/>
                <w:szCs w:val="20"/>
              </w:rPr>
              <w:t xml:space="preserve"> (Ont.) (Civil) (By Leave)</w:t>
            </w:r>
          </w:p>
          <w:p w:rsidR="00865E33" w:rsidRPr="00B9644F" w:rsidRDefault="00865E33" w:rsidP="0017605E">
            <w:pPr>
              <w:rPr>
                <w:sz w:val="20"/>
                <w:szCs w:val="20"/>
              </w:rPr>
            </w:pPr>
          </w:p>
        </w:tc>
      </w:tr>
      <w:tr w:rsidR="00865E33" w:rsidRPr="00B9644F" w:rsidTr="0017605E">
        <w:trPr>
          <w:cantSplit/>
        </w:trPr>
        <w:tc>
          <w:tcPr>
            <w:tcW w:w="1458" w:type="dxa"/>
          </w:tcPr>
          <w:p w:rsidR="00865E33" w:rsidRPr="00B9644F" w:rsidRDefault="00865E33" w:rsidP="0017605E">
            <w:pPr>
              <w:rPr>
                <w:sz w:val="20"/>
                <w:szCs w:val="20"/>
              </w:rPr>
            </w:pPr>
            <w:r w:rsidRPr="00B9644F">
              <w:rPr>
                <w:sz w:val="20"/>
                <w:szCs w:val="20"/>
              </w:rPr>
              <w:t>Coram :</w:t>
            </w:r>
          </w:p>
        </w:tc>
        <w:tc>
          <w:tcPr>
            <w:tcW w:w="8118" w:type="dxa"/>
          </w:tcPr>
          <w:p w:rsidR="00865E33" w:rsidRPr="00B9644F" w:rsidRDefault="00865E33" w:rsidP="0017605E">
            <w:pPr>
              <w:rPr>
                <w:sz w:val="20"/>
                <w:szCs w:val="20"/>
              </w:rPr>
            </w:pPr>
            <w:r w:rsidRPr="00865E33">
              <w:rPr>
                <w:rStyle w:val="SCCCoramChar"/>
                <w:sz w:val="20"/>
                <w:szCs w:val="20"/>
                <w:lang w:val="en-CA"/>
              </w:rPr>
              <w:t>Deschamps, Fish and Karakatsanis JJ.</w:t>
            </w:r>
          </w:p>
          <w:p w:rsidR="00865E33" w:rsidRPr="00B9644F" w:rsidRDefault="00865E33" w:rsidP="0017605E">
            <w:pPr>
              <w:rPr>
                <w:sz w:val="20"/>
                <w:szCs w:val="20"/>
                <w:u w:val="single"/>
              </w:rPr>
            </w:pPr>
          </w:p>
        </w:tc>
      </w:tr>
      <w:tr w:rsidR="00865E33" w:rsidRPr="00643997" w:rsidTr="0017605E">
        <w:trPr>
          <w:cantSplit/>
        </w:trPr>
        <w:tc>
          <w:tcPr>
            <w:tcW w:w="9576" w:type="dxa"/>
            <w:gridSpan w:val="2"/>
          </w:tcPr>
          <w:p w:rsidR="00865E33" w:rsidRPr="00B9644F" w:rsidRDefault="00865E33" w:rsidP="0017605E">
            <w:pPr>
              <w:pStyle w:val="SCCShortJudgment"/>
              <w:rPr>
                <w:szCs w:val="20"/>
              </w:rPr>
            </w:pPr>
            <w:r w:rsidRPr="00B9644F">
              <w:rPr>
                <w:szCs w:val="20"/>
              </w:rPr>
              <w:t>The application for leave to appeal from the judgment of the Court of Appeal for Ontario, Number  C52858, 2011 ONCA 683, dated November 3, 2011, is dismissed with costs.</w:t>
            </w:r>
          </w:p>
          <w:p w:rsidR="00865E33" w:rsidRPr="00B9644F" w:rsidRDefault="00865E33" w:rsidP="0017605E">
            <w:pPr>
              <w:pStyle w:val="SCCShortJudgment"/>
              <w:ind w:firstLine="0"/>
              <w:rPr>
                <w:szCs w:val="20"/>
              </w:rPr>
            </w:pPr>
          </w:p>
          <w:p w:rsidR="00865E33" w:rsidRPr="00B9644F" w:rsidRDefault="00865E33" w:rsidP="0017605E">
            <w:pPr>
              <w:pStyle w:val="SCCShortJudgment"/>
              <w:rPr>
                <w:szCs w:val="20"/>
                <w:lang w:val="fr-CA"/>
              </w:rPr>
            </w:pPr>
            <w:r w:rsidRPr="00B9644F">
              <w:rPr>
                <w:szCs w:val="20"/>
                <w:lang w:val="fr-CA"/>
              </w:rPr>
              <w:t>La demande d’autorisation d’appel de l’arrêt de la Cour d’appel de l’Ontario, numéro C52858, 2011 ONCA 683, daté du 3 novembre 2011, est rejetée avec dépens.</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67F02" w:rsidRPr="00096A4B" w:rsidTr="00970CF7">
        <w:tc>
          <w:tcPr>
            <w:tcW w:w="5000" w:type="pct"/>
            <w:gridSpan w:val="3"/>
          </w:tcPr>
          <w:p w:rsidR="00967F02" w:rsidRPr="00096A4B" w:rsidRDefault="00967F02" w:rsidP="00970CF7">
            <w:pPr>
              <w:jc w:val="both"/>
              <w:rPr>
                <w:rFonts w:eastAsia="Calibri"/>
                <w:sz w:val="20"/>
              </w:rPr>
            </w:pPr>
            <w:r w:rsidRPr="00096A4B">
              <w:rPr>
                <w:rFonts w:eastAsia="Calibri"/>
                <w:sz w:val="20"/>
              </w:rPr>
              <w:t xml:space="preserve">Insurance </w:t>
            </w:r>
            <w:r w:rsidRPr="00096A4B">
              <w:rPr>
                <w:rFonts w:eastAsia="Calibri"/>
                <w:sz w:val="20"/>
              </w:rPr>
              <w:noBreakHyphen/>
              <w:t xml:space="preserve"> Commercial law </w:t>
            </w:r>
            <w:r w:rsidRPr="00096A4B">
              <w:rPr>
                <w:rFonts w:eastAsia="Calibri"/>
                <w:sz w:val="20"/>
              </w:rPr>
              <w:noBreakHyphen/>
              <w:t xml:space="preserve"> Corporations </w:t>
            </w:r>
            <w:r w:rsidRPr="00096A4B">
              <w:rPr>
                <w:rFonts w:eastAsia="Calibri"/>
                <w:sz w:val="20"/>
              </w:rPr>
              <w:noBreakHyphen/>
              <w:t xml:space="preserve"> Remedies </w:t>
            </w:r>
            <w:r w:rsidRPr="00096A4B">
              <w:rPr>
                <w:rFonts w:eastAsia="Calibri"/>
                <w:sz w:val="20"/>
              </w:rPr>
              <w:noBreakHyphen/>
              <w:t xml:space="preserve"> Scope of remedial provision contained in s. 1031 of the </w:t>
            </w:r>
            <w:r w:rsidRPr="00096A4B">
              <w:rPr>
                <w:rFonts w:eastAsia="Calibri"/>
                <w:i/>
                <w:sz w:val="20"/>
              </w:rPr>
              <w:t>Insurance Companies Act</w:t>
            </w:r>
            <w:r w:rsidRPr="00096A4B">
              <w:rPr>
                <w:rFonts w:eastAsia="Calibri"/>
                <w:sz w:val="20"/>
              </w:rPr>
              <w:t xml:space="preserve">, S.C. 1991, c. 47 </w:t>
            </w:r>
            <w:r w:rsidRPr="00096A4B">
              <w:rPr>
                <w:rFonts w:eastAsia="Calibri"/>
                <w:sz w:val="20"/>
              </w:rPr>
              <w:noBreakHyphen/>
              <w:t xml:space="preserve"> Whether s. 1031 is to be given a broad interpretation in harmony with remedies found in provincial class proceedings legislation or whether discretion conferred by section is tempered by principle of minimal interference in corporate affairs.</w:t>
            </w:r>
          </w:p>
        </w:tc>
      </w:tr>
      <w:tr w:rsidR="00967F02" w:rsidRPr="00096A4B" w:rsidTr="00970CF7">
        <w:tc>
          <w:tcPr>
            <w:tcW w:w="5000" w:type="pct"/>
            <w:gridSpan w:val="3"/>
          </w:tcPr>
          <w:p w:rsidR="00967F02" w:rsidRPr="00096A4B" w:rsidRDefault="00967F02" w:rsidP="00970CF7">
            <w:pPr>
              <w:jc w:val="both"/>
              <w:rPr>
                <w:rFonts w:eastAsia="Calibri"/>
                <w:sz w:val="20"/>
              </w:rPr>
            </w:pPr>
          </w:p>
        </w:tc>
      </w:tr>
      <w:tr w:rsidR="00967F02" w:rsidRPr="00096A4B" w:rsidTr="00970CF7">
        <w:tc>
          <w:tcPr>
            <w:tcW w:w="5000" w:type="pct"/>
            <w:gridSpan w:val="3"/>
          </w:tcPr>
          <w:p w:rsidR="00967F02" w:rsidRPr="00096A4B" w:rsidRDefault="00967F02" w:rsidP="00970CF7">
            <w:pPr>
              <w:jc w:val="both"/>
              <w:rPr>
                <w:rFonts w:eastAsia="Calibri"/>
                <w:sz w:val="20"/>
              </w:rPr>
            </w:pPr>
            <w:r w:rsidRPr="00096A4B">
              <w:rPr>
                <w:rFonts w:eastAsia="Calibri"/>
                <w:sz w:val="20"/>
              </w:rPr>
              <w:t>Two class actions were brought following the acquisition of London Life Insurance Company by The Great</w:t>
            </w:r>
            <w:r w:rsidRPr="00096A4B">
              <w:rPr>
                <w:rFonts w:eastAsia="Calibri"/>
                <w:sz w:val="20"/>
              </w:rPr>
              <w:noBreakHyphen/>
              <w:t>West Life Assurance Company in 1997.  The members of the classes consist of holders of the participating life insurance policies of the two companies.  It was anticipated that the merger of the two companies' operations would lead to substantial synergistic benefits that would result in reduced expenses, which in part would benefit the companies' participating insurance policy accounts.  At issue was the validity of what are referred to as the participating account transactions, whereby $220 million in cash from the accounts was exchanged for what were called pre</w:t>
            </w:r>
            <w:r w:rsidRPr="00096A4B">
              <w:rPr>
                <w:rFonts w:eastAsia="Calibri"/>
                <w:sz w:val="20"/>
              </w:rPr>
              <w:noBreakHyphen/>
              <w:t>paid expense assets, which represented the anticipated expense savings to be realized by those accounts over a 25</w:t>
            </w:r>
            <w:r w:rsidRPr="00096A4B">
              <w:rPr>
                <w:rFonts w:eastAsia="Calibri"/>
                <w:sz w:val="20"/>
              </w:rPr>
              <w:noBreakHyphen/>
              <w:t>year period.  The $220 million was used to finance approximately 7.5 percent of the $2.9 billion acquisition price.</w:t>
            </w:r>
          </w:p>
          <w:p w:rsidR="00967F02" w:rsidRPr="00096A4B" w:rsidRDefault="00967F02" w:rsidP="00970CF7">
            <w:pPr>
              <w:jc w:val="both"/>
              <w:rPr>
                <w:rFonts w:eastAsia="Calibri"/>
                <w:sz w:val="20"/>
              </w:rPr>
            </w:pPr>
          </w:p>
          <w:p w:rsidR="00967F02" w:rsidRPr="00096A4B" w:rsidRDefault="00967F02" w:rsidP="00970CF7">
            <w:pPr>
              <w:jc w:val="both"/>
              <w:rPr>
                <w:rFonts w:eastAsia="Calibri"/>
                <w:sz w:val="20"/>
              </w:rPr>
            </w:pPr>
            <w:r w:rsidRPr="00096A4B">
              <w:rPr>
                <w:rFonts w:eastAsia="Calibri"/>
                <w:sz w:val="20"/>
              </w:rPr>
              <w:t xml:space="preserve">After a common issues trial, the trial judge found that the transactions breached four provisions of the </w:t>
            </w:r>
            <w:r w:rsidRPr="00096A4B">
              <w:rPr>
                <w:rFonts w:eastAsia="Calibri"/>
                <w:i/>
                <w:sz w:val="20"/>
              </w:rPr>
              <w:t xml:space="preserve">Insurance Companies Act.  </w:t>
            </w:r>
            <w:r w:rsidRPr="00096A4B">
              <w:rPr>
                <w:rFonts w:eastAsia="Calibri"/>
                <w:sz w:val="20"/>
              </w:rPr>
              <w:t>She</w:t>
            </w:r>
            <w:r w:rsidRPr="00096A4B">
              <w:rPr>
                <w:rFonts w:eastAsia="Calibri"/>
                <w:i/>
                <w:sz w:val="20"/>
              </w:rPr>
              <w:t xml:space="preserve"> </w:t>
            </w:r>
            <w:r w:rsidRPr="00096A4B">
              <w:rPr>
                <w:rFonts w:eastAsia="Calibri"/>
                <w:sz w:val="20"/>
              </w:rPr>
              <w:t>made a number of remedial orders pursuant to s. 1031 of the Act.  The Court of Appeal allowed the appeal in part, concluding that the trial judge had erred in formulating the remedy pursuant to s. 1031.</w:t>
            </w:r>
          </w:p>
          <w:p w:rsidR="00967F02" w:rsidRPr="00096A4B" w:rsidRDefault="00967F02" w:rsidP="00970CF7">
            <w:pPr>
              <w:jc w:val="both"/>
              <w:rPr>
                <w:rFonts w:eastAsia="Calibri"/>
                <w:sz w:val="20"/>
              </w:rPr>
            </w:pPr>
          </w:p>
        </w:tc>
      </w:tr>
      <w:tr w:rsidR="00967F02" w:rsidRPr="00096A4B" w:rsidTr="00970CF7">
        <w:tc>
          <w:tcPr>
            <w:tcW w:w="2427" w:type="pct"/>
          </w:tcPr>
          <w:p w:rsidR="00967F02" w:rsidRPr="00096A4B" w:rsidRDefault="00967F02" w:rsidP="00970CF7">
            <w:pPr>
              <w:jc w:val="both"/>
              <w:rPr>
                <w:rFonts w:eastAsia="Calibri"/>
                <w:sz w:val="20"/>
              </w:rPr>
            </w:pPr>
            <w:r w:rsidRPr="00096A4B">
              <w:rPr>
                <w:rFonts w:eastAsia="Calibri"/>
                <w:sz w:val="20"/>
              </w:rPr>
              <w:t>April 8, 2008</w:t>
            </w:r>
          </w:p>
          <w:p w:rsidR="00967F02" w:rsidRPr="00096A4B" w:rsidRDefault="00967F02" w:rsidP="00970CF7">
            <w:pPr>
              <w:jc w:val="both"/>
              <w:rPr>
                <w:rFonts w:eastAsia="Calibri"/>
                <w:sz w:val="20"/>
              </w:rPr>
            </w:pPr>
            <w:r w:rsidRPr="00096A4B">
              <w:rPr>
                <w:rFonts w:eastAsia="Calibri"/>
                <w:sz w:val="20"/>
              </w:rPr>
              <w:t>Ontario Superior Court of Justice</w:t>
            </w:r>
          </w:p>
          <w:p w:rsidR="00967F02" w:rsidRPr="00096A4B" w:rsidRDefault="00967F02" w:rsidP="00970CF7">
            <w:pPr>
              <w:jc w:val="both"/>
              <w:rPr>
                <w:rFonts w:eastAsia="Calibri"/>
                <w:sz w:val="20"/>
              </w:rPr>
            </w:pPr>
            <w:r w:rsidRPr="00096A4B">
              <w:rPr>
                <w:rFonts w:eastAsia="Calibri"/>
                <w:sz w:val="20"/>
              </w:rPr>
              <w:t>(Leitch J.)</w:t>
            </w:r>
          </w:p>
          <w:p w:rsidR="00967F02" w:rsidRPr="00096A4B" w:rsidRDefault="00967F02" w:rsidP="00970CF7">
            <w:pPr>
              <w:jc w:val="both"/>
              <w:rPr>
                <w:rFonts w:eastAsia="Calibri"/>
                <w:sz w:val="20"/>
              </w:rPr>
            </w:pPr>
          </w:p>
        </w:tc>
        <w:tc>
          <w:tcPr>
            <w:tcW w:w="243" w:type="pct"/>
          </w:tcPr>
          <w:p w:rsidR="00967F02" w:rsidRPr="00096A4B" w:rsidRDefault="00967F02" w:rsidP="00970CF7">
            <w:pPr>
              <w:jc w:val="both"/>
              <w:rPr>
                <w:rFonts w:eastAsia="Calibri"/>
                <w:sz w:val="20"/>
              </w:rPr>
            </w:pPr>
          </w:p>
        </w:tc>
        <w:tc>
          <w:tcPr>
            <w:tcW w:w="2330" w:type="pct"/>
          </w:tcPr>
          <w:p w:rsidR="00967F02" w:rsidRPr="00096A4B" w:rsidRDefault="00967F02" w:rsidP="00970CF7">
            <w:pPr>
              <w:jc w:val="both"/>
              <w:rPr>
                <w:rFonts w:eastAsia="Calibri"/>
                <w:sz w:val="20"/>
              </w:rPr>
            </w:pPr>
            <w:r w:rsidRPr="00096A4B">
              <w:rPr>
                <w:rFonts w:eastAsia="Calibri"/>
                <w:sz w:val="20"/>
              </w:rPr>
              <w:t>Actions ordered to be certified as class proceedings</w:t>
            </w:r>
          </w:p>
          <w:p w:rsidR="00967F02" w:rsidRPr="00096A4B" w:rsidRDefault="00967F02" w:rsidP="00970CF7">
            <w:pPr>
              <w:jc w:val="both"/>
              <w:rPr>
                <w:rFonts w:eastAsia="Calibri"/>
                <w:sz w:val="20"/>
              </w:rPr>
            </w:pPr>
          </w:p>
        </w:tc>
      </w:tr>
      <w:tr w:rsidR="00967F02" w:rsidRPr="00096A4B" w:rsidTr="00970CF7">
        <w:tc>
          <w:tcPr>
            <w:tcW w:w="2427" w:type="pct"/>
          </w:tcPr>
          <w:p w:rsidR="00967F02" w:rsidRPr="00096A4B" w:rsidRDefault="00967F02" w:rsidP="00970CF7">
            <w:pPr>
              <w:jc w:val="both"/>
              <w:rPr>
                <w:rFonts w:eastAsia="Calibri"/>
                <w:sz w:val="20"/>
              </w:rPr>
            </w:pPr>
            <w:r w:rsidRPr="00096A4B">
              <w:rPr>
                <w:rFonts w:eastAsia="Calibri"/>
                <w:sz w:val="20"/>
              </w:rPr>
              <w:t>September 3, 2008</w:t>
            </w:r>
          </w:p>
          <w:p w:rsidR="00967F02" w:rsidRPr="00096A4B" w:rsidRDefault="00967F02" w:rsidP="00970CF7">
            <w:pPr>
              <w:jc w:val="both"/>
              <w:rPr>
                <w:rFonts w:eastAsia="Calibri"/>
                <w:sz w:val="20"/>
              </w:rPr>
            </w:pPr>
            <w:r w:rsidRPr="00096A4B">
              <w:rPr>
                <w:rFonts w:eastAsia="Calibri"/>
                <w:sz w:val="20"/>
              </w:rPr>
              <w:t>Ontario Divisional Court</w:t>
            </w:r>
          </w:p>
          <w:p w:rsidR="00967F02" w:rsidRPr="00096A4B" w:rsidRDefault="00967F02" w:rsidP="00970CF7">
            <w:pPr>
              <w:jc w:val="both"/>
              <w:rPr>
                <w:rFonts w:eastAsia="Calibri"/>
                <w:sz w:val="20"/>
              </w:rPr>
            </w:pPr>
            <w:r w:rsidRPr="00096A4B">
              <w:rPr>
                <w:rFonts w:eastAsia="Calibri"/>
                <w:sz w:val="20"/>
              </w:rPr>
              <w:t>(Carnwaith, Aston and Swinton JJ.)</w:t>
            </w:r>
          </w:p>
          <w:p w:rsidR="00967F02" w:rsidRPr="00096A4B" w:rsidRDefault="00967F02" w:rsidP="00970CF7">
            <w:pPr>
              <w:jc w:val="both"/>
              <w:rPr>
                <w:rFonts w:eastAsia="Calibri"/>
                <w:sz w:val="20"/>
              </w:rPr>
            </w:pPr>
          </w:p>
        </w:tc>
        <w:tc>
          <w:tcPr>
            <w:tcW w:w="243" w:type="pct"/>
          </w:tcPr>
          <w:p w:rsidR="00967F02" w:rsidRPr="00096A4B" w:rsidRDefault="00967F02" w:rsidP="00970CF7">
            <w:pPr>
              <w:jc w:val="both"/>
              <w:rPr>
                <w:rFonts w:eastAsia="Calibri"/>
                <w:sz w:val="20"/>
              </w:rPr>
            </w:pPr>
          </w:p>
        </w:tc>
        <w:tc>
          <w:tcPr>
            <w:tcW w:w="2330" w:type="pct"/>
          </w:tcPr>
          <w:p w:rsidR="00967F02" w:rsidRPr="00096A4B" w:rsidRDefault="00967F02" w:rsidP="00970CF7">
            <w:pPr>
              <w:jc w:val="both"/>
              <w:rPr>
                <w:rFonts w:eastAsia="Calibri"/>
                <w:sz w:val="20"/>
              </w:rPr>
            </w:pPr>
            <w:r w:rsidRPr="00096A4B">
              <w:rPr>
                <w:rFonts w:eastAsia="Calibri"/>
                <w:sz w:val="20"/>
              </w:rPr>
              <w:t>Appeal dismissed</w:t>
            </w:r>
          </w:p>
        </w:tc>
      </w:tr>
      <w:tr w:rsidR="00967F02" w:rsidRPr="00096A4B" w:rsidTr="00970CF7">
        <w:tc>
          <w:tcPr>
            <w:tcW w:w="2427" w:type="pct"/>
          </w:tcPr>
          <w:p w:rsidR="00967F02" w:rsidRPr="00096A4B" w:rsidRDefault="00967F02" w:rsidP="00970CF7">
            <w:pPr>
              <w:jc w:val="both"/>
              <w:rPr>
                <w:rFonts w:eastAsia="Calibri"/>
                <w:sz w:val="20"/>
              </w:rPr>
            </w:pPr>
            <w:r w:rsidRPr="00096A4B">
              <w:rPr>
                <w:rFonts w:eastAsia="Calibri"/>
                <w:sz w:val="20"/>
              </w:rPr>
              <w:t>October 1, 2010</w:t>
            </w:r>
          </w:p>
          <w:p w:rsidR="00967F02" w:rsidRPr="00096A4B" w:rsidRDefault="00967F02" w:rsidP="00970CF7">
            <w:pPr>
              <w:jc w:val="both"/>
              <w:rPr>
                <w:rFonts w:eastAsia="Calibri"/>
                <w:sz w:val="20"/>
              </w:rPr>
            </w:pPr>
            <w:r w:rsidRPr="00096A4B">
              <w:rPr>
                <w:rFonts w:eastAsia="Calibri"/>
                <w:sz w:val="20"/>
              </w:rPr>
              <w:t>Ontario Superior Court of Justice</w:t>
            </w:r>
          </w:p>
          <w:p w:rsidR="00967F02" w:rsidRPr="00096A4B" w:rsidRDefault="00967F02" w:rsidP="00970CF7">
            <w:pPr>
              <w:jc w:val="both"/>
              <w:rPr>
                <w:rFonts w:eastAsia="Calibri"/>
                <w:sz w:val="20"/>
              </w:rPr>
            </w:pPr>
            <w:r w:rsidRPr="00096A4B">
              <w:rPr>
                <w:rFonts w:eastAsia="Calibri"/>
                <w:sz w:val="20"/>
              </w:rPr>
              <w:t>(Morissette J.)</w:t>
            </w:r>
          </w:p>
          <w:p w:rsidR="00967F02" w:rsidRPr="00096A4B" w:rsidRDefault="00967F02" w:rsidP="00970CF7">
            <w:pPr>
              <w:jc w:val="both"/>
              <w:rPr>
                <w:rFonts w:eastAsia="Calibri"/>
                <w:sz w:val="20"/>
              </w:rPr>
            </w:pPr>
            <w:r w:rsidRPr="00096A4B">
              <w:rPr>
                <w:rFonts w:eastAsia="Calibri"/>
                <w:sz w:val="20"/>
              </w:rPr>
              <w:t>2010 ONSC 4938</w:t>
            </w:r>
          </w:p>
          <w:p w:rsidR="00967F02" w:rsidRPr="00096A4B" w:rsidRDefault="00967F02" w:rsidP="00970CF7">
            <w:pPr>
              <w:jc w:val="both"/>
              <w:rPr>
                <w:rFonts w:eastAsia="Calibri"/>
                <w:sz w:val="20"/>
              </w:rPr>
            </w:pPr>
          </w:p>
        </w:tc>
        <w:tc>
          <w:tcPr>
            <w:tcW w:w="243" w:type="pct"/>
          </w:tcPr>
          <w:p w:rsidR="00967F02" w:rsidRPr="00096A4B" w:rsidRDefault="00967F02" w:rsidP="00970CF7">
            <w:pPr>
              <w:jc w:val="both"/>
              <w:rPr>
                <w:rFonts w:eastAsia="Calibri"/>
                <w:sz w:val="20"/>
              </w:rPr>
            </w:pPr>
          </w:p>
        </w:tc>
        <w:tc>
          <w:tcPr>
            <w:tcW w:w="2330" w:type="pct"/>
          </w:tcPr>
          <w:p w:rsidR="00967F02" w:rsidRPr="00096A4B" w:rsidRDefault="00967F02" w:rsidP="00970CF7">
            <w:pPr>
              <w:jc w:val="both"/>
              <w:rPr>
                <w:rFonts w:eastAsia="Calibri"/>
                <w:sz w:val="20"/>
              </w:rPr>
            </w:pPr>
            <w:r w:rsidRPr="00096A4B">
              <w:rPr>
                <w:rFonts w:eastAsia="Calibri"/>
                <w:sz w:val="20"/>
              </w:rPr>
              <w:t>Various remedial orders made</w:t>
            </w:r>
          </w:p>
          <w:p w:rsidR="00967F02" w:rsidRPr="00096A4B" w:rsidRDefault="00967F02" w:rsidP="00970CF7">
            <w:pPr>
              <w:jc w:val="both"/>
              <w:rPr>
                <w:rFonts w:eastAsia="Calibri"/>
                <w:sz w:val="20"/>
              </w:rPr>
            </w:pPr>
          </w:p>
        </w:tc>
      </w:tr>
      <w:tr w:rsidR="00967F02" w:rsidRPr="00096A4B" w:rsidTr="00865E33">
        <w:trPr>
          <w:cantSplit/>
        </w:trPr>
        <w:tc>
          <w:tcPr>
            <w:tcW w:w="2427" w:type="pct"/>
          </w:tcPr>
          <w:p w:rsidR="00967F02" w:rsidRPr="00096A4B" w:rsidRDefault="00967F02" w:rsidP="00970CF7">
            <w:pPr>
              <w:jc w:val="both"/>
              <w:rPr>
                <w:rFonts w:eastAsia="Calibri"/>
                <w:sz w:val="20"/>
              </w:rPr>
            </w:pPr>
            <w:r w:rsidRPr="00096A4B">
              <w:rPr>
                <w:rFonts w:eastAsia="Calibri"/>
                <w:sz w:val="20"/>
              </w:rPr>
              <w:lastRenderedPageBreak/>
              <w:t>November 3, 2011</w:t>
            </w:r>
          </w:p>
          <w:p w:rsidR="00967F02" w:rsidRPr="00096A4B" w:rsidRDefault="00967F02" w:rsidP="00970CF7">
            <w:pPr>
              <w:jc w:val="both"/>
              <w:rPr>
                <w:rFonts w:eastAsia="Calibri"/>
                <w:sz w:val="20"/>
              </w:rPr>
            </w:pPr>
            <w:r w:rsidRPr="00096A4B">
              <w:rPr>
                <w:rFonts w:eastAsia="Calibri"/>
                <w:sz w:val="20"/>
              </w:rPr>
              <w:t>Court of Appeal for Ontario</w:t>
            </w:r>
          </w:p>
          <w:p w:rsidR="00967F02" w:rsidRPr="00096A4B" w:rsidRDefault="00967F02" w:rsidP="00970CF7">
            <w:pPr>
              <w:jc w:val="both"/>
              <w:rPr>
                <w:rFonts w:eastAsia="Calibri"/>
                <w:sz w:val="20"/>
              </w:rPr>
            </w:pPr>
            <w:r w:rsidRPr="00096A4B">
              <w:rPr>
                <w:rFonts w:eastAsia="Calibri"/>
                <w:sz w:val="20"/>
              </w:rPr>
              <w:t>(O'Connor A.C.J.O., Blair and LaForme JJ.A.)</w:t>
            </w:r>
          </w:p>
          <w:p w:rsidR="00967F02" w:rsidRPr="00096A4B" w:rsidRDefault="00967F02" w:rsidP="00970CF7">
            <w:pPr>
              <w:jc w:val="both"/>
              <w:rPr>
                <w:rFonts w:eastAsia="Calibri"/>
                <w:sz w:val="20"/>
              </w:rPr>
            </w:pPr>
            <w:r w:rsidRPr="00096A4B">
              <w:rPr>
                <w:rFonts w:eastAsia="Calibri"/>
                <w:sz w:val="20"/>
              </w:rPr>
              <w:t>2011 ONCA 683</w:t>
            </w:r>
          </w:p>
          <w:p w:rsidR="00967F02" w:rsidRPr="00096A4B" w:rsidRDefault="00967F02" w:rsidP="00970CF7">
            <w:pPr>
              <w:jc w:val="both"/>
              <w:rPr>
                <w:rFonts w:eastAsia="Calibri"/>
                <w:sz w:val="20"/>
              </w:rPr>
            </w:pPr>
          </w:p>
        </w:tc>
        <w:tc>
          <w:tcPr>
            <w:tcW w:w="243" w:type="pct"/>
          </w:tcPr>
          <w:p w:rsidR="00967F02" w:rsidRPr="00096A4B" w:rsidRDefault="00967F02" w:rsidP="00970CF7">
            <w:pPr>
              <w:jc w:val="both"/>
              <w:rPr>
                <w:rFonts w:eastAsia="Calibri"/>
                <w:sz w:val="20"/>
              </w:rPr>
            </w:pPr>
          </w:p>
        </w:tc>
        <w:tc>
          <w:tcPr>
            <w:tcW w:w="2330" w:type="pct"/>
          </w:tcPr>
          <w:p w:rsidR="00967F02" w:rsidRPr="00096A4B" w:rsidRDefault="00967F02" w:rsidP="00970CF7">
            <w:pPr>
              <w:jc w:val="both"/>
              <w:rPr>
                <w:rFonts w:eastAsia="Calibri"/>
                <w:sz w:val="20"/>
              </w:rPr>
            </w:pPr>
            <w:r w:rsidRPr="00096A4B">
              <w:rPr>
                <w:rFonts w:eastAsia="Calibri"/>
                <w:sz w:val="20"/>
              </w:rPr>
              <w:t>Appeal allowed in part</w:t>
            </w:r>
          </w:p>
        </w:tc>
      </w:tr>
      <w:tr w:rsidR="00967F02" w:rsidRPr="00096A4B" w:rsidTr="00865E33">
        <w:trPr>
          <w:cantSplit/>
        </w:trPr>
        <w:tc>
          <w:tcPr>
            <w:tcW w:w="2427" w:type="pct"/>
          </w:tcPr>
          <w:p w:rsidR="00967F02" w:rsidRPr="00096A4B" w:rsidRDefault="00967F02" w:rsidP="00970CF7">
            <w:pPr>
              <w:jc w:val="both"/>
              <w:rPr>
                <w:rFonts w:eastAsia="Calibri"/>
                <w:sz w:val="20"/>
              </w:rPr>
            </w:pPr>
            <w:r w:rsidRPr="00096A4B">
              <w:rPr>
                <w:rFonts w:eastAsia="Calibri"/>
                <w:sz w:val="20"/>
              </w:rPr>
              <w:t>January 3, 2012</w:t>
            </w:r>
          </w:p>
          <w:p w:rsidR="00967F02" w:rsidRPr="00096A4B" w:rsidRDefault="00967F02" w:rsidP="00970CF7">
            <w:pPr>
              <w:jc w:val="both"/>
              <w:rPr>
                <w:rFonts w:eastAsia="Calibri"/>
                <w:sz w:val="20"/>
              </w:rPr>
            </w:pPr>
            <w:r w:rsidRPr="00096A4B">
              <w:rPr>
                <w:rFonts w:eastAsia="Calibri"/>
                <w:sz w:val="20"/>
              </w:rPr>
              <w:t>Supreme Court of Canada</w:t>
            </w:r>
          </w:p>
        </w:tc>
        <w:tc>
          <w:tcPr>
            <w:tcW w:w="243" w:type="pct"/>
          </w:tcPr>
          <w:p w:rsidR="00967F02" w:rsidRPr="00096A4B" w:rsidRDefault="00967F02" w:rsidP="00970CF7">
            <w:pPr>
              <w:jc w:val="both"/>
              <w:rPr>
                <w:rFonts w:eastAsia="Calibri"/>
                <w:sz w:val="20"/>
              </w:rPr>
            </w:pPr>
          </w:p>
        </w:tc>
        <w:tc>
          <w:tcPr>
            <w:tcW w:w="2330" w:type="pct"/>
          </w:tcPr>
          <w:p w:rsidR="00967F02" w:rsidRPr="00096A4B" w:rsidRDefault="00967F02" w:rsidP="00970CF7">
            <w:pPr>
              <w:jc w:val="both"/>
              <w:rPr>
                <w:rFonts w:eastAsia="Calibri"/>
                <w:sz w:val="20"/>
              </w:rPr>
            </w:pPr>
            <w:r w:rsidRPr="00096A4B">
              <w:rPr>
                <w:rFonts w:eastAsia="Calibri"/>
                <w:sz w:val="20"/>
              </w:rPr>
              <w:t>Application for leave to appeal filed</w:t>
            </w:r>
          </w:p>
          <w:p w:rsidR="00967F02" w:rsidRPr="00096A4B" w:rsidRDefault="00967F02" w:rsidP="00970CF7">
            <w:pPr>
              <w:jc w:val="both"/>
              <w:rPr>
                <w:rFonts w:eastAsia="Calibri"/>
                <w:sz w:val="20"/>
              </w:rPr>
            </w:pP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55"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67F02" w:rsidRPr="00643997" w:rsidTr="00970CF7">
        <w:tc>
          <w:tcPr>
            <w:tcW w:w="5000" w:type="pct"/>
            <w:gridSpan w:val="3"/>
          </w:tcPr>
          <w:p w:rsidR="00967F02" w:rsidRPr="00096A4B" w:rsidRDefault="00967F02" w:rsidP="00970CF7">
            <w:pPr>
              <w:jc w:val="both"/>
              <w:rPr>
                <w:rFonts w:eastAsia="Calibri"/>
                <w:sz w:val="20"/>
                <w:lang w:val="fr-CA"/>
              </w:rPr>
            </w:pPr>
            <w:r w:rsidRPr="00096A4B">
              <w:rPr>
                <w:rFonts w:eastAsia="Calibri"/>
                <w:sz w:val="20"/>
                <w:lang w:val="fr-CA"/>
              </w:rPr>
              <w:t xml:space="preserve">Assurance </w:t>
            </w:r>
            <w:r w:rsidRPr="00096A4B">
              <w:rPr>
                <w:rFonts w:eastAsia="Calibri"/>
                <w:sz w:val="20"/>
                <w:lang w:val="fr-CA"/>
              </w:rPr>
              <w:noBreakHyphen/>
              <w:t xml:space="preserve"> Droit commercial </w:t>
            </w:r>
            <w:r w:rsidRPr="00096A4B">
              <w:rPr>
                <w:rFonts w:eastAsia="Calibri"/>
                <w:sz w:val="20"/>
                <w:lang w:val="fr-CA"/>
              </w:rPr>
              <w:noBreakHyphen/>
              <w:t xml:space="preserve"> Sociétés par actions </w:t>
            </w:r>
            <w:r w:rsidRPr="00096A4B">
              <w:rPr>
                <w:rFonts w:eastAsia="Calibri"/>
                <w:sz w:val="20"/>
                <w:lang w:val="fr-CA"/>
              </w:rPr>
              <w:noBreakHyphen/>
              <w:t xml:space="preserve"> Recours </w:t>
            </w:r>
            <w:r w:rsidRPr="00096A4B">
              <w:rPr>
                <w:rFonts w:eastAsia="Calibri"/>
                <w:sz w:val="20"/>
                <w:lang w:val="fr-CA"/>
              </w:rPr>
              <w:noBreakHyphen/>
              <w:t xml:space="preserve"> Portée de la disposition réparatrice de l’art. 1031 de la</w:t>
            </w:r>
            <w:r w:rsidRPr="00096A4B">
              <w:rPr>
                <w:rFonts w:eastAsia="Calibri"/>
                <w:i/>
                <w:sz w:val="20"/>
                <w:lang w:val="fr-CA"/>
              </w:rPr>
              <w:t xml:space="preserve"> Loi sur les sociétés d'assurances</w:t>
            </w:r>
            <w:r w:rsidRPr="00096A4B">
              <w:rPr>
                <w:rFonts w:eastAsia="Calibri"/>
                <w:sz w:val="20"/>
                <w:lang w:val="fr-CA"/>
              </w:rPr>
              <w:t xml:space="preserve">, L.C. 1991, ch. 47 </w:t>
            </w:r>
            <w:r w:rsidRPr="00096A4B">
              <w:rPr>
                <w:rFonts w:eastAsia="Calibri"/>
                <w:sz w:val="20"/>
                <w:lang w:val="fr-CA"/>
              </w:rPr>
              <w:noBreakHyphen/>
              <w:t xml:space="preserve"> Doit</w:t>
            </w:r>
            <w:r w:rsidRPr="00096A4B">
              <w:rPr>
                <w:rFonts w:eastAsia="Calibri"/>
                <w:sz w:val="20"/>
                <w:lang w:val="fr-CA"/>
              </w:rPr>
              <w:noBreakHyphen/>
              <w:t>on donner à l'art. 1031 une interprétation libérale en harmonie avec les recours prévus dans les lois provinciales sur les recours collectifs ou bien est</w:t>
            </w:r>
            <w:r w:rsidRPr="00096A4B">
              <w:rPr>
                <w:rFonts w:eastAsia="Calibri"/>
                <w:sz w:val="20"/>
                <w:lang w:val="fr-CA"/>
              </w:rPr>
              <w:noBreakHyphen/>
              <w:t>ce que le pouvoir discrétionnaire conféré par l'article est atténué par le principe de l'ingérence minimale dans les affaires d'une société?</w:t>
            </w:r>
          </w:p>
        </w:tc>
      </w:tr>
      <w:tr w:rsidR="00967F02" w:rsidRPr="00643997" w:rsidTr="00970CF7">
        <w:tc>
          <w:tcPr>
            <w:tcW w:w="5000" w:type="pct"/>
            <w:gridSpan w:val="3"/>
          </w:tcPr>
          <w:p w:rsidR="00967F02" w:rsidRPr="00096A4B" w:rsidRDefault="00967F02" w:rsidP="00970CF7">
            <w:pPr>
              <w:jc w:val="both"/>
              <w:rPr>
                <w:rFonts w:eastAsia="Calibri"/>
                <w:sz w:val="20"/>
                <w:lang w:val="fr-CA"/>
              </w:rPr>
            </w:pPr>
          </w:p>
        </w:tc>
      </w:tr>
      <w:tr w:rsidR="00967F02" w:rsidRPr="00096A4B" w:rsidTr="00970CF7">
        <w:tc>
          <w:tcPr>
            <w:tcW w:w="5000" w:type="pct"/>
            <w:gridSpan w:val="3"/>
          </w:tcPr>
          <w:p w:rsidR="00967F02" w:rsidRPr="00096A4B" w:rsidRDefault="00967F02" w:rsidP="00970CF7">
            <w:pPr>
              <w:jc w:val="both"/>
              <w:rPr>
                <w:rFonts w:eastAsia="Calibri"/>
                <w:sz w:val="20"/>
                <w:lang w:val="fr-CA"/>
              </w:rPr>
            </w:pPr>
            <w:r w:rsidRPr="00096A4B">
              <w:rPr>
                <w:rFonts w:eastAsia="Calibri"/>
                <w:sz w:val="20"/>
                <w:lang w:val="fr-CA"/>
              </w:rPr>
              <w:t>Deux recours collectifs ont été intentés à la suite de l'acquisition de la London Life, Compagnie d'Assurance</w:t>
            </w:r>
            <w:r w:rsidRPr="00096A4B">
              <w:rPr>
                <w:rFonts w:eastAsia="Calibri"/>
                <w:sz w:val="20"/>
                <w:lang w:val="fr-CA"/>
              </w:rPr>
              <w:noBreakHyphen/>
              <w:t>Vie par La Great</w:t>
            </w:r>
            <w:r w:rsidRPr="00096A4B">
              <w:rPr>
                <w:rFonts w:eastAsia="Calibri"/>
                <w:sz w:val="20"/>
                <w:lang w:val="fr-CA"/>
              </w:rPr>
              <w:noBreakHyphen/>
              <w:t>West, compagnie d'assurance</w:t>
            </w:r>
            <w:r w:rsidRPr="00096A4B">
              <w:rPr>
                <w:rFonts w:eastAsia="Calibri"/>
                <w:sz w:val="20"/>
                <w:lang w:val="fr-CA"/>
              </w:rPr>
              <w:noBreakHyphen/>
              <w:t>vie en 1997.  Les groupes sont constitués des titulaires de police d'assurance</w:t>
            </w:r>
            <w:r w:rsidRPr="00096A4B">
              <w:rPr>
                <w:rFonts w:eastAsia="Calibri"/>
                <w:sz w:val="20"/>
                <w:lang w:val="fr-CA"/>
              </w:rPr>
              <w:noBreakHyphen/>
              <w:t>vie avec participation des deux sociétés.  On prévoyait que la fusion des activités des deux sociétés allait procurer d’importants avantages synergiques qui auraient eu pour effet de réduire les charges, ce qui profiterait en partie aux comptes de police d'assurance avec participation des sociétés.  Le litige portait sur la validité de ce qu'on appelle les opérations relatives aux comptes des polices avec participation, par lesquelles 220 millions de dollars au comptant provenant des comptes avaient été échangés contre ce que l'on appelait des éléments d'actif sous forme de charges payées d'avance, qui représentaient les économies prévues sur les charges qui seraient réalisées par ces comptes sur une période de 25 ans.  La somme de 220 millions de dollars a été employée pour financer environ 7,5 % du prix d'acquisition de 2,9 milliards de dollars.</w:t>
            </w:r>
          </w:p>
          <w:p w:rsidR="00967F02" w:rsidRPr="00096A4B" w:rsidRDefault="00967F02" w:rsidP="00970CF7">
            <w:pPr>
              <w:jc w:val="both"/>
              <w:rPr>
                <w:rFonts w:eastAsia="Calibri"/>
                <w:sz w:val="20"/>
                <w:lang w:val="fr-CA"/>
              </w:rPr>
            </w:pPr>
          </w:p>
          <w:p w:rsidR="00967F02" w:rsidRPr="00096A4B" w:rsidRDefault="00967F02" w:rsidP="00970CF7">
            <w:pPr>
              <w:jc w:val="both"/>
              <w:rPr>
                <w:rFonts w:eastAsia="Calibri"/>
                <w:sz w:val="20"/>
                <w:lang w:val="fr-CA"/>
              </w:rPr>
            </w:pPr>
            <w:r w:rsidRPr="00096A4B">
              <w:rPr>
                <w:rFonts w:eastAsia="Calibri"/>
                <w:sz w:val="20"/>
                <w:lang w:val="fr-CA"/>
              </w:rPr>
              <w:t>Au terme d'un procès sur les questions communes, la juge de première instance a conclu que les opérations violaient quatre dispositions de la</w:t>
            </w:r>
            <w:r w:rsidRPr="00096A4B">
              <w:rPr>
                <w:rFonts w:eastAsia="Calibri"/>
                <w:i/>
                <w:sz w:val="20"/>
                <w:lang w:val="fr-CA"/>
              </w:rPr>
              <w:t xml:space="preserve"> Loi sur les sociétés d'assurances.  </w:t>
            </w:r>
            <w:r w:rsidRPr="00096A4B">
              <w:rPr>
                <w:rFonts w:eastAsia="Calibri"/>
                <w:sz w:val="20"/>
                <w:lang w:val="fr-CA"/>
              </w:rPr>
              <w:t>Elle a prononcé un certain nombre d'ordonnances réparatrices en vertu de l'art. 1031 de la Loi.  La Cour d'appel a accueilli l'appel en partie, concluant que la juge de première instance avait commis une erreur en formulant la réparation en vertu de l'art. 1031.</w:t>
            </w:r>
          </w:p>
          <w:p w:rsidR="00967F02" w:rsidRPr="00096A4B" w:rsidRDefault="00967F02" w:rsidP="00970CF7">
            <w:pPr>
              <w:jc w:val="both"/>
              <w:rPr>
                <w:rFonts w:eastAsia="Calibri"/>
                <w:sz w:val="20"/>
                <w:lang w:val="fr-CA"/>
              </w:rPr>
            </w:pPr>
          </w:p>
        </w:tc>
      </w:tr>
      <w:tr w:rsidR="00967F02" w:rsidRPr="00643997" w:rsidTr="00970CF7">
        <w:tc>
          <w:tcPr>
            <w:tcW w:w="2427" w:type="pct"/>
          </w:tcPr>
          <w:p w:rsidR="00967F02" w:rsidRPr="00096A4B" w:rsidRDefault="00967F02" w:rsidP="00970CF7">
            <w:pPr>
              <w:jc w:val="both"/>
              <w:rPr>
                <w:rFonts w:eastAsia="Calibri"/>
                <w:sz w:val="20"/>
                <w:lang w:val="fr-CA"/>
              </w:rPr>
            </w:pPr>
            <w:r w:rsidRPr="00096A4B">
              <w:rPr>
                <w:rFonts w:eastAsia="Calibri"/>
                <w:sz w:val="20"/>
                <w:lang w:val="fr-CA"/>
              </w:rPr>
              <w:t>8 avril 2008</w:t>
            </w:r>
          </w:p>
          <w:p w:rsidR="00967F02" w:rsidRPr="00096A4B" w:rsidRDefault="00967F02" w:rsidP="00970CF7">
            <w:pPr>
              <w:jc w:val="both"/>
              <w:rPr>
                <w:rFonts w:eastAsia="Calibri"/>
                <w:sz w:val="20"/>
                <w:lang w:val="fr-CA"/>
              </w:rPr>
            </w:pPr>
            <w:r w:rsidRPr="00096A4B">
              <w:rPr>
                <w:rFonts w:eastAsia="Calibri"/>
                <w:sz w:val="20"/>
                <w:lang w:val="fr-CA"/>
              </w:rPr>
              <w:t xml:space="preserve">Cour supérieure de justice de l'Ontario </w:t>
            </w:r>
          </w:p>
          <w:p w:rsidR="00967F02" w:rsidRPr="00096A4B" w:rsidRDefault="00967F02" w:rsidP="00970CF7">
            <w:pPr>
              <w:jc w:val="both"/>
              <w:rPr>
                <w:rFonts w:eastAsia="Calibri"/>
                <w:sz w:val="20"/>
                <w:lang w:val="fr-CA"/>
              </w:rPr>
            </w:pPr>
            <w:r w:rsidRPr="00096A4B">
              <w:rPr>
                <w:rFonts w:eastAsia="Calibri"/>
                <w:sz w:val="20"/>
                <w:lang w:val="fr-CA"/>
              </w:rPr>
              <w:t>(Juge Leitch)</w:t>
            </w:r>
          </w:p>
          <w:p w:rsidR="00967F02" w:rsidRPr="00096A4B" w:rsidRDefault="00967F02" w:rsidP="00970CF7">
            <w:pPr>
              <w:jc w:val="both"/>
              <w:rPr>
                <w:rFonts w:eastAsia="Calibri"/>
                <w:sz w:val="20"/>
                <w:lang w:val="fr-CA"/>
              </w:rPr>
            </w:pPr>
          </w:p>
        </w:tc>
        <w:tc>
          <w:tcPr>
            <w:tcW w:w="243" w:type="pct"/>
          </w:tcPr>
          <w:p w:rsidR="00967F02" w:rsidRPr="00096A4B" w:rsidRDefault="00967F02" w:rsidP="00970CF7">
            <w:pPr>
              <w:jc w:val="both"/>
              <w:rPr>
                <w:rFonts w:eastAsia="Calibri"/>
                <w:sz w:val="20"/>
                <w:lang w:val="fr-CA"/>
              </w:rPr>
            </w:pPr>
          </w:p>
        </w:tc>
        <w:tc>
          <w:tcPr>
            <w:tcW w:w="2330" w:type="pct"/>
          </w:tcPr>
          <w:p w:rsidR="00967F02" w:rsidRPr="00096A4B" w:rsidRDefault="00967F02" w:rsidP="00970CF7">
            <w:pPr>
              <w:jc w:val="both"/>
              <w:rPr>
                <w:rFonts w:eastAsia="Calibri"/>
                <w:sz w:val="20"/>
                <w:lang w:val="fr-CA"/>
              </w:rPr>
            </w:pPr>
            <w:r w:rsidRPr="00096A4B">
              <w:rPr>
                <w:rFonts w:eastAsia="Calibri"/>
                <w:sz w:val="20"/>
                <w:lang w:val="fr-CA"/>
              </w:rPr>
              <w:t>Actions certifiées en tant que recours collectifs</w:t>
            </w:r>
          </w:p>
          <w:p w:rsidR="00967F02" w:rsidRPr="00096A4B" w:rsidRDefault="00967F02" w:rsidP="00970CF7">
            <w:pPr>
              <w:jc w:val="both"/>
              <w:rPr>
                <w:rFonts w:eastAsia="Calibri"/>
                <w:sz w:val="20"/>
                <w:lang w:val="fr-CA"/>
              </w:rPr>
            </w:pPr>
          </w:p>
        </w:tc>
      </w:tr>
      <w:tr w:rsidR="00967F02" w:rsidRPr="00096A4B" w:rsidTr="00970CF7">
        <w:tc>
          <w:tcPr>
            <w:tcW w:w="2427" w:type="pct"/>
          </w:tcPr>
          <w:p w:rsidR="00967F02" w:rsidRPr="00096A4B" w:rsidRDefault="00967F02" w:rsidP="00970CF7">
            <w:pPr>
              <w:jc w:val="both"/>
              <w:rPr>
                <w:rFonts w:eastAsia="Calibri"/>
                <w:sz w:val="20"/>
                <w:lang w:val="fr-CA"/>
              </w:rPr>
            </w:pPr>
            <w:r w:rsidRPr="00096A4B">
              <w:rPr>
                <w:rFonts w:eastAsia="Calibri"/>
                <w:sz w:val="20"/>
                <w:lang w:val="fr-CA"/>
              </w:rPr>
              <w:t>3 septembre 2008</w:t>
            </w:r>
          </w:p>
          <w:p w:rsidR="00967F02" w:rsidRPr="00096A4B" w:rsidRDefault="00967F02" w:rsidP="00970CF7">
            <w:pPr>
              <w:jc w:val="both"/>
              <w:rPr>
                <w:rFonts w:eastAsia="Calibri"/>
                <w:sz w:val="20"/>
                <w:lang w:val="fr-CA"/>
              </w:rPr>
            </w:pPr>
            <w:r w:rsidRPr="00096A4B">
              <w:rPr>
                <w:rFonts w:eastAsia="Calibri"/>
                <w:sz w:val="20"/>
                <w:lang w:val="fr-CA"/>
              </w:rPr>
              <w:t xml:space="preserve">Cour divisionnaire de l'Ontario </w:t>
            </w:r>
          </w:p>
          <w:p w:rsidR="00967F02" w:rsidRPr="00096A4B" w:rsidRDefault="00967F02" w:rsidP="00970CF7">
            <w:pPr>
              <w:jc w:val="both"/>
              <w:rPr>
                <w:rFonts w:eastAsia="Calibri"/>
                <w:sz w:val="20"/>
                <w:lang w:val="fr-CA"/>
              </w:rPr>
            </w:pPr>
            <w:r w:rsidRPr="00096A4B">
              <w:rPr>
                <w:rFonts w:eastAsia="Calibri"/>
                <w:sz w:val="20"/>
                <w:lang w:val="fr-CA"/>
              </w:rPr>
              <w:t>(Juges Carnwaith, Aston et Swinton)</w:t>
            </w:r>
          </w:p>
          <w:p w:rsidR="00967F02" w:rsidRPr="00096A4B" w:rsidRDefault="00967F02" w:rsidP="00970CF7">
            <w:pPr>
              <w:jc w:val="both"/>
              <w:rPr>
                <w:rFonts w:eastAsia="Calibri"/>
                <w:sz w:val="20"/>
                <w:lang w:val="fr-CA"/>
              </w:rPr>
            </w:pPr>
          </w:p>
        </w:tc>
        <w:tc>
          <w:tcPr>
            <w:tcW w:w="243" w:type="pct"/>
          </w:tcPr>
          <w:p w:rsidR="00967F02" w:rsidRPr="00096A4B" w:rsidRDefault="00967F02" w:rsidP="00970CF7">
            <w:pPr>
              <w:jc w:val="both"/>
              <w:rPr>
                <w:rFonts w:eastAsia="Calibri"/>
                <w:sz w:val="20"/>
                <w:lang w:val="fr-CA"/>
              </w:rPr>
            </w:pPr>
          </w:p>
        </w:tc>
        <w:tc>
          <w:tcPr>
            <w:tcW w:w="2330" w:type="pct"/>
          </w:tcPr>
          <w:p w:rsidR="00967F02" w:rsidRPr="00096A4B" w:rsidRDefault="00967F02" w:rsidP="00970CF7">
            <w:pPr>
              <w:jc w:val="both"/>
              <w:rPr>
                <w:rFonts w:eastAsia="Calibri"/>
                <w:sz w:val="20"/>
                <w:lang w:val="fr-CA"/>
              </w:rPr>
            </w:pPr>
            <w:r w:rsidRPr="00096A4B">
              <w:rPr>
                <w:rFonts w:eastAsia="Calibri"/>
                <w:sz w:val="20"/>
                <w:lang w:val="fr-CA"/>
              </w:rPr>
              <w:t>Appel rejeté</w:t>
            </w:r>
          </w:p>
        </w:tc>
      </w:tr>
      <w:tr w:rsidR="00967F02" w:rsidRPr="00096A4B" w:rsidTr="00970CF7">
        <w:tc>
          <w:tcPr>
            <w:tcW w:w="2427" w:type="pct"/>
          </w:tcPr>
          <w:p w:rsidR="00967F02" w:rsidRPr="00096A4B" w:rsidRDefault="00967F02" w:rsidP="00970CF7">
            <w:pPr>
              <w:jc w:val="both"/>
              <w:rPr>
                <w:rFonts w:eastAsia="Calibri"/>
                <w:sz w:val="20"/>
                <w:lang w:val="fr-CA"/>
              </w:rPr>
            </w:pPr>
            <w:r w:rsidRPr="00096A4B">
              <w:rPr>
                <w:rFonts w:eastAsia="Calibri"/>
                <w:sz w:val="20"/>
                <w:lang w:val="fr-CA"/>
              </w:rPr>
              <w:t>1</w:t>
            </w:r>
            <w:r w:rsidRPr="00096A4B">
              <w:rPr>
                <w:rFonts w:eastAsia="Calibri"/>
                <w:sz w:val="20"/>
                <w:vertAlign w:val="superscript"/>
                <w:lang w:val="fr-CA"/>
              </w:rPr>
              <w:t>er</w:t>
            </w:r>
            <w:r w:rsidRPr="00096A4B">
              <w:rPr>
                <w:rFonts w:eastAsia="Calibri"/>
                <w:sz w:val="20"/>
                <w:lang w:val="fr-CA"/>
              </w:rPr>
              <w:t xml:space="preserve"> octobre 2010</w:t>
            </w:r>
          </w:p>
          <w:p w:rsidR="00967F02" w:rsidRPr="00096A4B" w:rsidRDefault="00967F02" w:rsidP="00970CF7">
            <w:pPr>
              <w:jc w:val="both"/>
              <w:rPr>
                <w:rFonts w:eastAsia="Calibri"/>
                <w:sz w:val="20"/>
                <w:lang w:val="fr-CA"/>
              </w:rPr>
            </w:pPr>
            <w:r w:rsidRPr="00096A4B">
              <w:rPr>
                <w:rFonts w:eastAsia="Calibri"/>
                <w:sz w:val="20"/>
                <w:lang w:val="fr-CA"/>
              </w:rPr>
              <w:t xml:space="preserve">Cour supérieure de justice de l'Ontario </w:t>
            </w:r>
          </w:p>
          <w:p w:rsidR="00967F02" w:rsidRPr="00096A4B" w:rsidRDefault="00967F02" w:rsidP="00970CF7">
            <w:pPr>
              <w:jc w:val="both"/>
              <w:rPr>
                <w:rFonts w:eastAsia="Calibri"/>
                <w:sz w:val="20"/>
                <w:lang w:val="fr-CA"/>
              </w:rPr>
            </w:pPr>
            <w:r w:rsidRPr="00096A4B">
              <w:rPr>
                <w:rFonts w:eastAsia="Calibri"/>
                <w:sz w:val="20"/>
                <w:lang w:val="fr-CA"/>
              </w:rPr>
              <w:t>(Juge Morissette)</w:t>
            </w:r>
          </w:p>
          <w:p w:rsidR="00967F02" w:rsidRPr="00096A4B" w:rsidRDefault="00967F02" w:rsidP="00970CF7">
            <w:pPr>
              <w:jc w:val="both"/>
              <w:rPr>
                <w:rFonts w:eastAsia="Calibri"/>
                <w:sz w:val="20"/>
                <w:lang w:val="fr-CA"/>
              </w:rPr>
            </w:pPr>
            <w:r w:rsidRPr="00096A4B">
              <w:rPr>
                <w:rFonts w:eastAsia="Calibri"/>
                <w:sz w:val="20"/>
                <w:lang w:val="fr-CA"/>
              </w:rPr>
              <w:t>2010 ONSC 4938</w:t>
            </w:r>
          </w:p>
          <w:p w:rsidR="00967F02" w:rsidRPr="00096A4B" w:rsidRDefault="00967F02" w:rsidP="00970CF7">
            <w:pPr>
              <w:jc w:val="both"/>
              <w:rPr>
                <w:rFonts w:eastAsia="Calibri"/>
                <w:sz w:val="20"/>
                <w:lang w:val="fr-CA"/>
              </w:rPr>
            </w:pPr>
          </w:p>
        </w:tc>
        <w:tc>
          <w:tcPr>
            <w:tcW w:w="243" w:type="pct"/>
          </w:tcPr>
          <w:p w:rsidR="00967F02" w:rsidRPr="00096A4B" w:rsidRDefault="00967F02" w:rsidP="00970CF7">
            <w:pPr>
              <w:jc w:val="both"/>
              <w:rPr>
                <w:rFonts w:eastAsia="Calibri"/>
                <w:sz w:val="20"/>
                <w:lang w:val="fr-CA"/>
              </w:rPr>
            </w:pPr>
          </w:p>
        </w:tc>
        <w:tc>
          <w:tcPr>
            <w:tcW w:w="2330" w:type="pct"/>
          </w:tcPr>
          <w:p w:rsidR="00967F02" w:rsidRPr="00096A4B" w:rsidRDefault="00967F02" w:rsidP="00970CF7">
            <w:pPr>
              <w:jc w:val="both"/>
              <w:rPr>
                <w:rFonts w:eastAsia="Calibri"/>
                <w:sz w:val="20"/>
                <w:lang w:val="fr-CA"/>
              </w:rPr>
            </w:pPr>
            <w:r w:rsidRPr="00096A4B">
              <w:rPr>
                <w:rFonts w:eastAsia="Calibri"/>
                <w:sz w:val="20"/>
                <w:lang w:val="fr-CA"/>
              </w:rPr>
              <w:t>Diverses ordonnances réparatrices rendues</w:t>
            </w:r>
          </w:p>
          <w:p w:rsidR="00967F02" w:rsidRPr="00096A4B" w:rsidRDefault="00967F02" w:rsidP="00970CF7">
            <w:pPr>
              <w:jc w:val="both"/>
              <w:rPr>
                <w:rFonts w:eastAsia="Calibri"/>
                <w:sz w:val="20"/>
                <w:lang w:val="fr-CA"/>
              </w:rPr>
            </w:pPr>
          </w:p>
        </w:tc>
      </w:tr>
      <w:tr w:rsidR="00967F02" w:rsidRPr="00096A4B" w:rsidTr="00865E33">
        <w:trPr>
          <w:cantSplit/>
        </w:trPr>
        <w:tc>
          <w:tcPr>
            <w:tcW w:w="2427" w:type="pct"/>
          </w:tcPr>
          <w:p w:rsidR="00967F02" w:rsidRPr="00096A4B" w:rsidRDefault="00967F02" w:rsidP="00970CF7">
            <w:pPr>
              <w:jc w:val="both"/>
              <w:rPr>
                <w:rFonts w:eastAsia="Calibri"/>
                <w:sz w:val="20"/>
                <w:lang w:val="fr-CA"/>
              </w:rPr>
            </w:pPr>
            <w:r w:rsidRPr="00096A4B">
              <w:rPr>
                <w:rFonts w:eastAsia="Calibri"/>
                <w:sz w:val="20"/>
                <w:lang w:val="fr-CA"/>
              </w:rPr>
              <w:lastRenderedPageBreak/>
              <w:t>3 novembre 2011</w:t>
            </w:r>
          </w:p>
          <w:p w:rsidR="00967F02" w:rsidRPr="00096A4B" w:rsidRDefault="00967F02" w:rsidP="00970CF7">
            <w:pPr>
              <w:jc w:val="both"/>
              <w:rPr>
                <w:rFonts w:eastAsia="Calibri"/>
                <w:sz w:val="20"/>
                <w:lang w:val="fr-CA"/>
              </w:rPr>
            </w:pPr>
            <w:r w:rsidRPr="00096A4B">
              <w:rPr>
                <w:rFonts w:eastAsia="Calibri"/>
                <w:sz w:val="20"/>
                <w:lang w:val="fr-CA"/>
              </w:rPr>
              <w:t>Cour d'appel de l’Ontario</w:t>
            </w:r>
          </w:p>
          <w:p w:rsidR="00967F02" w:rsidRPr="00096A4B" w:rsidRDefault="00967F02" w:rsidP="00970CF7">
            <w:pPr>
              <w:jc w:val="both"/>
              <w:rPr>
                <w:rFonts w:eastAsia="Calibri"/>
                <w:sz w:val="20"/>
                <w:lang w:val="fr-CA"/>
              </w:rPr>
            </w:pPr>
            <w:r w:rsidRPr="00096A4B">
              <w:rPr>
                <w:rFonts w:eastAsia="Calibri"/>
                <w:sz w:val="20"/>
                <w:lang w:val="fr-CA"/>
              </w:rPr>
              <w:t>(Juge en chef adjoint O'Connor, juges Blair et LaForme)</w:t>
            </w:r>
          </w:p>
          <w:p w:rsidR="00967F02" w:rsidRPr="00096A4B" w:rsidRDefault="00967F02" w:rsidP="00970CF7">
            <w:pPr>
              <w:jc w:val="both"/>
              <w:rPr>
                <w:rFonts w:eastAsia="Calibri"/>
                <w:sz w:val="20"/>
                <w:lang w:val="fr-CA"/>
              </w:rPr>
            </w:pPr>
            <w:r w:rsidRPr="00096A4B">
              <w:rPr>
                <w:rFonts w:eastAsia="Calibri"/>
                <w:sz w:val="20"/>
                <w:lang w:val="fr-CA"/>
              </w:rPr>
              <w:t>2011 ONCA 683</w:t>
            </w:r>
          </w:p>
          <w:p w:rsidR="00967F02" w:rsidRPr="00096A4B" w:rsidRDefault="00967F02" w:rsidP="00970CF7">
            <w:pPr>
              <w:jc w:val="both"/>
              <w:rPr>
                <w:rFonts w:eastAsia="Calibri"/>
                <w:sz w:val="20"/>
                <w:lang w:val="fr-CA"/>
              </w:rPr>
            </w:pPr>
          </w:p>
        </w:tc>
        <w:tc>
          <w:tcPr>
            <w:tcW w:w="243" w:type="pct"/>
          </w:tcPr>
          <w:p w:rsidR="00967F02" w:rsidRPr="00096A4B" w:rsidRDefault="00967F02" w:rsidP="00970CF7">
            <w:pPr>
              <w:jc w:val="both"/>
              <w:rPr>
                <w:rFonts w:eastAsia="Calibri"/>
                <w:sz w:val="20"/>
                <w:lang w:val="fr-CA"/>
              </w:rPr>
            </w:pPr>
          </w:p>
        </w:tc>
        <w:tc>
          <w:tcPr>
            <w:tcW w:w="2330" w:type="pct"/>
          </w:tcPr>
          <w:p w:rsidR="00967F02" w:rsidRPr="00096A4B" w:rsidRDefault="00967F02" w:rsidP="00970CF7">
            <w:pPr>
              <w:jc w:val="both"/>
              <w:rPr>
                <w:rFonts w:eastAsia="Calibri"/>
                <w:sz w:val="20"/>
                <w:lang w:val="fr-CA"/>
              </w:rPr>
            </w:pPr>
            <w:r w:rsidRPr="00096A4B">
              <w:rPr>
                <w:rFonts w:eastAsia="Calibri"/>
                <w:sz w:val="20"/>
                <w:lang w:val="fr-CA"/>
              </w:rPr>
              <w:t>Appels accueillis en partie</w:t>
            </w:r>
          </w:p>
        </w:tc>
      </w:tr>
      <w:tr w:rsidR="00967F02" w:rsidRPr="00096A4B" w:rsidTr="00865E33">
        <w:trPr>
          <w:cantSplit/>
        </w:trPr>
        <w:tc>
          <w:tcPr>
            <w:tcW w:w="2427" w:type="pct"/>
          </w:tcPr>
          <w:p w:rsidR="00967F02" w:rsidRPr="00096A4B" w:rsidRDefault="00967F02" w:rsidP="00970CF7">
            <w:pPr>
              <w:jc w:val="both"/>
              <w:rPr>
                <w:rFonts w:eastAsia="Calibri"/>
                <w:sz w:val="20"/>
                <w:lang w:val="fr-CA"/>
              </w:rPr>
            </w:pPr>
            <w:r w:rsidRPr="00096A4B">
              <w:rPr>
                <w:rFonts w:eastAsia="Calibri"/>
                <w:sz w:val="20"/>
                <w:lang w:val="fr-CA"/>
              </w:rPr>
              <w:t>3 janvier 2012</w:t>
            </w:r>
          </w:p>
          <w:p w:rsidR="00967F02" w:rsidRPr="00096A4B" w:rsidRDefault="00967F02" w:rsidP="00970CF7">
            <w:pPr>
              <w:jc w:val="both"/>
              <w:rPr>
                <w:rFonts w:eastAsia="Calibri"/>
                <w:sz w:val="20"/>
                <w:lang w:val="fr-CA"/>
              </w:rPr>
            </w:pPr>
            <w:r w:rsidRPr="00096A4B">
              <w:rPr>
                <w:rFonts w:eastAsia="Calibri"/>
                <w:sz w:val="20"/>
                <w:lang w:val="fr-CA"/>
              </w:rPr>
              <w:t>Cour suprême du Canada</w:t>
            </w:r>
          </w:p>
        </w:tc>
        <w:tc>
          <w:tcPr>
            <w:tcW w:w="243" w:type="pct"/>
          </w:tcPr>
          <w:p w:rsidR="00967F02" w:rsidRPr="00096A4B" w:rsidRDefault="00967F02" w:rsidP="00970CF7">
            <w:pPr>
              <w:jc w:val="both"/>
              <w:rPr>
                <w:rFonts w:eastAsia="Calibri"/>
                <w:sz w:val="20"/>
                <w:lang w:val="fr-CA"/>
              </w:rPr>
            </w:pPr>
          </w:p>
        </w:tc>
        <w:tc>
          <w:tcPr>
            <w:tcW w:w="2330" w:type="pct"/>
          </w:tcPr>
          <w:p w:rsidR="00967F02" w:rsidRPr="00096A4B" w:rsidRDefault="00967F02" w:rsidP="00970CF7">
            <w:pPr>
              <w:jc w:val="both"/>
              <w:rPr>
                <w:rFonts w:eastAsia="Calibri"/>
                <w:sz w:val="20"/>
                <w:lang w:val="fr-CA"/>
              </w:rPr>
            </w:pPr>
            <w:r w:rsidRPr="00096A4B">
              <w:rPr>
                <w:rFonts w:eastAsia="Calibri"/>
                <w:sz w:val="20"/>
                <w:lang w:val="fr-CA"/>
              </w:rPr>
              <w:t>Demande d'autorisation d'appel, déposée</w:t>
            </w:r>
          </w:p>
          <w:p w:rsidR="00967F02" w:rsidRPr="00096A4B" w:rsidRDefault="00967F02" w:rsidP="00970CF7">
            <w:pPr>
              <w:jc w:val="both"/>
              <w:rPr>
                <w:rFonts w:eastAsia="Calibri"/>
                <w:sz w:val="20"/>
                <w:lang w:val="fr-CA"/>
              </w:rPr>
            </w:pP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56"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A1482" w:rsidRPr="00B9644F" w:rsidTr="0017605E">
        <w:trPr>
          <w:cantSplit/>
        </w:trPr>
        <w:tc>
          <w:tcPr>
            <w:tcW w:w="1458" w:type="dxa"/>
          </w:tcPr>
          <w:p w:rsidR="006A1482" w:rsidRPr="00B9644F" w:rsidRDefault="006A1482" w:rsidP="0017605E">
            <w:pPr>
              <w:rPr>
                <w:sz w:val="20"/>
                <w:szCs w:val="20"/>
              </w:rPr>
            </w:pPr>
            <w:r w:rsidRPr="00B9644F">
              <w:rPr>
                <w:rStyle w:val="SCCFileNumberChar"/>
                <w:sz w:val="20"/>
                <w:szCs w:val="20"/>
              </w:rPr>
              <w:t>34604</w:t>
            </w:r>
          </w:p>
          <w:p w:rsidR="006A1482" w:rsidRPr="00B9644F" w:rsidRDefault="006A1482" w:rsidP="0017605E">
            <w:pPr>
              <w:rPr>
                <w:b/>
                <w:sz w:val="20"/>
                <w:szCs w:val="20"/>
                <w:lang w:val="fr-CA"/>
              </w:rPr>
            </w:pPr>
          </w:p>
        </w:tc>
        <w:tc>
          <w:tcPr>
            <w:tcW w:w="8118" w:type="dxa"/>
          </w:tcPr>
          <w:p w:rsidR="006A1482" w:rsidRPr="00B9644F" w:rsidRDefault="006A1482" w:rsidP="006A1482">
            <w:pPr>
              <w:jc w:val="both"/>
              <w:rPr>
                <w:sz w:val="20"/>
                <w:szCs w:val="20"/>
              </w:rPr>
            </w:pPr>
            <w:r w:rsidRPr="006A1482">
              <w:rPr>
                <w:rStyle w:val="SCCLsocChar"/>
                <w:sz w:val="20"/>
                <w:szCs w:val="20"/>
                <w:lang w:val="en-CA"/>
              </w:rPr>
              <w:t>Louis Peter Tekavec</w:t>
            </w:r>
            <w:r w:rsidR="00744B25">
              <w:rPr>
                <w:rStyle w:val="SCCLsocChar"/>
                <w:sz w:val="20"/>
                <w:szCs w:val="20"/>
                <w:lang w:val="en-CA"/>
              </w:rPr>
              <w:t xml:space="preserve"> and</w:t>
            </w:r>
            <w:r w:rsidRPr="006A1482">
              <w:rPr>
                <w:rStyle w:val="SCCLsocChar"/>
                <w:sz w:val="20"/>
                <w:szCs w:val="20"/>
                <w:lang w:val="en-CA"/>
              </w:rPr>
              <w:t xml:space="preserve"> Louis Peter Tekavec doing business as Goldcrest Apartments v. Edward Alexander Jack</w:t>
            </w:r>
            <w:r w:rsidRPr="00B9644F">
              <w:rPr>
                <w:sz w:val="20"/>
                <w:szCs w:val="20"/>
              </w:rPr>
              <w:t xml:space="preserve"> (B.C.) (Civil) (By Leave)</w:t>
            </w:r>
          </w:p>
          <w:p w:rsidR="006A1482" w:rsidRPr="00B9644F" w:rsidRDefault="006A1482" w:rsidP="0017605E">
            <w:pPr>
              <w:rPr>
                <w:sz w:val="20"/>
                <w:szCs w:val="20"/>
              </w:rPr>
            </w:pPr>
          </w:p>
        </w:tc>
      </w:tr>
      <w:tr w:rsidR="006A1482" w:rsidRPr="00B9644F" w:rsidTr="0017605E">
        <w:trPr>
          <w:cantSplit/>
        </w:trPr>
        <w:tc>
          <w:tcPr>
            <w:tcW w:w="1458" w:type="dxa"/>
          </w:tcPr>
          <w:p w:rsidR="006A1482" w:rsidRPr="00B9644F" w:rsidRDefault="006A1482" w:rsidP="0017605E">
            <w:pPr>
              <w:rPr>
                <w:sz w:val="20"/>
                <w:szCs w:val="20"/>
              </w:rPr>
            </w:pPr>
            <w:r w:rsidRPr="00B9644F">
              <w:rPr>
                <w:sz w:val="20"/>
                <w:szCs w:val="20"/>
              </w:rPr>
              <w:t>Coram :</w:t>
            </w:r>
          </w:p>
        </w:tc>
        <w:tc>
          <w:tcPr>
            <w:tcW w:w="8118" w:type="dxa"/>
          </w:tcPr>
          <w:p w:rsidR="006A1482" w:rsidRPr="00B9644F" w:rsidRDefault="006A1482" w:rsidP="0017605E">
            <w:pPr>
              <w:rPr>
                <w:sz w:val="20"/>
                <w:szCs w:val="20"/>
              </w:rPr>
            </w:pPr>
            <w:r w:rsidRPr="006A1482">
              <w:rPr>
                <w:rStyle w:val="SCCCoramChar"/>
                <w:sz w:val="20"/>
                <w:szCs w:val="20"/>
                <w:lang w:val="en-CA"/>
              </w:rPr>
              <w:t>McLachlin C.J. and Rothstein and Moldaver JJ.</w:t>
            </w:r>
          </w:p>
          <w:p w:rsidR="006A1482" w:rsidRPr="00B9644F" w:rsidRDefault="006A1482" w:rsidP="0017605E">
            <w:pPr>
              <w:rPr>
                <w:sz w:val="20"/>
                <w:szCs w:val="20"/>
                <w:u w:val="single"/>
              </w:rPr>
            </w:pPr>
          </w:p>
        </w:tc>
      </w:tr>
      <w:tr w:rsidR="006A1482" w:rsidRPr="00643997" w:rsidTr="0017605E">
        <w:trPr>
          <w:cantSplit/>
        </w:trPr>
        <w:tc>
          <w:tcPr>
            <w:tcW w:w="9576" w:type="dxa"/>
            <w:gridSpan w:val="2"/>
          </w:tcPr>
          <w:p w:rsidR="006A1482" w:rsidRPr="00B9644F" w:rsidRDefault="006A1482" w:rsidP="0017605E">
            <w:pPr>
              <w:pStyle w:val="SCCShortJudgment"/>
              <w:rPr>
                <w:szCs w:val="20"/>
              </w:rPr>
            </w:pPr>
            <w:r w:rsidRPr="00B9644F">
              <w:rPr>
                <w:szCs w:val="20"/>
              </w:rPr>
              <w:t>The motion for a stay of execution of the trial judgment is dismissed.  The application for leave to appeal from the judgment of the Court of Appeal for British Columbia (Vancouver), Number CA038704, 2011 BCCA 464, dated November 18, 2011, is dismissed with costs.</w:t>
            </w:r>
          </w:p>
          <w:p w:rsidR="006A1482" w:rsidRPr="00B9644F" w:rsidRDefault="006A1482" w:rsidP="0017605E">
            <w:pPr>
              <w:pStyle w:val="SCCShortJudgment"/>
              <w:ind w:firstLine="0"/>
              <w:rPr>
                <w:szCs w:val="20"/>
              </w:rPr>
            </w:pPr>
          </w:p>
          <w:p w:rsidR="006A1482" w:rsidRPr="00B9644F" w:rsidRDefault="006A1482" w:rsidP="0017605E">
            <w:pPr>
              <w:pStyle w:val="SCCShortJudgment"/>
              <w:rPr>
                <w:szCs w:val="20"/>
                <w:lang w:val="fr-CA"/>
              </w:rPr>
            </w:pPr>
            <w:r w:rsidRPr="00B9644F">
              <w:rPr>
                <w:szCs w:val="20"/>
                <w:lang w:val="fr-CA"/>
              </w:rPr>
              <w:t>La requête en sursis d’exécution du jugement de première instance est rejetée.  La demande d’autorisation d’appel de l’arrêt de la Cour d’appel de la Colombie-Britannique (Vancouver), numéro CA038704, 2011 BCCA 464, daté du 18 novembre 2011, est rejeté avec dépens.</w:t>
            </w:r>
          </w:p>
        </w:tc>
      </w:tr>
    </w:tbl>
    <w:p w:rsidR="00691AA0" w:rsidRPr="006A1482"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1E01" w:rsidRPr="00096A4B" w:rsidTr="00970CF7">
        <w:tc>
          <w:tcPr>
            <w:tcW w:w="5000" w:type="pct"/>
            <w:gridSpan w:val="3"/>
          </w:tcPr>
          <w:p w:rsidR="00801E01" w:rsidRPr="00096A4B" w:rsidRDefault="00801E01" w:rsidP="00970CF7">
            <w:pPr>
              <w:jc w:val="both"/>
              <w:rPr>
                <w:rFonts w:eastAsia="Calibri"/>
                <w:sz w:val="20"/>
              </w:rPr>
            </w:pPr>
            <w:r w:rsidRPr="00096A4B">
              <w:rPr>
                <w:rFonts w:eastAsia="Calibri"/>
                <w:sz w:val="20"/>
              </w:rPr>
              <w:t>Torts – Negligence – Whether conduct of respondent was contributory negligence – Whether conduct of both or either of two third parties was a new intervening act.</w:t>
            </w:r>
          </w:p>
        </w:tc>
      </w:tr>
      <w:tr w:rsidR="00801E01" w:rsidRPr="00096A4B" w:rsidTr="00970CF7">
        <w:tc>
          <w:tcPr>
            <w:tcW w:w="5000" w:type="pct"/>
            <w:gridSpan w:val="3"/>
          </w:tcPr>
          <w:p w:rsidR="00801E01" w:rsidRPr="00096A4B" w:rsidRDefault="00801E01" w:rsidP="00970CF7">
            <w:pPr>
              <w:jc w:val="both"/>
              <w:rPr>
                <w:rFonts w:eastAsia="Calibri"/>
                <w:sz w:val="20"/>
              </w:rPr>
            </w:pPr>
          </w:p>
        </w:tc>
      </w:tr>
      <w:tr w:rsidR="00801E01" w:rsidRPr="00096A4B" w:rsidTr="00970CF7">
        <w:tc>
          <w:tcPr>
            <w:tcW w:w="5000" w:type="pct"/>
            <w:gridSpan w:val="3"/>
          </w:tcPr>
          <w:p w:rsidR="00801E01" w:rsidRPr="00096A4B" w:rsidRDefault="00801E01" w:rsidP="00970CF7">
            <w:pPr>
              <w:jc w:val="both"/>
              <w:rPr>
                <w:rFonts w:eastAsia="Calibri"/>
                <w:bCs/>
                <w:sz w:val="20"/>
              </w:rPr>
            </w:pPr>
            <w:r w:rsidRPr="00096A4B">
              <w:rPr>
                <w:rFonts w:eastAsia="Calibri"/>
                <w:sz w:val="20"/>
              </w:rPr>
              <w:t>The applicant is the owner and manager of an apartment building.  He seeks to overturn a judgment awarding damages to the respondent who was seriously injured when he fell three stories from a balcony of the applicant’s apartment building.  The respondent had been visiting his friends, Mr. Billy and Ms. Mark, at their apartment. The respondent had previously had a few drinks.  The respondent drank about four beers at the apartment and then he went out onto the balcony for a cigarette. The respondent leaned backwards against the guardrail which gave way.</w:t>
            </w:r>
            <w:r w:rsidRPr="00096A4B">
              <w:rPr>
                <w:rFonts w:eastAsia="Calibri"/>
                <w:bCs/>
                <w:sz w:val="20"/>
              </w:rPr>
              <w:t xml:space="preserve"> </w:t>
            </w:r>
            <w:r w:rsidRPr="00096A4B">
              <w:rPr>
                <w:rFonts w:eastAsia="Calibri"/>
                <w:sz w:val="20"/>
              </w:rPr>
              <w:t>Ms. Mark did not prevent the respondent from going onto the balcony nor did she warn him that the guardrail was in disrepair.</w:t>
            </w:r>
            <w:r w:rsidRPr="00096A4B">
              <w:rPr>
                <w:rFonts w:eastAsia="Calibri"/>
                <w:bCs/>
                <w:sz w:val="20"/>
              </w:rPr>
              <w:t xml:space="preserve"> </w:t>
            </w:r>
            <w:r w:rsidRPr="00096A4B">
              <w:rPr>
                <w:rFonts w:eastAsia="Calibri"/>
                <w:sz w:val="20"/>
              </w:rPr>
              <w:t xml:space="preserve">Mr. Billy previously had carried out an inadequate repair of the guardrail.  </w:t>
            </w:r>
            <w:r w:rsidRPr="00096A4B">
              <w:rPr>
                <w:rFonts w:eastAsia="Calibri"/>
                <w:bCs/>
                <w:sz w:val="20"/>
              </w:rPr>
              <w:t xml:space="preserve">The applicant </w:t>
            </w:r>
            <w:r w:rsidRPr="00096A4B">
              <w:rPr>
                <w:rFonts w:eastAsia="Calibri"/>
                <w:sz w:val="20"/>
              </w:rPr>
              <w:t>had been aware that the guardrail required repair and that Mr. Billy had carried out an inadequate repair.</w:t>
            </w:r>
          </w:p>
          <w:p w:rsidR="00801E01" w:rsidRPr="00096A4B" w:rsidRDefault="00801E01" w:rsidP="00970CF7">
            <w:pPr>
              <w:jc w:val="both"/>
              <w:rPr>
                <w:rFonts w:eastAsia="Calibri"/>
                <w:sz w:val="20"/>
              </w:rPr>
            </w:pPr>
          </w:p>
        </w:tc>
      </w:tr>
      <w:tr w:rsidR="00801E01" w:rsidRPr="00096A4B" w:rsidTr="00970CF7">
        <w:tc>
          <w:tcPr>
            <w:tcW w:w="2427" w:type="pct"/>
          </w:tcPr>
          <w:p w:rsidR="00801E01" w:rsidRPr="00096A4B" w:rsidRDefault="00801E01" w:rsidP="00970CF7">
            <w:pPr>
              <w:jc w:val="both"/>
              <w:rPr>
                <w:rFonts w:eastAsia="Calibri"/>
                <w:sz w:val="20"/>
              </w:rPr>
            </w:pPr>
            <w:r w:rsidRPr="00096A4B">
              <w:rPr>
                <w:rFonts w:eastAsia="Calibri"/>
                <w:sz w:val="20"/>
              </w:rPr>
              <w:t>December 10, 2010</w:t>
            </w:r>
          </w:p>
          <w:p w:rsidR="00801E01" w:rsidRPr="00096A4B" w:rsidRDefault="00801E01" w:rsidP="00970CF7">
            <w:pPr>
              <w:jc w:val="both"/>
              <w:rPr>
                <w:rFonts w:eastAsia="Calibri"/>
                <w:sz w:val="20"/>
              </w:rPr>
            </w:pPr>
            <w:r w:rsidRPr="00096A4B">
              <w:rPr>
                <w:rFonts w:eastAsia="Calibri"/>
                <w:sz w:val="20"/>
              </w:rPr>
              <w:t>Supreme Court of British Columbia</w:t>
            </w:r>
          </w:p>
          <w:p w:rsidR="00801E01" w:rsidRPr="00096A4B" w:rsidRDefault="00801E01" w:rsidP="00970CF7">
            <w:pPr>
              <w:jc w:val="both"/>
              <w:rPr>
                <w:rFonts w:eastAsia="Calibri"/>
                <w:sz w:val="20"/>
              </w:rPr>
            </w:pPr>
            <w:r w:rsidRPr="00096A4B">
              <w:rPr>
                <w:rFonts w:eastAsia="Calibri"/>
                <w:sz w:val="20"/>
              </w:rPr>
              <w:t xml:space="preserve">(Savage J.) </w:t>
            </w:r>
          </w:p>
          <w:p w:rsidR="00801E01" w:rsidRPr="00096A4B" w:rsidRDefault="00801E01" w:rsidP="00970CF7">
            <w:pPr>
              <w:jc w:val="both"/>
              <w:rPr>
                <w:rFonts w:eastAsia="Calibri"/>
                <w:sz w:val="20"/>
              </w:rPr>
            </w:pPr>
            <w:r w:rsidRPr="00096A4B">
              <w:rPr>
                <w:rFonts w:eastAsia="Calibri"/>
                <w:sz w:val="20"/>
              </w:rPr>
              <w:t>2011 BCSC 171</w:t>
            </w:r>
          </w:p>
          <w:p w:rsidR="00801E01" w:rsidRPr="00096A4B" w:rsidRDefault="00801E01" w:rsidP="00970CF7">
            <w:pPr>
              <w:jc w:val="both"/>
              <w:rPr>
                <w:rFonts w:eastAsia="Calibri"/>
                <w:sz w:val="20"/>
              </w:rPr>
            </w:pPr>
          </w:p>
        </w:tc>
        <w:tc>
          <w:tcPr>
            <w:tcW w:w="243" w:type="pct"/>
          </w:tcPr>
          <w:p w:rsidR="00801E01" w:rsidRPr="00096A4B" w:rsidRDefault="00801E01" w:rsidP="00970CF7">
            <w:pPr>
              <w:jc w:val="both"/>
              <w:rPr>
                <w:rFonts w:eastAsia="Calibri"/>
                <w:sz w:val="20"/>
              </w:rPr>
            </w:pPr>
          </w:p>
        </w:tc>
        <w:tc>
          <w:tcPr>
            <w:tcW w:w="2330" w:type="pct"/>
          </w:tcPr>
          <w:p w:rsidR="00801E01" w:rsidRPr="00096A4B" w:rsidRDefault="00801E01" w:rsidP="00970CF7">
            <w:pPr>
              <w:jc w:val="both"/>
              <w:rPr>
                <w:rFonts w:eastAsia="Calibri"/>
                <w:sz w:val="20"/>
              </w:rPr>
            </w:pPr>
            <w:r w:rsidRPr="00096A4B">
              <w:rPr>
                <w:rFonts w:eastAsia="Calibri"/>
                <w:sz w:val="20"/>
              </w:rPr>
              <w:t>Applicant found liable; damages assessed at $322,463.76</w:t>
            </w:r>
          </w:p>
          <w:p w:rsidR="00801E01" w:rsidRPr="00096A4B" w:rsidRDefault="00801E01" w:rsidP="00970CF7">
            <w:pPr>
              <w:jc w:val="both"/>
              <w:rPr>
                <w:rFonts w:eastAsia="Calibri"/>
                <w:sz w:val="20"/>
              </w:rPr>
            </w:pPr>
          </w:p>
        </w:tc>
      </w:tr>
      <w:tr w:rsidR="00801E01" w:rsidRPr="00096A4B" w:rsidTr="00970CF7">
        <w:tc>
          <w:tcPr>
            <w:tcW w:w="2427" w:type="pct"/>
          </w:tcPr>
          <w:p w:rsidR="00801E01" w:rsidRPr="00096A4B" w:rsidRDefault="00801E01" w:rsidP="00970CF7">
            <w:pPr>
              <w:jc w:val="both"/>
              <w:rPr>
                <w:rFonts w:eastAsia="Calibri"/>
                <w:sz w:val="20"/>
              </w:rPr>
            </w:pPr>
            <w:r w:rsidRPr="00096A4B">
              <w:rPr>
                <w:rFonts w:eastAsia="Calibri"/>
                <w:sz w:val="20"/>
              </w:rPr>
              <w:t>November 18, 2011</w:t>
            </w:r>
          </w:p>
          <w:p w:rsidR="00801E01" w:rsidRPr="00096A4B" w:rsidRDefault="00801E01" w:rsidP="00970CF7">
            <w:pPr>
              <w:jc w:val="both"/>
              <w:rPr>
                <w:rFonts w:eastAsia="Calibri"/>
                <w:sz w:val="20"/>
              </w:rPr>
            </w:pPr>
            <w:r w:rsidRPr="00096A4B">
              <w:rPr>
                <w:rFonts w:eastAsia="Calibri"/>
                <w:sz w:val="20"/>
              </w:rPr>
              <w:t>Court of Appeal for British Columbia (Vancouver)</w:t>
            </w:r>
          </w:p>
          <w:p w:rsidR="00801E01" w:rsidRPr="00096A4B" w:rsidRDefault="00801E01" w:rsidP="00970CF7">
            <w:pPr>
              <w:jc w:val="both"/>
              <w:rPr>
                <w:rFonts w:eastAsia="Calibri"/>
                <w:sz w:val="20"/>
              </w:rPr>
            </w:pPr>
            <w:r w:rsidRPr="00096A4B">
              <w:rPr>
                <w:rFonts w:eastAsia="Calibri"/>
                <w:sz w:val="20"/>
              </w:rPr>
              <w:t>(Huddart, Groberman, Garson JJ.A.)</w:t>
            </w:r>
          </w:p>
          <w:p w:rsidR="00801E01" w:rsidRPr="00096A4B" w:rsidRDefault="00801E01" w:rsidP="006A1482">
            <w:pPr>
              <w:jc w:val="both"/>
              <w:rPr>
                <w:rFonts w:eastAsia="Calibri"/>
                <w:sz w:val="20"/>
              </w:rPr>
            </w:pPr>
            <w:r w:rsidRPr="00096A4B">
              <w:rPr>
                <w:rFonts w:eastAsia="Calibri"/>
                <w:sz w:val="20"/>
              </w:rPr>
              <w:t>2011 BCCA 464; CA038704</w:t>
            </w:r>
          </w:p>
        </w:tc>
        <w:tc>
          <w:tcPr>
            <w:tcW w:w="243" w:type="pct"/>
          </w:tcPr>
          <w:p w:rsidR="00801E01" w:rsidRPr="00096A4B" w:rsidRDefault="00801E01" w:rsidP="00970CF7">
            <w:pPr>
              <w:jc w:val="both"/>
              <w:rPr>
                <w:rFonts w:eastAsia="Calibri"/>
                <w:sz w:val="20"/>
              </w:rPr>
            </w:pPr>
          </w:p>
        </w:tc>
        <w:tc>
          <w:tcPr>
            <w:tcW w:w="2330" w:type="pct"/>
          </w:tcPr>
          <w:p w:rsidR="00801E01" w:rsidRPr="00096A4B" w:rsidRDefault="00801E01" w:rsidP="00970CF7">
            <w:pPr>
              <w:jc w:val="both"/>
              <w:rPr>
                <w:rFonts w:eastAsia="Calibri"/>
                <w:sz w:val="20"/>
              </w:rPr>
            </w:pPr>
            <w:r w:rsidRPr="00096A4B">
              <w:rPr>
                <w:rFonts w:eastAsia="Calibri"/>
                <w:sz w:val="20"/>
              </w:rPr>
              <w:t>Appeal dismissed</w:t>
            </w:r>
          </w:p>
          <w:p w:rsidR="00801E01" w:rsidRPr="00096A4B" w:rsidRDefault="00801E01" w:rsidP="00970CF7">
            <w:pPr>
              <w:jc w:val="both"/>
              <w:rPr>
                <w:rFonts w:eastAsia="Calibri"/>
                <w:sz w:val="20"/>
              </w:rPr>
            </w:pPr>
          </w:p>
        </w:tc>
      </w:tr>
    </w:tbl>
    <w:p w:rsidR="006A1482" w:rsidRDefault="006A1482"/>
    <w:p w:rsidR="006A1482" w:rsidRDefault="006A1482">
      <w:r>
        <w:br w:type="page"/>
      </w:r>
    </w:p>
    <w:tbl>
      <w:tblPr>
        <w:tblW w:w="4952" w:type="pct"/>
        <w:tblLayout w:type="fixed"/>
        <w:tblCellMar>
          <w:left w:w="0" w:type="dxa"/>
          <w:bottom w:w="99" w:type="dxa"/>
          <w:right w:w="0" w:type="dxa"/>
        </w:tblCellMar>
        <w:tblLook w:val="04A0"/>
      </w:tblPr>
      <w:tblGrid>
        <w:gridCol w:w="4624"/>
        <w:gridCol w:w="463"/>
        <w:gridCol w:w="4440"/>
      </w:tblGrid>
      <w:tr w:rsidR="00801E01" w:rsidRPr="00096A4B" w:rsidTr="006A1482">
        <w:trPr>
          <w:cantSplit/>
        </w:trPr>
        <w:tc>
          <w:tcPr>
            <w:tcW w:w="2427" w:type="pct"/>
          </w:tcPr>
          <w:p w:rsidR="00801E01" w:rsidRPr="00096A4B" w:rsidRDefault="00801E01" w:rsidP="00970CF7">
            <w:pPr>
              <w:jc w:val="both"/>
              <w:rPr>
                <w:rFonts w:eastAsia="Calibri"/>
                <w:sz w:val="20"/>
              </w:rPr>
            </w:pPr>
            <w:r w:rsidRPr="00096A4B">
              <w:rPr>
                <w:rFonts w:eastAsia="Calibri"/>
                <w:sz w:val="20"/>
              </w:rPr>
              <w:lastRenderedPageBreak/>
              <w:t>January 5, 2012</w:t>
            </w:r>
          </w:p>
          <w:p w:rsidR="00801E01" w:rsidRPr="00096A4B" w:rsidRDefault="00801E01" w:rsidP="00970CF7">
            <w:pPr>
              <w:jc w:val="both"/>
              <w:rPr>
                <w:rFonts w:eastAsia="Calibri"/>
                <w:sz w:val="20"/>
              </w:rPr>
            </w:pPr>
            <w:r w:rsidRPr="00096A4B">
              <w:rPr>
                <w:rFonts w:eastAsia="Calibri"/>
                <w:sz w:val="20"/>
              </w:rPr>
              <w:t>Supreme Court of Canada</w:t>
            </w:r>
          </w:p>
        </w:tc>
        <w:tc>
          <w:tcPr>
            <w:tcW w:w="243" w:type="pct"/>
          </w:tcPr>
          <w:p w:rsidR="00801E01" w:rsidRPr="00096A4B" w:rsidRDefault="00801E01" w:rsidP="00970CF7">
            <w:pPr>
              <w:jc w:val="both"/>
              <w:rPr>
                <w:rFonts w:eastAsia="Calibri"/>
                <w:sz w:val="20"/>
              </w:rPr>
            </w:pPr>
          </w:p>
        </w:tc>
        <w:tc>
          <w:tcPr>
            <w:tcW w:w="2330" w:type="pct"/>
          </w:tcPr>
          <w:p w:rsidR="00801E01" w:rsidRPr="00096A4B" w:rsidRDefault="00801E01" w:rsidP="00970CF7">
            <w:pPr>
              <w:jc w:val="both"/>
              <w:rPr>
                <w:rFonts w:eastAsia="Calibri"/>
                <w:sz w:val="20"/>
              </w:rPr>
            </w:pPr>
            <w:r w:rsidRPr="00096A4B">
              <w:rPr>
                <w:rFonts w:eastAsia="Calibri"/>
                <w:sz w:val="20"/>
              </w:rPr>
              <w:t>Application for leave to appeal and Motion for stay of execution of trial judgment filed</w:t>
            </w: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57"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01E01" w:rsidRPr="00643997" w:rsidTr="00970CF7">
        <w:tc>
          <w:tcPr>
            <w:tcW w:w="5000" w:type="pct"/>
            <w:gridSpan w:val="3"/>
          </w:tcPr>
          <w:p w:rsidR="00801E01" w:rsidRPr="00096A4B" w:rsidRDefault="00801E01" w:rsidP="00970CF7">
            <w:pPr>
              <w:jc w:val="both"/>
              <w:rPr>
                <w:rFonts w:eastAsia="Calibri"/>
                <w:sz w:val="20"/>
                <w:lang w:val="fr-CA"/>
              </w:rPr>
            </w:pPr>
            <w:r w:rsidRPr="00096A4B">
              <w:rPr>
                <w:rFonts w:eastAsia="Calibri"/>
                <w:sz w:val="20"/>
                <w:lang w:val="fr-CA"/>
              </w:rPr>
              <w:t>Responsabilité délictuelle - Négligence - La conduite de l’intimé équivaut-elle à de la négligence contributive? - La conduite de deux tiers ou de l’un deux équivaut-elle à un nouvel acte intermédiaire?</w:t>
            </w:r>
          </w:p>
        </w:tc>
      </w:tr>
      <w:tr w:rsidR="00801E01" w:rsidRPr="00643997" w:rsidTr="00970CF7">
        <w:tc>
          <w:tcPr>
            <w:tcW w:w="5000" w:type="pct"/>
            <w:gridSpan w:val="3"/>
          </w:tcPr>
          <w:p w:rsidR="00801E01" w:rsidRPr="00096A4B" w:rsidRDefault="00801E01" w:rsidP="00970CF7">
            <w:pPr>
              <w:jc w:val="both"/>
              <w:rPr>
                <w:rFonts w:eastAsia="Calibri"/>
                <w:sz w:val="20"/>
                <w:lang w:val="fr-CA"/>
              </w:rPr>
            </w:pPr>
          </w:p>
        </w:tc>
      </w:tr>
      <w:tr w:rsidR="00801E01" w:rsidRPr="00643997" w:rsidTr="00970CF7">
        <w:tc>
          <w:tcPr>
            <w:tcW w:w="5000" w:type="pct"/>
            <w:gridSpan w:val="3"/>
          </w:tcPr>
          <w:p w:rsidR="00801E01" w:rsidRPr="00096A4B" w:rsidRDefault="00801E01" w:rsidP="00970CF7">
            <w:pPr>
              <w:jc w:val="both"/>
              <w:rPr>
                <w:rFonts w:eastAsia="Calibri"/>
                <w:bCs/>
                <w:sz w:val="20"/>
                <w:lang w:val="fr-CA"/>
              </w:rPr>
            </w:pPr>
            <w:r w:rsidRPr="00096A4B">
              <w:rPr>
                <w:rFonts w:eastAsia="Calibri"/>
                <w:sz w:val="20"/>
                <w:lang w:val="fr-CA"/>
              </w:rPr>
              <w:t xml:space="preserve">Le demandeur est propriétaire et gestionnaire d’un immeuble d’habitation.  Il veut faire infirmer un jugement en dommages-intérêts rendu en faveur de l’intimé qui a été grièvement blessé lorsqu’il a fait une chute de trois étages d’un balcon de l’immeuble d’habitation du demandeur.   L’intimé était en visite chez des amis, M. Billy et Mme Mark, à leur appartement.  L’intimé avait déjà pris quelques consommations.  L’intimé a bu environ quatre bières à l’appartement, puis est sorti sur le balcon pour fumer une cigarette.  L’intimé s’est appuyé de dos contre la balustrade qui a cédé.  Madame Mark n’a pas empêché l’intimé d’aller sur le balcon et elle ne l’a pas averti que la balustrade était en mauvais état.  Monsieur Billy avait précédemment effectué une réparation inadéquate de la balustrade.  </w:t>
            </w:r>
            <w:r w:rsidRPr="00096A4B">
              <w:rPr>
                <w:rFonts w:eastAsia="Calibri"/>
                <w:bCs/>
                <w:sz w:val="20"/>
                <w:lang w:val="fr-CA"/>
              </w:rPr>
              <w:t>Le demandeur savait que la balustrade avait besoin d’être réparée et que M.</w:t>
            </w:r>
            <w:r w:rsidRPr="00096A4B">
              <w:rPr>
                <w:rFonts w:eastAsia="Calibri"/>
                <w:sz w:val="20"/>
                <w:lang w:val="fr-CA"/>
              </w:rPr>
              <w:t> Billy avait effectué une réparation inadéquate.</w:t>
            </w:r>
          </w:p>
          <w:p w:rsidR="00801E01" w:rsidRPr="00096A4B" w:rsidRDefault="00801E01" w:rsidP="00970CF7">
            <w:pPr>
              <w:jc w:val="both"/>
              <w:rPr>
                <w:rFonts w:eastAsia="Calibri"/>
                <w:sz w:val="20"/>
                <w:lang w:val="fr-CA"/>
              </w:rPr>
            </w:pPr>
          </w:p>
        </w:tc>
      </w:tr>
      <w:tr w:rsidR="00801E01" w:rsidRPr="00643997" w:rsidTr="00970CF7">
        <w:tc>
          <w:tcPr>
            <w:tcW w:w="2427" w:type="pct"/>
          </w:tcPr>
          <w:p w:rsidR="00801E01" w:rsidRPr="00096A4B" w:rsidRDefault="00801E01" w:rsidP="00970CF7">
            <w:pPr>
              <w:jc w:val="both"/>
              <w:rPr>
                <w:rFonts w:eastAsia="Calibri"/>
                <w:sz w:val="20"/>
                <w:lang w:val="fr-CA"/>
              </w:rPr>
            </w:pPr>
            <w:r w:rsidRPr="00096A4B">
              <w:rPr>
                <w:rFonts w:eastAsia="Calibri"/>
                <w:sz w:val="20"/>
                <w:lang w:val="fr-CA"/>
              </w:rPr>
              <w:t>10 décembre 2010</w:t>
            </w:r>
          </w:p>
          <w:p w:rsidR="00801E01" w:rsidRPr="00096A4B" w:rsidRDefault="00801E01" w:rsidP="00970CF7">
            <w:pPr>
              <w:jc w:val="both"/>
              <w:rPr>
                <w:rFonts w:eastAsia="Calibri"/>
                <w:sz w:val="20"/>
                <w:lang w:val="fr-CA"/>
              </w:rPr>
            </w:pPr>
            <w:r w:rsidRPr="00096A4B">
              <w:rPr>
                <w:rFonts w:eastAsia="Calibri"/>
                <w:sz w:val="20"/>
                <w:lang w:val="fr-CA"/>
              </w:rPr>
              <w:t>Cour suprême de la Colombie-Britannique</w:t>
            </w:r>
          </w:p>
          <w:p w:rsidR="00801E01" w:rsidRPr="00096A4B" w:rsidRDefault="00801E01" w:rsidP="00970CF7">
            <w:pPr>
              <w:jc w:val="both"/>
              <w:rPr>
                <w:rFonts w:eastAsia="Calibri"/>
                <w:sz w:val="20"/>
                <w:lang w:val="fr-CA"/>
              </w:rPr>
            </w:pPr>
            <w:r w:rsidRPr="00096A4B">
              <w:rPr>
                <w:rFonts w:eastAsia="Calibri"/>
                <w:sz w:val="20"/>
                <w:lang w:val="fr-CA"/>
              </w:rPr>
              <w:t xml:space="preserve">(Juge Savage) </w:t>
            </w:r>
          </w:p>
          <w:p w:rsidR="00801E01" w:rsidRPr="00096A4B" w:rsidRDefault="00801E01" w:rsidP="00970CF7">
            <w:pPr>
              <w:jc w:val="both"/>
              <w:rPr>
                <w:rFonts w:eastAsia="Calibri"/>
                <w:sz w:val="20"/>
                <w:lang w:val="fr-CA"/>
              </w:rPr>
            </w:pPr>
            <w:r w:rsidRPr="00096A4B">
              <w:rPr>
                <w:rFonts w:eastAsia="Calibri"/>
                <w:sz w:val="20"/>
                <w:lang w:val="fr-CA"/>
              </w:rPr>
              <w:t>2011 BCSC 171</w:t>
            </w:r>
          </w:p>
          <w:p w:rsidR="00801E01" w:rsidRPr="00096A4B" w:rsidRDefault="00801E01" w:rsidP="00970CF7">
            <w:pPr>
              <w:jc w:val="both"/>
              <w:rPr>
                <w:rFonts w:eastAsia="Calibri"/>
                <w:sz w:val="20"/>
                <w:lang w:val="fr-CA"/>
              </w:rPr>
            </w:pPr>
          </w:p>
        </w:tc>
        <w:tc>
          <w:tcPr>
            <w:tcW w:w="243" w:type="pct"/>
          </w:tcPr>
          <w:p w:rsidR="00801E01" w:rsidRPr="00096A4B" w:rsidRDefault="00801E01" w:rsidP="00970CF7">
            <w:pPr>
              <w:jc w:val="both"/>
              <w:rPr>
                <w:rFonts w:eastAsia="Calibri"/>
                <w:sz w:val="20"/>
                <w:lang w:val="fr-CA"/>
              </w:rPr>
            </w:pPr>
          </w:p>
        </w:tc>
        <w:tc>
          <w:tcPr>
            <w:tcW w:w="2330" w:type="pct"/>
          </w:tcPr>
          <w:p w:rsidR="00801E01" w:rsidRPr="00096A4B" w:rsidRDefault="00801E01" w:rsidP="00970CF7">
            <w:pPr>
              <w:jc w:val="both"/>
              <w:rPr>
                <w:rFonts w:eastAsia="Calibri"/>
                <w:sz w:val="20"/>
                <w:lang w:val="fr-CA"/>
              </w:rPr>
            </w:pPr>
            <w:r w:rsidRPr="00096A4B">
              <w:rPr>
                <w:rFonts w:eastAsia="Calibri"/>
                <w:sz w:val="20"/>
                <w:lang w:val="fr-CA"/>
              </w:rPr>
              <w:t>Demandeur jugé responsable; dommages-intérêts évalués à 322 463,76 $</w:t>
            </w:r>
          </w:p>
          <w:p w:rsidR="00801E01" w:rsidRPr="00096A4B" w:rsidRDefault="00801E01" w:rsidP="00970CF7">
            <w:pPr>
              <w:jc w:val="both"/>
              <w:rPr>
                <w:rFonts w:eastAsia="Calibri"/>
                <w:sz w:val="20"/>
                <w:lang w:val="fr-CA"/>
              </w:rPr>
            </w:pPr>
          </w:p>
        </w:tc>
      </w:tr>
      <w:tr w:rsidR="00801E01" w:rsidRPr="00096A4B" w:rsidTr="00970CF7">
        <w:tc>
          <w:tcPr>
            <w:tcW w:w="2427" w:type="pct"/>
          </w:tcPr>
          <w:p w:rsidR="00801E01" w:rsidRPr="00096A4B" w:rsidRDefault="00801E01" w:rsidP="00970CF7">
            <w:pPr>
              <w:jc w:val="both"/>
              <w:rPr>
                <w:rFonts w:eastAsia="Calibri"/>
                <w:sz w:val="20"/>
                <w:lang w:val="fr-CA"/>
              </w:rPr>
            </w:pPr>
            <w:r w:rsidRPr="00096A4B">
              <w:rPr>
                <w:rFonts w:eastAsia="Calibri"/>
                <w:sz w:val="20"/>
                <w:lang w:val="fr-CA"/>
              </w:rPr>
              <w:t>18 novembre 2011</w:t>
            </w:r>
          </w:p>
          <w:p w:rsidR="00801E01" w:rsidRPr="00096A4B" w:rsidRDefault="00801E01" w:rsidP="00970CF7">
            <w:pPr>
              <w:jc w:val="both"/>
              <w:rPr>
                <w:rFonts w:eastAsia="Calibri"/>
                <w:sz w:val="20"/>
                <w:lang w:val="fr-CA"/>
              </w:rPr>
            </w:pPr>
            <w:r w:rsidRPr="00096A4B">
              <w:rPr>
                <w:rFonts w:eastAsia="Calibri"/>
                <w:sz w:val="20"/>
                <w:lang w:val="fr-CA"/>
              </w:rPr>
              <w:t>Cour d’appel de la Colombie-Britannique (Vancouver)</w:t>
            </w:r>
          </w:p>
          <w:p w:rsidR="00801E01" w:rsidRPr="00096A4B" w:rsidRDefault="00801E01" w:rsidP="00970CF7">
            <w:pPr>
              <w:jc w:val="both"/>
              <w:rPr>
                <w:rFonts w:eastAsia="Calibri"/>
                <w:sz w:val="20"/>
                <w:lang w:val="fr-CA"/>
              </w:rPr>
            </w:pPr>
            <w:r w:rsidRPr="00096A4B">
              <w:rPr>
                <w:rFonts w:eastAsia="Calibri"/>
                <w:sz w:val="20"/>
                <w:lang w:val="fr-CA"/>
              </w:rPr>
              <w:t>(Juges Huddart, Groberman et Garson)</w:t>
            </w:r>
          </w:p>
          <w:p w:rsidR="00801E01" w:rsidRPr="00096A4B" w:rsidRDefault="00801E01" w:rsidP="00970CF7">
            <w:pPr>
              <w:jc w:val="both"/>
              <w:rPr>
                <w:rFonts w:eastAsia="Calibri"/>
                <w:sz w:val="20"/>
                <w:lang w:val="fr-CA"/>
              </w:rPr>
            </w:pPr>
            <w:r w:rsidRPr="00096A4B">
              <w:rPr>
                <w:rFonts w:eastAsia="Calibri"/>
                <w:sz w:val="20"/>
                <w:lang w:val="fr-CA"/>
              </w:rPr>
              <w:t>2011 BCCA 464; CA038704</w:t>
            </w:r>
          </w:p>
          <w:p w:rsidR="00801E01" w:rsidRPr="00096A4B" w:rsidRDefault="00801E01" w:rsidP="00970CF7">
            <w:pPr>
              <w:jc w:val="both"/>
              <w:rPr>
                <w:rFonts w:eastAsia="Calibri"/>
                <w:sz w:val="20"/>
                <w:lang w:val="fr-CA"/>
              </w:rPr>
            </w:pPr>
          </w:p>
        </w:tc>
        <w:tc>
          <w:tcPr>
            <w:tcW w:w="243" w:type="pct"/>
          </w:tcPr>
          <w:p w:rsidR="00801E01" w:rsidRPr="00096A4B" w:rsidRDefault="00801E01" w:rsidP="00970CF7">
            <w:pPr>
              <w:jc w:val="both"/>
              <w:rPr>
                <w:rFonts w:eastAsia="Calibri"/>
                <w:sz w:val="20"/>
                <w:lang w:val="fr-CA"/>
              </w:rPr>
            </w:pPr>
          </w:p>
        </w:tc>
        <w:tc>
          <w:tcPr>
            <w:tcW w:w="2330" w:type="pct"/>
          </w:tcPr>
          <w:p w:rsidR="00801E01" w:rsidRPr="00096A4B" w:rsidRDefault="00801E01" w:rsidP="00970CF7">
            <w:pPr>
              <w:jc w:val="both"/>
              <w:rPr>
                <w:rFonts w:eastAsia="Calibri"/>
                <w:sz w:val="20"/>
                <w:lang w:val="fr-CA"/>
              </w:rPr>
            </w:pPr>
            <w:r w:rsidRPr="00096A4B">
              <w:rPr>
                <w:rFonts w:eastAsia="Calibri"/>
                <w:sz w:val="20"/>
                <w:lang w:val="fr-CA"/>
              </w:rPr>
              <w:t>Appel rejeté</w:t>
            </w:r>
          </w:p>
          <w:p w:rsidR="00801E01" w:rsidRPr="00096A4B" w:rsidRDefault="00801E01" w:rsidP="00970CF7">
            <w:pPr>
              <w:jc w:val="both"/>
              <w:rPr>
                <w:rFonts w:eastAsia="Calibri"/>
                <w:sz w:val="20"/>
                <w:lang w:val="fr-CA"/>
              </w:rPr>
            </w:pPr>
          </w:p>
        </w:tc>
      </w:tr>
      <w:tr w:rsidR="00801E01" w:rsidRPr="00643997" w:rsidTr="00970CF7">
        <w:tc>
          <w:tcPr>
            <w:tcW w:w="2427" w:type="pct"/>
          </w:tcPr>
          <w:p w:rsidR="00801E01" w:rsidRPr="00096A4B" w:rsidRDefault="00801E01" w:rsidP="00970CF7">
            <w:pPr>
              <w:jc w:val="both"/>
              <w:rPr>
                <w:rFonts w:eastAsia="Calibri"/>
                <w:sz w:val="20"/>
                <w:lang w:val="fr-CA"/>
              </w:rPr>
            </w:pPr>
            <w:r w:rsidRPr="00096A4B">
              <w:rPr>
                <w:rFonts w:eastAsia="Calibri"/>
                <w:sz w:val="20"/>
                <w:lang w:val="fr-CA"/>
              </w:rPr>
              <w:t>5 janvier 2012</w:t>
            </w:r>
          </w:p>
          <w:p w:rsidR="00801E01" w:rsidRPr="00096A4B" w:rsidRDefault="00801E01" w:rsidP="00970CF7">
            <w:pPr>
              <w:jc w:val="both"/>
              <w:rPr>
                <w:rFonts w:eastAsia="Calibri"/>
                <w:sz w:val="20"/>
                <w:lang w:val="fr-CA"/>
              </w:rPr>
            </w:pPr>
            <w:r w:rsidRPr="00096A4B">
              <w:rPr>
                <w:rFonts w:eastAsia="Calibri"/>
                <w:sz w:val="20"/>
                <w:lang w:val="fr-CA"/>
              </w:rPr>
              <w:t>Cour suprême du Canada</w:t>
            </w:r>
          </w:p>
        </w:tc>
        <w:tc>
          <w:tcPr>
            <w:tcW w:w="243" w:type="pct"/>
          </w:tcPr>
          <w:p w:rsidR="00801E01" w:rsidRPr="00096A4B" w:rsidRDefault="00801E01" w:rsidP="00970CF7">
            <w:pPr>
              <w:jc w:val="both"/>
              <w:rPr>
                <w:rFonts w:eastAsia="Calibri"/>
                <w:sz w:val="20"/>
                <w:lang w:val="fr-CA"/>
              </w:rPr>
            </w:pPr>
          </w:p>
        </w:tc>
        <w:tc>
          <w:tcPr>
            <w:tcW w:w="2330" w:type="pct"/>
          </w:tcPr>
          <w:p w:rsidR="00801E01" w:rsidRPr="00096A4B" w:rsidRDefault="00801E01" w:rsidP="00970CF7">
            <w:pPr>
              <w:jc w:val="both"/>
              <w:rPr>
                <w:rFonts w:eastAsia="Calibri"/>
                <w:sz w:val="20"/>
                <w:lang w:val="fr-CA"/>
              </w:rPr>
            </w:pPr>
            <w:r w:rsidRPr="00096A4B">
              <w:rPr>
                <w:rFonts w:eastAsia="Calibri"/>
                <w:sz w:val="20"/>
                <w:lang w:val="fr-CA"/>
              </w:rPr>
              <w:t>Demande d’autorisation d’appel et requête en sursis à l’exécution du jugement de première instance, déposées</w:t>
            </w:r>
          </w:p>
        </w:tc>
      </w:tr>
    </w:tbl>
    <w:p w:rsidR="00691AA0" w:rsidRPr="00801E01" w:rsidRDefault="00691AA0" w:rsidP="00691AA0">
      <w:pPr>
        <w:rPr>
          <w:sz w:val="20"/>
          <w:szCs w:val="20"/>
          <w:lang w:val="fr-CA"/>
        </w:rPr>
      </w:pPr>
    </w:p>
    <w:p w:rsidR="00691AA0" w:rsidRDefault="003B0427" w:rsidP="00691AA0">
      <w:pPr>
        <w:rPr>
          <w:sz w:val="20"/>
          <w:szCs w:val="20"/>
          <w:lang w:val="fr-CA"/>
        </w:rPr>
      </w:pPr>
      <w:r w:rsidRPr="003B0427">
        <w:rPr>
          <w:sz w:val="20"/>
          <w:szCs w:val="20"/>
          <w:lang w:val="fr-CA"/>
        </w:rPr>
        <w:pict>
          <v:rect id="_x0000_i1058"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A1482" w:rsidRPr="00B9644F" w:rsidTr="0017605E">
        <w:trPr>
          <w:cantSplit/>
        </w:trPr>
        <w:tc>
          <w:tcPr>
            <w:tcW w:w="1458" w:type="dxa"/>
          </w:tcPr>
          <w:p w:rsidR="006A1482" w:rsidRPr="00B9644F" w:rsidRDefault="006A1482" w:rsidP="0017605E">
            <w:pPr>
              <w:rPr>
                <w:sz w:val="20"/>
                <w:szCs w:val="20"/>
              </w:rPr>
            </w:pPr>
            <w:r w:rsidRPr="00B9644F">
              <w:rPr>
                <w:rStyle w:val="SCCFileNumberChar"/>
                <w:sz w:val="20"/>
                <w:szCs w:val="20"/>
              </w:rPr>
              <w:t>34605</w:t>
            </w:r>
          </w:p>
          <w:p w:rsidR="006A1482" w:rsidRPr="00B9644F" w:rsidRDefault="006A1482" w:rsidP="0017605E">
            <w:pPr>
              <w:rPr>
                <w:b/>
                <w:sz w:val="20"/>
                <w:szCs w:val="20"/>
                <w:lang w:val="fr-CA"/>
              </w:rPr>
            </w:pPr>
          </w:p>
        </w:tc>
        <w:tc>
          <w:tcPr>
            <w:tcW w:w="8118" w:type="dxa"/>
          </w:tcPr>
          <w:p w:rsidR="006A1482" w:rsidRPr="00B9644F" w:rsidRDefault="006A1482" w:rsidP="0017605E">
            <w:pPr>
              <w:rPr>
                <w:sz w:val="20"/>
                <w:szCs w:val="20"/>
              </w:rPr>
            </w:pPr>
            <w:r w:rsidRPr="00B9644F">
              <w:rPr>
                <w:rStyle w:val="SCCLsocChar"/>
                <w:sz w:val="20"/>
                <w:szCs w:val="20"/>
              </w:rPr>
              <w:t>Tri-Caddi International Inc. v. Sunrise Tradex Corporation</w:t>
            </w:r>
            <w:r w:rsidRPr="00B9644F">
              <w:rPr>
                <w:sz w:val="20"/>
                <w:szCs w:val="20"/>
                <w:lang w:val="fr-CA"/>
              </w:rPr>
              <w:t xml:space="preserve"> (Que.) </w:t>
            </w:r>
            <w:r w:rsidRPr="00B9644F">
              <w:rPr>
                <w:sz w:val="20"/>
                <w:szCs w:val="20"/>
              </w:rPr>
              <w:t>(Civil) (By Leave)</w:t>
            </w:r>
          </w:p>
          <w:p w:rsidR="006A1482" w:rsidRPr="00B9644F" w:rsidRDefault="006A1482" w:rsidP="0017605E">
            <w:pPr>
              <w:rPr>
                <w:sz w:val="20"/>
                <w:szCs w:val="20"/>
              </w:rPr>
            </w:pPr>
          </w:p>
        </w:tc>
      </w:tr>
      <w:tr w:rsidR="006A1482" w:rsidRPr="00B9644F" w:rsidTr="0017605E">
        <w:trPr>
          <w:cantSplit/>
        </w:trPr>
        <w:tc>
          <w:tcPr>
            <w:tcW w:w="1458" w:type="dxa"/>
          </w:tcPr>
          <w:p w:rsidR="006A1482" w:rsidRPr="00B9644F" w:rsidRDefault="006A1482" w:rsidP="0017605E">
            <w:pPr>
              <w:rPr>
                <w:sz w:val="20"/>
                <w:szCs w:val="20"/>
              </w:rPr>
            </w:pPr>
            <w:r w:rsidRPr="00B9644F">
              <w:rPr>
                <w:sz w:val="20"/>
                <w:szCs w:val="20"/>
              </w:rPr>
              <w:t>Coram :</w:t>
            </w:r>
          </w:p>
        </w:tc>
        <w:tc>
          <w:tcPr>
            <w:tcW w:w="8118" w:type="dxa"/>
          </w:tcPr>
          <w:p w:rsidR="006A1482" w:rsidRPr="00B9644F" w:rsidRDefault="006A1482" w:rsidP="0017605E">
            <w:pPr>
              <w:rPr>
                <w:sz w:val="20"/>
                <w:szCs w:val="20"/>
              </w:rPr>
            </w:pPr>
            <w:r w:rsidRPr="006A1482">
              <w:rPr>
                <w:rStyle w:val="SCCCoramChar"/>
                <w:sz w:val="20"/>
                <w:szCs w:val="20"/>
                <w:lang w:val="en-CA"/>
              </w:rPr>
              <w:t>Deschamps, Fish and Karakatsanis JJ.</w:t>
            </w:r>
          </w:p>
          <w:p w:rsidR="006A1482" w:rsidRPr="00B9644F" w:rsidRDefault="006A1482" w:rsidP="0017605E">
            <w:pPr>
              <w:rPr>
                <w:sz w:val="20"/>
                <w:szCs w:val="20"/>
                <w:u w:val="single"/>
              </w:rPr>
            </w:pPr>
          </w:p>
        </w:tc>
      </w:tr>
      <w:tr w:rsidR="006A1482" w:rsidRPr="00643997" w:rsidTr="0017605E">
        <w:trPr>
          <w:cantSplit/>
        </w:trPr>
        <w:tc>
          <w:tcPr>
            <w:tcW w:w="9576" w:type="dxa"/>
            <w:gridSpan w:val="2"/>
          </w:tcPr>
          <w:p w:rsidR="006A1482" w:rsidRPr="00B9644F" w:rsidRDefault="006A1482" w:rsidP="0017605E">
            <w:pPr>
              <w:pStyle w:val="SCCShortJudgment"/>
              <w:rPr>
                <w:szCs w:val="20"/>
              </w:rPr>
            </w:pPr>
            <w:r w:rsidRPr="00B9644F">
              <w:rPr>
                <w:szCs w:val="20"/>
              </w:rPr>
              <w:t>The application for leave to appeal from the judgment of the Court of Appeal of Quebec (Montréal), Number 500-09-020151-098,  2011 QCCA 2064, dated November 9, 2011, is dismissed with costs.</w:t>
            </w:r>
          </w:p>
          <w:p w:rsidR="006A1482" w:rsidRPr="00B9644F" w:rsidRDefault="006A1482" w:rsidP="0017605E">
            <w:pPr>
              <w:pStyle w:val="SCCShortJudgment"/>
              <w:ind w:firstLine="0"/>
              <w:rPr>
                <w:szCs w:val="20"/>
              </w:rPr>
            </w:pPr>
          </w:p>
          <w:p w:rsidR="006A1482" w:rsidRPr="00B9644F" w:rsidRDefault="006A1482" w:rsidP="0017605E">
            <w:pPr>
              <w:pStyle w:val="SCCShortJudgment"/>
              <w:rPr>
                <w:szCs w:val="20"/>
                <w:lang w:val="fr-CA"/>
              </w:rPr>
            </w:pPr>
            <w:r w:rsidRPr="00B9644F">
              <w:rPr>
                <w:szCs w:val="20"/>
                <w:lang w:val="fr-CA"/>
              </w:rPr>
              <w:t>La demande d’autorisation d’appel de l’arrêt de la Cour d’appel du Québec (Montréal), numéro 500-09-020151-098, 2011 QCCA 2064, daté du 9 novembre 2011, est rejetée avec dépens.</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1E01" w:rsidRPr="00096A4B" w:rsidTr="00970CF7">
        <w:tc>
          <w:tcPr>
            <w:tcW w:w="5000" w:type="pct"/>
            <w:gridSpan w:val="3"/>
          </w:tcPr>
          <w:p w:rsidR="00801E01" w:rsidRPr="00096A4B" w:rsidRDefault="00801E01" w:rsidP="00970CF7">
            <w:pPr>
              <w:jc w:val="both"/>
              <w:rPr>
                <w:rFonts w:eastAsia="Calibri"/>
                <w:sz w:val="20"/>
              </w:rPr>
            </w:pPr>
            <w:r w:rsidRPr="00096A4B">
              <w:rPr>
                <w:rFonts w:eastAsia="Calibri"/>
                <w:sz w:val="20"/>
              </w:rPr>
              <w:t xml:space="preserve">Contracts — Defective product — Damages for breach of contract — Punitive damages — Evidence — Credibility of </w:t>
            </w:r>
            <w:r w:rsidRPr="00096A4B">
              <w:rPr>
                <w:rFonts w:eastAsia="Calibri"/>
                <w:sz w:val="20"/>
              </w:rPr>
              <w:lastRenderedPageBreak/>
              <w:t>Expert Witnesses — Standard of review — Did the Court of Appeal err in evaluating damages from loss of future profits in such a way that it imposed upon the Applicant a burden of proof requiring a certainty for purposes of recovering such damages? — Did the Court of Appeal err in making findings of fact in substitution of those made at trial? — Did the Court of Appeal err in intervening on the basis of an incomplete record?</w:t>
            </w:r>
          </w:p>
        </w:tc>
      </w:tr>
      <w:tr w:rsidR="00801E01" w:rsidRPr="00096A4B" w:rsidTr="00970CF7">
        <w:tc>
          <w:tcPr>
            <w:tcW w:w="5000" w:type="pct"/>
            <w:gridSpan w:val="3"/>
          </w:tcPr>
          <w:p w:rsidR="00801E01" w:rsidRPr="00096A4B" w:rsidRDefault="00801E01" w:rsidP="00970CF7">
            <w:pPr>
              <w:jc w:val="both"/>
              <w:rPr>
                <w:rFonts w:eastAsia="Calibri"/>
                <w:sz w:val="20"/>
              </w:rPr>
            </w:pPr>
          </w:p>
        </w:tc>
      </w:tr>
      <w:tr w:rsidR="00801E01" w:rsidRPr="00096A4B" w:rsidTr="00970CF7">
        <w:tc>
          <w:tcPr>
            <w:tcW w:w="5000" w:type="pct"/>
            <w:gridSpan w:val="3"/>
          </w:tcPr>
          <w:p w:rsidR="00801E01" w:rsidRPr="00096A4B" w:rsidRDefault="00801E01" w:rsidP="00970CF7">
            <w:pPr>
              <w:jc w:val="both"/>
              <w:rPr>
                <w:rFonts w:eastAsia="Calibri"/>
                <w:sz w:val="20"/>
              </w:rPr>
            </w:pPr>
            <w:r w:rsidRPr="00096A4B">
              <w:rPr>
                <w:rFonts w:eastAsia="Calibri"/>
                <w:sz w:val="20"/>
              </w:rPr>
              <w:t>The Applicant, via its founder, developed a 3</w:t>
            </w:r>
            <w:r w:rsidRPr="00096A4B">
              <w:rPr>
                <w:rFonts w:eastAsia="Calibri"/>
                <w:sz w:val="20"/>
              </w:rPr>
              <w:noBreakHyphen/>
              <w:t>wheel push golf cart referred to as the “tri</w:t>
            </w:r>
            <w:r w:rsidRPr="00096A4B">
              <w:rPr>
                <w:rFonts w:eastAsia="Calibri"/>
                <w:sz w:val="20"/>
              </w:rPr>
              <w:noBreakHyphen/>
              <w:t xml:space="preserve">caddi”, a commercial version of which was produced with the assistance of the Respondent.  The latter sued the Applicant for the payment of outstanding invoices, and the Applicant in turn submitted a counterclaim for damages, resulting </w:t>
            </w:r>
            <w:r w:rsidRPr="00096A4B">
              <w:rPr>
                <w:rFonts w:eastAsia="Calibri"/>
                <w:i/>
                <w:sz w:val="20"/>
              </w:rPr>
              <w:t>inter alia</w:t>
            </w:r>
            <w:r w:rsidRPr="00096A4B">
              <w:rPr>
                <w:rFonts w:eastAsia="Calibri"/>
                <w:sz w:val="20"/>
              </w:rPr>
              <w:t xml:space="preserve"> from late delivery and various product defects.  In particular, the Applicant sought compensation for loss of profits in the amount of $1,000,000 calculated on the basis of its business plans and assumptions made therein, as well as a projected infomercial which was viewed and produced as part of the trial record, but not produced before the Court of Appeal.</w:t>
            </w:r>
          </w:p>
          <w:p w:rsidR="00801E01" w:rsidRPr="00096A4B" w:rsidRDefault="00801E01" w:rsidP="00970CF7">
            <w:pPr>
              <w:jc w:val="both"/>
              <w:rPr>
                <w:rFonts w:eastAsia="Calibri"/>
                <w:sz w:val="20"/>
              </w:rPr>
            </w:pPr>
          </w:p>
        </w:tc>
      </w:tr>
      <w:tr w:rsidR="00801E01" w:rsidRPr="00096A4B" w:rsidTr="00970CF7">
        <w:tc>
          <w:tcPr>
            <w:tcW w:w="2427" w:type="pct"/>
          </w:tcPr>
          <w:p w:rsidR="00801E01" w:rsidRPr="00096A4B" w:rsidRDefault="00801E01" w:rsidP="00970CF7">
            <w:pPr>
              <w:jc w:val="both"/>
              <w:rPr>
                <w:rFonts w:eastAsia="Calibri"/>
                <w:sz w:val="20"/>
              </w:rPr>
            </w:pPr>
            <w:r w:rsidRPr="00096A4B">
              <w:rPr>
                <w:rFonts w:eastAsia="Calibri"/>
                <w:sz w:val="20"/>
              </w:rPr>
              <w:t>May 8, 2008</w:t>
            </w:r>
          </w:p>
          <w:p w:rsidR="00801E01" w:rsidRPr="00096A4B" w:rsidRDefault="00801E01" w:rsidP="00970CF7">
            <w:pPr>
              <w:jc w:val="both"/>
              <w:rPr>
                <w:rFonts w:eastAsia="Calibri"/>
                <w:sz w:val="20"/>
              </w:rPr>
            </w:pPr>
            <w:r w:rsidRPr="00096A4B">
              <w:rPr>
                <w:rFonts w:eastAsia="Calibri"/>
                <w:sz w:val="20"/>
              </w:rPr>
              <w:t>Superior Court of Québec</w:t>
            </w:r>
          </w:p>
          <w:p w:rsidR="00801E01" w:rsidRPr="00096A4B" w:rsidRDefault="00801E01" w:rsidP="00970CF7">
            <w:pPr>
              <w:jc w:val="both"/>
              <w:rPr>
                <w:rFonts w:eastAsia="Calibri"/>
                <w:sz w:val="20"/>
              </w:rPr>
            </w:pPr>
            <w:r w:rsidRPr="00096A4B">
              <w:rPr>
                <w:rFonts w:eastAsia="Calibri"/>
                <w:sz w:val="20"/>
              </w:rPr>
              <w:t>(Beaugé J.)</w:t>
            </w:r>
          </w:p>
          <w:p w:rsidR="00801E01" w:rsidRPr="00096A4B" w:rsidRDefault="00801E01" w:rsidP="00970CF7">
            <w:pPr>
              <w:jc w:val="both"/>
              <w:rPr>
                <w:rFonts w:eastAsia="Calibri"/>
                <w:sz w:val="20"/>
              </w:rPr>
            </w:pPr>
            <w:r w:rsidRPr="00096A4B">
              <w:rPr>
                <w:rFonts w:eastAsia="Calibri"/>
                <w:sz w:val="20"/>
              </w:rPr>
              <w:t>Neutral citation: 2008 QCCS 1845</w:t>
            </w:r>
          </w:p>
          <w:p w:rsidR="00801E01" w:rsidRPr="00096A4B" w:rsidRDefault="00801E01" w:rsidP="00970CF7">
            <w:pPr>
              <w:jc w:val="both"/>
              <w:rPr>
                <w:rFonts w:eastAsia="Calibri"/>
                <w:sz w:val="20"/>
              </w:rPr>
            </w:pPr>
          </w:p>
        </w:tc>
        <w:tc>
          <w:tcPr>
            <w:tcW w:w="243" w:type="pct"/>
          </w:tcPr>
          <w:p w:rsidR="00801E01" w:rsidRPr="00096A4B" w:rsidRDefault="00801E01" w:rsidP="00970CF7">
            <w:pPr>
              <w:jc w:val="both"/>
              <w:rPr>
                <w:rFonts w:eastAsia="Calibri"/>
                <w:sz w:val="20"/>
              </w:rPr>
            </w:pPr>
          </w:p>
        </w:tc>
        <w:tc>
          <w:tcPr>
            <w:tcW w:w="2330" w:type="pct"/>
          </w:tcPr>
          <w:p w:rsidR="00801E01" w:rsidRPr="00096A4B" w:rsidRDefault="00801E01" w:rsidP="00970CF7">
            <w:pPr>
              <w:jc w:val="both"/>
              <w:rPr>
                <w:rFonts w:eastAsia="Calibri"/>
                <w:sz w:val="20"/>
              </w:rPr>
            </w:pPr>
            <w:r w:rsidRPr="00096A4B">
              <w:rPr>
                <w:rFonts w:eastAsia="Calibri"/>
                <w:sz w:val="20"/>
              </w:rPr>
              <w:t>Claim filed by Respondent dismissed, counterclaim filed by Applicant allowed, with damages assessed by separate judgement.</w:t>
            </w:r>
          </w:p>
        </w:tc>
      </w:tr>
      <w:tr w:rsidR="00801E01" w:rsidRPr="00096A4B" w:rsidTr="00970CF7">
        <w:tc>
          <w:tcPr>
            <w:tcW w:w="2427" w:type="pct"/>
          </w:tcPr>
          <w:p w:rsidR="00801E01" w:rsidRPr="00096A4B" w:rsidRDefault="00801E01" w:rsidP="00970CF7">
            <w:pPr>
              <w:jc w:val="both"/>
              <w:rPr>
                <w:rFonts w:eastAsia="Calibri"/>
                <w:sz w:val="20"/>
              </w:rPr>
            </w:pPr>
            <w:r w:rsidRPr="00096A4B">
              <w:rPr>
                <w:rFonts w:eastAsia="Calibri"/>
                <w:sz w:val="20"/>
              </w:rPr>
              <w:t>October 23, 2009</w:t>
            </w:r>
          </w:p>
          <w:p w:rsidR="00801E01" w:rsidRPr="00096A4B" w:rsidRDefault="00801E01" w:rsidP="00970CF7">
            <w:pPr>
              <w:jc w:val="both"/>
              <w:rPr>
                <w:rFonts w:eastAsia="Calibri"/>
                <w:sz w:val="20"/>
              </w:rPr>
            </w:pPr>
            <w:r w:rsidRPr="00096A4B">
              <w:rPr>
                <w:rFonts w:eastAsia="Calibri"/>
                <w:sz w:val="20"/>
              </w:rPr>
              <w:t>Superior Court of Québec</w:t>
            </w:r>
          </w:p>
          <w:p w:rsidR="00801E01" w:rsidRPr="00096A4B" w:rsidRDefault="00801E01" w:rsidP="00970CF7">
            <w:pPr>
              <w:jc w:val="both"/>
              <w:rPr>
                <w:rFonts w:eastAsia="Calibri"/>
                <w:sz w:val="20"/>
              </w:rPr>
            </w:pPr>
            <w:r w:rsidRPr="00096A4B">
              <w:rPr>
                <w:rFonts w:eastAsia="Calibri"/>
                <w:sz w:val="20"/>
              </w:rPr>
              <w:t>(Beaugé J.)</w:t>
            </w:r>
          </w:p>
          <w:p w:rsidR="00801E01" w:rsidRPr="00096A4B" w:rsidRDefault="00801E01" w:rsidP="00970CF7">
            <w:pPr>
              <w:jc w:val="both"/>
              <w:rPr>
                <w:rFonts w:eastAsia="Calibri"/>
                <w:sz w:val="20"/>
              </w:rPr>
            </w:pPr>
            <w:r w:rsidRPr="00096A4B">
              <w:rPr>
                <w:rFonts w:eastAsia="Calibri"/>
                <w:sz w:val="20"/>
              </w:rPr>
              <w:t>Neutral citation: 2009 QCCS 5109</w:t>
            </w:r>
          </w:p>
          <w:p w:rsidR="00801E01" w:rsidRPr="00096A4B" w:rsidRDefault="00801E01" w:rsidP="00970CF7">
            <w:pPr>
              <w:jc w:val="both"/>
              <w:rPr>
                <w:rFonts w:eastAsia="Calibri"/>
                <w:sz w:val="20"/>
              </w:rPr>
            </w:pPr>
          </w:p>
        </w:tc>
        <w:tc>
          <w:tcPr>
            <w:tcW w:w="243" w:type="pct"/>
          </w:tcPr>
          <w:p w:rsidR="00801E01" w:rsidRPr="00096A4B" w:rsidRDefault="00801E01" w:rsidP="00970CF7">
            <w:pPr>
              <w:jc w:val="both"/>
              <w:rPr>
                <w:rFonts w:eastAsia="Calibri"/>
                <w:sz w:val="20"/>
              </w:rPr>
            </w:pPr>
          </w:p>
        </w:tc>
        <w:tc>
          <w:tcPr>
            <w:tcW w:w="2330" w:type="pct"/>
          </w:tcPr>
          <w:p w:rsidR="00801E01" w:rsidRPr="00096A4B" w:rsidRDefault="00801E01" w:rsidP="00970CF7">
            <w:pPr>
              <w:jc w:val="both"/>
              <w:rPr>
                <w:rFonts w:eastAsia="Calibri"/>
                <w:sz w:val="20"/>
              </w:rPr>
            </w:pPr>
            <w:r w:rsidRPr="00096A4B">
              <w:rPr>
                <w:rFonts w:eastAsia="Calibri"/>
                <w:sz w:val="20"/>
              </w:rPr>
              <w:t>Applicant awarded damages in the amount of $1,152,900 for costs incurred in connection with quality control and delays, moral and reputational damages, loss of profits, as well as for punitive damages.</w:t>
            </w:r>
          </w:p>
          <w:p w:rsidR="00801E01" w:rsidRPr="00096A4B" w:rsidRDefault="00801E01" w:rsidP="00970CF7">
            <w:pPr>
              <w:jc w:val="both"/>
              <w:rPr>
                <w:rFonts w:eastAsia="Calibri"/>
                <w:sz w:val="20"/>
              </w:rPr>
            </w:pPr>
          </w:p>
        </w:tc>
      </w:tr>
      <w:tr w:rsidR="00801E01" w:rsidRPr="00096A4B" w:rsidTr="00970CF7">
        <w:tc>
          <w:tcPr>
            <w:tcW w:w="2427" w:type="pct"/>
          </w:tcPr>
          <w:p w:rsidR="00801E01" w:rsidRPr="00096A4B" w:rsidRDefault="00801E01" w:rsidP="00970CF7">
            <w:pPr>
              <w:jc w:val="both"/>
              <w:rPr>
                <w:rFonts w:eastAsia="Calibri"/>
                <w:sz w:val="20"/>
              </w:rPr>
            </w:pPr>
            <w:r w:rsidRPr="00096A4B">
              <w:rPr>
                <w:rFonts w:eastAsia="Calibri"/>
                <w:sz w:val="20"/>
              </w:rPr>
              <w:t>November 9, 2011</w:t>
            </w:r>
          </w:p>
          <w:p w:rsidR="00801E01" w:rsidRPr="00096A4B" w:rsidRDefault="00801E01" w:rsidP="00970CF7">
            <w:pPr>
              <w:jc w:val="both"/>
              <w:rPr>
                <w:rFonts w:eastAsia="Calibri"/>
                <w:sz w:val="20"/>
              </w:rPr>
            </w:pPr>
            <w:r w:rsidRPr="00096A4B">
              <w:rPr>
                <w:rFonts w:eastAsia="Calibri"/>
                <w:sz w:val="20"/>
              </w:rPr>
              <w:t>Court of Appeal of Québec (Montréal)</w:t>
            </w:r>
          </w:p>
          <w:p w:rsidR="00801E01" w:rsidRPr="00096A4B" w:rsidRDefault="00801E01" w:rsidP="00970CF7">
            <w:pPr>
              <w:jc w:val="both"/>
              <w:rPr>
                <w:rFonts w:eastAsia="Calibri"/>
                <w:sz w:val="20"/>
                <w:lang w:val="fr-CA"/>
              </w:rPr>
            </w:pPr>
            <w:r w:rsidRPr="00096A4B">
              <w:rPr>
                <w:rFonts w:eastAsia="Calibri"/>
                <w:sz w:val="20"/>
                <w:lang w:val="fr-CA"/>
              </w:rPr>
              <w:t xml:space="preserve">(Dalphond, Bich, Léger </w:t>
            </w:r>
            <w:r w:rsidRPr="00096A4B">
              <w:rPr>
                <w:rFonts w:eastAsia="Calibri"/>
                <w:sz w:val="20"/>
              </w:rPr>
              <w:t>JJ.A.</w:t>
            </w:r>
            <w:r w:rsidRPr="00096A4B">
              <w:rPr>
                <w:rFonts w:eastAsia="Calibri"/>
                <w:sz w:val="20"/>
                <w:lang w:val="fr-CA"/>
              </w:rPr>
              <w:t>)</w:t>
            </w:r>
          </w:p>
          <w:p w:rsidR="00801E01" w:rsidRPr="00096A4B" w:rsidRDefault="00801E01" w:rsidP="00970CF7">
            <w:pPr>
              <w:jc w:val="both"/>
              <w:rPr>
                <w:rFonts w:eastAsia="Calibri"/>
                <w:sz w:val="20"/>
              </w:rPr>
            </w:pPr>
            <w:r w:rsidRPr="00096A4B">
              <w:rPr>
                <w:rFonts w:eastAsia="Calibri"/>
                <w:sz w:val="20"/>
              </w:rPr>
              <w:t>Neutral citation: 2011 QCCA 2064</w:t>
            </w:r>
          </w:p>
          <w:p w:rsidR="00801E01" w:rsidRPr="00096A4B" w:rsidRDefault="00801E01" w:rsidP="00970CF7">
            <w:pPr>
              <w:jc w:val="both"/>
              <w:rPr>
                <w:rFonts w:eastAsia="Calibri"/>
                <w:sz w:val="20"/>
                <w:lang w:val="fr-CA"/>
              </w:rPr>
            </w:pPr>
          </w:p>
        </w:tc>
        <w:tc>
          <w:tcPr>
            <w:tcW w:w="243" w:type="pct"/>
          </w:tcPr>
          <w:p w:rsidR="00801E01" w:rsidRPr="00096A4B" w:rsidRDefault="00801E01" w:rsidP="00970CF7">
            <w:pPr>
              <w:jc w:val="both"/>
              <w:rPr>
                <w:rFonts w:eastAsia="Calibri"/>
                <w:sz w:val="20"/>
                <w:lang w:val="fr-CA"/>
              </w:rPr>
            </w:pPr>
          </w:p>
        </w:tc>
        <w:tc>
          <w:tcPr>
            <w:tcW w:w="2330" w:type="pct"/>
          </w:tcPr>
          <w:p w:rsidR="00801E01" w:rsidRPr="00096A4B" w:rsidRDefault="00801E01" w:rsidP="00970CF7">
            <w:pPr>
              <w:jc w:val="both"/>
              <w:rPr>
                <w:rFonts w:eastAsia="Calibri"/>
                <w:sz w:val="20"/>
              </w:rPr>
            </w:pPr>
            <w:r w:rsidRPr="00096A4B">
              <w:rPr>
                <w:rFonts w:eastAsia="Calibri"/>
                <w:sz w:val="20"/>
              </w:rPr>
              <w:t>Appeal allowed, trial court judgments revised, Respondent’s claim upheld in part condemning the Applicant to pay the sum of $35,640.00, Applicant’s counterclaim upheld in part condemning the Respondent to pay the sum of $69,098.08, resulting in a difference of $33,458.08 owing to the Applicant.</w:t>
            </w:r>
          </w:p>
          <w:p w:rsidR="00801E01" w:rsidRPr="00096A4B" w:rsidRDefault="00801E01" w:rsidP="00970CF7">
            <w:pPr>
              <w:jc w:val="both"/>
              <w:rPr>
                <w:rFonts w:eastAsia="Calibri"/>
                <w:sz w:val="20"/>
              </w:rPr>
            </w:pPr>
          </w:p>
        </w:tc>
      </w:tr>
      <w:tr w:rsidR="00801E01" w:rsidRPr="00096A4B" w:rsidTr="00970CF7">
        <w:tc>
          <w:tcPr>
            <w:tcW w:w="2427" w:type="pct"/>
          </w:tcPr>
          <w:p w:rsidR="00801E01" w:rsidRPr="00096A4B" w:rsidRDefault="00801E01" w:rsidP="00970CF7">
            <w:pPr>
              <w:jc w:val="both"/>
              <w:rPr>
                <w:rFonts w:eastAsia="Calibri"/>
                <w:sz w:val="20"/>
              </w:rPr>
            </w:pPr>
            <w:r w:rsidRPr="00096A4B">
              <w:rPr>
                <w:rFonts w:eastAsia="Calibri"/>
                <w:sz w:val="20"/>
              </w:rPr>
              <w:t>January 9, 2012</w:t>
            </w:r>
          </w:p>
          <w:p w:rsidR="00801E01" w:rsidRPr="00096A4B" w:rsidRDefault="00801E01" w:rsidP="00970CF7">
            <w:pPr>
              <w:jc w:val="both"/>
              <w:rPr>
                <w:rFonts w:eastAsia="Calibri"/>
                <w:sz w:val="20"/>
              </w:rPr>
            </w:pPr>
            <w:r w:rsidRPr="00096A4B">
              <w:rPr>
                <w:rFonts w:eastAsia="Calibri"/>
                <w:sz w:val="20"/>
              </w:rPr>
              <w:t>Supreme Court of Canada</w:t>
            </w:r>
          </w:p>
        </w:tc>
        <w:tc>
          <w:tcPr>
            <w:tcW w:w="243" w:type="pct"/>
          </w:tcPr>
          <w:p w:rsidR="00801E01" w:rsidRPr="00096A4B" w:rsidRDefault="00801E01" w:rsidP="00970CF7">
            <w:pPr>
              <w:jc w:val="both"/>
              <w:rPr>
                <w:rFonts w:eastAsia="Calibri"/>
                <w:sz w:val="20"/>
              </w:rPr>
            </w:pPr>
          </w:p>
        </w:tc>
        <w:tc>
          <w:tcPr>
            <w:tcW w:w="2330" w:type="pct"/>
          </w:tcPr>
          <w:p w:rsidR="00801E01" w:rsidRPr="00096A4B" w:rsidRDefault="00801E01" w:rsidP="00970CF7">
            <w:pPr>
              <w:jc w:val="both"/>
              <w:rPr>
                <w:rFonts w:eastAsia="Calibri"/>
                <w:sz w:val="20"/>
              </w:rPr>
            </w:pPr>
            <w:r w:rsidRPr="00096A4B">
              <w:rPr>
                <w:rFonts w:eastAsia="Calibri"/>
                <w:sz w:val="20"/>
              </w:rPr>
              <w:t>Application for leave to appeal filed.</w:t>
            </w:r>
          </w:p>
          <w:p w:rsidR="00801E01" w:rsidRPr="00096A4B" w:rsidRDefault="00801E01" w:rsidP="00970CF7">
            <w:pPr>
              <w:jc w:val="both"/>
              <w:rPr>
                <w:rFonts w:eastAsia="Calibri"/>
                <w:sz w:val="20"/>
              </w:rPr>
            </w:pP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59"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1E01" w:rsidRPr="00643997" w:rsidTr="00970CF7">
        <w:tc>
          <w:tcPr>
            <w:tcW w:w="5000" w:type="pct"/>
            <w:gridSpan w:val="3"/>
          </w:tcPr>
          <w:p w:rsidR="00801E01" w:rsidRPr="00096A4B" w:rsidRDefault="00801E01" w:rsidP="00970CF7">
            <w:pPr>
              <w:jc w:val="both"/>
              <w:rPr>
                <w:rFonts w:eastAsia="Calibri"/>
                <w:sz w:val="20"/>
                <w:lang w:val="fr-FR"/>
              </w:rPr>
            </w:pPr>
            <w:r w:rsidRPr="00096A4B">
              <w:rPr>
                <w:rFonts w:eastAsia="Calibri"/>
                <w:sz w:val="20"/>
                <w:lang w:val="fr-FR"/>
              </w:rPr>
              <w:t xml:space="preserve">Contrats </w:t>
            </w:r>
            <w:r w:rsidRPr="00096A4B">
              <w:rPr>
                <w:rFonts w:eastAsia="Calibri"/>
                <w:sz w:val="20"/>
                <w:lang w:val="fr-FR"/>
              </w:rPr>
              <w:noBreakHyphen/>
              <w:t xml:space="preserve"> Produit défectueux </w:t>
            </w:r>
            <w:r w:rsidRPr="00096A4B">
              <w:rPr>
                <w:rFonts w:eastAsia="Calibri"/>
                <w:sz w:val="20"/>
                <w:lang w:val="fr-FR"/>
              </w:rPr>
              <w:noBreakHyphen/>
              <w:t xml:space="preserve"> Dommages</w:t>
            </w:r>
            <w:r w:rsidRPr="00096A4B">
              <w:rPr>
                <w:rFonts w:eastAsia="Calibri"/>
                <w:sz w:val="20"/>
                <w:lang w:val="fr-FR"/>
              </w:rPr>
              <w:noBreakHyphen/>
              <w:t xml:space="preserve">intérêts pour inexécution de contrat </w:t>
            </w:r>
            <w:r w:rsidRPr="00096A4B">
              <w:rPr>
                <w:rFonts w:eastAsia="Calibri"/>
                <w:sz w:val="20"/>
                <w:lang w:val="fr-FR"/>
              </w:rPr>
              <w:noBreakHyphen/>
              <w:t xml:space="preserve"> Dommages</w:t>
            </w:r>
            <w:r w:rsidRPr="00096A4B">
              <w:rPr>
                <w:rFonts w:eastAsia="Calibri"/>
                <w:sz w:val="20"/>
                <w:lang w:val="fr-FR"/>
              </w:rPr>
              <w:noBreakHyphen/>
              <w:t xml:space="preserve">intérêts punitifs </w:t>
            </w:r>
            <w:r w:rsidRPr="00096A4B">
              <w:rPr>
                <w:rFonts w:eastAsia="Calibri"/>
                <w:sz w:val="20"/>
                <w:lang w:val="fr-FR"/>
              </w:rPr>
              <w:noBreakHyphen/>
              <w:t xml:space="preserve"> Preuve </w:t>
            </w:r>
            <w:r w:rsidRPr="00096A4B">
              <w:rPr>
                <w:rFonts w:eastAsia="Calibri"/>
                <w:sz w:val="20"/>
                <w:lang w:val="fr-FR"/>
              </w:rPr>
              <w:noBreakHyphen/>
              <w:t xml:space="preserve"> Crédibilité des témoins experts </w:t>
            </w:r>
            <w:r w:rsidRPr="00096A4B">
              <w:rPr>
                <w:rFonts w:eastAsia="Calibri"/>
                <w:sz w:val="20"/>
                <w:lang w:val="fr-FR"/>
              </w:rPr>
              <w:noBreakHyphen/>
              <w:t xml:space="preserve"> Norme de contrôle </w:t>
            </w:r>
            <w:r w:rsidRPr="00096A4B">
              <w:rPr>
                <w:rFonts w:eastAsia="Calibri"/>
                <w:sz w:val="20"/>
                <w:lang w:val="fr-FR"/>
              </w:rPr>
              <w:noBreakHyphen/>
              <w:t xml:space="preserve"> La Cour d’appel a</w:t>
            </w:r>
            <w:r w:rsidRPr="00096A4B">
              <w:rPr>
                <w:rFonts w:eastAsia="Calibri"/>
                <w:sz w:val="20"/>
                <w:lang w:val="fr-FR"/>
              </w:rPr>
              <w:noBreakHyphen/>
              <w:t>t</w:t>
            </w:r>
            <w:r w:rsidRPr="00096A4B">
              <w:rPr>
                <w:rFonts w:eastAsia="Calibri"/>
                <w:sz w:val="20"/>
                <w:lang w:val="fr-FR"/>
              </w:rPr>
              <w:noBreakHyphen/>
              <w:t>elle commis une erreur en évaluant les dommages</w:t>
            </w:r>
            <w:r w:rsidRPr="00096A4B">
              <w:rPr>
                <w:rFonts w:eastAsia="Calibri"/>
                <w:sz w:val="20"/>
                <w:lang w:val="fr-FR"/>
              </w:rPr>
              <w:noBreakHyphen/>
              <w:t>intérêts pour perte de profits futurs de manière à imposer à la demanderesse le fardeau d’établir une certitude en vue d’obtenir ces dommages</w:t>
            </w:r>
            <w:r w:rsidRPr="00096A4B">
              <w:rPr>
                <w:rFonts w:eastAsia="Calibri"/>
                <w:sz w:val="20"/>
                <w:lang w:val="fr-FR"/>
              </w:rPr>
              <w:noBreakHyphen/>
              <w:t xml:space="preserve">intérêts? </w:t>
            </w:r>
            <w:r w:rsidRPr="00096A4B">
              <w:rPr>
                <w:rFonts w:eastAsia="Calibri"/>
                <w:sz w:val="20"/>
                <w:lang w:val="fr-FR"/>
              </w:rPr>
              <w:noBreakHyphen/>
              <w:t xml:space="preserve"> La Cour d’appel a</w:t>
            </w:r>
            <w:r w:rsidRPr="00096A4B">
              <w:rPr>
                <w:rFonts w:eastAsia="Calibri"/>
                <w:sz w:val="20"/>
                <w:lang w:val="fr-FR"/>
              </w:rPr>
              <w:noBreakHyphen/>
              <w:t>t</w:t>
            </w:r>
            <w:r w:rsidRPr="00096A4B">
              <w:rPr>
                <w:rFonts w:eastAsia="Calibri"/>
                <w:sz w:val="20"/>
                <w:lang w:val="fr-FR"/>
              </w:rPr>
              <w:noBreakHyphen/>
              <w:t xml:space="preserve">elle commis une erreur en substituant ses conclusions de fait à celles tirées lors du procès? </w:t>
            </w:r>
            <w:r w:rsidRPr="00096A4B">
              <w:rPr>
                <w:rFonts w:eastAsia="Calibri"/>
                <w:sz w:val="20"/>
                <w:lang w:val="fr-FR"/>
              </w:rPr>
              <w:noBreakHyphen/>
              <w:t xml:space="preserve"> La Cour d’appel a</w:t>
            </w:r>
            <w:r w:rsidRPr="00096A4B">
              <w:rPr>
                <w:rFonts w:eastAsia="Calibri"/>
                <w:sz w:val="20"/>
                <w:lang w:val="fr-FR"/>
              </w:rPr>
              <w:noBreakHyphen/>
              <w:t>t</w:t>
            </w:r>
            <w:r w:rsidRPr="00096A4B">
              <w:rPr>
                <w:rFonts w:eastAsia="Calibri"/>
                <w:sz w:val="20"/>
                <w:lang w:val="fr-FR"/>
              </w:rPr>
              <w:noBreakHyphen/>
              <w:t xml:space="preserve">elle eu tort d’intervenir sur le fondement d’un dossier incomplet? </w:t>
            </w:r>
          </w:p>
        </w:tc>
      </w:tr>
      <w:tr w:rsidR="00801E01" w:rsidRPr="00643997" w:rsidTr="00970CF7">
        <w:tc>
          <w:tcPr>
            <w:tcW w:w="5000" w:type="pct"/>
            <w:gridSpan w:val="3"/>
          </w:tcPr>
          <w:p w:rsidR="00801E01" w:rsidRPr="00096A4B" w:rsidRDefault="00801E01" w:rsidP="00970CF7">
            <w:pPr>
              <w:jc w:val="both"/>
              <w:rPr>
                <w:rFonts w:eastAsia="Calibri"/>
                <w:sz w:val="20"/>
                <w:lang w:val="fr-FR"/>
              </w:rPr>
            </w:pPr>
          </w:p>
        </w:tc>
      </w:tr>
      <w:tr w:rsidR="00801E01" w:rsidRPr="00643997" w:rsidTr="00970CF7">
        <w:tc>
          <w:tcPr>
            <w:tcW w:w="5000" w:type="pct"/>
            <w:gridSpan w:val="3"/>
          </w:tcPr>
          <w:p w:rsidR="00801E01" w:rsidRPr="00096A4B" w:rsidRDefault="00801E01" w:rsidP="00970CF7">
            <w:pPr>
              <w:jc w:val="both"/>
              <w:rPr>
                <w:rFonts w:eastAsia="Calibri"/>
                <w:sz w:val="20"/>
                <w:lang w:val="fr-FR"/>
              </w:rPr>
            </w:pPr>
            <w:r w:rsidRPr="00096A4B">
              <w:rPr>
                <w:rFonts w:eastAsia="Calibri"/>
                <w:sz w:val="20"/>
                <w:lang w:val="fr-FR"/>
              </w:rPr>
              <w:t xml:space="preserve">La demanderesse a inventé, par l’entremise de son fondateur, un chariot de golf à pousser à trois roues que l’on appelle chariot « </w:t>
            </w:r>
            <w:r w:rsidRPr="00096A4B">
              <w:rPr>
                <w:rFonts w:eastAsia="Calibri"/>
                <w:i/>
                <w:sz w:val="20"/>
                <w:lang w:val="fr-FR"/>
              </w:rPr>
              <w:t>tri</w:t>
            </w:r>
            <w:r w:rsidRPr="00096A4B">
              <w:rPr>
                <w:rFonts w:eastAsia="Calibri"/>
                <w:i/>
                <w:sz w:val="20"/>
                <w:lang w:val="fr-FR"/>
              </w:rPr>
              <w:noBreakHyphen/>
              <w:t>caddi</w:t>
            </w:r>
            <w:r w:rsidRPr="00096A4B">
              <w:rPr>
                <w:rFonts w:eastAsia="Calibri"/>
                <w:sz w:val="20"/>
                <w:lang w:val="fr-FR"/>
              </w:rPr>
              <w:t xml:space="preserve"> », dont une version commerciale a été fabriquée avec l’aide de l’intimée.  Cette dernière a poursuivi la demanderesse pour qu’elle paie les factures en souffrance, et la demanderesse, quant à elle, a présenté une demande reconventionnelle en vue d’obtenir des dommages</w:t>
            </w:r>
            <w:r w:rsidRPr="00096A4B">
              <w:rPr>
                <w:rFonts w:eastAsia="Calibri"/>
                <w:sz w:val="20"/>
                <w:lang w:val="fr-FR"/>
              </w:rPr>
              <w:noBreakHyphen/>
              <w:t xml:space="preserve">intérêts découlant, entre autres choses, d’une livraison tardive et de plusieurs défectuosités.  Plus précisément, la demanderesse a demandé à être indemnisée de la perte d’un </w:t>
            </w:r>
            <w:r w:rsidRPr="00096A4B">
              <w:rPr>
                <w:rFonts w:eastAsia="Calibri"/>
                <w:sz w:val="20"/>
                <w:lang w:val="fr-FR"/>
              </w:rPr>
              <w:lastRenderedPageBreak/>
              <w:t>million de dollars en profits, calculés sur la base de ses plans d’affaires et des hypothèses qui y sont avancées, de même que sur un projet d’infopublicité qui a été visionné et produit lors du procès, mais non produit en Cour d’appel.</w:t>
            </w:r>
          </w:p>
          <w:p w:rsidR="00801E01" w:rsidRPr="00096A4B" w:rsidRDefault="00801E01" w:rsidP="00970CF7">
            <w:pPr>
              <w:jc w:val="both"/>
              <w:rPr>
                <w:rFonts w:eastAsia="Calibri"/>
                <w:sz w:val="20"/>
                <w:lang w:val="fr-FR"/>
              </w:rPr>
            </w:pPr>
          </w:p>
        </w:tc>
      </w:tr>
      <w:tr w:rsidR="00801E01" w:rsidRPr="00643997" w:rsidTr="00970CF7">
        <w:tc>
          <w:tcPr>
            <w:tcW w:w="2427" w:type="pct"/>
          </w:tcPr>
          <w:p w:rsidR="00801E01" w:rsidRPr="00096A4B" w:rsidRDefault="00801E01" w:rsidP="00970CF7">
            <w:pPr>
              <w:jc w:val="both"/>
              <w:rPr>
                <w:rFonts w:eastAsia="Calibri"/>
                <w:sz w:val="20"/>
                <w:lang w:val="fr-FR"/>
              </w:rPr>
            </w:pPr>
            <w:r w:rsidRPr="00096A4B">
              <w:rPr>
                <w:rFonts w:eastAsia="Calibri"/>
                <w:sz w:val="20"/>
                <w:lang w:val="fr-FR"/>
              </w:rPr>
              <w:lastRenderedPageBreak/>
              <w:t>8 mai 2008</w:t>
            </w:r>
          </w:p>
          <w:p w:rsidR="00801E01" w:rsidRPr="00096A4B" w:rsidRDefault="00801E01" w:rsidP="00970CF7">
            <w:pPr>
              <w:jc w:val="both"/>
              <w:rPr>
                <w:rFonts w:eastAsia="Calibri"/>
                <w:sz w:val="20"/>
                <w:lang w:val="fr-FR"/>
              </w:rPr>
            </w:pPr>
            <w:r w:rsidRPr="00096A4B">
              <w:rPr>
                <w:rFonts w:eastAsia="Calibri"/>
                <w:sz w:val="20"/>
                <w:lang w:val="fr-FR"/>
              </w:rPr>
              <w:t>Cour supérieure du Québec</w:t>
            </w:r>
          </w:p>
          <w:p w:rsidR="00801E01" w:rsidRPr="00096A4B" w:rsidRDefault="00801E01" w:rsidP="00970CF7">
            <w:pPr>
              <w:jc w:val="both"/>
              <w:rPr>
                <w:rFonts w:eastAsia="Calibri"/>
                <w:sz w:val="20"/>
                <w:lang w:val="fr-FR"/>
              </w:rPr>
            </w:pPr>
            <w:r w:rsidRPr="00096A4B">
              <w:rPr>
                <w:rFonts w:eastAsia="Calibri"/>
                <w:sz w:val="20"/>
                <w:lang w:val="fr-FR"/>
              </w:rPr>
              <w:t>(Juge Beaugé)</w:t>
            </w:r>
          </w:p>
          <w:p w:rsidR="00801E01" w:rsidRPr="00096A4B" w:rsidRDefault="00801E01" w:rsidP="00970CF7">
            <w:pPr>
              <w:jc w:val="both"/>
              <w:rPr>
                <w:rFonts w:eastAsia="Calibri"/>
                <w:sz w:val="20"/>
                <w:lang w:val="fr-FR"/>
              </w:rPr>
            </w:pPr>
            <w:r w:rsidRPr="00096A4B">
              <w:rPr>
                <w:rFonts w:eastAsia="Calibri"/>
                <w:sz w:val="20"/>
                <w:lang w:val="fr-FR"/>
              </w:rPr>
              <w:t>Référence neutre : 2008 QCCS 1845</w:t>
            </w:r>
          </w:p>
          <w:p w:rsidR="00801E01" w:rsidRPr="00096A4B" w:rsidRDefault="00801E01" w:rsidP="00970CF7">
            <w:pPr>
              <w:jc w:val="both"/>
              <w:rPr>
                <w:rFonts w:eastAsia="Calibri"/>
                <w:sz w:val="20"/>
                <w:lang w:val="fr-FR"/>
              </w:rPr>
            </w:pPr>
          </w:p>
        </w:tc>
        <w:tc>
          <w:tcPr>
            <w:tcW w:w="243" w:type="pct"/>
          </w:tcPr>
          <w:p w:rsidR="00801E01" w:rsidRPr="00096A4B" w:rsidRDefault="00801E01" w:rsidP="00970CF7">
            <w:pPr>
              <w:jc w:val="both"/>
              <w:rPr>
                <w:rFonts w:eastAsia="Calibri"/>
                <w:sz w:val="20"/>
                <w:lang w:val="fr-FR"/>
              </w:rPr>
            </w:pPr>
          </w:p>
        </w:tc>
        <w:tc>
          <w:tcPr>
            <w:tcW w:w="2330" w:type="pct"/>
          </w:tcPr>
          <w:p w:rsidR="00801E01" w:rsidRPr="00096A4B" w:rsidRDefault="00801E01" w:rsidP="00970CF7">
            <w:pPr>
              <w:jc w:val="both"/>
              <w:rPr>
                <w:rFonts w:eastAsia="Calibri"/>
                <w:sz w:val="20"/>
                <w:lang w:val="fr-FR"/>
              </w:rPr>
            </w:pPr>
            <w:r w:rsidRPr="00096A4B">
              <w:rPr>
                <w:rFonts w:eastAsia="Calibri"/>
                <w:sz w:val="20"/>
                <w:lang w:val="fr-FR"/>
              </w:rPr>
              <w:t>Action de l’intimée rejetée, demande reconventionnelle de la demanderesse accueillie et dommages</w:t>
            </w:r>
            <w:r w:rsidRPr="00096A4B">
              <w:rPr>
                <w:rFonts w:eastAsia="Calibri"/>
                <w:sz w:val="20"/>
                <w:lang w:val="fr-FR"/>
              </w:rPr>
              <w:noBreakHyphen/>
              <w:t>intérêts à fixer dans un jugement distinct.</w:t>
            </w:r>
          </w:p>
        </w:tc>
      </w:tr>
      <w:tr w:rsidR="00801E01" w:rsidRPr="00643997" w:rsidTr="00970CF7">
        <w:tc>
          <w:tcPr>
            <w:tcW w:w="2427" w:type="pct"/>
          </w:tcPr>
          <w:p w:rsidR="00801E01" w:rsidRPr="00096A4B" w:rsidRDefault="00801E01" w:rsidP="00970CF7">
            <w:pPr>
              <w:jc w:val="both"/>
              <w:rPr>
                <w:rFonts w:eastAsia="Calibri"/>
                <w:sz w:val="20"/>
                <w:lang w:val="fr-FR"/>
              </w:rPr>
            </w:pPr>
            <w:r w:rsidRPr="00096A4B">
              <w:rPr>
                <w:rFonts w:eastAsia="Calibri"/>
                <w:sz w:val="20"/>
                <w:lang w:val="fr-FR"/>
              </w:rPr>
              <w:t>23 octobre 2009</w:t>
            </w:r>
          </w:p>
          <w:p w:rsidR="00801E01" w:rsidRPr="00096A4B" w:rsidRDefault="00801E01" w:rsidP="00970CF7">
            <w:pPr>
              <w:jc w:val="both"/>
              <w:rPr>
                <w:rFonts w:eastAsia="Calibri"/>
                <w:sz w:val="20"/>
                <w:lang w:val="fr-FR"/>
              </w:rPr>
            </w:pPr>
            <w:r w:rsidRPr="00096A4B">
              <w:rPr>
                <w:rFonts w:eastAsia="Calibri"/>
                <w:sz w:val="20"/>
                <w:lang w:val="fr-FR"/>
              </w:rPr>
              <w:t>Cour supérieure du Québec</w:t>
            </w:r>
          </w:p>
          <w:p w:rsidR="00801E01" w:rsidRPr="00096A4B" w:rsidRDefault="00801E01" w:rsidP="00970CF7">
            <w:pPr>
              <w:jc w:val="both"/>
              <w:rPr>
                <w:rFonts w:eastAsia="Calibri"/>
                <w:sz w:val="20"/>
                <w:lang w:val="fr-FR"/>
              </w:rPr>
            </w:pPr>
            <w:r w:rsidRPr="00096A4B">
              <w:rPr>
                <w:rFonts w:eastAsia="Calibri"/>
                <w:sz w:val="20"/>
                <w:lang w:val="fr-FR"/>
              </w:rPr>
              <w:t>(Juge Beaugé)</w:t>
            </w:r>
          </w:p>
          <w:p w:rsidR="00801E01" w:rsidRPr="00096A4B" w:rsidRDefault="00801E01" w:rsidP="00970CF7">
            <w:pPr>
              <w:jc w:val="both"/>
              <w:rPr>
                <w:rFonts w:eastAsia="Calibri"/>
                <w:sz w:val="20"/>
                <w:lang w:val="fr-FR"/>
              </w:rPr>
            </w:pPr>
            <w:r w:rsidRPr="00096A4B">
              <w:rPr>
                <w:rFonts w:eastAsia="Calibri"/>
                <w:sz w:val="20"/>
                <w:lang w:val="fr-FR"/>
              </w:rPr>
              <w:t>Référence neutre : 2009 QCCS 5109</w:t>
            </w:r>
          </w:p>
          <w:p w:rsidR="00801E01" w:rsidRPr="00096A4B" w:rsidRDefault="00801E01" w:rsidP="00970CF7">
            <w:pPr>
              <w:jc w:val="both"/>
              <w:rPr>
                <w:rFonts w:eastAsia="Calibri"/>
                <w:sz w:val="20"/>
                <w:lang w:val="fr-FR"/>
              </w:rPr>
            </w:pPr>
          </w:p>
        </w:tc>
        <w:tc>
          <w:tcPr>
            <w:tcW w:w="243" w:type="pct"/>
          </w:tcPr>
          <w:p w:rsidR="00801E01" w:rsidRPr="00096A4B" w:rsidRDefault="00801E01" w:rsidP="00970CF7">
            <w:pPr>
              <w:jc w:val="both"/>
              <w:rPr>
                <w:rFonts w:eastAsia="Calibri"/>
                <w:sz w:val="20"/>
                <w:lang w:val="fr-FR"/>
              </w:rPr>
            </w:pPr>
          </w:p>
        </w:tc>
        <w:tc>
          <w:tcPr>
            <w:tcW w:w="2330" w:type="pct"/>
          </w:tcPr>
          <w:p w:rsidR="00801E01" w:rsidRPr="00096A4B" w:rsidRDefault="00801E01" w:rsidP="00970CF7">
            <w:pPr>
              <w:jc w:val="both"/>
              <w:rPr>
                <w:rFonts w:eastAsia="Calibri"/>
                <w:sz w:val="20"/>
                <w:lang w:val="fr-FR"/>
              </w:rPr>
            </w:pPr>
            <w:r w:rsidRPr="00096A4B">
              <w:rPr>
                <w:rFonts w:eastAsia="Calibri"/>
                <w:sz w:val="20"/>
                <w:lang w:val="fr-FR"/>
              </w:rPr>
              <w:t>Dommages</w:t>
            </w:r>
            <w:r w:rsidRPr="00096A4B">
              <w:rPr>
                <w:rFonts w:eastAsia="Calibri"/>
                <w:sz w:val="20"/>
                <w:lang w:val="fr-FR"/>
              </w:rPr>
              <w:noBreakHyphen/>
              <w:t>intérêts de 1 152 900 $, y compris des dommages</w:t>
            </w:r>
            <w:r w:rsidRPr="00096A4B">
              <w:rPr>
                <w:rFonts w:eastAsia="Calibri"/>
                <w:sz w:val="20"/>
                <w:lang w:val="fr-FR"/>
              </w:rPr>
              <w:noBreakHyphen/>
              <w:t>intérêts punitifs, octroyés à la demanderesse pour les frais engagés relativement au contrôle de la qualité et aux délais, ainsi que pour préjudice moral, atteinte à la réputation et perte de profits.</w:t>
            </w:r>
          </w:p>
          <w:p w:rsidR="00801E01" w:rsidRPr="00096A4B" w:rsidRDefault="00801E01" w:rsidP="00970CF7">
            <w:pPr>
              <w:jc w:val="both"/>
              <w:rPr>
                <w:rFonts w:eastAsia="Calibri"/>
                <w:sz w:val="20"/>
                <w:lang w:val="fr-FR"/>
              </w:rPr>
            </w:pPr>
          </w:p>
        </w:tc>
      </w:tr>
      <w:tr w:rsidR="00801E01" w:rsidRPr="00643997" w:rsidTr="00970CF7">
        <w:tc>
          <w:tcPr>
            <w:tcW w:w="2427" w:type="pct"/>
          </w:tcPr>
          <w:p w:rsidR="00801E01" w:rsidRPr="00096A4B" w:rsidRDefault="00801E01" w:rsidP="00970CF7">
            <w:pPr>
              <w:jc w:val="both"/>
              <w:rPr>
                <w:rFonts w:eastAsia="Calibri"/>
                <w:sz w:val="20"/>
                <w:lang w:val="fr-FR"/>
              </w:rPr>
            </w:pPr>
            <w:r w:rsidRPr="00096A4B">
              <w:rPr>
                <w:rFonts w:eastAsia="Calibri"/>
                <w:sz w:val="20"/>
                <w:lang w:val="fr-FR"/>
              </w:rPr>
              <w:t>9 novembre 2011</w:t>
            </w:r>
          </w:p>
          <w:p w:rsidR="00801E01" w:rsidRPr="00096A4B" w:rsidRDefault="00801E01" w:rsidP="00970CF7">
            <w:pPr>
              <w:jc w:val="both"/>
              <w:rPr>
                <w:rFonts w:eastAsia="Calibri"/>
                <w:sz w:val="20"/>
                <w:lang w:val="fr-FR"/>
              </w:rPr>
            </w:pPr>
            <w:r w:rsidRPr="00096A4B">
              <w:rPr>
                <w:rFonts w:eastAsia="Calibri"/>
                <w:sz w:val="20"/>
                <w:lang w:val="fr-FR"/>
              </w:rPr>
              <w:t>Cour d’appel du Québec (Montréal)</w:t>
            </w:r>
          </w:p>
          <w:p w:rsidR="00801E01" w:rsidRPr="00096A4B" w:rsidRDefault="00801E01" w:rsidP="00970CF7">
            <w:pPr>
              <w:jc w:val="both"/>
              <w:rPr>
                <w:rFonts w:eastAsia="Calibri"/>
                <w:sz w:val="20"/>
                <w:lang w:val="fr-CA"/>
              </w:rPr>
            </w:pPr>
            <w:r w:rsidRPr="00096A4B">
              <w:rPr>
                <w:rFonts w:eastAsia="Calibri"/>
                <w:sz w:val="20"/>
                <w:lang w:val="fr-CA"/>
              </w:rPr>
              <w:t>(Juges Dalphond, Bich et Léger)</w:t>
            </w:r>
          </w:p>
          <w:p w:rsidR="00801E01" w:rsidRPr="00096A4B" w:rsidRDefault="00801E01" w:rsidP="00970CF7">
            <w:pPr>
              <w:jc w:val="both"/>
              <w:rPr>
                <w:rFonts w:eastAsia="Calibri"/>
                <w:sz w:val="20"/>
                <w:lang w:val="fr-FR"/>
              </w:rPr>
            </w:pPr>
            <w:r w:rsidRPr="00096A4B">
              <w:rPr>
                <w:rFonts w:eastAsia="Calibri"/>
                <w:sz w:val="20"/>
                <w:lang w:val="fr-CA"/>
              </w:rPr>
              <w:t>Référence neutre :</w:t>
            </w:r>
            <w:r w:rsidRPr="00096A4B">
              <w:rPr>
                <w:rFonts w:eastAsia="Calibri"/>
                <w:sz w:val="20"/>
                <w:lang w:val="fr-FR"/>
              </w:rPr>
              <w:t xml:space="preserve"> 2011 QCCA 2064</w:t>
            </w:r>
          </w:p>
          <w:p w:rsidR="00801E01" w:rsidRPr="00096A4B" w:rsidRDefault="00801E01" w:rsidP="00970CF7">
            <w:pPr>
              <w:jc w:val="both"/>
              <w:rPr>
                <w:rFonts w:eastAsia="Calibri"/>
                <w:sz w:val="20"/>
                <w:lang w:val="fr-CA"/>
              </w:rPr>
            </w:pPr>
          </w:p>
        </w:tc>
        <w:tc>
          <w:tcPr>
            <w:tcW w:w="243" w:type="pct"/>
          </w:tcPr>
          <w:p w:rsidR="00801E01" w:rsidRPr="00096A4B" w:rsidRDefault="00801E01" w:rsidP="00970CF7">
            <w:pPr>
              <w:jc w:val="both"/>
              <w:rPr>
                <w:rFonts w:eastAsia="Calibri"/>
                <w:sz w:val="20"/>
                <w:lang w:val="fr-CA"/>
              </w:rPr>
            </w:pPr>
          </w:p>
        </w:tc>
        <w:tc>
          <w:tcPr>
            <w:tcW w:w="2330" w:type="pct"/>
          </w:tcPr>
          <w:p w:rsidR="00801E01" w:rsidRPr="00096A4B" w:rsidRDefault="00801E01" w:rsidP="00970CF7">
            <w:pPr>
              <w:jc w:val="both"/>
              <w:rPr>
                <w:rFonts w:eastAsia="Calibri"/>
                <w:sz w:val="20"/>
                <w:lang w:val="fr-FR"/>
              </w:rPr>
            </w:pPr>
            <w:r w:rsidRPr="00096A4B">
              <w:rPr>
                <w:rFonts w:eastAsia="Calibri"/>
                <w:sz w:val="20"/>
                <w:lang w:val="fr-FR"/>
              </w:rPr>
              <w:t>Appel accueilli, jugements du tribunal de première instance révisés, action de l’intimée accueillie en partie pour condamner la demanderesse à payer la somme de 35 640 $, demande reconventionnelle de la demanderesse accueillie en partie pour condamner l’intimée à payer la somme de 69 098,08 $, ce qui donne une différence de 33 458,08 $ payable à la demanderesse.</w:t>
            </w:r>
          </w:p>
          <w:p w:rsidR="00801E01" w:rsidRPr="00096A4B" w:rsidRDefault="00801E01" w:rsidP="00970CF7">
            <w:pPr>
              <w:jc w:val="both"/>
              <w:rPr>
                <w:rFonts w:eastAsia="Calibri"/>
                <w:sz w:val="20"/>
                <w:lang w:val="fr-FR"/>
              </w:rPr>
            </w:pPr>
          </w:p>
        </w:tc>
      </w:tr>
      <w:tr w:rsidR="00801E01" w:rsidRPr="00096A4B" w:rsidTr="00970CF7">
        <w:tc>
          <w:tcPr>
            <w:tcW w:w="2427" w:type="pct"/>
          </w:tcPr>
          <w:p w:rsidR="00801E01" w:rsidRPr="00801E01" w:rsidRDefault="00801E01" w:rsidP="00970CF7">
            <w:pPr>
              <w:jc w:val="both"/>
              <w:rPr>
                <w:rFonts w:eastAsia="Calibri"/>
                <w:sz w:val="20"/>
                <w:lang w:val="fr-CA"/>
              </w:rPr>
            </w:pPr>
            <w:r w:rsidRPr="00801E01">
              <w:rPr>
                <w:rFonts w:eastAsia="Calibri"/>
                <w:sz w:val="20"/>
                <w:lang w:val="fr-CA"/>
              </w:rPr>
              <w:t>9 janvier 2012</w:t>
            </w:r>
          </w:p>
          <w:p w:rsidR="00801E01" w:rsidRPr="00801E01" w:rsidRDefault="00801E01" w:rsidP="00970CF7">
            <w:pPr>
              <w:jc w:val="both"/>
              <w:rPr>
                <w:rFonts w:eastAsia="Calibri"/>
                <w:sz w:val="20"/>
                <w:lang w:val="fr-CA"/>
              </w:rPr>
            </w:pPr>
            <w:r w:rsidRPr="00801E01">
              <w:rPr>
                <w:rFonts w:eastAsia="Calibri"/>
                <w:sz w:val="20"/>
                <w:lang w:val="fr-CA"/>
              </w:rPr>
              <w:t>Cour suprême du Canada</w:t>
            </w:r>
          </w:p>
        </w:tc>
        <w:tc>
          <w:tcPr>
            <w:tcW w:w="243" w:type="pct"/>
          </w:tcPr>
          <w:p w:rsidR="00801E01" w:rsidRPr="00801E01" w:rsidRDefault="00801E01" w:rsidP="00970CF7">
            <w:pPr>
              <w:jc w:val="both"/>
              <w:rPr>
                <w:rFonts w:eastAsia="Calibri"/>
                <w:sz w:val="20"/>
                <w:lang w:val="fr-CA"/>
              </w:rPr>
            </w:pPr>
          </w:p>
        </w:tc>
        <w:tc>
          <w:tcPr>
            <w:tcW w:w="2330" w:type="pct"/>
          </w:tcPr>
          <w:p w:rsidR="00801E01" w:rsidRPr="00096A4B" w:rsidRDefault="00801E01" w:rsidP="00970CF7">
            <w:pPr>
              <w:jc w:val="both"/>
              <w:rPr>
                <w:rFonts w:eastAsia="Calibri"/>
                <w:sz w:val="20"/>
              </w:rPr>
            </w:pPr>
            <w:r w:rsidRPr="00096A4B">
              <w:rPr>
                <w:rFonts w:eastAsia="Calibri"/>
                <w:sz w:val="20"/>
              </w:rPr>
              <w:t>Demande d’autorisation d’appel déposée.</w:t>
            </w:r>
          </w:p>
          <w:p w:rsidR="00801E01" w:rsidRPr="00096A4B" w:rsidRDefault="00801E01" w:rsidP="00970CF7">
            <w:pPr>
              <w:jc w:val="both"/>
              <w:rPr>
                <w:rFonts w:eastAsia="Calibri"/>
                <w:sz w:val="20"/>
              </w:rPr>
            </w:pP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60"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7605E" w:rsidRPr="00B9644F" w:rsidTr="0017605E">
        <w:trPr>
          <w:cantSplit/>
        </w:trPr>
        <w:tc>
          <w:tcPr>
            <w:tcW w:w="1458" w:type="dxa"/>
          </w:tcPr>
          <w:p w:rsidR="0017605E" w:rsidRPr="00B9644F" w:rsidRDefault="0017605E" w:rsidP="0017605E">
            <w:pPr>
              <w:rPr>
                <w:sz w:val="20"/>
                <w:szCs w:val="20"/>
              </w:rPr>
            </w:pPr>
            <w:r w:rsidRPr="00B9644F">
              <w:rPr>
                <w:rStyle w:val="SCCFileNumberChar"/>
                <w:sz w:val="20"/>
                <w:szCs w:val="20"/>
              </w:rPr>
              <w:t>34606</w:t>
            </w:r>
          </w:p>
          <w:p w:rsidR="0017605E" w:rsidRPr="00B9644F" w:rsidRDefault="0017605E" w:rsidP="0017605E">
            <w:pPr>
              <w:rPr>
                <w:b/>
                <w:sz w:val="20"/>
                <w:szCs w:val="20"/>
                <w:lang w:val="fr-CA"/>
              </w:rPr>
            </w:pPr>
          </w:p>
        </w:tc>
        <w:tc>
          <w:tcPr>
            <w:tcW w:w="8118" w:type="dxa"/>
          </w:tcPr>
          <w:p w:rsidR="0017605E" w:rsidRPr="00B9644F" w:rsidRDefault="0017605E" w:rsidP="0017605E">
            <w:pPr>
              <w:jc w:val="both"/>
              <w:rPr>
                <w:sz w:val="20"/>
                <w:szCs w:val="20"/>
              </w:rPr>
            </w:pPr>
            <w:r w:rsidRPr="0017605E">
              <w:rPr>
                <w:rStyle w:val="SCCLsocChar"/>
                <w:sz w:val="20"/>
                <w:szCs w:val="20"/>
                <w:lang w:val="en-CA"/>
              </w:rPr>
              <w:t>Imperial Tobacco Canada Limited (Successor by Amalgamation to Imasco Limited) v. Her Majesty the Queen</w:t>
            </w:r>
            <w:r w:rsidRPr="00B9644F">
              <w:rPr>
                <w:sz w:val="20"/>
                <w:szCs w:val="20"/>
              </w:rPr>
              <w:t xml:space="preserve"> (FC) (Civil) (By Leave)</w:t>
            </w:r>
          </w:p>
          <w:p w:rsidR="0017605E" w:rsidRPr="00B9644F" w:rsidRDefault="0017605E" w:rsidP="0017605E">
            <w:pPr>
              <w:rPr>
                <w:sz w:val="20"/>
                <w:szCs w:val="20"/>
              </w:rPr>
            </w:pPr>
          </w:p>
        </w:tc>
      </w:tr>
      <w:tr w:rsidR="0017605E" w:rsidRPr="00B9644F" w:rsidTr="0017605E">
        <w:trPr>
          <w:cantSplit/>
        </w:trPr>
        <w:tc>
          <w:tcPr>
            <w:tcW w:w="1458" w:type="dxa"/>
          </w:tcPr>
          <w:p w:rsidR="0017605E" w:rsidRPr="00B9644F" w:rsidRDefault="0017605E" w:rsidP="0017605E">
            <w:pPr>
              <w:rPr>
                <w:sz w:val="20"/>
                <w:szCs w:val="20"/>
              </w:rPr>
            </w:pPr>
            <w:r w:rsidRPr="00B9644F">
              <w:rPr>
                <w:sz w:val="20"/>
                <w:szCs w:val="20"/>
              </w:rPr>
              <w:t>Coram :</w:t>
            </w:r>
          </w:p>
        </w:tc>
        <w:tc>
          <w:tcPr>
            <w:tcW w:w="8118" w:type="dxa"/>
          </w:tcPr>
          <w:p w:rsidR="0017605E" w:rsidRPr="00B9644F" w:rsidRDefault="0017605E" w:rsidP="0017605E">
            <w:pPr>
              <w:rPr>
                <w:sz w:val="20"/>
                <w:szCs w:val="20"/>
              </w:rPr>
            </w:pPr>
            <w:r w:rsidRPr="0017605E">
              <w:rPr>
                <w:rStyle w:val="SCCCoramChar"/>
                <w:sz w:val="20"/>
                <w:szCs w:val="20"/>
                <w:lang w:val="en-CA"/>
              </w:rPr>
              <w:t>McLachlin C.J. and Rothstein and Moldaver JJ.</w:t>
            </w:r>
          </w:p>
          <w:p w:rsidR="0017605E" w:rsidRPr="00B9644F" w:rsidRDefault="0017605E" w:rsidP="0017605E">
            <w:pPr>
              <w:rPr>
                <w:sz w:val="20"/>
                <w:szCs w:val="20"/>
                <w:u w:val="single"/>
              </w:rPr>
            </w:pPr>
          </w:p>
        </w:tc>
      </w:tr>
      <w:tr w:rsidR="0017605E" w:rsidRPr="00643997" w:rsidTr="0017605E">
        <w:trPr>
          <w:cantSplit/>
        </w:trPr>
        <w:tc>
          <w:tcPr>
            <w:tcW w:w="9576" w:type="dxa"/>
            <w:gridSpan w:val="2"/>
          </w:tcPr>
          <w:p w:rsidR="0017605E" w:rsidRPr="00B9644F" w:rsidRDefault="0017605E" w:rsidP="0017605E">
            <w:pPr>
              <w:pStyle w:val="SCCShortJudgment"/>
              <w:rPr>
                <w:szCs w:val="20"/>
              </w:rPr>
            </w:pPr>
            <w:r w:rsidRPr="00B9644F">
              <w:rPr>
                <w:szCs w:val="20"/>
              </w:rPr>
              <w:t>The application for leave to appeal from the judgment of the Federal Court of Appeal, Number A-35-11, 2011 FCA 308, dated November 10, 2011, is dismissed with costs.</w:t>
            </w:r>
          </w:p>
          <w:p w:rsidR="0017605E" w:rsidRPr="00B9644F" w:rsidRDefault="0017605E" w:rsidP="0017605E">
            <w:pPr>
              <w:pStyle w:val="SCCShortJudgment"/>
              <w:ind w:firstLine="0"/>
              <w:rPr>
                <w:szCs w:val="20"/>
              </w:rPr>
            </w:pPr>
          </w:p>
          <w:p w:rsidR="0017605E" w:rsidRPr="00B9644F" w:rsidRDefault="0017605E" w:rsidP="0017605E">
            <w:pPr>
              <w:pStyle w:val="SCCShortJudgment"/>
              <w:rPr>
                <w:szCs w:val="20"/>
                <w:lang w:val="fr-CA"/>
              </w:rPr>
            </w:pPr>
            <w:r w:rsidRPr="00B9644F">
              <w:rPr>
                <w:szCs w:val="20"/>
                <w:lang w:val="fr-CA"/>
              </w:rPr>
              <w:t>La demande d’autorisation d’appel de l’arrêt de la Cour d’appel fédérale, numéro A-35-11, 2011 CAF 308, daté du 10 novembre 2011, est rejetée avec dépens.</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F72419" w:rsidRPr="00096A4B" w:rsidTr="00970CF7">
        <w:trPr>
          <w:gridAfter w:val="1"/>
          <w:wAfter w:w="48" w:type="pct"/>
        </w:trPr>
        <w:tc>
          <w:tcPr>
            <w:tcW w:w="4952" w:type="pct"/>
            <w:gridSpan w:val="3"/>
          </w:tcPr>
          <w:p w:rsidR="00F72419" w:rsidRPr="00096A4B" w:rsidRDefault="00F72419" w:rsidP="00970CF7">
            <w:pPr>
              <w:jc w:val="both"/>
              <w:rPr>
                <w:rFonts w:eastAsia="Calibri"/>
                <w:sz w:val="20"/>
              </w:rPr>
            </w:pPr>
            <w:r w:rsidRPr="00096A4B">
              <w:rPr>
                <w:rFonts w:eastAsia="Calibri"/>
                <w:sz w:val="20"/>
              </w:rPr>
              <w:t xml:space="preserve">Taxation – Income Tax – Assessment – Tax treatment of payments by employer to induce employees to surrender options to acquire shares of employer – Distinction between deductible business expenses and non-deductible capital outlays – Interpretation of s. 18(1)(b) of </w:t>
            </w:r>
            <w:r w:rsidRPr="00096A4B">
              <w:rPr>
                <w:rFonts w:eastAsia="Calibri"/>
                <w:i/>
                <w:sz w:val="20"/>
              </w:rPr>
              <w:t>Income Tax Act</w:t>
            </w:r>
            <w:r w:rsidRPr="00096A4B">
              <w:rPr>
                <w:rFonts w:eastAsia="Calibri"/>
                <w:sz w:val="20"/>
              </w:rPr>
              <w:t>, R.S.C. 1985, c. 1 (5th Supp.)</w:t>
            </w:r>
            <w:r w:rsidRPr="00096A4B">
              <w:rPr>
                <w:rFonts w:eastAsia="Calibri"/>
                <w:i/>
                <w:sz w:val="20"/>
              </w:rPr>
              <w:t xml:space="preserve"> </w:t>
            </w:r>
            <w:r w:rsidRPr="00096A4B">
              <w:rPr>
                <w:rFonts w:eastAsia="Calibri"/>
                <w:sz w:val="20"/>
              </w:rPr>
              <w:t>– Whether decision of the Federal Court of Appeal creates significant uncertainty in relation to the tax treatment to the employer of various cash payments to employees, including stock option cash out payments – Whether decision of the Federal Court of Appeal affects the taxation of various expenses incurred or paid in the context of merger and acquisition transactions</w:t>
            </w:r>
            <w:r w:rsidRPr="00096A4B">
              <w:rPr>
                <w:rFonts w:eastAsia="Calibri"/>
                <w:i/>
                <w:sz w:val="20"/>
              </w:rPr>
              <w:t xml:space="preserve"> </w:t>
            </w:r>
            <w:r w:rsidRPr="00096A4B">
              <w:rPr>
                <w:rFonts w:eastAsia="Calibri"/>
                <w:sz w:val="20"/>
              </w:rPr>
              <w:t>– Whether decision of the Federal Court of Appeal diverges from the views of the Court of Appeal and this Court in analogous cases that have addressed the interpretation and application of paragraph 18(1)(b).</w:t>
            </w:r>
          </w:p>
        </w:tc>
      </w:tr>
      <w:tr w:rsidR="00F72419" w:rsidRPr="00096A4B" w:rsidTr="00970CF7">
        <w:trPr>
          <w:gridAfter w:val="1"/>
          <w:wAfter w:w="48" w:type="pct"/>
        </w:trPr>
        <w:tc>
          <w:tcPr>
            <w:tcW w:w="4952" w:type="pct"/>
            <w:gridSpan w:val="3"/>
          </w:tcPr>
          <w:p w:rsidR="00F72419" w:rsidRPr="00096A4B" w:rsidRDefault="00F72419" w:rsidP="00970CF7">
            <w:pPr>
              <w:jc w:val="both"/>
              <w:rPr>
                <w:rFonts w:eastAsia="Calibri"/>
                <w:sz w:val="20"/>
              </w:rPr>
            </w:pPr>
          </w:p>
        </w:tc>
      </w:tr>
      <w:tr w:rsidR="00F72419" w:rsidRPr="00096A4B" w:rsidTr="00970CF7">
        <w:trPr>
          <w:gridAfter w:val="1"/>
          <w:wAfter w:w="48" w:type="pct"/>
        </w:trPr>
        <w:tc>
          <w:tcPr>
            <w:tcW w:w="4952" w:type="pct"/>
            <w:gridSpan w:val="3"/>
          </w:tcPr>
          <w:p w:rsidR="00F72419" w:rsidRPr="00096A4B" w:rsidRDefault="00F72419" w:rsidP="00970CF7">
            <w:pPr>
              <w:jc w:val="both"/>
              <w:rPr>
                <w:rFonts w:eastAsia="Calibri"/>
                <w:sz w:val="20"/>
              </w:rPr>
            </w:pPr>
            <w:r w:rsidRPr="00096A4B">
              <w:rPr>
                <w:rFonts w:eastAsia="Calibri"/>
                <w:sz w:val="20"/>
              </w:rPr>
              <w:t xml:space="preserve">British American Tobacco (Canada) Limited sought to acquire all publicly held common shares of the applicant.  Some of the applicant’s employees held non-assignable options to receive newly issued common shares, upon payment of an exercise price, under an employee share ownership plan.  To facilitate the privatization, the applicant’s Board of Directors granted the employees discretion to surrender their options for a cash payment and the applicant accelerated vesting of all outstanding options.  All employees exercised or surrendered their options and the applicant paid them in aggregate $118,575,527.95 for their surrenders. In computing its income tax, the applicant claimed that amount in full as an employee compensation expense paid in the normal course of satisfying its obligations under the employee stock option plan. The $118,575,528 deduction from income resulted in reporting a loss.  The applicant carried back part of the resulting loss to its prior taxation year.  The Minister disallowed the deduction from income on the basis that the payment was for the purpose of capital restructuring and therefore an outlay on capital account and not deductible from income under s. 18(1)(b) of </w:t>
            </w:r>
            <w:r w:rsidRPr="00096A4B">
              <w:rPr>
                <w:rFonts w:eastAsia="Calibri"/>
                <w:i/>
                <w:sz w:val="20"/>
              </w:rPr>
              <w:t>Income Tax Act</w:t>
            </w:r>
            <w:r w:rsidRPr="00096A4B">
              <w:rPr>
                <w:rFonts w:eastAsia="Calibri"/>
                <w:sz w:val="20"/>
              </w:rPr>
              <w:t>, R.S.C. 1985, c. 1 (5th Supp.).</w:t>
            </w:r>
          </w:p>
          <w:p w:rsidR="00F72419" w:rsidRPr="00096A4B" w:rsidRDefault="00F72419" w:rsidP="00970CF7">
            <w:pPr>
              <w:jc w:val="both"/>
              <w:rPr>
                <w:rFonts w:eastAsia="Calibri"/>
                <w:sz w:val="20"/>
              </w:rPr>
            </w:pPr>
          </w:p>
        </w:tc>
      </w:tr>
      <w:tr w:rsidR="00F72419" w:rsidRPr="00096A4B" w:rsidTr="00970CF7">
        <w:tblPrEx>
          <w:tblCellMar>
            <w:bottom w:w="0" w:type="dxa"/>
          </w:tblCellMar>
        </w:tblPrEx>
        <w:tc>
          <w:tcPr>
            <w:tcW w:w="2367" w:type="pct"/>
          </w:tcPr>
          <w:p w:rsidR="00F72419" w:rsidRPr="00096A4B" w:rsidRDefault="00F72419" w:rsidP="00970CF7">
            <w:pPr>
              <w:jc w:val="both"/>
              <w:rPr>
                <w:rFonts w:eastAsia="Calibri"/>
                <w:sz w:val="20"/>
              </w:rPr>
            </w:pPr>
            <w:r w:rsidRPr="00096A4B">
              <w:rPr>
                <w:rFonts w:eastAsia="Calibri"/>
                <w:sz w:val="20"/>
              </w:rPr>
              <w:t>December 21, 2010</w:t>
            </w:r>
          </w:p>
          <w:p w:rsidR="00F72419" w:rsidRPr="00096A4B" w:rsidRDefault="00F72419" w:rsidP="00970CF7">
            <w:pPr>
              <w:jc w:val="both"/>
              <w:rPr>
                <w:rFonts w:eastAsia="Calibri"/>
                <w:sz w:val="20"/>
              </w:rPr>
            </w:pPr>
            <w:r w:rsidRPr="00096A4B">
              <w:rPr>
                <w:rFonts w:eastAsia="Calibri"/>
                <w:sz w:val="20"/>
              </w:rPr>
              <w:t>Tax Court of Canada</w:t>
            </w:r>
          </w:p>
          <w:p w:rsidR="00F72419" w:rsidRPr="00096A4B" w:rsidRDefault="00F72419" w:rsidP="00970CF7">
            <w:pPr>
              <w:jc w:val="both"/>
              <w:rPr>
                <w:rFonts w:eastAsia="Calibri"/>
                <w:sz w:val="20"/>
              </w:rPr>
            </w:pPr>
            <w:r w:rsidRPr="00096A4B">
              <w:rPr>
                <w:rFonts w:eastAsia="Calibri"/>
                <w:sz w:val="20"/>
              </w:rPr>
              <w:t>(Bowie J.)</w:t>
            </w:r>
          </w:p>
          <w:p w:rsidR="00F72419" w:rsidRPr="00096A4B" w:rsidRDefault="00F72419" w:rsidP="00970CF7">
            <w:pPr>
              <w:jc w:val="both"/>
              <w:rPr>
                <w:rFonts w:eastAsia="Calibri"/>
                <w:sz w:val="20"/>
              </w:rPr>
            </w:pPr>
            <w:r w:rsidRPr="00096A4B">
              <w:rPr>
                <w:rFonts w:eastAsia="Calibri"/>
                <w:sz w:val="20"/>
              </w:rPr>
              <w:t>2010 TCC 648</w:t>
            </w:r>
          </w:p>
          <w:p w:rsidR="00F72419" w:rsidRPr="00096A4B" w:rsidRDefault="00F72419" w:rsidP="00970CF7">
            <w:pPr>
              <w:jc w:val="both"/>
              <w:rPr>
                <w:rFonts w:eastAsia="Calibri"/>
                <w:sz w:val="20"/>
              </w:rPr>
            </w:pPr>
          </w:p>
        </w:tc>
        <w:tc>
          <w:tcPr>
            <w:tcW w:w="267" w:type="pct"/>
          </w:tcPr>
          <w:p w:rsidR="00F72419" w:rsidRPr="00096A4B" w:rsidRDefault="00F72419" w:rsidP="00970CF7">
            <w:pPr>
              <w:jc w:val="both"/>
              <w:rPr>
                <w:rFonts w:eastAsia="Calibri"/>
                <w:sz w:val="20"/>
              </w:rPr>
            </w:pPr>
          </w:p>
        </w:tc>
        <w:tc>
          <w:tcPr>
            <w:tcW w:w="2366" w:type="pct"/>
            <w:gridSpan w:val="2"/>
          </w:tcPr>
          <w:p w:rsidR="00F72419" w:rsidRPr="00096A4B" w:rsidRDefault="00F72419" w:rsidP="00970CF7">
            <w:pPr>
              <w:jc w:val="both"/>
              <w:rPr>
                <w:rFonts w:eastAsia="Calibri"/>
                <w:sz w:val="20"/>
              </w:rPr>
            </w:pPr>
            <w:r w:rsidRPr="00096A4B">
              <w:rPr>
                <w:rFonts w:eastAsia="Calibri"/>
                <w:sz w:val="20"/>
              </w:rPr>
              <w:t>Appeal from assessments of taxation years ending December 31, 1999 and February 1, 2000 dismissed</w:t>
            </w:r>
          </w:p>
          <w:p w:rsidR="00F72419" w:rsidRPr="00096A4B" w:rsidRDefault="00F72419" w:rsidP="00970CF7">
            <w:pPr>
              <w:jc w:val="both"/>
              <w:rPr>
                <w:rFonts w:eastAsia="Calibri"/>
                <w:sz w:val="20"/>
              </w:rPr>
            </w:pPr>
          </w:p>
        </w:tc>
      </w:tr>
      <w:tr w:rsidR="00F72419" w:rsidRPr="00096A4B" w:rsidTr="00970CF7">
        <w:tblPrEx>
          <w:tblCellMar>
            <w:bottom w:w="0" w:type="dxa"/>
          </w:tblCellMar>
        </w:tblPrEx>
        <w:tc>
          <w:tcPr>
            <w:tcW w:w="2367" w:type="pct"/>
          </w:tcPr>
          <w:p w:rsidR="00F72419" w:rsidRPr="00096A4B" w:rsidRDefault="00F72419" w:rsidP="00970CF7">
            <w:pPr>
              <w:jc w:val="both"/>
              <w:rPr>
                <w:rFonts w:eastAsia="Calibri"/>
                <w:sz w:val="20"/>
              </w:rPr>
            </w:pPr>
            <w:r w:rsidRPr="00096A4B">
              <w:rPr>
                <w:rFonts w:eastAsia="Calibri"/>
                <w:sz w:val="20"/>
              </w:rPr>
              <w:t>November 10, 2011</w:t>
            </w:r>
          </w:p>
          <w:p w:rsidR="00F72419" w:rsidRPr="00096A4B" w:rsidRDefault="00F72419" w:rsidP="00970CF7">
            <w:pPr>
              <w:jc w:val="both"/>
              <w:rPr>
                <w:rFonts w:eastAsia="Calibri"/>
                <w:sz w:val="20"/>
              </w:rPr>
            </w:pPr>
            <w:r w:rsidRPr="00096A4B">
              <w:rPr>
                <w:rFonts w:eastAsia="Calibri"/>
                <w:sz w:val="20"/>
              </w:rPr>
              <w:t>Federal Court of Appeal</w:t>
            </w:r>
          </w:p>
          <w:p w:rsidR="00F72419" w:rsidRPr="00096A4B" w:rsidRDefault="00F72419" w:rsidP="00970CF7">
            <w:pPr>
              <w:jc w:val="both"/>
              <w:rPr>
                <w:rFonts w:eastAsia="Calibri"/>
                <w:sz w:val="20"/>
              </w:rPr>
            </w:pPr>
            <w:r w:rsidRPr="00096A4B">
              <w:rPr>
                <w:rFonts w:eastAsia="Calibri"/>
                <w:sz w:val="20"/>
              </w:rPr>
              <w:t>(Nadon, Dawson, Sharlow JJ.A.)</w:t>
            </w:r>
          </w:p>
          <w:p w:rsidR="00F72419" w:rsidRPr="00096A4B" w:rsidRDefault="00F72419" w:rsidP="00970CF7">
            <w:pPr>
              <w:jc w:val="both"/>
              <w:rPr>
                <w:rFonts w:eastAsia="Calibri"/>
                <w:sz w:val="20"/>
              </w:rPr>
            </w:pPr>
            <w:r w:rsidRPr="00096A4B">
              <w:rPr>
                <w:rFonts w:eastAsia="Calibri"/>
                <w:sz w:val="20"/>
              </w:rPr>
              <w:t>2011 FCA 308; A-35-11</w:t>
            </w:r>
          </w:p>
          <w:p w:rsidR="00F72419" w:rsidRPr="00096A4B" w:rsidRDefault="00F72419" w:rsidP="00970CF7">
            <w:pPr>
              <w:jc w:val="both"/>
              <w:rPr>
                <w:rFonts w:eastAsia="Calibri"/>
                <w:sz w:val="20"/>
              </w:rPr>
            </w:pPr>
          </w:p>
        </w:tc>
        <w:tc>
          <w:tcPr>
            <w:tcW w:w="267" w:type="pct"/>
          </w:tcPr>
          <w:p w:rsidR="00F72419" w:rsidRPr="00096A4B" w:rsidRDefault="00F72419" w:rsidP="00970CF7">
            <w:pPr>
              <w:jc w:val="both"/>
              <w:rPr>
                <w:rFonts w:eastAsia="Calibri"/>
                <w:sz w:val="20"/>
              </w:rPr>
            </w:pPr>
          </w:p>
        </w:tc>
        <w:tc>
          <w:tcPr>
            <w:tcW w:w="2366" w:type="pct"/>
            <w:gridSpan w:val="2"/>
          </w:tcPr>
          <w:p w:rsidR="00F72419" w:rsidRPr="00096A4B" w:rsidRDefault="00F72419" w:rsidP="00970CF7">
            <w:pPr>
              <w:jc w:val="both"/>
              <w:rPr>
                <w:rFonts w:eastAsia="Calibri"/>
                <w:sz w:val="20"/>
              </w:rPr>
            </w:pPr>
            <w:r w:rsidRPr="00096A4B">
              <w:rPr>
                <w:rFonts w:eastAsia="Calibri"/>
                <w:sz w:val="20"/>
              </w:rPr>
              <w:t>Appeal dismissed</w:t>
            </w:r>
          </w:p>
          <w:p w:rsidR="00F72419" w:rsidRPr="00096A4B" w:rsidRDefault="00F72419" w:rsidP="00970CF7">
            <w:pPr>
              <w:jc w:val="both"/>
              <w:rPr>
                <w:rFonts w:eastAsia="Calibri"/>
                <w:sz w:val="20"/>
              </w:rPr>
            </w:pPr>
          </w:p>
        </w:tc>
      </w:tr>
      <w:tr w:rsidR="00F72419" w:rsidRPr="00096A4B" w:rsidTr="00970CF7">
        <w:tblPrEx>
          <w:tblCellMar>
            <w:bottom w:w="0" w:type="dxa"/>
          </w:tblCellMar>
        </w:tblPrEx>
        <w:tc>
          <w:tcPr>
            <w:tcW w:w="2367" w:type="pct"/>
          </w:tcPr>
          <w:p w:rsidR="00F72419" w:rsidRPr="00096A4B" w:rsidRDefault="00F72419" w:rsidP="00970CF7">
            <w:pPr>
              <w:jc w:val="both"/>
              <w:rPr>
                <w:rFonts w:eastAsia="Calibri"/>
                <w:sz w:val="20"/>
              </w:rPr>
            </w:pPr>
            <w:r w:rsidRPr="00096A4B">
              <w:rPr>
                <w:rFonts w:eastAsia="Calibri"/>
                <w:sz w:val="20"/>
              </w:rPr>
              <w:t>January 9, 2012</w:t>
            </w:r>
          </w:p>
          <w:p w:rsidR="00F72419" w:rsidRPr="00096A4B" w:rsidRDefault="00F72419" w:rsidP="00970CF7">
            <w:pPr>
              <w:jc w:val="both"/>
              <w:rPr>
                <w:rFonts w:eastAsia="Calibri"/>
                <w:sz w:val="20"/>
              </w:rPr>
            </w:pPr>
            <w:r w:rsidRPr="00096A4B">
              <w:rPr>
                <w:rFonts w:eastAsia="Calibri"/>
                <w:sz w:val="20"/>
              </w:rPr>
              <w:t>Supreme Court of Canada</w:t>
            </w:r>
          </w:p>
        </w:tc>
        <w:tc>
          <w:tcPr>
            <w:tcW w:w="267" w:type="pct"/>
          </w:tcPr>
          <w:p w:rsidR="00F72419" w:rsidRPr="00096A4B" w:rsidRDefault="00F72419" w:rsidP="00970CF7">
            <w:pPr>
              <w:jc w:val="both"/>
              <w:rPr>
                <w:rFonts w:eastAsia="Calibri"/>
                <w:sz w:val="20"/>
              </w:rPr>
            </w:pPr>
          </w:p>
        </w:tc>
        <w:tc>
          <w:tcPr>
            <w:tcW w:w="2366" w:type="pct"/>
            <w:gridSpan w:val="2"/>
          </w:tcPr>
          <w:p w:rsidR="00F72419" w:rsidRPr="00096A4B" w:rsidRDefault="00F72419" w:rsidP="00970CF7">
            <w:pPr>
              <w:jc w:val="both"/>
              <w:rPr>
                <w:rFonts w:eastAsia="Calibri"/>
                <w:sz w:val="20"/>
              </w:rPr>
            </w:pPr>
            <w:r w:rsidRPr="00096A4B">
              <w:rPr>
                <w:rFonts w:eastAsia="Calibri"/>
                <w:sz w:val="20"/>
              </w:rPr>
              <w:t>Application for leave to appeal filed</w:t>
            </w:r>
          </w:p>
          <w:p w:rsidR="00F72419" w:rsidRPr="00096A4B" w:rsidRDefault="00F72419" w:rsidP="00970CF7">
            <w:pPr>
              <w:jc w:val="both"/>
              <w:rPr>
                <w:rFonts w:eastAsia="Calibri"/>
                <w:sz w:val="20"/>
              </w:rPr>
            </w:pP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61"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5000" w:type="pct"/>
        <w:tblLayout w:type="fixed"/>
        <w:tblCellMar>
          <w:left w:w="0" w:type="dxa"/>
          <w:bottom w:w="99" w:type="dxa"/>
          <w:right w:w="0" w:type="dxa"/>
        </w:tblCellMar>
        <w:tblLook w:val="00A0"/>
      </w:tblPr>
      <w:tblGrid>
        <w:gridCol w:w="4554"/>
        <w:gridCol w:w="514"/>
        <w:gridCol w:w="4459"/>
        <w:gridCol w:w="92"/>
      </w:tblGrid>
      <w:tr w:rsidR="00F72419" w:rsidRPr="00643997" w:rsidTr="00970CF7">
        <w:trPr>
          <w:gridAfter w:val="1"/>
          <w:wAfter w:w="48" w:type="pct"/>
        </w:trPr>
        <w:tc>
          <w:tcPr>
            <w:tcW w:w="4952" w:type="pct"/>
            <w:gridSpan w:val="3"/>
          </w:tcPr>
          <w:p w:rsidR="00F72419" w:rsidRPr="00096A4B" w:rsidRDefault="00F72419" w:rsidP="00970CF7">
            <w:pPr>
              <w:jc w:val="both"/>
              <w:rPr>
                <w:rFonts w:eastAsia="Calibri"/>
                <w:sz w:val="20"/>
                <w:lang w:val="fr-CA"/>
              </w:rPr>
            </w:pPr>
            <w:r w:rsidRPr="00096A4B">
              <w:rPr>
                <w:rFonts w:eastAsia="Calibri"/>
                <w:sz w:val="20"/>
                <w:lang w:val="fr-CA"/>
              </w:rPr>
              <w:t xml:space="preserve">Droit fiscal </w:t>
            </w:r>
            <w:r w:rsidRPr="00096A4B">
              <w:rPr>
                <w:rFonts w:eastAsia="Calibri"/>
                <w:sz w:val="20"/>
                <w:lang w:val="fr-CA"/>
              </w:rPr>
              <w:noBreakHyphen/>
              <w:t xml:space="preserve"> Impôt sur le revenu </w:t>
            </w:r>
            <w:r w:rsidRPr="00096A4B">
              <w:rPr>
                <w:rFonts w:eastAsia="Calibri"/>
                <w:sz w:val="20"/>
                <w:lang w:val="fr-CA"/>
              </w:rPr>
              <w:noBreakHyphen/>
              <w:t xml:space="preserve"> Cotisation </w:t>
            </w:r>
            <w:r w:rsidRPr="00096A4B">
              <w:rPr>
                <w:rFonts w:eastAsia="Calibri"/>
                <w:sz w:val="20"/>
                <w:lang w:val="fr-CA"/>
              </w:rPr>
              <w:noBreakHyphen/>
              <w:t xml:space="preserve"> Traitement fiscal des paiements faits par l’employeur pour inciter les employés à abandonner des options d’achat d’actions de l’employeur </w:t>
            </w:r>
            <w:r w:rsidRPr="00096A4B">
              <w:rPr>
                <w:rFonts w:eastAsia="Calibri"/>
                <w:sz w:val="20"/>
                <w:lang w:val="fr-CA"/>
              </w:rPr>
              <w:noBreakHyphen/>
              <w:t xml:space="preserve"> Distinction entre les dépenses d’entreprise déductibles et les dépenses en capital non déductibles </w:t>
            </w:r>
            <w:r w:rsidRPr="00096A4B">
              <w:rPr>
                <w:rFonts w:eastAsia="Calibri"/>
                <w:sz w:val="20"/>
                <w:lang w:val="fr-CA"/>
              </w:rPr>
              <w:noBreakHyphen/>
              <w:t xml:space="preserve"> Interprétation de l’al. 18(1)</w:t>
            </w:r>
            <w:r w:rsidRPr="00096A4B">
              <w:rPr>
                <w:rFonts w:eastAsia="Calibri"/>
                <w:i/>
                <w:sz w:val="20"/>
                <w:lang w:val="fr-CA"/>
              </w:rPr>
              <w:t>b</w:t>
            </w:r>
            <w:r w:rsidRPr="00096A4B">
              <w:rPr>
                <w:rFonts w:eastAsia="Calibri"/>
                <w:sz w:val="20"/>
                <w:lang w:val="fr-CA"/>
              </w:rPr>
              <w:t>) de la</w:t>
            </w:r>
            <w:r w:rsidRPr="00096A4B">
              <w:rPr>
                <w:rFonts w:eastAsia="Calibri"/>
                <w:i/>
                <w:sz w:val="20"/>
                <w:lang w:val="fr-CA"/>
              </w:rPr>
              <w:t xml:space="preserve"> Loi de l’impôt sur le revenu</w:t>
            </w:r>
            <w:r w:rsidRPr="00096A4B">
              <w:rPr>
                <w:rFonts w:eastAsia="Calibri"/>
                <w:sz w:val="20"/>
                <w:lang w:val="fr-CA"/>
              </w:rPr>
              <w:t>, L.R.C. 1985, ch. 1 (5</w:t>
            </w:r>
            <w:r w:rsidRPr="00096A4B">
              <w:rPr>
                <w:rFonts w:eastAsia="Calibri"/>
                <w:sz w:val="20"/>
                <w:vertAlign w:val="superscript"/>
                <w:lang w:val="fr-CA"/>
              </w:rPr>
              <w:t>e</w:t>
            </w:r>
            <w:r w:rsidRPr="00096A4B">
              <w:rPr>
                <w:rFonts w:eastAsia="Calibri"/>
                <w:sz w:val="20"/>
                <w:lang w:val="fr-CA"/>
              </w:rPr>
              <w:t xml:space="preserve"> suppl.)</w:t>
            </w:r>
            <w:r w:rsidRPr="00096A4B">
              <w:rPr>
                <w:rFonts w:eastAsia="Calibri"/>
                <w:i/>
                <w:sz w:val="20"/>
                <w:lang w:val="fr-CA"/>
              </w:rPr>
              <w:t xml:space="preserve"> </w:t>
            </w:r>
            <w:r w:rsidRPr="00096A4B">
              <w:rPr>
                <w:rFonts w:eastAsia="Calibri"/>
                <w:sz w:val="20"/>
                <w:lang w:val="fr-CA"/>
              </w:rPr>
              <w:noBreakHyphen/>
              <w:t xml:space="preserve"> La décision de la Cour d’appel fédérale crée</w:t>
            </w:r>
            <w:r w:rsidRPr="00096A4B">
              <w:rPr>
                <w:rFonts w:eastAsia="Calibri"/>
                <w:sz w:val="20"/>
                <w:lang w:val="fr-CA"/>
              </w:rPr>
              <w:noBreakHyphen/>
              <w:t>t</w:t>
            </w:r>
            <w:r w:rsidRPr="00096A4B">
              <w:rPr>
                <w:rFonts w:eastAsia="Calibri"/>
                <w:sz w:val="20"/>
                <w:lang w:val="fr-CA"/>
              </w:rPr>
              <w:noBreakHyphen/>
              <w:t xml:space="preserve">elle une incertitude importante en lien avec le traitement fiscal pour l’employeur de divers paiements comptants à des employés, y compris des paiements de rachat d’options d’achat d’actions? </w:t>
            </w:r>
            <w:r w:rsidRPr="00096A4B">
              <w:rPr>
                <w:rFonts w:eastAsia="Calibri"/>
                <w:sz w:val="20"/>
                <w:lang w:val="fr-CA"/>
              </w:rPr>
              <w:noBreakHyphen/>
              <w:t xml:space="preserve"> La décision de la Cour d’appel fédérale a</w:t>
            </w:r>
            <w:r w:rsidRPr="00096A4B">
              <w:rPr>
                <w:rFonts w:eastAsia="Calibri"/>
                <w:sz w:val="20"/>
                <w:lang w:val="fr-CA"/>
              </w:rPr>
              <w:noBreakHyphen/>
              <w:t>t</w:t>
            </w:r>
            <w:r w:rsidRPr="00096A4B">
              <w:rPr>
                <w:rFonts w:eastAsia="Calibri"/>
                <w:sz w:val="20"/>
                <w:lang w:val="fr-CA"/>
              </w:rPr>
              <w:noBreakHyphen/>
              <w:t xml:space="preserve">elle une incidence sur l’imposition de diverses dépenses engagées ou payées dans le contexte des opérations de fusion et d’acquisition? </w:t>
            </w:r>
            <w:r w:rsidRPr="00096A4B">
              <w:rPr>
                <w:rFonts w:eastAsia="Calibri"/>
                <w:sz w:val="20"/>
                <w:lang w:val="fr-CA"/>
              </w:rPr>
              <w:noBreakHyphen/>
              <w:t xml:space="preserve"> La décision de la Cour d’appel fédérale s’éloigne</w:t>
            </w:r>
            <w:r w:rsidRPr="00096A4B">
              <w:rPr>
                <w:rFonts w:eastAsia="Calibri"/>
                <w:sz w:val="20"/>
                <w:lang w:val="fr-CA"/>
              </w:rPr>
              <w:noBreakHyphen/>
              <w:t>t</w:t>
            </w:r>
            <w:r w:rsidRPr="00096A4B">
              <w:rPr>
                <w:rFonts w:eastAsia="Calibri"/>
                <w:sz w:val="20"/>
                <w:lang w:val="fr-CA"/>
              </w:rPr>
              <w:noBreakHyphen/>
              <w:t>elle des avis de la Cour d’appel et de cette Cour dans des affaires analogues qui ont porté sur l’interprétation et l’application de l’al.18(1)</w:t>
            </w:r>
            <w:r w:rsidRPr="00096A4B">
              <w:rPr>
                <w:rFonts w:eastAsia="Calibri"/>
                <w:i/>
                <w:sz w:val="20"/>
                <w:lang w:val="fr-CA"/>
              </w:rPr>
              <w:t>b</w:t>
            </w:r>
            <w:r w:rsidRPr="00096A4B">
              <w:rPr>
                <w:rFonts w:eastAsia="Calibri"/>
                <w:sz w:val="20"/>
                <w:lang w:val="fr-CA"/>
              </w:rPr>
              <w:t>)?</w:t>
            </w:r>
          </w:p>
        </w:tc>
      </w:tr>
      <w:tr w:rsidR="00F72419" w:rsidRPr="00643997" w:rsidTr="00970CF7">
        <w:trPr>
          <w:gridAfter w:val="1"/>
          <w:wAfter w:w="48" w:type="pct"/>
        </w:trPr>
        <w:tc>
          <w:tcPr>
            <w:tcW w:w="4952" w:type="pct"/>
            <w:gridSpan w:val="3"/>
          </w:tcPr>
          <w:p w:rsidR="00F72419" w:rsidRPr="00096A4B" w:rsidRDefault="00F72419" w:rsidP="00970CF7">
            <w:pPr>
              <w:jc w:val="both"/>
              <w:rPr>
                <w:rFonts w:eastAsia="Calibri"/>
                <w:sz w:val="20"/>
                <w:lang w:val="fr-CA"/>
              </w:rPr>
            </w:pPr>
          </w:p>
        </w:tc>
      </w:tr>
      <w:tr w:rsidR="00F72419" w:rsidRPr="00643997" w:rsidTr="00970CF7">
        <w:trPr>
          <w:gridAfter w:val="1"/>
          <w:wAfter w:w="48" w:type="pct"/>
        </w:trPr>
        <w:tc>
          <w:tcPr>
            <w:tcW w:w="4952" w:type="pct"/>
            <w:gridSpan w:val="3"/>
          </w:tcPr>
          <w:p w:rsidR="00F72419" w:rsidRPr="00096A4B" w:rsidRDefault="00F72419" w:rsidP="00970CF7">
            <w:pPr>
              <w:jc w:val="both"/>
              <w:rPr>
                <w:rFonts w:eastAsia="Calibri"/>
                <w:sz w:val="20"/>
                <w:lang w:val="fr-CA"/>
              </w:rPr>
            </w:pPr>
            <w:r w:rsidRPr="00096A4B">
              <w:rPr>
                <w:rFonts w:eastAsia="Calibri"/>
                <w:sz w:val="20"/>
                <w:lang w:val="fr-CA"/>
              </w:rPr>
              <w:t xml:space="preserve">British American Tobacco (Canada) Limitée cherchait à acquérir toutes les actions ordinaires de la demanderesse détenues par le public.  Certains employés de la demanderesse détenaient des options incessibles qui leur permettaient de recevoir des actions ordinaires nouvellement émises moyennant le paiement d’un prix d’exercice en vertu d’un régime d’actionnariat des employés.  Pour faciliter la privatisation, le conseil d’administration de la demanderesse a permis aux employés d’abandonner, à leur gré, leurs options moyennement un paiement comptant et la demanderesse a permis l’acquisition anticipée de toutes les options en circulation.  Tous les employés ont levé ou abandonné leurs options et la demanderesse leur a versé au total la somme de 118 575 527,95 $ en contrepartie.  Dans le calcul de son impôt sur le revenu, la demanderesse a réclamé la déduction de ce montant au complet à titre de frais de rémunération du personnel versé dans le cours normal de l’exécution des obligations qui lui incombaient en vertu du régime d’options d’achat d’actions.  La déduction de 118 575 528 $ de son revenu a donné lieu à la déclaration d’une perte.  La demanderesse a reporté rétrospectivement une partie de la perte qui en a découlé à son année d’imposition précédente.  Le ministre a refusé la déduction du revenu au motif que le paiement avait été fait dans le cadre d’une </w:t>
            </w:r>
            <w:r w:rsidRPr="00096A4B">
              <w:rPr>
                <w:rFonts w:eastAsia="Calibri"/>
                <w:sz w:val="20"/>
                <w:lang w:val="fr-CA"/>
              </w:rPr>
              <w:lastRenderedPageBreak/>
              <w:t>restructuration du capital et qu’il représentait donc une dépense en capital non déductible du revenu en vertu de l’al. 18(1)</w:t>
            </w:r>
            <w:r w:rsidRPr="00096A4B">
              <w:rPr>
                <w:rFonts w:eastAsia="Calibri"/>
                <w:i/>
                <w:sz w:val="20"/>
                <w:lang w:val="fr-CA"/>
              </w:rPr>
              <w:t>b</w:t>
            </w:r>
            <w:r w:rsidRPr="00096A4B">
              <w:rPr>
                <w:rFonts w:eastAsia="Calibri"/>
                <w:sz w:val="20"/>
                <w:lang w:val="fr-CA"/>
              </w:rPr>
              <w:t>) de la</w:t>
            </w:r>
            <w:r w:rsidRPr="00096A4B">
              <w:rPr>
                <w:rFonts w:eastAsia="Calibri"/>
                <w:i/>
                <w:sz w:val="20"/>
                <w:lang w:val="fr-CA"/>
              </w:rPr>
              <w:t xml:space="preserve"> Loi de l’impôt sur le revenu</w:t>
            </w:r>
            <w:r w:rsidRPr="00096A4B">
              <w:rPr>
                <w:rFonts w:eastAsia="Calibri"/>
                <w:sz w:val="20"/>
                <w:lang w:val="fr-CA"/>
              </w:rPr>
              <w:t>, L.R.C. 1985, ch. 1 (5</w:t>
            </w:r>
            <w:r w:rsidRPr="00096A4B">
              <w:rPr>
                <w:rFonts w:eastAsia="Calibri"/>
                <w:sz w:val="20"/>
                <w:vertAlign w:val="superscript"/>
                <w:lang w:val="fr-CA"/>
              </w:rPr>
              <w:t>e</w:t>
            </w:r>
            <w:r w:rsidRPr="00096A4B">
              <w:rPr>
                <w:rFonts w:eastAsia="Calibri"/>
                <w:sz w:val="20"/>
                <w:lang w:val="fr-CA"/>
              </w:rPr>
              <w:t xml:space="preserve"> suppl.).</w:t>
            </w:r>
          </w:p>
          <w:p w:rsidR="00F72419" w:rsidRPr="00096A4B" w:rsidRDefault="00F72419" w:rsidP="00970CF7">
            <w:pPr>
              <w:jc w:val="both"/>
              <w:rPr>
                <w:rFonts w:eastAsia="Calibri"/>
                <w:sz w:val="20"/>
                <w:lang w:val="fr-CA"/>
              </w:rPr>
            </w:pPr>
          </w:p>
        </w:tc>
      </w:tr>
      <w:tr w:rsidR="00F72419" w:rsidRPr="00643997" w:rsidTr="00970CF7">
        <w:tblPrEx>
          <w:tblCellMar>
            <w:bottom w:w="0" w:type="dxa"/>
          </w:tblCellMar>
        </w:tblPrEx>
        <w:tc>
          <w:tcPr>
            <w:tcW w:w="2367" w:type="pct"/>
          </w:tcPr>
          <w:p w:rsidR="00F72419" w:rsidRPr="00096A4B" w:rsidRDefault="00F72419" w:rsidP="00970CF7">
            <w:pPr>
              <w:jc w:val="both"/>
              <w:rPr>
                <w:rFonts w:eastAsia="Calibri"/>
                <w:sz w:val="20"/>
                <w:lang w:val="fr-CA"/>
              </w:rPr>
            </w:pPr>
            <w:r w:rsidRPr="00096A4B">
              <w:rPr>
                <w:rFonts w:eastAsia="Calibri"/>
                <w:sz w:val="20"/>
                <w:lang w:val="fr-CA"/>
              </w:rPr>
              <w:lastRenderedPageBreak/>
              <w:t>21 décembre 2010</w:t>
            </w:r>
          </w:p>
          <w:p w:rsidR="00F72419" w:rsidRPr="00096A4B" w:rsidRDefault="00F72419" w:rsidP="00970CF7">
            <w:pPr>
              <w:jc w:val="both"/>
              <w:rPr>
                <w:rFonts w:eastAsia="Calibri"/>
                <w:sz w:val="20"/>
                <w:lang w:val="fr-CA"/>
              </w:rPr>
            </w:pPr>
            <w:r w:rsidRPr="00096A4B">
              <w:rPr>
                <w:rFonts w:eastAsia="Calibri"/>
                <w:sz w:val="20"/>
                <w:lang w:val="fr-CA"/>
              </w:rPr>
              <w:t xml:space="preserve">Cour canadienne de l’impôt </w:t>
            </w:r>
          </w:p>
          <w:p w:rsidR="00F72419" w:rsidRPr="00096A4B" w:rsidRDefault="00F72419" w:rsidP="00970CF7">
            <w:pPr>
              <w:jc w:val="both"/>
              <w:rPr>
                <w:rFonts w:eastAsia="Calibri"/>
                <w:sz w:val="20"/>
                <w:lang w:val="fr-CA"/>
              </w:rPr>
            </w:pPr>
            <w:r w:rsidRPr="00096A4B">
              <w:rPr>
                <w:rFonts w:eastAsia="Calibri"/>
                <w:sz w:val="20"/>
                <w:lang w:val="fr-CA"/>
              </w:rPr>
              <w:t>(Juge Bowie)</w:t>
            </w:r>
          </w:p>
          <w:p w:rsidR="00F72419" w:rsidRPr="00096A4B" w:rsidRDefault="00F72419" w:rsidP="00970CF7">
            <w:pPr>
              <w:jc w:val="both"/>
              <w:rPr>
                <w:rFonts w:eastAsia="Calibri"/>
                <w:sz w:val="20"/>
                <w:lang w:val="fr-CA"/>
              </w:rPr>
            </w:pPr>
            <w:r w:rsidRPr="00096A4B">
              <w:rPr>
                <w:rFonts w:eastAsia="Calibri"/>
                <w:sz w:val="20"/>
                <w:lang w:val="fr-CA"/>
              </w:rPr>
              <w:t>2010 TCC 648</w:t>
            </w:r>
          </w:p>
          <w:p w:rsidR="00F72419" w:rsidRPr="00096A4B" w:rsidRDefault="00F72419" w:rsidP="00970CF7">
            <w:pPr>
              <w:jc w:val="both"/>
              <w:rPr>
                <w:rFonts w:eastAsia="Calibri"/>
                <w:sz w:val="20"/>
                <w:lang w:val="fr-CA"/>
              </w:rPr>
            </w:pPr>
          </w:p>
        </w:tc>
        <w:tc>
          <w:tcPr>
            <w:tcW w:w="267" w:type="pct"/>
          </w:tcPr>
          <w:p w:rsidR="00F72419" w:rsidRPr="00096A4B" w:rsidRDefault="00F72419" w:rsidP="00970CF7">
            <w:pPr>
              <w:jc w:val="both"/>
              <w:rPr>
                <w:rFonts w:eastAsia="Calibri"/>
                <w:sz w:val="20"/>
                <w:lang w:val="fr-CA"/>
              </w:rPr>
            </w:pPr>
          </w:p>
        </w:tc>
        <w:tc>
          <w:tcPr>
            <w:tcW w:w="2366" w:type="pct"/>
            <w:gridSpan w:val="2"/>
          </w:tcPr>
          <w:p w:rsidR="00F72419" w:rsidRPr="00096A4B" w:rsidRDefault="00F72419" w:rsidP="00970CF7">
            <w:pPr>
              <w:jc w:val="both"/>
              <w:rPr>
                <w:rFonts w:eastAsia="Calibri"/>
                <w:sz w:val="20"/>
                <w:lang w:val="fr-CA"/>
              </w:rPr>
            </w:pPr>
            <w:r w:rsidRPr="00096A4B">
              <w:rPr>
                <w:rFonts w:eastAsia="Calibri"/>
                <w:sz w:val="20"/>
                <w:lang w:val="fr-CA"/>
              </w:rPr>
              <w:t>Appel des cotisations établies pour les années d’imposition terminées le 31 décembre 1999 et le 1</w:t>
            </w:r>
            <w:r w:rsidRPr="00096A4B">
              <w:rPr>
                <w:rFonts w:eastAsia="Calibri"/>
                <w:sz w:val="20"/>
                <w:vertAlign w:val="superscript"/>
                <w:lang w:val="fr-CA"/>
              </w:rPr>
              <w:t>er</w:t>
            </w:r>
            <w:r w:rsidRPr="00096A4B">
              <w:rPr>
                <w:rFonts w:eastAsia="Calibri"/>
                <w:sz w:val="20"/>
                <w:lang w:val="fr-CA"/>
              </w:rPr>
              <w:t xml:space="preserve"> février 2000, rejeté</w:t>
            </w:r>
          </w:p>
          <w:p w:rsidR="00F72419" w:rsidRPr="00096A4B" w:rsidRDefault="00F72419" w:rsidP="00970CF7">
            <w:pPr>
              <w:jc w:val="both"/>
              <w:rPr>
                <w:rFonts w:eastAsia="Calibri"/>
                <w:sz w:val="20"/>
                <w:lang w:val="fr-CA"/>
              </w:rPr>
            </w:pPr>
          </w:p>
        </w:tc>
      </w:tr>
      <w:tr w:rsidR="00F72419" w:rsidRPr="00096A4B" w:rsidTr="00970CF7">
        <w:tblPrEx>
          <w:tblCellMar>
            <w:bottom w:w="0" w:type="dxa"/>
          </w:tblCellMar>
        </w:tblPrEx>
        <w:tc>
          <w:tcPr>
            <w:tcW w:w="2367" w:type="pct"/>
          </w:tcPr>
          <w:p w:rsidR="00F72419" w:rsidRPr="00096A4B" w:rsidRDefault="00F72419" w:rsidP="00970CF7">
            <w:pPr>
              <w:jc w:val="both"/>
              <w:rPr>
                <w:rFonts w:eastAsia="Calibri"/>
                <w:sz w:val="20"/>
                <w:lang w:val="fr-CA"/>
              </w:rPr>
            </w:pPr>
            <w:r w:rsidRPr="00096A4B">
              <w:rPr>
                <w:rFonts w:eastAsia="Calibri"/>
                <w:sz w:val="20"/>
                <w:lang w:val="fr-CA"/>
              </w:rPr>
              <w:t>10 novembre 2011</w:t>
            </w:r>
          </w:p>
          <w:p w:rsidR="00F72419" w:rsidRPr="00096A4B" w:rsidRDefault="00F72419" w:rsidP="00970CF7">
            <w:pPr>
              <w:jc w:val="both"/>
              <w:rPr>
                <w:rFonts w:eastAsia="Calibri"/>
                <w:sz w:val="20"/>
                <w:lang w:val="fr-CA"/>
              </w:rPr>
            </w:pPr>
            <w:r w:rsidRPr="00096A4B">
              <w:rPr>
                <w:rFonts w:eastAsia="Calibri"/>
                <w:sz w:val="20"/>
                <w:lang w:val="fr-CA"/>
              </w:rPr>
              <w:t xml:space="preserve">Cour d’appel fédérale </w:t>
            </w:r>
          </w:p>
          <w:p w:rsidR="00F72419" w:rsidRPr="00096A4B" w:rsidRDefault="00F72419" w:rsidP="00970CF7">
            <w:pPr>
              <w:jc w:val="both"/>
              <w:rPr>
                <w:rFonts w:eastAsia="Calibri"/>
                <w:sz w:val="20"/>
                <w:lang w:val="fr-CA"/>
              </w:rPr>
            </w:pPr>
            <w:r w:rsidRPr="00096A4B">
              <w:rPr>
                <w:rFonts w:eastAsia="Calibri"/>
                <w:sz w:val="20"/>
                <w:lang w:val="fr-CA"/>
              </w:rPr>
              <w:t>(Juges Nadon, Dawson et Sharlow)</w:t>
            </w:r>
          </w:p>
          <w:p w:rsidR="00F72419" w:rsidRPr="00096A4B" w:rsidRDefault="00F72419" w:rsidP="00970CF7">
            <w:pPr>
              <w:jc w:val="both"/>
              <w:rPr>
                <w:rFonts w:eastAsia="Calibri"/>
                <w:sz w:val="20"/>
                <w:lang w:val="fr-CA"/>
              </w:rPr>
            </w:pPr>
            <w:r w:rsidRPr="00096A4B">
              <w:rPr>
                <w:rFonts w:eastAsia="Calibri"/>
                <w:sz w:val="20"/>
                <w:lang w:val="fr-CA"/>
              </w:rPr>
              <w:t>2011 FCA 308; A</w:t>
            </w:r>
            <w:r w:rsidRPr="00096A4B">
              <w:rPr>
                <w:rFonts w:eastAsia="Calibri"/>
                <w:sz w:val="20"/>
                <w:lang w:val="fr-CA"/>
              </w:rPr>
              <w:noBreakHyphen/>
              <w:t>35</w:t>
            </w:r>
            <w:r w:rsidRPr="00096A4B">
              <w:rPr>
                <w:rFonts w:eastAsia="Calibri"/>
                <w:sz w:val="20"/>
                <w:lang w:val="fr-CA"/>
              </w:rPr>
              <w:noBreakHyphen/>
              <w:t>11</w:t>
            </w:r>
          </w:p>
          <w:p w:rsidR="00F72419" w:rsidRPr="00096A4B" w:rsidRDefault="00F72419" w:rsidP="00970CF7">
            <w:pPr>
              <w:jc w:val="both"/>
              <w:rPr>
                <w:rFonts w:eastAsia="Calibri"/>
                <w:sz w:val="20"/>
                <w:lang w:val="fr-CA"/>
              </w:rPr>
            </w:pPr>
          </w:p>
        </w:tc>
        <w:tc>
          <w:tcPr>
            <w:tcW w:w="267" w:type="pct"/>
          </w:tcPr>
          <w:p w:rsidR="00F72419" w:rsidRPr="00096A4B" w:rsidRDefault="00F72419" w:rsidP="00970CF7">
            <w:pPr>
              <w:jc w:val="both"/>
              <w:rPr>
                <w:rFonts w:eastAsia="Calibri"/>
                <w:sz w:val="20"/>
                <w:lang w:val="fr-CA"/>
              </w:rPr>
            </w:pPr>
          </w:p>
        </w:tc>
        <w:tc>
          <w:tcPr>
            <w:tcW w:w="2366" w:type="pct"/>
            <w:gridSpan w:val="2"/>
          </w:tcPr>
          <w:p w:rsidR="00F72419" w:rsidRPr="00096A4B" w:rsidRDefault="00F72419" w:rsidP="00970CF7">
            <w:pPr>
              <w:jc w:val="both"/>
              <w:rPr>
                <w:rFonts w:eastAsia="Calibri"/>
                <w:sz w:val="20"/>
                <w:lang w:val="fr-CA"/>
              </w:rPr>
            </w:pPr>
            <w:r w:rsidRPr="00096A4B">
              <w:rPr>
                <w:rFonts w:eastAsia="Calibri"/>
                <w:sz w:val="20"/>
                <w:lang w:val="fr-CA"/>
              </w:rPr>
              <w:t>Appel rejeté</w:t>
            </w:r>
          </w:p>
          <w:p w:rsidR="00F72419" w:rsidRPr="00096A4B" w:rsidRDefault="00F72419" w:rsidP="00970CF7">
            <w:pPr>
              <w:jc w:val="both"/>
              <w:rPr>
                <w:rFonts w:eastAsia="Calibri"/>
                <w:sz w:val="20"/>
                <w:lang w:val="fr-CA"/>
              </w:rPr>
            </w:pPr>
          </w:p>
        </w:tc>
      </w:tr>
      <w:tr w:rsidR="00F72419" w:rsidRPr="00096A4B" w:rsidTr="00970CF7">
        <w:tblPrEx>
          <w:tblCellMar>
            <w:bottom w:w="0" w:type="dxa"/>
          </w:tblCellMar>
        </w:tblPrEx>
        <w:tc>
          <w:tcPr>
            <w:tcW w:w="2367" w:type="pct"/>
          </w:tcPr>
          <w:p w:rsidR="00F72419" w:rsidRPr="00096A4B" w:rsidRDefault="00F72419" w:rsidP="00970CF7">
            <w:pPr>
              <w:jc w:val="both"/>
              <w:rPr>
                <w:rFonts w:eastAsia="Calibri"/>
                <w:sz w:val="20"/>
                <w:lang w:val="fr-CA"/>
              </w:rPr>
            </w:pPr>
            <w:r w:rsidRPr="00096A4B">
              <w:rPr>
                <w:rFonts w:eastAsia="Calibri"/>
                <w:sz w:val="20"/>
                <w:lang w:val="fr-CA"/>
              </w:rPr>
              <w:t>9 janvier 2012</w:t>
            </w:r>
          </w:p>
          <w:p w:rsidR="00F72419" w:rsidRPr="00096A4B" w:rsidRDefault="00F72419" w:rsidP="00970CF7">
            <w:pPr>
              <w:jc w:val="both"/>
              <w:rPr>
                <w:rFonts w:eastAsia="Calibri"/>
                <w:sz w:val="20"/>
                <w:lang w:val="fr-CA"/>
              </w:rPr>
            </w:pPr>
            <w:r w:rsidRPr="00096A4B">
              <w:rPr>
                <w:rFonts w:eastAsia="Calibri"/>
                <w:sz w:val="20"/>
                <w:lang w:val="fr-CA"/>
              </w:rPr>
              <w:t>Cour suprême du Canada</w:t>
            </w:r>
          </w:p>
        </w:tc>
        <w:tc>
          <w:tcPr>
            <w:tcW w:w="267" w:type="pct"/>
          </w:tcPr>
          <w:p w:rsidR="00F72419" w:rsidRPr="00096A4B" w:rsidRDefault="00F72419" w:rsidP="00970CF7">
            <w:pPr>
              <w:jc w:val="both"/>
              <w:rPr>
                <w:rFonts w:eastAsia="Calibri"/>
                <w:sz w:val="20"/>
                <w:lang w:val="fr-CA"/>
              </w:rPr>
            </w:pPr>
          </w:p>
        </w:tc>
        <w:tc>
          <w:tcPr>
            <w:tcW w:w="2366" w:type="pct"/>
            <w:gridSpan w:val="2"/>
          </w:tcPr>
          <w:p w:rsidR="00F72419" w:rsidRPr="00096A4B" w:rsidRDefault="00F72419" w:rsidP="00970CF7">
            <w:pPr>
              <w:jc w:val="both"/>
              <w:rPr>
                <w:rFonts w:eastAsia="Calibri"/>
                <w:sz w:val="20"/>
                <w:lang w:val="fr-CA"/>
              </w:rPr>
            </w:pPr>
            <w:r w:rsidRPr="00096A4B">
              <w:rPr>
                <w:rFonts w:eastAsia="Calibri"/>
                <w:sz w:val="20"/>
                <w:lang w:val="fr-CA"/>
              </w:rPr>
              <w:t>Demande d’autorisation d’appel, déposée</w:t>
            </w:r>
          </w:p>
          <w:p w:rsidR="00F72419" w:rsidRPr="00096A4B" w:rsidRDefault="00F72419" w:rsidP="00970CF7">
            <w:pPr>
              <w:jc w:val="both"/>
              <w:rPr>
                <w:rFonts w:eastAsia="Calibri"/>
                <w:sz w:val="20"/>
                <w:lang w:val="fr-CA"/>
              </w:rPr>
            </w:pP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62"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7605E" w:rsidRPr="00B9644F" w:rsidTr="0017605E">
        <w:trPr>
          <w:cantSplit/>
        </w:trPr>
        <w:tc>
          <w:tcPr>
            <w:tcW w:w="1458" w:type="dxa"/>
          </w:tcPr>
          <w:p w:rsidR="0017605E" w:rsidRPr="00B9644F" w:rsidRDefault="0017605E" w:rsidP="0017605E">
            <w:pPr>
              <w:rPr>
                <w:sz w:val="20"/>
                <w:szCs w:val="20"/>
              </w:rPr>
            </w:pPr>
            <w:r w:rsidRPr="00B9644F">
              <w:rPr>
                <w:rStyle w:val="SCCFileNumberChar"/>
                <w:sz w:val="20"/>
                <w:szCs w:val="20"/>
              </w:rPr>
              <w:t>34628</w:t>
            </w:r>
          </w:p>
          <w:p w:rsidR="0017605E" w:rsidRPr="00B9644F" w:rsidRDefault="0017605E" w:rsidP="0017605E">
            <w:pPr>
              <w:rPr>
                <w:b/>
                <w:sz w:val="20"/>
                <w:szCs w:val="20"/>
                <w:lang w:val="fr-CA"/>
              </w:rPr>
            </w:pPr>
          </w:p>
        </w:tc>
        <w:tc>
          <w:tcPr>
            <w:tcW w:w="8118" w:type="dxa"/>
          </w:tcPr>
          <w:p w:rsidR="0017605E" w:rsidRPr="00B9644F" w:rsidRDefault="0017605E" w:rsidP="0017605E">
            <w:pPr>
              <w:jc w:val="both"/>
              <w:rPr>
                <w:sz w:val="20"/>
                <w:szCs w:val="20"/>
              </w:rPr>
            </w:pPr>
            <w:r w:rsidRPr="0017605E">
              <w:rPr>
                <w:rStyle w:val="SCCLsocChar"/>
                <w:sz w:val="20"/>
                <w:szCs w:val="20"/>
                <w:lang w:val="en-CA"/>
              </w:rPr>
              <w:t>Roger Proctor v. Attorney General of British Columbia</w:t>
            </w:r>
            <w:r w:rsidR="00D76482">
              <w:rPr>
                <w:rStyle w:val="SCCLsocChar"/>
                <w:sz w:val="20"/>
                <w:szCs w:val="20"/>
                <w:lang w:val="en-CA"/>
              </w:rPr>
              <w:t xml:space="preserve"> and</w:t>
            </w:r>
            <w:r w:rsidRPr="0017605E">
              <w:rPr>
                <w:rStyle w:val="SCCLsocChar"/>
                <w:sz w:val="20"/>
                <w:szCs w:val="20"/>
                <w:lang w:val="en-CA"/>
              </w:rPr>
              <w:t xml:space="preserve"> Superintendent of Motor Vehicles</w:t>
            </w:r>
            <w:r w:rsidRPr="00B9644F">
              <w:rPr>
                <w:sz w:val="20"/>
                <w:szCs w:val="20"/>
              </w:rPr>
              <w:t xml:space="preserve"> (B.C.) (Civil) (By Leave)</w:t>
            </w:r>
          </w:p>
          <w:p w:rsidR="0017605E" w:rsidRPr="00B9644F" w:rsidRDefault="0017605E" w:rsidP="0017605E">
            <w:pPr>
              <w:rPr>
                <w:sz w:val="20"/>
                <w:szCs w:val="20"/>
              </w:rPr>
            </w:pPr>
          </w:p>
        </w:tc>
      </w:tr>
      <w:tr w:rsidR="0017605E" w:rsidRPr="00B9644F" w:rsidTr="0017605E">
        <w:trPr>
          <w:cantSplit/>
        </w:trPr>
        <w:tc>
          <w:tcPr>
            <w:tcW w:w="1458" w:type="dxa"/>
          </w:tcPr>
          <w:p w:rsidR="0017605E" w:rsidRPr="00B9644F" w:rsidRDefault="0017605E" w:rsidP="0017605E">
            <w:pPr>
              <w:rPr>
                <w:sz w:val="20"/>
                <w:szCs w:val="20"/>
              </w:rPr>
            </w:pPr>
            <w:r w:rsidRPr="00B9644F">
              <w:rPr>
                <w:sz w:val="20"/>
                <w:szCs w:val="20"/>
              </w:rPr>
              <w:t>Coram :</w:t>
            </w:r>
          </w:p>
        </w:tc>
        <w:tc>
          <w:tcPr>
            <w:tcW w:w="8118" w:type="dxa"/>
          </w:tcPr>
          <w:p w:rsidR="0017605E" w:rsidRPr="00B9644F" w:rsidRDefault="0017605E" w:rsidP="0017605E">
            <w:pPr>
              <w:rPr>
                <w:sz w:val="20"/>
                <w:szCs w:val="20"/>
              </w:rPr>
            </w:pPr>
            <w:r w:rsidRPr="0017605E">
              <w:rPr>
                <w:rStyle w:val="SCCCoramChar"/>
                <w:sz w:val="20"/>
                <w:szCs w:val="20"/>
                <w:lang w:val="en-CA"/>
              </w:rPr>
              <w:t>LeBel, Abella and Cromwell JJ.</w:t>
            </w:r>
          </w:p>
          <w:p w:rsidR="0017605E" w:rsidRPr="00B9644F" w:rsidRDefault="0017605E" w:rsidP="0017605E">
            <w:pPr>
              <w:rPr>
                <w:sz w:val="20"/>
                <w:szCs w:val="20"/>
                <w:u w:val="single"/>
              </w:rPr>
            </w:pPr>
          </w:p>
        </w:tc>
      </w:tr>
      <w:tr w:rsidR="0017605E" w:rsidRPr="00643997" w:rsidTr="0017605E">
        <w:trPr>
          <w:cantSplit/>
        </w:trPr>
        <w:tc>
          <w:tcPr>
            <w:tcW w:w="9576" w:type="dxa"/>
            <w:gridSpan w:val="2"/>
          </w:tcPr>
          <w:p w:rsidR="0017605E" w:rsidRPr="00B9644F" w:rsidRDefault="0017605E" w:rsidP="0017605E">
            <w:pPr>
              <w:pStyle w:val="SCCShortJudgment"/>
              <w:rPr>
                <w:szCs w:val="20"/>
              </w:rPr>
            </w:pPr>
            <w:r w:rsidRPr="00B9644F">
              <w:rPr>
                <w:szCs w:val="20"/>
              </w:rPr>
              <w:t>The application for leave to appeal from the judgment of the Court of Appeal for British Columbia (Vancouver), Number CA038895, 2011 BCCA 467, dated November 22, 2011, is dismissed without costs.</w:t>
            </w:r>
          </w:p>
          <w:p w:rsidR="0017605E" w:rsidRPr="00B9644F" w:rsidRDefault="0017605E" w:rsidP="0017605E">
            <w:pPr>
              <w:pStyle w:val="SCCShortJudgment"/>
              <w:ind w:firstLine="0"/>
              <w:rPr>
                <w:szCs w:val="20"/>
              </w:rPr>
            </w:pPr>
          </w:p>
          <w:p w:rsidR="0017605E" w:rsidRPr="00B9644F" w:rsidRDefault="0017605E" w:rsidP="0017605E">
            <w:pPr>
              <w:pStyle w:val="SCCShortJudgment"/>
              <w:rPr>
                <w:szCs w:val="20"/>
                <w:lang w:val="fr-CA"/>
              </w:rPr>
            </w:pPr>
            <w:r w:rsidRPr="00B9644F">
              <w:rPr>
                <w:szCs w:val="20"/>
                <w:lang w:val="fr-CA"/>
              </w:rPr>
              <w:t>La demande d’autorisation d’appel de l’arrêt de la Cour d’appel de la Colombie-Britannique (Vancouver), numéro CA038895, 2011 BCCA 467, daté du 22 novembre 2011, est rejetée sans dépens.</w:t>
            </w:r>
          </w:p>
        </w:tc>
      </w:tr>
    </w:tbl>
    <w:p w:rsidR="00691AA0" w:rsidRPr="0017605E"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419" w:rsidRPr="00096A4B" w:rsidTr="00970CF7">
        <w:tc>
          <w:tcPr>
            <w:tcW w:w="5000" w:type="pct"/>
            <w:gridSpan w:val="3"/>
          </w:tcPr>
          <w:p w:rsidR="00F72419" w:rsidRPr="00096A4B" w:rsidRDefault="00F72419" w:rsidP="00970CF7">
            <w:pPr>
              <w:jc w:val="both"/>
              <w:rPr>
                <w:rFonts w:eastAsia="Calibri"/>
                <w:sz w:val="20"/>
              </w:rPr>
            </w:pPr>
            <w:r w:rsidRPr="00096A4B">
              <w:rPr>
                <w:rFonts w:eastAsia="Calibri"/>
                <w:sz w:val="20"/>
              </w:rPr>
              <w:t xml:space="preserve">Transportation law – Motor vehicles – 24-hour prohibition – Review of driving prohibition – Applicant receiving 24-hour roadside driving prohibition and applying to Superintendent for review – Applicant arguing that Crown’s evidence was defective and that he had no case to meet – Superintendent’s delegate upholding prohibition – Whether a court has the duty to insist that the state rectify a systemic fault in an administrative scheme that could have serious consequences for thousands of drivers in British Columbia – </w:t>
            </w:r>
            <w:r w:rsidRPr="00096A4B">
              <w:rPr>
                <w:rFonts w:eastAsia="Calibri"/>
                <w:i/>
                <w:sz w:val="20"/>
              </w:rPr>
              <w:t>Motor Vehicle Act</w:t>
            </w:r>
            <w:r w:rsidRPr="00096A4B">
              <w:rPr>
                <w:rFonts w:eastAsia="Calibri"/>
                <w:sz w:val="20"/>
              </w:rPr>
              <w:t>, R.S.B.C. 1996, c. 318 [am. 2004, c. 68], ss. 215, 215.2, 215.3.</w:t>
            </w:r>
          </w:p>
        </w:tc>
      </w:tr>
      <w:tr w:rsidR="00F72419" w:rsidRPr="00096A4B" w:rsidTr="00970CF7">
        <w:tc>
          <w:tcPr>
            <w:tcW w:w="5000" w:type="pct"/>
            <w:gridSpan w:val="3"/>
          </w:tcPr>
          <w:p w:rsidR="00F72419" w:rsidRPr="00096A4B" w:rsidRDefault="00F72419" w:rsidP="00970CF7">
            <w:pPr>
              <w:jc w:val="both"/>
              <w:rPr>
                <w:rFonts w:eastAsia="Calibri"/>
                <w:sz w:val="20"/>
              </w:rPr>
            </w:pPr>
          </w:p>
        </w:tc>
      </w:tr>
      <w:tr w:rsidR="00F72419" w:rsidRPr="00096A4B" w:rsidTr="00970CF7">
        <w:tc>
          <w:tcPr>
            <w:tcW w:w="5000" w:type="pct"/>
            <w:gridSpan w:val="3"/>
          </w:tcPr>
          <w:p w:rsidR="00F72419" w:rsidRPr="00096A4B" w:rsidRDefault="00F72419" w:rsidP="00970CF7">
            <w:pPr>
              <w:jc w:val="both"/>
              <w:rPr>
                <w:rFonts w:eastAsia="Calibri"/>
                <w:sz w:val="20"/>
              </w:rPr>
            </w:pPr>
            <w:r w:rsidRPr="00096A4B">
              <w:rPr>
                <w:rFonts w:eastAsia="Calibri"/>
                <w:sz w:val="20"/>
              </w:rPr>
              <w:t>The applicant, Roger Proctor, received a 24-hour roadside driving prohibition on February 7, 2010.  He applied to the Superintendent of Motor Vehicles for a review of the prohibition.  He argued that the evidence of the Crown was defective, and that he had no case to meet and for that reason it was not necessary for him to tender any evidence on the review.  The evidence consisted of the “Officer’s Report (Continued)”, and the Notice of 24-Hour Prohibition.  The Report was a copy of part, possibly the back, of the 24-hour prohibition form but the almost illegible copy contained no information identifying it as associated with Mr. Proctor.  Mr. Proctor argued that as there was no apparent link between the Notice of 24-Hour Prohibition and the Report, the Report was not admissible.</w:t>
            </w:r>
          </w:p>
          <w:p w:rsidR="00F72419" w:rsidRPr="00096A4B" w:rsidRDefault="00F72419" w:rsidP="00970CF7">
            <w:pPr>
              <w:jc w:val="both"/>
              <w:rPr>
                <w:rFonts w:eastAsia="Calibri"/>
                <w:sz w:val="20"/>
              </w:rPr>
            </w:pPr>
          </w:p>
          <w:p w:rsidR="00F72419" w:rsidRPr="00096A4B" w:rsidRDefault="00F72419" w:rsidP="00970CF7">
            <w:pPr>
              <w:jc w:val="both"/>
              <w:rPr>
                <w:rFonts w:eastAsia="Calibri"/>
                <w:sz w:val="20"/>
              </w:rPr>
            </w:pPr>
            <w:r w:rsidRPr="00096A4B">
              <w:rPr>
                <w:rFonts w:eastAsia="Calibri"/>
                <w:sz w:val="20"/>
              </w:rPr>
              <w:t>The Superintendent's delegate upheld the prohibition on the grounds that within her narrow statutory mandate, Mr. Proctor failed to adduce any evidence.  She stated that the evidentiary issue raised by Mr. Proctor did not satisfy either of the two statutory grounds of review.  Mr. Proctor sought judicial review of the delegate's decision.  The chambers judge allowed the petition and remitted the matter to the Superintendent, and ordered the Superintendent to consider the evidentiary issue.  The Court of Appeal allowed the appeal of that decision and reinstated the delegate’s decision.</w:t>
            </w: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lastRenderedPageBreak/>
              <w:t>March 3, 2011</w:t>
            </w:r>
          </w:p>
          <w:p w:rsidR="00F72419" w:rsidRPr="00096A4B" w:rsidRDefault="00F72419" w:rsidP="00970CF7">
            <w:pPr>
              <w:jc w:val="both"/>
              <w:rPr>
                <w:rFonts w:eastAsia="Calibri"/>
                <w:sz w:val="20"/>
              </w:rPr>
            </w:pPr>
            <w:r w:rsidRPr="00096A4B">
              <w:rPr>
                <w:rFonts w:eastAsia="Calibri"/>
                <w:sz w:val="20"/>
              </w:rPr>
              <w:t>Supreme Court of British Columbia</w:t>
            </w:r>
          </w:p>
          <w:p w:rsidR="00F72419" w:rsidRPr="00096A4B" w:rsidRDefault="00F72419" w:rsidP="00970CF7">
            <w:pPr>
              <w:jc w:val="both"/>
              <w:rPr>
                <w:rFonts w:eastAsia="Calibri"/>
                <w:sz w:val="20"/>
              </w:rPr>
            </w:pPr>
            <w:r w:rsidRPr="00096A4B">
              <w:rPr>
                <w:rFonts w:eastAsia="Calibri"/>
                <w:sz w:val="20"/>
              </w:rPr>
              <w:t>(Masuhara J.)</w:t>
            </w:r>
          </w:p>
          <w:p w:rsidR="00F72419" w:rsidRPr="00096A4B" w:rsidRDefault="00F72419" w:rsidP="00970CF7">
            <w:pPr>
              <w:jc w:val="both"/>
              <w:rPr>
                <w:rFonts w:eastAsia="Calibri"/>
                <w:sz w:val="20"/>
              </w:rPr>
            </w:pPr>
            <w:r w:rsidRPr="00096A4B">
              <w:rPr>
                <w:rFonts w:eastAsia="Calibri"/>
                <w:sz w:val="20"/>
              </w:rPr>
              <w:t>2011 BCSC 262</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Order of Superintendent of Motor Vehicles set aside; matter remitted to Superintendent for reconsideration</w:t>
            </w: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November 22, 2011</w:t>
            </w:r>
          </w:p>
          <w:p w:rsidR="00F72419" w:rsidRPr="00096A4B" w:rsidRDefault="00F72419" w:rsidP="00970CF7">
            <w:pPr>
              <w:jc w:val="both"/>
              <w:rPr>
                <w:rFonts w:eastAsia="Calibri"/>
                <w:sz w:val="20"/>
              </w:rPr>
            </w:pPr>
            <w:r w:rsidRPr="00096A4B">
              <w:rPr>
                <w:rFonts w:eastAsia="Calibri"/>
                <w:sz w:val="20"/>
              </w:rPr>
              <w:t xml:space="preserve">Court of Appeal for British Columbia </w:t>
            </w:r>
          </w:p>
          <w:p w:rsidR="00F72419" w:rsidRPr="00096A4B" w:rsidRDefault="00F72419" w:rsidP="00970CF7">
            <w:pPr>
              <w:jc w:val="both"/>
              <w:rPr>
                <w:rFonts w:eastAsia="Calibri"/>
                <w:sz w:val="20"/>
              </w:rPr>
            </w:pPr>
            <w:r w:rsidRPr="00096A4B">
              <w:rPr>
                <w:rFonts w:eastAsia="Calibri"/>
                <w:sz w:val="20"/>
              </w:rPr>
              <w:t>(Lowry, Chiasson and Garson JJ.A.)</w:t>
            </w:r>
          </w:p>
          <w:p w:rsidR="00F72419" w:rsidRPr="00096A4B" w:rsidRDefault="00F72419" w:rsidP="00970CF7">
            <w:pPr>
              <w:jc w:val="both"/>
              <w:rPr>
                <w:rFonts w:eastAsia="Calibri"/>
                <w:sz w:val="20"/>
              </w:rPr>
            </w:pPr>
            <w:r w:rsidRPr="00096A4B">
              <w:rPr>
                <w:rFonts w:eastAsia="Calibri"/>
                <w:sz w:val="20"/>
              </w:rPr>
              <w:t>2011 BCCA 467</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Appeal allowed</w:t>
            </w: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January 23, 2012</w:t>
            </w:r>
          </w:p>
          <w:p w:rsidR="00F72419" w:rsidRPr="00096A4B" w:rsidRDefault="00F72419" w:rsidP="00970CF7">
            <w:pPr>
              <w:jc w:val="both"/>
              <w:rPr>
                <w:rFonts w:eastAsia="Calibri"/>
                <w:sz w:val="20"/>
              </w:rPr>
            </w:pPr>
            <w:r w:rsidRPr="00096A4B">
              <w:rPr>
                <w:rFonts w:eastAsia="Calibri"/>
                <w:sz w:val="20"/>
              </w:rPr>
              <w:t>Supreme Court of Canada</w:t>
            </w: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Application for leave to appeal filed</w:t>
            </w:r>
          </w:p>
          <w:p w:rsidR="00F72419" w:rsidRPr="00096A4B" w:rsidRDefault="00F72419" w:rsidP="00970CF7">
            <w:pPr>
              <w:jc w:val="both"/>
              <w:rPr>
                <w:rFonts w:eastAsia="Calibri"/>
                <w:sz w:val="20"/>
              </w:rPr>
            </w:pP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63"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0A0"/>
      </w:tblPr>
      <w:tblGrid>
        <w:gridCol w:w="4794"/>
        <w:gridCol w:w="293"/>
        <w:gridCol w:w="4440"/>
      </w:tblGrid>
      <w:tr w:rsidR="00F72419" w:rsidRPr="00643997" w:rsidTr="00970CF7">
        <w:tc>
          <w:tcPr>
            <w:tcW w:w="5000" w:type="pct"/>
            <w:gridSpan w:val="3"/>
          </w:tcPr>
          <w:p w:rsidR="00F72419" w:rsidRPr="00096A4B" w:rsidRDefault="00F72419" w:rsidP="00970CF7">
            <w:pPr>
              <w:jc w:val="both"/>
              <w:rPr>
                <w:rFonts w:eastAsia="Calibri"/>
                <w:sz w:val="20"/>
                <w:lang w:val="fr-CA"/>
              </w:rPr>
            </w:pPr>
            <w:r w:rsidRPr="00096A4B">
              <w:rPr>
                <w:rFonts w:eastAsia="Calibri"/>
                <w:sz w:val="20"/>
                <w:lang w:val="fr-CA"/>
              </w:rPr>
              <w:t>Droit des transports – Véhicules automobiles – Interdiction de 24 heures – Révision de l’interdiction de conduite – Lors d’un contrôle routier, le demandeur s’est vu imposer une interdiction de conduite de 24 heures et a demandé la révision par le surintendant – Le demandeur plaide que la preuve du ministère public est viciée – La déléguée du surintendant a confirmé l’interdiction – Un tribunal a</w:t>
            </w:r>
            <w:r w:rsidRPr="00096A4B">
              <w:rPr>
                <w:rFonts w:eastAsia="Calibri"/>
                <w:sz w:val="20"/>
                <w:lang w:val="fr-CA"/>
              </w:rPr>
              <w:noBreakHyphen/>
              <w:t>t</w:t>
            </w:r>
            <w:r w:rsidRPr="00096A4B">
              <w:rPr>
                <w:rFonts w:eastAsia="Calibri"/>
                <w:sz w:val="20"/>
                <w:lang w:val="fr-CA"/>
              </w:rPr>
              <w:noBreakHyphen/>
              <w:t>il l’obligation d’insister que l’État rectifie un vice institutionnel touchant un régime administratif qui pourrait avoir des conséquences graves pour des milliers d’automobilistes en Colombie</w:t>
            </w:r>
            <w:r w:rsidRPr="00096A4B">
              <w:rPr>
                <w:rFonts w:eastAsia="Calibri"/>
                <w:sz w:val="20"/>
                <w:lang w:val="fr-CA"/>
              </w:rPr>
              <w:noBreakHyphen/>
              <w:t xml:space="preserve">Britannique? – </w:t>
            </w:r>
            <w:r w:rsidRPr="00096A4B">
              <w:rPr>
                <w:rFonts w:eastAsia="Calibri"/>
                <w:i/>
                <w:sz w:val="20"/>
                <w:lang w:val="fr-CA"/>
              </w:rPr>
              <w:t>Motor Vehicle Act</w:t>
            </w:r>
            <w:r w:rsidRPr="00096A4B">
              <w:rPr>
                <w:rFonts w:eastAsia="Calibri"/>
                <w:sz w:val="20"/>
                <w:lang w:val="fr-CA"/>
              </w:rPr>
              <w:t>, R.S.B.C. 1996, ch. 318 [mod. 2004, c. 68], art. 215, 215.2, 215.3.</w:t>
            </w:r>
          </w:p>
        </w:tc>
      </w:tr>
      <w:tr w:rsidR="00F72419" w:rsidRPr="00643997" w:rsidTr="00970CF7">
        <w:tc>
          <w:tcPr>
            <w:tcW w:w="5000" w:type="pct"/>
            <w:gridSpan w:val="3"/>
          </w:tcPr>
          <w:p w:rsidR="00F72419" w:rsidRPr="00096A4B" w:rsidRDefault="00F72419" w:rsidP="00970CF7">
            <w:pPr>
              <w:jc w:val="both"/>
              <w:rPr>
                <w:rFonts w:eastAsia="Calibri"/>
                <w:sz w:val="20"/>
                <w:lang w:val="fr-CA"/>
              </w:rPr>
            </w:pPr>
          </w:p>
        </w:tc>
      </w:tr>
      <w:tr w:rsidR="00F72419" w:rsidRPr="00643997" w:rsidTr="00970CF7">
        <w:tc>
          <w:tcPr>
            <w:tcW w:w="5000" w:type="pct"/>
            <w:gridSpan w:val="3"/>
          </w:tcPr>
          <w:p w:rsidR="00F72419" w:rsidRPr="00096A4B" w:rsidRDefault="00F72419" w:rsidP="00970CF7">
            <w:pPr>
              <w:jc w:val="both"/>
              <w:rPr>
                <w:rFonts w:eastAsia="Calibri"/>
                <w:sz w:val="20"/>
                <w:lang w:val="fr-CA"/>
              </w:rPr>
            </w:pPr>
            <w:r w:rsidRPr="00096A4B">
              <w:rPr>
                <w:rFonts w:eastAsia="Calibri"/>
                <w:sz w:val="20"/>
                <w:lang w:val="fr-CA"/>
              </w:rPr>
              <w:t>Lors d’un contrôle routier, le demandeur, Roger Proctor, s’est vu imposer une interdiction de conduite de 24 heures le 7 février 2010. Il a demandé au surintendant des véhicules automobiles une révision de l’interdiction.  Il a plaidé que la preuve du ministère public était viciée et qu’il n’avait à présenter de défense, si bien qu’il ne lui était pas nécessaire de présenter de preuve en révision. La preuve consistait en un [</w:t>
            </w:r>
            <w:r w:rsidRPr="00096A4B">
              <w:rPr>
                <w:rFonts w:eastAsia="Calibri"/>
                <w:smallCaps/>
                <w:sz w:val="20"/>
                <w:lang w:val="fr-CA"/>
              </w:rPr>
              <w:t>traduction</w:t>
            </w:r>
            <w:r w:rsidRPr="00096A4B">
              <w:rPr>
                <w:rFonts w:eastAsia="Calibri"/>
                <w:sz w:val="20"/>
                <w:lang w:val="fr-CA"/>
              </w:rPr>
              <w:t>] « Procès</w:t>
            </w:r>
            <w:r w:rsidRPr="00096A4B">
              <w:rPr>
                <w:rFonts w:eastAsia="Calibri"/>
                <w:sz w:val="20"/>
                <w:lang w:val="fr-CA"/>
              </w:rPr>
              <w:noBreakHyphen/>
              <w:t>verbal de l’agent (suite) » et l’avis d’interdiction de 24 heures. Le procès</w:t>
            </w:r>
            <w:r w:rsidRPr="00096A4B">
              <w:rPr>
                <w:rFonts w:eastAsia="Calibri"/>
                <w:sz w:val="20"/>
                <w:lang w:val="fr-CA"/>
              </w:rPr>
              <w:noBreakHyphen/>
              <w:t>verbal était une copie d’une partie – peut</w:t>
            </w:r>
            <w:r w:rsidRPr="00096A4B">
              <w:rPr>
                <w:rFonts w:eastAsia="Calibri"/>
                <w:sz w:val="20"/>
                <w:lang w:val="fr-CA"/>
              </w:rPr>
              <w:noBreakHyphen/>
              <w:t>être le verso – du formulaire d’interdiction de 24 heures, mais la copie presque illisible ne renfermait aucun renseignement l’identifiant comme étant liée à M. Proctor.  Monsieur Proctor a plaidé que, parce qu’il n’y avait aucun lien apparent entre l’avis d’interdiction de 24 heures et le procès</w:t>
            </w:r>
            <w:r w:rsidRPr="00096A4B">
              <w:rPr>
                <w:rFonts w:eastAsia="Calibri"/>
                <w:sz w:val="20"/>
                <w:lang w:val="fr-CA"/>
              </w:rPr>
              <w:noBreakHyphen/>
              <w:t>verbal, celui</w:t>
            </w:r>
            <w:r w:rsidRPr="00096A4B">
              <w:rPr>
                <w:rFonts w:eastAsia="Calibri"/>
                <w:sz w:val="20"/>
                <w:lang w:val="fr-CA"/>
              </w:rPr>
              <w:noBreakHyphen/>
              <w:t>ci n’était pas admissible.</w:t>
            </w:r>
          </w:p>
          <w:p w:rsidR="00F72419" w:rsidRPr="00096A4B" w:rsidRDefault="00F72419" w:rsidP="00970CF7">
            <w:pPr>
              <w:jc w:val="both"/>
              <w:rPr>
                <w:rFonts w:eastAsia="Calibri"/>
                <w:sz w:val="20"/>
                <w:lang w:val="fr-CA"/>
              </w:rPr>
            </w:pPr>
          </w:p>
          <w:p w:rsidR="00F72419" w:rsidRPr="00096A4B" w:rsidRDefault="00F72419" w:rsidP="00970CF7">
            <w:pPr>
              <w:jc w:val="both"/>
              <w:rPr>
                <w:rFonts w:eastAsia="Calibri"/>
                <w:sz w:val="20"/>
                <w:lang w:val="fr-CA"/>
              </w:rPr>
            </w:pPr>
            <w:r w:rsidRPr="00096A4B">
              <w:rPr>
                <w:rFonts w:eastAsia="Calibri"/>
                <w:sz w:val="20"/>
                <w:lang w:val="fr-CA"/>
              </w:rPr>
              <w:t>La déléguée du surintendant a confirmé l’interdiction aux motifs que dans le cadre du mandat étroit que lui conférait la loi, M. Proctor n’avait présenté aucune preuve. Elle a affirmé que la question de preuve soulevée par M. Proctor ne répondait pas aux deux motifs de révision prévus par la loi. Monsieur Proctor a demandé le contrôle judiciaire de la décision de la déléguée. Le juge en chambre a accueilli la requête et a renvoyé la question au surintendant, lui ordonnant de considérer la question touchant la preuve. La Cour d’appel a accueilli l’appel de cette décision et a rétabli la décision de la déléguée.</w:t>
            </w:r>
          </w:p>
          <w:p w:rsidR="00F72419" w:rsidRPr="00096A4B" w:rsidRDefault="00F72419" w:rsidP="00970CF7">
            <w:pPr>
              <w:jc w:val="both"/>
              <w:rPr>
                <w:rFonts w:eastAsia="Calibri"/>
                <w:sz w:val="20"/>
                <w:lang w:val="fr-CA"/>
              </w:rPr>
            </w:pPr>
          </w:p>
        </w:tc>
      </w:tr>
      <w:tr w:rsidR="00F72419" w:rsidRPr="00643997" w:rsidTr="00970CF7">
        <w:tc>
          <w:tcPr>
            <w:tcW w:w="2516" w:type="pct"/>
          </w:tcPr>
          <w:p w:rsidR="00F72419" w:rsidRPr="00096A4B" w:rsidRDefault="00F72419" w:rsidP="00970CF7">
            <w:pPr>
              <w:jc w:val="both"/>
              <w:rPr>
                <w:rFonts w:eastAsia="Calibri"/>
                <w:sz w:val="20"/>
                <w:lang w:val="fr-CA"/>
              </w:rPr>
            </w:pPr>
            <w:r w:rsidRPr="00096A4B">
              <w:rPr>
                <w:rFonts w:eastAsia="Calibri"/>
                <w:sz w:val="20"/>
                <w:lang w:val="fr-CA"/>
              </w:rPr>
              <w:t>3 mars 2011</w:t>
            </w:r>
          </w:p>
          <w:p w:rsidR="00F72419" w:rsidRPr="00096A4B" w:rsidRDefault="00F72419" w:rsidP="00970CF7">
            <w:pPr>
              <w:jc w:val="both"/>
              <w:rPr>
                <w:rFonts w:eastAsia="Calibri"/>
                <w:sz w:val="20"/>
                <w:lang w:val="fr-CA"/>
              </w:rPr>
            </w:pPr>
            <w:r w:rsidRPr="00096A4B">
              <w:rPr>
                <w:rFonts w:eastAsia="Calibri"/>
                <w:sz w:val="20"/>
                <w:lang w:val="fr-CA"/>
              </w:rPr>
              <w:t>Cour suprême de laColombie</w:t>
            </w:r>
            <w:r w:rsidRPr="00096A4B">
              <w:rPr>
                <w:rFonts w:eastAsia="Calibri"/>
                <w:sz w:val="20"/>
                <w:lang w:val="fr-CA"/>
              </w:rPr>
              <w:noBreakHyphen/>
              <w:t>Britannique</w:t>
            </w:r>
          </w:p>
          <w:p w:rsidR="00F72419" w:rsidRPr="00096A4B" w:rsidRDefault="00F72419" w:rsidP="00970CF7">
            <w:pPr>
              <w:jc w:val="both"/>
              <w:rPr>
                <w:rFonts w:eastAsia="Calibri"/>
                <w:sz w:val="20"/>
                <w:lang w:val="fr-CA"/>
              </w:rPr>
            </w:pPr>
            <w:r w:rsidRPr="00096A4B">
              <w:rPr>
                <w:rFonts w:eastAsia="Calibri"/>
                <w:sz w:val="20"/>
                <w:lang w:val="fr-CA"/>
              </w:rPr>
              <w:t>(Juge Masuhara)</w:t>
            </w:r>
          </w:p>
          <w:p w:rsidR="00F72419" w:rsidRPr="00096A4B" w:rsidRDefault="00F72419" w:rsidP="00970CF7">
            <w:pPr>
              <w:jc w:val="both"/>
              <w:rPr>
                <w:rFonts w:eastAsia="Calibri"/>
                <w:sz w:val="20"/>
                <w:lang w:val="fr-CA"/>
              </w:rPr>
            </w:pPr>
            <w:r w:rsidRPr="00096A4B">
              <w:rPr>
                <w:rFonts w:eastAsia="Calibri"/>
                <w:sz w:val="20"/>
                <w:lang w:val="fr-CA"/>
              </w:rPr>
              <w:t>2011 BCSC 262</w:t>
            </w:r>
          </w:p>
          <w:p w:rsidR="00F72419" w:rsidRPr="00096A4B" w:rsidRDefault="00F72419" w:rsidP="00970CF7">
            <w:pPr>
              <w:jc w:val="both"/>
              <w:rPr>
                <w:rFonts w:eastAsia="Calibri"/>
                <w:sz w:val="20"/>
                <w:lang w:val="fr-CA"/>
              </w:rPr>
            </w:pPr>
          </w:p>
        </w:tc>
        <w:tc>
          <w:tcPr>
            <w:tcW w:w="154"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Ordonnance du surintendant des véhicules automobiles, annulée; affaire renvoyé au surintendant pour réexamen</w:t>
            </w:r>
          </w:p>
          <w:p w:rsidR="00F72419" w:rsidRPr="00096A4B" w:rsidRDefault="00F72419" w:rsidP="00970CF7">
            <w:pPr>
              <w:jc w:val="both"/>
              <w:rPr>
                <w:rFonts w:eastAsia="Calibri"/>
                <w:sz w:val="20"/>
                <w:lang w:val="fr-CA"/>
              </w:rPr>
            </w:pPr>
          </w:p>
        </w:tc>
      </w:tr>
      <w:tr w:rsidR="00F72419" w:rsidRPr="00096A4B" w:rsidTr="0017605E">
        <w:trPr>
          <w:cantSplit/>
        </w:trPr>
        <w:tc>
          <w:tcPr>
            <w:tcW w:w="2516" w:type="pct"/>
          </w:tcPr>
          <w:p w:rsidR="00F72419" w:rsidRPr="00096A4B" w:rsidRDefault="00F72419" w:rsidP="00970CF7">
            <w:pPr>
              <w:jc w:val="both"/>
              <w:rPr>
                <w:rFonts w:eastAsia="Calibri"/>
                <w:sz w:val="20"/>
                <w:lang w:val="fr-CA"/>
              </w:rPr>
            </w:pPr>
            <w:r w:rsidRPr="00096A4B">
              <w:rPr>
                <w:rFonts w:eastAsia="Calibri"/>
                <w:sz w:val="20"/>
                <w:lang w:val="fr-CA"/>
              </w:rPr>
              <w:lastRenderedPageBreak/>
              <w:t>22 novembre 2011</w:t>
            </w:r>
          </w:p>
          <w:p w:rsidR="00F72419" w:rsidRPr="00096A4B" w:rsidRDefault="00F72419" w:rsidP="00970CF7">
            <w:pPr>
              <w:jc w:val="both"/>
              <w:rPr>
                <w:rFonts w:eastAsia="Calibri"/>
                <w:sz w:val="20"/>
                <w:lang w:val="fr-CA"/>
              </w:rPr>
            </w:pPr>
            <w:r w:rsidRPr="00096A4B">
              <w:rPr>
                <w:rFonts w:eastAsia="Calibri"/>
                <w:sz w:val="20"/>
                <w:lang w:val="fr-CA"/>
              </w:rPr>
              <w:t>Cour d’appel de laColombie</w:t>
            </w:r>
            <w:r w:rsidRPr="00096A4B">
              <w:rPr>
                <w:rFonts w:eastAsia="Calibri"/>
                <w:sz w:val="20"/>
                <w:lang w:val="fr-CA"/>
              </w:rPr>
              <w:noBreakHyphen/>
              <w:t>Britannique</w:t>
            </w:r>
          </w:p>
          <w:p w:rsidR="00F72419" w:rsidRPr="00096A4B" w:rsidRDefault="00F72419" w:rsidP="00970CF7">
            <w:pPr>
              <w:jc w:val="both"/>
              <w:rPr>
                <w:rFonts w:eastAsia="Calibri"/>
                <w:sz w:val="20"/>
                <w:lang w:val="fr-CA"/>
              </w:rPr>
            </w:pPr>
            <w:r w:rsidRPr="00096A4B">
              <w:rPr>
                <w:rFonts w:eastAsia="Calibri"/>
                <w:sz w:val="20"/>
                <w:lang w:val="fr-CA"/>
              </w:rPr>
              <w:t>(Juges Lowry, Chiasson et Garson)</w:t>
            </w:r>
          </w:p>
          <w:p w:rsidR="00F72419" w:rsidRPr="00096A4B" w:rsidRDefault="00F72419" w:rsidP="00970CF7">
            <w:pPr>
              <w:jc w:val="both"/>
              <w:rPr>
                <w:rFonts w:eastAsia="Calibri"/>
                <w:sz w:val="20"/>
                <w:lang w:val="fr-CA"/>
              </w:rPr>
            </w:pPr>
            <w:r w:rsidRPr="00096A4B">
              <w:rPr>
                <w:rFonts w:eastAsia="Calibri"/>
                <w:sz w:val="20"/>
                <w:lang w:val="fr-CA"/>
              </w:rPr>
              <w:t>2011 BCCA 467</w:t>
            </w:r>
          </w:p>
          <w:p w:rsidR="00F72419" w:rsidRPr="00096A4B" w:rsidRDefault="00F72419" w:rsidP="00970CF7">
            <w:pPr>
              <w:jc w:val="both"/>
              <w:rPr>
                <w:rFonts w:eastAsia="Calibri"/>
                <w:sz w:val="20"/>
                <w:lang w:val="fr-CA"/>
              </w:rPr>
            </w:pPr>
          </w:p>
        </w:tc>
        <w:tc>
          <w:tcPr>
            <w:tcW w:w="154"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Appel accueilli</w:t>
            </w:r>
          </w:p>
          <w:p w:rsidR="00F72419" w:rsidRPr="00096A4B" w:rsidRDefault="00F72419" w:rsidP="00970CF7">
            <w:pPr>
              <w:jc w:val="both"/>
              <w:rPr>
                <w:rFonts w:eastAsia="Calibri"/>
                <w:sz w:val="20"/>
                <w:lang w:val="fr-CA"/>
              </w:rPr>
            </w:pPr>
          </w:p>
        </w:tc>
      </w:tr>
      <w:tr w:rsidR="00F72419" w:rsidRPr="00096A4B" w:rsidTr="0017605E">
        <w:trPr>
          <w:cantSplit/>
        </w:trPr>
        <w:tc>
          <w:tcPr>
            <w:tcW w:w="2516" w:type="pct"/>
          </w:tcPr>
          <w:p w:rsidR="00F72419" w:rsidRPr="00096A4B" w:rsidRDefault="00F72419" w:rsidP="00970CF7">
            <w:pPr>
              <w:jc w:val="both"/>
              <w:rPr>
                <w:rFonts w:eastAsia="Calibri"/>
                <w:sz w:val="20"/>
                <w:lang w:val="fr-CA"/>
              </w:rPr>
            </w:pPr>
            <w:r w:rsidRPr="00096A4B">
              <w:rPr>
                <w:rFonts w:eastAsia="Calibri"/>
                <w:sz w:val="20"/>
                <w:lang w:val="fr-CA"/>
              </w:rPr>
              <w:t>23 janvier 2012</w:t>
            </w:r>
          </w:p>
          <w:p w:rsidR="00F72419" w:rsidRPr="00096A4B" w:rsidRDefault="00F72419" w:rsidP="00970CF7">
            <w:pPr>
              <w:jc w:val="both"/>
              <w:rPr>
                <w:rFonts w:eastAsia="Calibri"/>
                <w:sz w:val="20"/>
                <w:lang w:val="fr-CA"/>
              </w:rPr>
            </w:pPr>
            <w:r w:rsidRPr="00096A4B">
              <w:rPr>
                <w:rFonts w:eastAsia="Calibri"/>
                <w:sz w:val="20"/>
                <w:lang w:val="fr-CA"/>
              </w:rPr>
              <w:t>Cour suprême du Canada</w:t>
            </w:r>
          </w:p>
        </w:tc>
        <w:tc>
          <w:tcPr>
            <w:tcW w:w="154"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Demande d’autorisation d’appel, déposée</w:t>
            </w:r>
          </w:p>
          <w:p w:rsidR="00F72419" w:rsidRPr="00096A4B" w:rsidRDefault="00F72419" w:rsidP="00970CF7">
            <w:pPr>
              <w:jc w:val="both"/>
              <w:rPr>
                <w:rFonts w:eastAsia="Calibri"/>
                <w:sz w:val="20"/>
                <w:lang w:val="fr-CA"/>
              </w:rPr>
            </w:pPr>
          </w:p>
        </w:tc>
      </w:tr>
    </w:tbl>
    <w:p w:rsidR="00691AA0" w:rsidRDefault="00691AA0" w:rsidP="00691AA0">
      <w:pPr>
        <w:rPr>
          <w:sz w:val="20"/>
          <w:szCs w:val="20"/>
        </w:rPr>
      </w:pPr>
    </w:p>
    <w:p w:rsidR="00691AA0" w:rsidRDefault="003B0427" w:rsidP="00691AA0">
      <w:pPr>
        <w:rPr>
          <w:sz w:val="20"/>
          <w:szCs w:val="20"/>
          <w:lang w:val="fr-CA"/>
        </w:rPr>
      </w:pPr>
      <w:r w:rsidRPr="003B0427">
        <w:rPr>
          <w:sz w:val="20"/>
          <w:szCs w:val="20"/>
          <w:lang w:val="fr-CA"/>
        </w:rPr>
        <w:pict>
          <v:rect id="_x0000_i1064"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7605E" w:rsidRPr="00643997" w:rsidTr="0017605E">
        <w:trPr>
          <w:cantSplit/>
        </w:trPr>
        <w:tc>
          <w:tcPr>
            <w:tcW w:w="1458" w:type="dxa"/>
          </w:tcPr>
          <w:p w:rsidR="0017605E" w:rsidRPr="00B9644F" w:rsidRDefault="0017605E" w:rsidP="0017605E">
            <w:pPr>
              <w:rPr>
                <w:sz w:val="20"/>
                <w:szCs w:val="20"/>
              </w:rPr>
            </w:pPr>
            <w:r w:rsidRPr="00B9644F">
              <w:rPr>
                <w:rStyle w:val="SCCFileNumberChar"/>
                <w:sz w:val="20"/>
                <w:szCs w:val="20"/>
              </w:rPr>
              <w:t>3463</w:t>
            </w:r>
            <w:r>
              <w:rPr>
                <w:rStyle w:val="SCCFileNumberChar"/>
                <w:sz w:val="20"/>
                <w:szCs w:val="20"/>
              </w:rPr>
              <w:t>3</w:t>
            </w:r>
          </w:p>
          <w:p w:rsidR="0017605E" w:rsidRPr="00B9644F" w:rsidRDefault="0017605E" w:rsidP="0017605E">
            <w:pPr>
              <w:rPr>
                <w:b/>
                <w:sz w:val="20"/>
                <w:szCs w:val="20"/>
                <w:lang w:val="fr-CA"/>
              </w:rPr>
            </w:pPr>
          </w:p>
        </w:tc>
        <w:tc>
          <w:tcPr>
            <w:tcW w:w="8118" w:type="dxa"/>
          </w:tcPr>
          <w:p w:rsidR="0017605E" w:rsidRPr="00B9644F" w:rsidRDefault="00D27737" w:rsidP="00D27737">
            <w:pPr>
              <w:pStyle w:val="SCCLsocParty"/>
              <w:jc w:val="both"/>
              <w:rPr>
                <w:sz w:val="20"/>
                <w:szCs w:val="20"/>
              </w:rPr>
            </w:pPr>
            <w:r w:rsidRPr="00D27737">
              <w:rPr>
                <w:b/>
                <w:sz w:val="20"/>
                <w:szCs w:val="20"/>
                <w:u w:val="single"/>
              </w:rPr>
              <w:t>Émile Lavallée c. Yvan Simard et Despina Levantis</w:t>
            </w:r>
            <w:r>
              <w:rPr>
                <w:sz w:val="20"/>
                <w:szCs w:val="20"/>
              </w:rPr>
              <w:t xml:space="preserve"> </w:t>
            </w:r>
            <w:r w:rsidR="0017605E" w:rsidRPr="00B9644F">
              <w:rPr>
                <w:sz w:val="20"/>
                <w:szCs w:val="20"/>
              </w:rPr>
              <w:t>(</w:t>
            </w:r>
            <w:r>
              <w:rPr>
                <w:sz w:val="20"/>
                <w:szCs w:val="20"/>
              </w:rPr>
              <w:t>Qc</w:t>
            </w:r>
            <w:r w:rsidR="0017605E" w:rsidRPr="00B9644F">
              <w:rPr>
                <w:sz w:val="20"/>
                <w:szCs w:val="20"/>
              </w:rPr>
              <w:t>) (Civil</w:t>
            </w:r>
            <w:r>
              <w:rPr>
                <w:sz w:val="20"/>
                <w:szCs w:val="20"/>
              </w:rPr>
              <w:t>e</w:t>
            </w:r>
            <w:r w:rsidR="0017605E" w:rsidRPr="00B9644F">
              <w:rPr>
                <w:sz w:val="20"/>
                <w:szCs w:val="20"/>
              </w:rPr>
              <w:t>) (</w:t>
            </w:r>
            <w:r>
              <w:rPr>
                <w:sz w:val="20"/>
                <w:szCs w:val="20"/>
              </w:rPr>
              <w:t>Autorisation</w:t>
            </w:r>
            <w:r w:rsidR="0017605E" w:rsidRPr="00B9644F">
              <w:rPr>
                <w:sz w:val="20"/>
                <w:szCs w:val="20"/>
              </w:rPr>
              <w:t>)</w:t>
            </w:r>
          </w:p>
          <w:p w:rsidR="0017605E" w:rsidRPr="00D27737" w:rsidRDefault="0017605E" w:rsidP="0017605E">
            <w:pPr>
              <w:rPr>
                <w:sz w:val="20"/>
                <w:szCs w:val="20"/>
                <w:lang w:val="fr-CA"/>
              </w:rPr>
            </w:pPr>
          </w:p>
        </w:tc>
      </w:tr>
      <w:tr w:rsidR="0017605E" w:rsidRPr="00643997" w:rsidTr="0017605E">
        <w:trPr>
          <w:cantSplit/>
        </w:trPr>
        <w:tc>
          <w:tcPr>
            <w:tcW w:w="1458" w:type="dxa"/>
          </w:tcPr>
          <w:p w:rsidR="0017605E" w:rsidRPr="00B9644F" w:rsidRDefault="0017605E" w:rsidP="0017605E">
            <w:pPr>
              <w:rPr>
                <w:sz w:val="20"/>
                <w:szCs w:val="20"/>
              </w:rPr>
            </w:pPr>
            <w:r w:rsidRPr="00B9644F">
              <w:rPr>
                <w:sz w:val="20"/>
                <w:szCs w:val="20"/>
              </w:rPr>
              <w:t>Coram :</w:t>
            </w:r>
          </w:p>
        </w:tc>
        <w:tc>
          <w:tcPr>
            <w:tcW w:w="8118" w:type="dxa"/>
          </w:tcPr>
          <w:p w:rsidR="0017605E" w:rsidRPr="00D27737" w:rsidRDefault="00D27737" w:rsidP="0017605E">
            <w:pPr>
              <w:rPr>
                <w:sz w:val="20"/>
                <w:szCs w:val="20"/>
                <w:lang w:val="fr-CA"/>
              </w:rPr>
            </w:pPr>
            <w:r w:rsidRPr="00D27737">
              <w:rPr>
                <w:rStyle w:val="SCCCoramChar"/>
                <w:sz w:val="20"/>
                <w:szCs w:val="20"/>
              </w:rPr>
              <w:t>L</w:t>
            </w:r>
            <w:r w:rsidR="0017605E" w:rsidRPr="00D27737">
              <w:rPr>
                <w:rStyle w:val="SCCCoramChar"/>
                <w:sz w:val="20"/>
                <w:szCs w:val="20"/>
              </w:rPr>
              <w:t>es</w:t>
            </w:r>
            <w:r w:rsidRPr="00D27737">
              <w:rPr>
                <w:rStyle w:val="SCCCoramChar"/>
                <w:sz w:val="20"/>
                <w:szCs w:val="20"/>
              </w:rPr>
              <w:t xml:space="preserve"> juges Des</w:t>
            </w:r>
            <w:r w:rsidR="0017605E" w:rsidRPr="00D27737">
              <w:rPr>
                <w:rStyle w:val="SCCCoramChar"/>
                <w:sz w:val="20"/>
                <w:szCs w:val="20"/>
              </w:rPr>
              <w:t xml:space="preserve">champs, Fish </w:t>
            </w:r>
            <w:r w:rsidRPr="00D27737">
              <w:rPr>
                <w:rStyle w:val="SCCCoramChar"/>
                <w:sz w:val="20"/>
                <w:szCs w:val="20"/>
              </w:rPr>
              <w:t xml:space="preserve">et </w:t>
            </w:r>
            <w:r w:rsidR="0017605E" w:rsidRPr="00D27737">
              <w:rPr>
                <w:rStyle w:val="SCCCoramChar"/>
                <w:sz w:val="20"/>
                <w:szCs w:val="20"/>
              </w:rPr>
              <w:t>Karakatsanis</w:t>
            </w:r>
          </w:p>
          <w:p w:rsidR="0017605E" w:rsidRPr="00D27737" w:rsidRDefault="0017605E" w:rsidP="0017605E">
            <w:pPr>
              <w:rPr>
                <w:sz w:val="20"/>
                <w:szCs w:val="20"/>
                <w:u w:val="single"/>
                <w:lang w:val="fr-CA"/>
              </w:rPr>
            </w:pPr>
          </w:p>
        </w:tc>
      </w:tr>
      <w:tr w:rsidR="0017605E" w:rsidRPr="00B9644F" w:rsidTr="0017605E">
        <w:trPr>
          <w:cantSplit/>
        </w:trPr>
        <w:tc>
          <w:tcPr>
            <w:tcW w:w="9576" w:type="dxa"/>
            <w:gridSpan w:val="2"/>
          </w:tcPr>
          <w:p w:rsidR="00D27737" w:rsidRDefault="00D27737" w:rsidP="0017605E">
            <w:pPr>
              <w:pStyle w:val="SCCShortJudgment"/>
              <w:rPr>
                <w:rFonts w:cs="Times New Roman"/>
                <w:szCs w:val="20"/>
                <w:lang w:val="fr-CA"/>
              </w:rPr>
            </w:pPr>
            <w:r w:rsidRPr="00D27737">
              <w:rPr>
                <w:rFonts w:cs="Times New Roman"/>
                <w:szCs w:val="20"/>
                <w:lang w:val="fr-CA"/>
              </w:rPr>
              <w:t>La requête en prorogation du délai de signification et de dépôt de l</w:t>
            </w:r>
            <w:r w:rsidRPr="00D27737">
              <w:rPr>
                <w:szCs w:val="20"/>
                <w:lang w:val="fr-CA"/>
              </w:rPr>
              <w:t xml:space="preserve">a réponse de l’intimé Yvan Simard est accueillie. </w:t>
            </w:r>
            <w:r w:rsidRPr="00D27737">
              <w:rPr>
                <w:rFonts w:cs="Times New Roman"/>
                <w:szCs w:val="20"/>
                <w:lang w:val="fr-CA"/>
              </w:rPr>
              <w:t>La requête en prorogation du délai de signification et de dépôt de l</w:t>
            </w:r>
            <w:r w:rsidRPr="00D27737">
              <w:rPr>
                <w:szCs w:val="20"/>
                <w:lang w:val="fr-CA"/>
              </w:rPr>
              <w:t xml:space="preserve">a demande d’autorisation d’appel de l’arrêt de la Cour d’appel du Québec (Montréal), numéro 500-09-019626-092, 2011 QCCA 1458, daté du 10 août 2011, est rejetée avec dépens en faveur de l’intimé Yvan Simard. </w:t>
            </w:r>
            <w:r w:rsidRPr="00D27737">
              <w:rPr>
                <w:rFonts w:cs="Times New Roman"/>
                <w:szCs w:val="20"/>
                <w:lang w:val="fr-CA"/>
              </w:rPr>
              <w:t xml:space="preserve">Quoi qu’il en soit, même si la requête avait été accueillie, la demande d’autorisation d’appel aurait été rejetée avec dépens </w:t>
            </w:r>
            <w:r w:rsidRPr="00D27737">
              <w:rPr>
                <w:szCs w:val="20"/>
                <w:lang w:val="fr-CA"/>
              </w:rPr>
              <w:t>en faveur de l’intimé Yvan Simard</w:t>
            </w:r>
            <w:r w:rsidRPr="00D27737">
              <w:rPr>
                <w:rFonts w:cs="Times New Roman"/>
                <w:szCs w:val="20"/>
                <w:lang w:val="fr-CA"/>
              </w:rPr>
              <w:t>.</w:t>
            </w:r>
          </w:p>
          <w:p w:rsidR="0017605E" w:rsidRPr="001E4A5D" w:rsidRDefault="0017605E" w:rsidP="0017605E">
            <w:pPr>
              <w:pStyle w:val="SCCShortJudgment"/>
              <w:ind w:firstLine="0"/>
              <w:rPr>
                <w:szCs w:val="20"/>
                <w:lang w:val="fr-CA"/>
              </w:rPr>
            </w:pPr>
          </w:p>
          <w:p w:rsidR="0017605E" w:rsidRPr="001E4A5D" w:rsidRDefault="00D27737" w:rsidP="00D27737">
            <w:pPr>
              <w:pStyle w:val="SCCShortJudgment"/>
              <w:rPr>
                <w:szCs w:val="20"/>
              </w:rPr>
            </w:pPr>
            <w:r w:rsidRPr="008D1308">
              <w:rPr>
                <w:rFonts w:cs="Times New Roman"/>
                <w:szCs w:val="20"/>
                <w:lang w:val="en-GB"/>
              </w:rPr>
              <w:t xml:space="preserve">The motion for an extension of time to serve and file the response of the respondent Yvan Simard is granted. The motion for an extension of time to serve and file an application for leave to appeal from the </w:t>
            </w:r>
            <w:r w:rsidRPr="008D1308">
              <w:rPr>
                <w:szCs w:val="20"/>
              </w:rPr>
              <w:t>judgment of the</w:t>
            </w:r>
            <w:bookmarkStart w:id="2" w:name="BM_1_"/>
            <w:bookmarkEnd w:id="2"/>
            <w:r w:rsidRPr="008D1308">
              <w:rPr>
                <w:szCs w:val="20"/>
              </w:rPr>
              <w:t xml:space="preserve"> Court of Appeal of Quebec (Montréal), Number 500-09-019626-092, 2011 QCCA 1458, dated August 10, 2011, is dismissed with costs to the respondent Yvan Simard. </w:t>
            </w:r>
            <w:r w:rsidRPr="008D1308">
              <w:rPr>
                <w:rFonts w:cs="Times New Roman"/>
                <w:szCs w:val="20"/>
                <w:lang w:val="en-GB"/>
              </w:rPr>
              <w:t>In any event, had such motion been granted, the application for leave to appeal would have been dismissed with costs to the respondent Yvan Simard.</w:t>
            </w:r>
          </w:p>
        </w:tc>
      </w:tr>
    </w:tbl>
    <w:p w:rsidR="00691AA0" w:rsidRPr="001E4A5D" w:rsidRDefault="00691AA0" w:rsidP="00691AA0">
      <w:pPr>
        <w:rPr>
          <w:sz w:val="20"/>
          <w:szCs w:val="20"/>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419" w:rsidRPr="00096A4B" w:rsidTr="00970CF7">
        <w:tc>
          <w:tcPr>
            <w:tcW w:w="5000" w:type="pct"/>
            <w:gridSpan w:val="3"/>
          </w:tcPr>
          <w:p w:rsidR="00F72419" w:rsidRPr="00096A4B" w:rsidRDefault="00F72419" w:rsidP="00970CF7">
            <w:pPr>
              <w:jc w:val="both"/>
              <w:rPr>
                <w:rFonts w:eastAsia="Calibri"/>
                <w:sz w:val="20"/>
              </w:rPr>
            </w:pPr>
            <w:r w:rsidRPr="00096A4B">
              <w:rPr>
                <w:rFonts w:eastAsia="Calibri"/>
                <w:sz w:val="20"/>
              </w:rPr>
              <w:t>Property — Divided co</w:t>
            </w:r>
            <w:r w:rsidRPr="00096A4B">
              <w:rPr>
                <w:rFonts w:eastAsia="Calibri"/>
                <w:sz w:val="20"/>
              </w:rPr>
              <w:noBreakHyphen/>
              <w:t>ownership — Work — Approval — Informal decision</w:t>
            </w:r>
            <w:r w:rsidRPr="00096A4B">
              <w:rPr>
                <w:rFonts w:eastAsia="Calibri"/>
                <w:sz w:val="20"/>
              </w:rPr>
              <w:noBreakHyphen/>
              <w:t>making process — Whether fact that syndicate of co</w:t>
            </w:r>
            <w:r w:rsidRPr="00096A4B">
              <w:rPr>
                <w:rFonts w:eastAsia="Calibri"/>
                <w:sz w:val="20"/>
              </w:rPr>
              <w:noBreakHyphen/>
              <w:t>owners operates “informally” authorizes co</w:t>
            </w:r>
            <w:r w:rsidRPr="00096A4B">
              <w:rPr>
                <w:rFonts w:eastAsia="Calibri"/>
                <w:sz w:val="20"/>
              </w:rPr>
              <w:noBreakHyphen/>
              <w:t xml:space="preserve">owner to depart from arts. 1097, 1098 and 1101 of </w:t>
            </w:r>
            <w:r w:rsidRPr="00096A4B">
              <w:rPr>
                <w:rFonts w:eastAsia="Calibri"/>
                <w:i/>
                <w:sz w:val="20"/>
              </w:rPr>
              <w:t>Civil Code of Québec</w:t>
            </w:r>
            <w:r w:rsidRPr="00096A4B">
              <w:rPr>
                <w:rFonts w:eastAsia="Calibri"/>
                <w:sz w:val="20"/>
              </w:rPr>
              <w:t>, S.Q. 1991, c. 64, and from provisions of act of co</w:t>
            </w:r>
            <w:r w:rsidRPr="00096A4B">
              <w:rPr>
                <w:rFonts w:eastAsia="Calibri"/>
                <w:sz w:val="20"/>
              </w:rPr>
              <w:noBreakHyphen/>
              <w:t>ownership — Whether court granting motion in whole or in part without costs can find that moving party was in bad faith in bringing motion and order that party to pay adverse party amount for hardship and inconvenience as well as extrajudicial fees.</w:t>
            </w:r>
          </w:p>
        </w:tc>
      </w:tr>
      <w:tr w:rsidR="00F72419" w:rsidRPr="00096A4B" w:rsidTr="00970CF7">
        <w:tc>
          <w:tcPr>
            <w:tcW w:w="5000" w:type="pct"/>
            <w:gridSpan w:val="3"/>
          </w:tcPr>
          <w:p w:rsidR="00F72419" w:rsidRPr="00096A4B" w:rsidRDefault="00F72419" w:rsidP="00970CF7">
            <w:pPr>
              <w:jc w:val="both"/>
              <w:rPr>
                <w:rFonts w:eastAsia="Calibri"/>
                <w:sz w:val="20"/>
              </w:rPr>
            </w:pPr>
          </w:p>
        </w:tc>
      </w:tr>
      <w:tr w:rsidR="00F72419" w:rsidRPr="00096A4B" w:rsidTr="00970CF7">
        <w:tc>
          <w:tcPr>
            <w:tcW w:w="5000" w:type="pct"/>
            <w:gridSpan w:val="3"/>
          </w:tcPr>
          <w:p w:rsidR="00F72419" w:rsidRPr="00096A4B" w:rsidRDefault="00F72419" w:rsidP="00970CF7">
            <w:pPr>
              <w:jc w:val="both"/>
              <w:rPr>
                <w:rFonts w:eastAsia="Calibri"/>
                <w:sz w:val="20"/>
              </w:rPr>
            </w:pPr>
            <w:r w:rsidRPr="00096A4B">
              <w:rPr>
                <w:rFonts w:eastAsia="Calibri"/>
                <w:sz w:val="20"/>
              </w:rPr>
              <w:t>At the relevant time, Émile Lavallée and Hélène Lévesque were owners of a housing unit in a three</w:t>
            </w:r>
            <w:r w:rsidRPr="00096A4B">
              <w:rPr>
                <w:rFonts w:eastAsia="Calibri"/>
                <w:sz w:val="20"/>
              </w:rPr>
              <w:noBreakHyphen/>
              <w:t>unit immovable under divided co</w:t>
            </w:r>
            <w:r w:rsidRPr="00096A4B">
              <w:rPr>
                <w:rFonts w:eastAsia="Calibri"/>
                <w:sz w:val="20"/>
              </w:rPr>
              <w:noBreakHyphen/>
              <w:t>ownership.  They made a motion for an interlocutory and a permanent injunction in which they asked the court to order the respondents, the owners of one of the other two units, to undo certain work that they had done between late July 2001 and the spring of 2004 and to restore the premises to their former condition.  They alleged that the work had been carried out in breach of the declaration of co</w:t>
            </w:r>
            <w:r w:rsidRPr="00096A4B">
              <w:rPr>
                <w:rFonts w:eastAsia="Calibri"/>
                <w:sz w:val="20"/>
              </w:rPr>
              <w:noBreakHyphen/>
              <w:t>ownership.  The respondents contended that they had obtained the authorization of either the directors or the co</w:t>
            </w:r>
            <w:r w:rsidRPr="00096A4B">
              <w:rPr>
                <w:rFonts w:eastAsia="Calibri"/>
                <w:sz w:val="20"/>
              </w:rPr>
              <w:noBreakHyphen/>
              <w:t>owners before carrying out the work in issue and that everyone had agreed on this procedure.  They argued that Mr. Lévesque and Ms. Lavallée were in bad faith and accordingly brought a cross demand.  They claimed their own extrajudicial fees, and damages for hardship and inconvenience.</w:t>
            </w: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March 24, 2009</w:t>
            </w:r>
          </w:p>
          <w:p w:rsidR="00F72419" w:rsidRPr="00096A4B" w:rsidRDefault="00F72419" w:rsidP="00970CF7">
            <w:pPr>
              <w:jc w:val="both"/>
              <w:rPr>
                <w:rFonts w:eastAsia="Calibri"/>
                <w:sz w:val="20"/>
              </w:rPr>
            </w:pPr>
            <w:r w:rsidRPr="00096A4B">
              <w:rPr>
                <w:rFonts w:eastAsia="Calibri"/>
                <w:sz w:val="20"/>
              </w:rPr>
              <w:t>Quebec Superior Court</w:t>
            </w:r>
          </w:p>
          <w:p w:rsidR="00F72419" w:rsidRPr="00096A4B" w:rsidRDefault="00F72419" w:rsidP="00970CF7">
            <w:pPr>
              <w:jc w:val="both"/>
              <w:rPr>
                <w:rFonts w:eastAsia="Calibri"/>
                <w:sz w:val="20"/>
              </w:rPr>
            </w:pPr>
            <w:r w:rsidRPr="00096A4B">
              <w:rPr>
                <w:rFonts w:eastAsia="Calibri"/>
                <w:sz w:val="20"/>
              </w:rPr>
              <w:t>(Masse J.)</w:t>
            </w:r>
          </w:p>
          <w:p w:rsidR="00F72419" w:rsidRPr="00096A4B" w:rsidRDefault="00F72419" w:rsidP="00970CF7">
            <w:pPr>
              <w:jc w:val="both"/>
              <w:rPr>
                <w:rFonts w:eastAsia="Calibri"/>
                <w:sz w:val="20"/>
              </w:rPr>
            </w:pPr>
            <w:r w:rsidRPr="00096A4B">
              <w:rPr>
                <w:rFonts w:eastAsia="Calibri"/>
                <w:sz w:val="20"/>
              </w:rPr>
              <w:t>Neutral citation: 2009 QCCS 1131</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Motion for interlocutory and permanent injunction dismissed; cross demand allowed in part</w:t>
            </w:r>
          </w:p>
        </w:tc>
      </w:tr>
      <w:tr w:rsidR="00F72419" w:rsidRPr="00096A4B" w:rsidTr="00950796">
        <w:trPr>
          <w:cantSplit/>
        </w:trPr>
        <w:tc>
          <w:tcPr>
            <w:tcW w:w="2427" w:type="pct"/>
          </w:tcPr>
          <w:p w:rsidR="00F72419" w:rsidRPr="00096A4B" w:rsidRDefault="00F72419" w:rsidP="00970CF7">
            <w:pPr>
              <w:jc w:val="both"/>
              <w:rPr>
                <w:rFonts w:eastAsia="Calibri"/>
                <w:sz w:val="20"/>
              </w:rPr>
            </w:pPr>
            <w:r w:rsidRPr="00096A4B">
              <w:rPr>
                <w:rFonts w:eastAsia="Calibri"/>
                <w:sz w:val="20"/>
              </w:rPr>
              <w:lastRenderedPageBreak/>
              <w:t>August 10, 2011</w:t>
            </w:r>
          </w:p>
          <w:p w:rsidR="00F72419" w:rsidRPr="00096A4B" w:rsidRDefault="00F72419" w:rsidP="00970CF7">
            <w:pPr>
              <w:jc w:val="both"/>
              <w:rPr>
                <w:rFonts w:eastAsia="Calibri"/>
                <w:sz w:val="20"/>
              </w:rPr>
            </w:pPr>
            <w:r w:rsidRPr="00096A4B">
              <w:rPr>
                <w:rFonts w:eastAsia="Calibri"/>
                <w:sz w:val="20"/>
              </w:rPr>
              <w:t>Quebec Court of Appeal (Montréal)</w:t>
            </w:r>
          </w:p>
          <w:p w:rsidR="00F72419" w:rsidRPr="00096A4B" w:rsidRDefault="00F72419" w:rsidP="00970CF7">
            <w:pPr>
              <w:jc w:val="both"/>
              <w:rPr>
                <w:rFonts w:eastAsia="Calibri"/>
                <w:sz w:val="20"/>
              </w:rPr>
            </w:pPr>
            <w:r w:rsidRPr="00096A4B">
              <w:rPr>
                <w:rFonts w:eastAsia="Calibri"/>
                <w:sz w:val="20"/>
              </w:rPr>
              <w:t>(Robert C.J.Q. and Morin and Léger JJ.A.)</w:t>
            </w:r>
          </w:p>
          <w:p w:rsidR="00F72419" w:rsidRPr="00096A4B" w:rsidRDefault="00F72419" w:rsidP="00970CF7">
            <w:pPr>
              <w:jc w:val="both"/>
              <w:rPr>
                <w:rFonts w:eastAsia="Calibri"/>
                <w:sz w:val="20"/>
              </w:rPr>
            </w:pPr>
            <w:r w:rsidRPr="00096A4B">
              <w:rPr>
                <w:rFonts w:eastAsia="Calibri"/>
                <w:sz w:val="20"/>
              </w:rPr>
              <w:t>Neutral citation: 2011 QCCA 1458</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Appeal allowed in part</w:t>
            </w:r>
          </w:p>
        </w:tc>
      </w:tr>
      <w:tr w:rsidR="00F72419" w:rsidRPr="00096A4B" w:rsidTr="00950796">
        <w:trPr>
          <w:cantSplit/>
        </w:trPr>
        <w:tc>
          <w:tcPr>
            <w:tcW w:w="2427" w:type="pct"/>
          </w:tcPr>
          <w:p w:rsidR="00F72419" w:rsidRPr="00096A4B" w:rsidRDefault="00F72419" w:rsidP="00970CF7">
            <w:pPr>
              <w:jc w:val="both"/>
              <w:rPr>
                <w:rFonts w:eastAsia="Calibri"/>
                <w:sz w:val="20"/>
              </w:rPr>
            </w:pPr>
            <w:r w:rsidRPr="00096A4B">
              <w:rPr>
                <w:rFonts w:eastAsia="Calibri"/>
                <w:sz w:val="20"/>
              </w:rPr>
              <w:t>January 19, 2012</w:t>
            </w:r>
          </w:p>
          <w:p w:rsidR="00F72419" w:rsidRPr="00096A4B" w:rsidRDefault="00F72419" w:rsidP="00970CF7">
            <w:pPr>
              <w:jc w:val="both"/>
              <w:rPr>
                <w:rFonts w:eastAsia="Calibri"/>
                <w:sz w:val="20"/>
              </w:rPr>
            </w:pPr>
            <w:r w:rsidRPr="00096A4B">
              <w:rPr>
                <w:rFonts w:eastAsia="Calibri"/>
                <w:sz w:val="20"/>
              </w:rPr>
              <w:t>Supreme Court of Canada</w:t>
            </w: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Application for leave to appeal and motion to extend time filed</w:t>
            </w: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65"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419" w:rsidRPr="00643997" w:rsidTr="00970CF7">
        <w:tc>
          <w:tcPr>
            <w:tcW w:w="5000" w:type="pct"/>
            <w:gridSpan w:val="3"/>
          </w:tcPr>
          <w:p w:rsidR="00F72419" w:rsidRPr="00096A4B" w:rsidRDefault="00F72419" w:rsidP="00970CF7">
            <w:pPr>
              <w:jc w:val="both"/>
              <w:rPr>
                <w:rFonts w:eastAsia="Calibri"/>
                <w:sz w:val="20"/>
                <w:lang w:val="fr-CA"/>
              </w:rPr>
            </w:pPr>
            <w:r w:rsidRPr="00096A4B">
              <w:rPr>
                <w:rFonts w:eastAsia="Calibri"/>
                <w:sz w:val="20"/>
                <w:lang w:val="fr-FR"/>
              </w:rPr>
              <w:t>Biens — Copropriété divise — Travaux — Approbation — Processus informel de décision — Est</w:t>
            </w:r>
            <w:r w:rsidRPr="00096A4B">
              <w:rPr>
                <w:rFonts w:eastAsia="Calibri"/>
                <w:sz w:val="20"/>
                <w:lang w:val="fr-FR"/>
              </w:rPr>
              <w:noBreakHyphen/>
              <w:t xml:space="preserve">ce que le fait que le syndicat de copropriétaires fonctionne de façon « informelle » autorise un copropriétaire à se soustraire aux art. 1097, 1098 et 1101 du </w:t>
            </w:r>
            <w:r w:rsidRPr="00096A4B">
              <w:rPr>
                <w:rFonts w:eastAsia="Calibri"/>
                <w:i/>
                <w:sz w:val="20"/>
                <w:lang w:val="fr-FR"/>
              </w:rPr>
              <w:t>Code civil du Québec</w:t>
            </w:r>
            <w:r w:rsidRPr="00096A4B">
              <w:rPr>
                <w:rFonts w:eastAsia="Calibri"/>
                <w:sz w:val="20"/>
                <w:lang w:val="fr-FR"/>
              </w:rPr>
              <w:t>, L.Q. 1991, ch. 64, et aux dispositions de l’acte de copropriété? — Est</w:t>
            </w:r>
            <w:r w:rsidRPr="00096A4B">
              <w:rPr>
                <w:rFonts w:eastAsia="Calibri"/>
                <w:sz w:val="20"/>
                <w:lang w:val="fr-FR"/>
              </w:rPr>
              <w:noBreakHyphen/>
              <w:t>ce qu’un tribunal qui accueille une requête en tout ou en partie sans frais peut conclure que le requérant était de mauvaise foi en introduisant cette requête et, par conséquent, le condamner à payer une somme à titre de troubles et inconvénients ainsi que les honoraires extrajudiciaires à son opposant?</w:t>
            </w:r>
          </w:p>
        </w:tc>
      </w:tr>
      <w:tr w:rsidR="00F72419" w:rsidRPr="00643997" w:rsidTr="00970CF7">
        <w:tc>
          <w:tcPr>
            <w:tcW w:w="5000" w:type="pct"/>
            <w:gridSpan w:val="3"/>
          </w:tcPr>
          <w:p w:rsidR="00F72419" w:rsidRPr="00096A4B" w:rsidRDefault="00F72419" w:rsidP="00970CF7">
            <w:pPr>
              <w:jc w:val="both"/>
              <w:rPr>
                <w:rFonts w:eastAsia="Calibri"/>
                <w:sz w:val="20"/>
                <w:lang w:val="fr-CA"/>
              </w:rPr>
            </w:pPr>
          </w:p>
        </w:tc>
      </w:tr>
      <w:tr w:rsidR="00F72419" w:rsidRPr="00643997" w:rsidTr="00970CF7">
        <w:tc>
          <w:tcPr>
            <w:tcW w:w="5000" w:type="pct"/>
            <w:gridSpan w:val="3"/>
          </w:tcPr>
          <w:p w:rsidR="00F72419" w:rsidRPr="00096A4B" w:rsidRDefault="00F72419" w:rsidP="00970CF7">
            <w:pPr>
              <w:jc w:val="both"/>
              <w:rPr>
                <w:rFonts w:eastAsia="Calibri"/>
                <w:sz w:val="20"/>
                <w:lang w:val="fr-CA"/>
              </w:rPr>
            </w:pPr>
            <w:r w:rsidRPr="00096A4B">
              <w:rPr>
                <w:rFonts w:eastAsia="Calibri"/>
                <w:sz w:val="20"/>
                <w:lang w:val="fr-CA"/>
              </w:rPr>
              <w:t>À l’époque pertinente, Émile Lavallée et Hélène Lévesque étaient propriétaires d’une unité d’habitation dans un immeuble en copropriété divise qui en compte trois.  Par le biais d’une requête en injonction interlocutoire et permanente, ils demandent que le tribunal ordonne aux intimés, qui sont propriétaires de l’un des deux autres condos, de démolir certains travaux auxquels ceux</w:t>
            </w:r>
            <w:r w:rsidRPr="00096A4B">
              <w:rPr>
                <w:rFonts w:eastAsia="Calibri"/>
                <w:sz w:val="20"/>
                <w:lang w:val="fr-CA"/>
              </w:rPr>
              <w:noBreakHyphen/>
              <w:t>ci ont procédé entre la fin juillet 2001 et le printemps 2004 et de remettre les lieux en état.  Ils allèguent que les travaux contreviennent à la déclaration de copropriété.  Pour leur part, les intimés prétendent qu’ils ont obtenu des autorisations soit des administrateurs, soit des copropriétaires avant de procéder aux travaux en litige et que cette façon de procéder était acceptée par tous.  Ils plaident que M. Lévesque et Mme Lavallée sont de mauvaise foi et se portent donc demandeurs reconventionnels.  Ils réclament leurs propres honoraires extrajudiciaires ainsi que des dommages</w:t>
            </w:r>
            <w:r w:rsidRPr="00096A4B">
              <w:rPr>
                <w:rFonts w:eastAsia="Calibri"/>
                <w:sz w:val="20"/>
                <w:lang w:val="fr-CA"/>
              </w:rPr>
              <w:noBreakHyphen/>
              <w:t>intérêts pour troubles et inconvénients.</w:t>
            </w:r>
          </w:p>
          <w:p w:rsidR="00F72419" w:rsidRPr="00096A4B" w:rsidRDefault="00F72419" w:rsidP="00970CF7">
            <w:pPr>
              <w:jc w:val="both"/>
              <w:rPr>
                <w:rFonts w:eastAsia="Calibri"/>
                <w:sz w:val="20"/>
                <w:lang w:val="fr-CA"/>
              </w:rPr>
            </w:pPr>
          </w:p>
        </w:tc>
      </w:tr>
      <w:tr w:rsidR="00F72419" w:rsidRPr="00643997" w:rsidTr="00970CF7">
        <w:tc>
          <w:tcPr>
            <w:tcW w:w="2427" w:type="pct"/>
          </w:tcPr>
          <w:p w:rsidR="00F72419" w:rsidRPr="00096A4B" w:rsidRDefault="00F72419" w:rsidP="00970CF7">
            <w:pPr>
              <w:jc w:val="both"/>
              <w:rPr>
                <w:rFonts w:eastAsia="Calibri"/>
                <w:sz w:val="20"/>
                <w:lang w:val="fr-CA"/>
              </w:rPr>
            </w:pPr>
            <w:r w:rsidRPr="00096A4B">
              <w:rPr>
                <w:rFonts w:eastAsia="Calibri"/>
                <w:sz w:val="20"/>
                <w:lang w:val="fr-CA"/>
              </w:rPr>
              <w:t>Le 24 mars 2009</w:t>
            </w:r>
          </w:p>
          <w:p w:rsidR="00F72419" w:rsidRPr="00096A4B" w:rsidRDefault="00F72419" w:rsidP="00970CF7">
            <w:pPr>
              <w:jc w:val="both"/>
              <w:rPr>
                <w:rFonts w:eastAsia="Calibri"/>
                <w:sz w:val="20"/>
                <w:lang w:val="fr-CA"/>
              </w:rPr>
            </w:pPr>
            <w:r w:rsidRPr="00096A4B">
              <w:rPr>
                <w:rFonts w:eastAsia="Calibri"/>
                <w:sz w:val="20"/>
                <w:lang w:val="fr-CA"/>
              </w:rPr>
              <w:t>Cour supérieure du Québec</w:t>
            </w:r>
          </w:p>
          <w:p w:rsidR="00F72419" w:rsidRPr="00096A4B" w:rsidRDefault="00F72419" w:rsidP="00970CF7">
            <w:pPr>
              <w:jc w:val="both"/>
              <w:rPr>
                <w:rFonts w:eastAsia="Calibri"/>
                <w:sz w:val="20"/>
                <w:lang w:val="fr-CA"/>
              </w:rPr>
            </w:pPr>
            <w:r w:rsidRPr="00096A4B">
              <w:rPr>
                <w:rFonts w:eastAsia="Calibri"/>
                <w:sz w:val="20"/>
                <w:lang w:val="fr-CA"/>
              </w:rPr>
              <w:t>(La juge Masse)</w:t>
            </w:r>
          </w:p>
          <w:p w:rsidR="00F72419" w:rsidRPr="00096A4B" w:rsidRDefault="00F72419" w:rsidP="00970CF7">
            <w:pPr>
              <w:jc w:val="both"/>
              <w:rPr>
                <w:rFonts w:eastAsia="Calibri"/>
                <w:sz w:val="20"/>
                <w:lang w:val="fr-CA"/>
              </w:rPr>
            </w:pPr>
            <w:r w:rsidRPr="00096A4B">
              <w:rPr>
                <w:rFonts w:eastAsia="Calibri"/>
                <w:sz w:val="20"/>
                <w:lang w:val="fr-CA"/>
              </w:rPr>
              <w:t>Référence neutre : 2009 QCCS 1131</w:t>
            </w:r>
          </w:p>
          <w:p w:rsidR="00F72419" w:rsidRPr="00096A4B" w:rsidRDefault="00F72419" w:rsidP="00970CF7">
            <w:pPr>
              <w:jc w:val="both"/>
              <w:rPr>
                <w:rFonts w:eastAsia="Calibri"/>
                <w:sz w:val="20"/>
                <w:lang w:val="fr-CA"/>
              </w:rPr>
            </w:pPr>
          </w:p>
        </w:tc>
        <w:tc>
          <w:tcPr>
            <w:tcW w:w="243"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Requête en injonction interlocutoire et permanente rejetée; demande reconventionnelle accueillie en partie</w:t>
            </w:r>
          </w:p>
        </w:tc>
      </w:tr>
      <w:tr w:rsidR="00F72419" w:rsidRPr="00096A4B" w:rsidTr="00970CF7">
        <w:tc>
          <w:tcPr>
            <w:tcW w:w="2427" w:type="pct"/>
          </w:tcPr>
          <w:p w:rsidR="00F72419" w:rsidRPr="00096A4B" w:rsidRDefault="00F72419" w:rsidP="00970CF7">
            <w:pPr>
              <w:jc w:val="both"/>
              <w:rPr>
                <w:rFonts w:eastAsia="Calibri"/>
                <w:sz w:val="20"/>
                <w:lang w:val="fr-CA"/>
              </w:rPr>
            </w:pPr>
            <w:r w:rsidRPr="00096A4B">
              <w:rPr>
                <w:rFonts w:eastAsia="Calibri"/>
                <w:sz w:val="20"/>
                <w:lang w:val="fr-CA"/>
              </w:rPr>
              <w:t>Le 10 août 2011</w:t>
            </w:r>
          </w:p>
          <w:p w:rsidR="00F72419" w:rsidRPr="00096A4B" w:rsidRDefault="00F72419" w:rsidP="00970CF7">
            <w:pPr>
              <w:jc w:val="both"/>
              <w:rPr>
                <w:rFonts w:eastAsia="Calibri"/>
                <w:sz w:val="20"/>
                <w:lang w:val="fr-CA"/>
              </w:rPr>
            </w:pPr>
            <w:r w:rsidRPr="00096A4B">
              <w:rPr>
                <w:rFonts w:eastAsia="Calibri"/>
                <w:sz w:val="20"/>
                <w:lang w:val="fr-CA"/>
              </w:rPr>
              <w:t>Cour d’appel du Québec (Montréal)</w:t>
            </w:r>
          </w:p>
          <w:p w:rsidR="00F72419" w:rsidRPr="00096A4B" w:rsidRDefault="00F72419" w:rsidP="00970CF7">
            <w:pPr>
              <w:jc w:val="both"/>
              <w:rPr>
                <w:rFonts w:eastAsia="Calibri"/>
                <w:sz w:val="20"/>
                <w:lang w:val="fr-CA"/>
              </w:rPr>
            </w:pPr>
            <w:r w:rsidRPr="00096A4B">
              <w:rPr>
                <w:rFonts w:eastAsia="Calibri"/>
                <w:sz w:val="20"/>
                <w:lang w:val="fr-CA"/>
              </w:rPr>
              <w:t>(Le juge en chef Robert et les juges Morin et  Léger)</w:t>
            </w:r>
          </w:p>
          <w:p w:rsidR="00F72419" w:rsidRPr="00096A4B" w:rsidRDefault="00F72419" w:rsidP="00970CF7">
            <w:pPr>
              <w:jc w:val="both"/>
              <w:rPr>
                <w:rFonts w:eastAsia="Calibri"/>
                <w:sz w:val="20"/>
                <w:lang w:val="fr-FR"/>
              </w:rPr>
            </w:pPr>
            <w:r w:rsidRPr="00096A4B">
              <w:rPr>
                <w:rFonts w:eastAsia="Calibri"/>
                <w:sz w:val="20"/>
                <w:lang w:val="fr-CA"/>
              </w:rPr>
              <w:t>Référence neutre : 2011 QCCA 1458</w:t>
            </w:r>
          </w:p>
          <w:p w:rsidR="00F72419" w:rsidRPr="00096A4B" w:rsidRDefault="00F72419" w:rsidP="00970CF7">
            <w:pPr>
              <w:jc w:val="both"/>
              <w:rPr>
                <w:rFonts w:eastAsia="Calibri"/>
                <w:sz w:val="20"/>
                <w:lang w:val="fr-FR"/>
              </w:rPr>
            </w:pPr>
          </w:p>
        </w:tc>
        <w:tc>
          <w:tcPr>
            <w:tcW w:w="243" w:type="pct"/>
          </w:tcPr>
          <w:p w:rsidR="00F72419" w:rsidRPr="00096A4B" w:rsidRDefault="00F72419" w:rsidP="00970CF7">
            <w:pPr>
              <w:jc w:val="both"/>
              <w:rPr>
                <w:rFonts w:eastAsia="Calibri"/>
                <w:sz w:val="20"/>
                <w:lang w:val="fr-FR"/>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Appel accueilli en partie</w:t>
            </w:r>
          </w:p>
        </w:tc>
      </w:tr>
      <w:tr w:rsidR="00F72419" w:rsidRPr="00643997" w:rsidTr="00970CF7">
        <w:tc>
          <w:tcPr>
            <w:tcW w:w="2427" w:type="pct"/>
          </w:tcPr>
          <w:p w:rsidR="00F72419" w:rsidRPr="00096A4B" w:rsidRDefault="00F72419" w:rsidP="00970CF7">
            <w:pPr>
              <w:jc w:val="both"/>
              <w:rPr>
                <w:rFonts w:eastAsia="Calibri"/>
                <w:sz w:val="20"/>
                <w:lang w:val="fr-CA"/>
              </w:rPr>
            </w:pPr>
            <w:r w:rsidRPr="00096A4B">
              <w:rPr>
                <w:rFonts w:eastAsia="Calibri"/>
                <w:sz w:val="20"/>
                <w:lang w:val="fr-CA"/>
              </w:rPr>
              <w:t>Le 19 janvier 2012</w:t>
            </w:r>
          </w:p>
          <w:p w:rsidR="00F72419" w:rsidRPr="00096A4B" w:rsidRDefault="00F72419" w:rsidP="00970CF7">
            <w:pPr>
              <w:jc w:val="both"/>
              <w:rPr>
                <w:rFonts w:eastAsia="Calibri"/>
                <w:sz w:val="20"/>
                <w:lang w:val="fr-FR"/>
              </w:rPr>
            </w:pPr>
            <w:r w:rsidRPr="00096A4B">
              <w:rPr>
                <w:rFonts w:eastAsia="Calibri"/>
                <w:sz w:val="20"/>
                <w:lang w:val="fr-CA"/>
              </w:rPr>
              <w:t>Cour suprême du Canada</w:t>
            </w:r>
          </w:p>
        </w:tc>
        <w:tc>
          <w:tcPr>
            <w:tcW w:w="243" w:type="pct"/>
          </w:tcPr>
          <w:p w:rsidR="00F72419" w:rsidRPr="00096A4B" w:rsidRDefault="00F72419" w:rsidP="00970CF7">
            <w:pPr>
              <w:jc w:val="both"/>
              <w:rPr>
                <w:rFonts w:eastAsia="Calibri"/>
                <w:sz w:val="20"/>
                <w:lang w:val="fr-FR"/>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Demande d’autorisation d’appel et requête en prorogation de délai déposées</w:t>
            </w:r>
          </w:p>
        </w:tc>
      </w:tr>
    </w:tbl>
    <w:p w:rsidR="00691AA0" w:rsidRPr="00F72419" w:rsidRDefault="00691AA0" w:rsidP="00691AA0">
      <w:pPr>
        <w:rPr>
          <w:sz w:val="20"/>
          <w:szCs w:val="20"/>
          <w:lang w:val="fr-CA"/>
        </w:rPr>
      </w:pPr>
    </w:p>
    <w:p w:rsidR="00691AA0" w:rsidRDefault="003B0427" w:rsidP="00691AA0">
      <w:pPr>
        <w:rPr>
          <w:sz w:val="20"/>
          <w:szCs w:val="20"/>
          <w:lang w:val="fr-CA"/>
        </w:rPr>
      </w:pPr>
      <w:r w:rsidRPr="003B0427">
        <w:rPr>
          <w:sz w:val="20"/>
          <w:szCs w:val="20"/>
          <w:lang w:val="fr-CA"/>
        </w:rPr>
        <w:pict>
          <v:rect id="_x0000_i1066" style="width:2in;height:1pt" o:hrpct="0" o:hralign="center" o:hrstd="t" o:hrnoshade="t" o:hr="t" fillcolor="black [3213]" stroked="f"/>
        </w:pict>
      </w:r>
    </w:p>
    <w:p w:rsidR="00691AA0" w:rsidRDefault="00691AA0" w:rsidP="00691AA0">
      <w:pPr>
        <w:rPr>
          <w:sz w:val="20"/>
          <w:szCs w:val="20"/>
          <w:lang w:val="fr-CA"/>
        </w:rPr>
      </w:pPr>
    </w:p>
    <w:p w:rsidR="0062747A" w:rsidRDefault="0062747A">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50796" w:rsidRPr="00B9644F" w:rsidTr="004724AB">
        <w:trPr>
          <w:cantSplit/>
        </w:trPr>
        <w:tc>
          <w:tcPr>
            <w:tcW w:w="1458" w:type="dxa"/>
          </w:tcPr>
          <w:p w:rsidR="00950796" w:rsidRPr="00B9644F" w:rsidRDefault="00950796" w:rsidP="004724AB">
            <w:pPr>
              <w:rPr>
                <w:sz w:val="20"/>
                <w:szCs w:val="20"/>
              </w:rPr>
            </w:pPr>
            <w:r w:rsidRPr="00B9644F">
              <w:rPr>
                <w:rStyle w:val="SCCFileNumberChar"/>
                <w:sz w:val="20"/>
                <w:szCs w:val="20"/>
              </w:rPr>
              <w:lastRenderedPageBreak/>
              <w:t>34637</w:t>
            </w:r>
          </w:p>
          <w:p w:rsidR="00950796" w:rsidRPr="00B9644F" w:rsidRDefault="00950796" w:rsidP="004724AB">
            <w:pPr>
              <w:rPr>
                <w:b/>
                <w:sz w:val="20"/>
                <w:szCs w:val="20"/>
                <w:lang w:val="fr-CA"/>
              </w:rPr>
            </w:pPr>
          </w:p>
        </w:tc>
        <w:tc>
          <w:tcPr>
            <w:tcW w:w="8118" w:type="dxa"/>
          </w:tcPr>
          <w:p w:rsidR="00950796" w:rsidRPr="00B9644F" w:rsidRDefault="00950796" w:rsidP="004724AB">
            <w:pPr>
              <w:rPr>
                <w:sz w:val="20"/>
                <w:szCs w:val="20"/>
              </w:rPr>
            </w:pPr>
            <w:r w:rsidRPr="00950796">
              <w:rPr>
                <w:rStyle w:val="SCCLsocChar"/>
                <w:sz w:val="20"/>
                <w:szCs w:val="20"/>
                <w:lang w:val="en-CA"/>
              </w:rPr>
              <w:t>Erica Davis v. Corporation of the City of Guelph</w:t>
            </w:r>
            <w:r w:rsidRPr="00B9644F">
              <w:rPr>
                <w:sz w:val="20"/>
                <w:szCs w:val="20"/>
              </w:rPr>
              <w:t xml:space="preserve"> (Ont.) (Civil) (By Leave)</w:t>
            </w:r>
          </w:p>
          <w:p w:rsidR="00950796" w:rsidRPr="00B9644F" w:rsidRDefault="00950796" w:rsidP="004724AB">
            <w:pPr>
              <w:rPr>
                <w:sz w:val="20"/>
                <w:szCs w:val="20"/>
              </w:rPr>
            </w:pPr>
          </w:p>
        </w:tc>
      </w:tr>
      <w:tr w:rsidR="00950796" w:rsidRPr="00B9644F" w:rsidTr="004724AB">
        <w:trPr>
          <w:cantSplit/>
        </w:trPr>
        <w:tc>
          <w:tcPr>
            <w:tcW w:w="1458" w:type="dxa"/>
          </w:tcPr>
          <w:p w:rsidR="00950796" w:rsidRPr="00B9644F" w:rsidRDefault="00950796" w:rsidP="004724AB">
            <w:pPr>
              <w:rPr>
                <w:sz w:val="20"/>
                <w:szCs w:val="20"/>
              </w:rPr>
            </w:pPr>
            <w:r w:rsidRPr="00B9644F">
              <w:rPr>
                <w:sz w:val="20"/>
                <w:szCs w:val="20"/>
              </w:rPr>
              <w:t>Coram :</w:t>
            </w:r>
          </w:p>
        </w:tc>
        <w:tc>
          <w:tcPr>
            <w:tcW w:w="8118" w:type="dxa"/>
          </w:tcPr>
          <w:p w:rsidR="00950796" w:rsidRPr="00B9644F" w:rsidRDefault="00950796" w:rsidP="004724AB">
            <w:pPr>
              <w:rPr>
                <w:sz w:val="20"/>
                <w:szCs w:val="20"/>
              </w:rPr>
            </w:pPr>
            <w:r w:rsidRPr="00950796">
              <w:rPr>
                <w:rStyle w:val="SCCCoramChar"/>
                <w:sz w:val="20"/>
                <w:szCs w:val="20"/>
                <w:lang w:val="en-CA"/>
              </w:rPr>
              <w:t>Deschamps, Fish and Karakatsanis JJ.</w:t>
            </w:r>
          </w:p>
          <w:p w:rsidR="00950796" w:rsidRPr="00B9644F" w:rsidRDefault="00950796" w:rsidP="004724AB">
            <w:pPr>
              <w:rPr>
                <w:sz w:val="20"/>
                <w:szCs w:val="20"/>
                <w:u w:val="single"/>
              </w:rPr>
            </w:pPr>
          </w:p>
        </w:tc>
      </w:tr>
      <w:tr w:rsidR="00950796" w:rsidRPr="00643997" w:rsidTr="004724AB">
        <w:trPr>
          <w:cantSplit/>
        </w:trPr>
        <w:tc>
          <w:tcPr>
            <w:tcW w:w="9576" w:type="dxa"/>
            <w:gridSpan w:val="2"/>
          </w:tcPr>
          <w:p w:rsidR="00950796" w:rsidRPr="00B9644F" w:rsidRDefault="00950796" w:rsidP="004724AB">
            <w:pPr>
              <w:pStyle w:val="SCCShortJudgment"/>
              <w:rPr>
                <w:szCs w:val="20"/>
              </w:rPr>
            </w:pPr>
            <w:r w:rsidRPr="00B9644F">
              <w:rPr>
                <w:szCs w:val="20"/>
              </w:rPr>
              <w:t>The motion for a stay of execution is dismissed. The application for leave to appeal from the judgment of the Court of Appeal for Ontario, Number C53429, 2011 ONCA 761, dated December 6, 2011, is dismissed with costs.</w:t>
            </w:r>
          </w:p>
          <w:p w:rsidR="00950796" w:rsidRPr="00B9644F" w:rsidRDefault="00950796" w:rsidP="004724AB">
            <w:pPr>
              <w:pStyle w:val="SCCShortJudgment"/>
              <w:ind w:firstLine="0"/>
              <w:rPr>
                <w:szCs w:val="20"/>
              </w:rPr>
            </w:pPr>
          </w:p>
          <w:p w:rsidR="00950796" w:rsidRPr="00B9644F" w:rsidRDefault="00950796" w:rsidP="004724AB">
            <w:pPr>
              <w:pStyle w:val="SCCShortJudgment"/>
              <w:rPr>
                <w:szCs w:val="20"/>
                <w:lang w:val="fr-CA"/>
              </w:rPr>
            </w:pPr>
            <w:r w:rsidRPr="00B9644F">
              <w:rPr>
                <w:szCs w:val="20"/>
                <w:lang w:val="fr-CA"/>
              </w:rPr>
              <w:t>La requête pour obtenir une ordonnance de sursis d=exécution est rejetée. La demande d’autorisation d’appel de l’arrêt de la Cour d’appel de l’Ontario, numéro C53429, 2011 ONCA 761, daté du 6 décembre 2011, est rejetée avec dépens.</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419" w:rsidRPr="00096A4B" w:rsidTr="00970CF7">
        <w:tc>
          <w:tcPr>
            <w:tcW w:w="5000" w:type="pct"/>
            <w:gridSpan w:val="3"/>
          </w:tcPr>
          <w:p w:rsidR="00F72419" w:rsidRPr="00096A4B" w:rsidRDefault="00F72419" w:rsidP="00970CF7">
            <w:pPr>
              <w:jc w:val="both"/>
              <w:rPr>
                <w:rFonts w:eastAsia="Calibri"/>
                <w:i/>
                <w:sz w:val="20"/>
              </w:rPr>
            </w:pPr>
            <w:r w:rsidRPr="00096A4B">
              <w:rPr>
                <w:rFonts w:eastAsia="Calibri"/>
                <w:i/>
                <w:sz w:val="20"/>
              </w:rPr>
              <w:t>Charter of Rights</w:t>
            </w:r>
            <w:r w:rsidRPr="00096A4B">
              <w:rPr>
                <w:rFonts w:eastAsia="Calibri"/>
                <w:sz w:val="20"/>
              </w:rPr>
              <w:t xml:space="preserve"> – Privacy rights – Municipal law – By-laws – Inspection - Following complaint about standing water accumulated on the Applicant’s pool cover, City officials entering Applicant’s backyard to remove water and to drain pool – Pool damaged - Whether the </w:t>
            </w:r>
            <w:r w:rsidRPr="00096A4B">
              <w:rPr>
                <w:rFonts w:eastAsia="Calibri"/>
                <w:i/>
                <w:sz w:val="20"/>
              </w:rPr>
              <w:t>Municipal Act</w:t>
            </w:r>
            <w:r w:rsidRPr="00096A4B">
              <w:rPr>
                <w:rFonts w:eastAsia="Calibri"/>
                <w:sz w:val="20"/>
              </w:rPr>
              <w:t xml:space="preserve"> or City by-laws violated Applicant’s fundamental legal, equality and general rights, as guaranteed by</w:t>
            </w:r>
            <w:r w:rsidRPr="00096A4B">
              <w:rPr>
                <w:rFonts w:eastAsia="Calibri"/>
                <w:i/>
                <w:sz w:val="20"/>
              </w:rPr>
              <w:t xml:space="preserve"> Charter of Rights </w:t>
            </w:r>
          </w:p>
          <w:p w:rsidR="00F72419" w:rsidRPr="00096A4B" w:rsidRDefault="00F72419" w:rsidP="00970CF7">
            <w:pPr>
              <w:jc w:val="both"/>
              <w:rPr>
                <w:rFonts w:eastAsia="Calibri"/>
                <w:sz w:val="20"/>
              </w:rPr>
            </w:pPr>
          </w:p>
        </w:tc>
      </w:tr>
      <w:tr w:rsidR="00F72419" w:rsidRPr="00096A4B" w:rsidTr="00970CF7">
        <w:tc>
          <w:tcPr>
            <w:tcW w:w="5000" w:type="pct"/>
            <w:gridSpan w:val="3"/>
          </w:tcPr>
          <w:p w:rsidR="00F72419" w:rsidRPr="00096A4B" w:rsidRDefault="00F72419" w:rsidP="00970CF7">
            <w:pPr>
              <w:jc w:val="both"/>
              <w:rPr>
                <w:rFonts w:eastAsia="Calibri"/>
                <w:sz w:val="20"/>
              </w:rPr>
            </w:pPr>
            <w:r w:rsidRPr="00096A4B">
              <w:rPr>
                <w:rFonts w:eastAsia="Calibri"/>
                <w:sz w:val="20"/>
              </w:rPr>
              <w:t xml:space="preserve">In the spring of 2006, the City of Guelph received a complaint about standing water on a tarp covering the pool in Ms. Davis’ backyard.  The City conducted two inspections and observed the water and a small circulation pump that did not appear to be working.  The City served Ms. Davis with a Notice of Violation under No. (2003)-17192, </w:t>
            </w:r>
            <w:r w:rsidRPr="00096A4B">
              <w:rPr>
                <w:rFonts w:eastAsia="Calibri"/>
                <w:i/>
                <w:sz w:val="20"/>
              </w:rPr>
              <w:t>Standing Water By-law</w:t>
            </w:r>
            <w:r w:rsidRPr="00096A4B">
              <w:rPr>
                <w:rFonts w:eastAsia="Calibri"/>
                <w:sz w:val="20"/>
              </w:rPr>
              <w:t xml:space="preserve">, requiring her to ensure that by June 6, the pool pump would circulate the pool water and that the water would be chlorinated.  There was concern at that time that standing water was a breeding ground for mosquitoes.  On June 15, 2006, an enforcement officer attended her premises when Ms. Davis was out of the country and entered her backyard where he observed standing water on the tarp and that the pump still was not functioning.  He arranged to have the water amd the tarp removed, the pool drained to a depth of six inches in the shallow end and the remaining water chlorinated. When Ms. Davis returned, she saw that the lining of the pool had begun to peel away and that the surrounding earth had begun to collapse into the pool.   She wrote to the City and asked for compensation.  The City conducted another inspection and found green standing water in the pool and that the liner was in disrepair.  It issued another Notice of Violation requiring her to circulate and chlorinate the water.  When that was not done, the City drained the remaining water from the pool.  The City issued further Notices of Violation in 2007, 2008 and 2009 and Ms. Davis did not respond to any of them.  It was her position that the City had caused the damage by improperly draining the water and that the City should pay for the repair and damages.  She commenced a civil action in 2008, claiming damages in the amount of $75,000 as the estimated cost of repairing the pool.  </w:t>
            </w:r>
            <w:r w:rsidRPr="00096A4B">
              <w:rPr>
                <w:rFonts w:eastAsia="Calibri"/>
                <w:color w:val="000000"/>
                <w:sz w:val="20"/>
              </w:rPr>
              <w:t>In 2009, the Property Standards Officer issued a repair order to Ms. Davis. She appealed the order to the Property Standards Committee, which confirmed the order. Ms. Davis appealed that decision to a judge.</w:t>
            </w:r>
          </w:p>
        </w:tc>
      </w:tr>
      <w:tr w:rsidR="00F72419" w:rsidRPr="00096A4B" w:rsidTr="00970CF7">
        <w:tc>
          <w:tcPr>
            <w:tcW w:w="5000" w:type="pct"/>
            <w:gridSpan w:val="3"/>
          </w:tcPr>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February 18, 2011</w:t>
            </w:r>
          </w:p>
          <w:p w:rsidR="00F72419" w:rsidRPr="00096A4B" w:rsidRDefault="00F72419" w:rsidP="00970CF7">
            <w:pPr>
              <w:jc w:val="both"/>
              <w:rPr>
                <w:rFonts w:eastAsia="Calibri"/>
                <w:sz w:val="20"/>
              </w:rPr>
            </w:pPr>
            <w:r w:rsidRPr="00096A4B">
              <w:rPr>
                <w:rFonts w:eastAsia="Calibri"/>
                <w:sz w:val="20"/>
              </w:rPr>
              <w:t>Ontario Superior Court of Justice</w:t>
            </w:r>
          </w:p>
          <w:p w:rsidR="00F72419" w:rsidRPr="00096A4B" w:rsidRDefault="00F72419" w:rsidP="00970CF7">
            <w:pPr>
              <w:jc w:val="both"/>
              <w:rPr>
                <w:rFonts w:eastAsia="Calibri"/>
                <w:sz w:val="20"/>
              </w:rPr>
            </w:pPr>
            <w:r w:rsidRPr="00096A4B">
              <w:rPr>
                <w:rFonts w:eastAsia="Calibri"/>
                <w:sz w:val="20"/>
              </w:rPr>
              <w:t>(Price J.)</w:t>
            </w:r>
          </w:p>
          <w:p w:rsidR="00F72419" w:rsidRPr="00096A4B" w:rsidRDefault="00F72419" w:rsidP="00970CF7">
            <w:pPr>
              <w:jc w:val="both"/>
              <w:rPr>
                <w:rFonts w:eastAsia="Calibri"/>
                <w:sz w:val="20"/>
              </w:rPr>
            </w:pPr>
            <w:r w:rsidRPr="00096A4B">
              <w:rPr>
                <w:rFonts w:eastAsia="Calibri"/>
                <w:sz w:val="20"/>
              </w:rPr>
              <w:t>2011 ONSC 1137</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Order of property standards officer to repair pool quashed; Applicant and Respondent ordered to share the costs of repairing the Applicant’s pool</w:t>
            </w: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December 6, 2011</w:t>
            </w:r>
          </w:p>
          <w:p w:rsidR="00F72419" w:rsidRPr="00096A4B" w:rsidRDefault="00F72419" w:rsidP="00970CF7">
            <w:pPr>
              <w:jc w:val="both"/>
              <w:rPr>
                <w:rFonts w:eastAsia="Calibri"/>
                <w:sz w:val="20"/>
              </w:rPr>
            </w:pPr>
            <w:r w:rsidRPr="00096A4B">
              <w:rPr>
                <w:rFonts w:eastAsia="Calibri"/>
                <w:sz w:val="20"/>
              </w:rPr>
              <w:t>Court of Appeal for Ontario</w:t>
            </w:r>
          </w:p>
          <w:p w:rsidR="00F72419" w:rsidRPr="00096A4B" w:rsidRDefault="00F72419" w:rsidP="00970CF7">
            <w:pPr>
              <w:jc w:val="both"/>
              <w:rPr>
                <w:rFonts w:eastAsia="Calibri"/>
                <w:sz w:val="20"/>
              </w:rPr>
            </w:pPr>
            <w:r w:rsidRPr="00096A4B">
              <w:rPr>
                <w:rFonts w:eastAsia="Calibri"/>
                <w:sz w:val="20"/>
              </w:rPr>
              <w:t>(Blair, Juriansz and Pepall (</w:t>
            </w:r>
            <w:r w:rsidRPr="00096A4B">
              <w:rPr>
                <w:rFonts w:eastAsia="Calibri"/>
                <w:i/>
                <w:sz w:val="20"/>
              </w:rPr>
              <w:t>ad hoc</w:t>
            </w:r>
            <w:r w:rsidRPr="00096A4B">
              <w:rPr>
                <w:rFonts w:eastAsia="Calibri"/>
                <w:sz w:val="20"/>
              </w:rPr>
              <w:t>) JJ.A.)</w:t>
            </w:r>
          </w:p>
          <w:p w:rsidR="00F72419" w:rsidRPr="00096A4B" w:rsidRDefault="00F72419" w:rsidP="0062747A">
            <w:pPr>
              <w:jc w:val="both"/>
              <w:rPr>
                <w:rFonts w:eastAsia="Calibri"/>
                <w:sz w:val="20"/>
              </w:rPr>
            </w:pPr>
            <w:r w:rsidRPr="00096A4B">
              <w:rPr>
                <w:rFonts w:eastAsia="Calibri"/>
                <w:sz w:val="20"/>
              </w:rPr>
              <w:t>2011 ONCA 761</w:t>
            </w: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Appeal allowed; order of Property Standards Committee restored</w:t>
            </w:r>
          </w:p>
          <w:p w:rsidR="00F72419" w:rsidRPr="00096A4B" w:rsidRDefault="00F72419" w:rsidP="00970CF7">
            <w:pPr>
              <w:jc w:val="both"/>
              <w:rPr>
                <w:rFonts w:eastAsia="Calibri"/>
                <w:sz w:val="20"/>
              </w:rPr>
            </w:pPr>
          </w:p>
        </w:tc>
      </w:tr>
    </w:tbl>
    <w:p w:rsidR="0062747A" w:rsidRDefault="0062747A"/>
    <w:p w:rsidR="0062747A" w:rsidRDefault="0062747A">
      <w:r>
        <w:br w:type="page"/>
      </w:r>
    </w:p>
    <w:tbl>
      <w:tblPr>
        <w:tblW w:w="4952" w:type="pct"/>
        <w:tblLayout w:type="fixed"/>
        <w:tblCellMar>
          <w:left w:w="0" w:type="dxa"/>
          <w:bottom w:w="99" w:type="dxa"/>
          <w:right w:w="0" w:type="dxa"/>
        </w:tblCellMar>
        <w:tblLook w:val="04A0"/>
      </w:tblPr>
      <w:tblGrid>
        <w:gridCol w:w="4624"/>
        <w:gridCol w:w="463"/>
        <w:gridCol w:w="4440"/>
      </w:tblGrid>
      <w:tr w:rsidR="00F72419" w:rsidRPr="00096A4B" w:rsidTr="0062747A">
        <w:trPr>
          <w:cantSplit/>
        </w:trPr>
        <w:tc>
          <w:tcPr>
            <w:tcW w:w="2427" w:type="pct"/>
          </w:tcPr>
          <w:p w:rsidR="00F72419" w:rsidRPr="00096A4B" w:rsidRDefault="00F72419" w:rsidP="00970CF7">
            <w:pPr>
              <w:jc w:val="both"/>
              <w:rPr>
                <w:rFonts w:eastAsia="Calibri"/>
                <w:sz w:val="20"/>
              </w:rPr>
            </w:pPr>
            <w:r w:rsidRPr="00096A4B">
              <w:rPr>
                <w:rFonts w:eastAsia="Calibri"/>
                <w:sz w:val="20"/>
              </w:rPr>
              <w:lastRenderedPageBreak/>
              <w:t>January 11, 2012</w:t>
            </w:r>
          </w:p>
          <w:p w:rsidR="00F72419" w:rsidRPr="00096A4B" w:rsidRDefault="00F72419" w:rsidP="00970CF7">
            <w:pPr>
              <w:jc w:val="both"/>
              <w:rPr>
                <w:rFonts w:eastAsia="Calibri"/>
                <w:sz w:val="20"/>
              </w:rPr>
            </w:pPr>
            <w:r w:rsidRPr="00096A4B">
              <w:rPr>
                <w:rFonts w:eastAsia="Calibri"/>
                <w:sz w:val="20"/>
              </w:rPr>
              <w:t>Supreme Court of Canada</w:t>
            </w: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Application for leave to appeal and motion for a stay of execution filed</w:t>
            </w: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67"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72419" w:rsidRPr="00643997" w:rsidTr="00970CF7">
        <w:tc>
          <w:tcPr>
            <w:tcW w:w="5000" w:type="pct"/>
            <w:gridSpan w:val="3"/>
          </w:tcPr>
          <w:p w:rsidR="00F72419" w:rsidRPr="00096A4B" w:rsidRDefault="00F72419" w:rsidP="00970CF7">
            <w:pPr>
              <w:jc w:val="both"/>
              <w:rPr>
                <w:rFonts w:eastAsia="Calibri"/>
                <w:sz w:val="20"/>
                <w:lang w:val="fr-CA"/>
              </w:rPr>
            </w:pPr>
            <w:r w:rsidRPr="00096A4B">
              <w:rPr>
                <w:rFonts w:eastAsia="Calibri"/>
                <w:i/>
                <w:sz w:val="20"/>
                <w:lang w:val="fr-CA"/>
              </w:rPr>
              <w:t xml:space="preserve">Charte des droits </w:t>
            </w:r>
            <w:r w:rsidRPr="00096A4B">
              <w:rPr>
                <w:rFonts w:eastAsia="Calibri"/>
                <w:sz w:val="20"/>
                <w:lang w:val="fr-CA"/>
              </w:rPr>
              <w:noBreakHyphen/>
              <w:t xml:space="preserve"> Droits à la vie privée </w:t>
            </w:r>
            <w:r w:rsidRPr="00096A4B">
              <w:rPr>
                <w:rFonts w:eastAsia="Calibri"/>
                <w:sz w:val="20"/>
                <w:lang w:val="fr-CA"/>
              </w:rPr>
              <w:noBreakHyphen/>
              <w:t xml:space="preserve"> Droit municipal </w:t>
            </w:r>
            <w:r w:rsidRPr="00096A4B">
              <w:rPr>
                <w:rFonts w:eastAsia="Calibri"/>
                <w:sz w:val="20"/>
                <w:lang w:val="fr-CA"/>
              </w:rPr>
              <w:noBreakHyphen/>
              <w:t xml:space="preserve"> Règlements </w:t>
            </w:r>
            <w:r w:rsidRPr="00096A4B">
              <w:rPr>
                <w:rFonts w:eastAsia="Calibri"/>
                <w:sz w:val="20"/>
                <w:lang w:val="fr-CA"/>
              </w:rPr>
              <w:noBreakHyphen/>
              <w:t xml:space="preserve"> Inspection </w:t>
            </w:r>
            <w:r w:rsidRPr="00096A4B">
              <w:rPr>
                <w:rFonts w:eastAsia="Calibri"/>
                <w:sz w:val="20"/>
                <w:lang w:val="fr-CA"/>
              </w:rPr>
              <w:noBreakHyphen/>
              <w:t xml:space="preserve"> À la suite d’une plainte concernant de l’eau stagnante qui s’était accumulée sur la bâche de la piscine de la demanderesse, des fonctionnaires municipaux sont entrés dans la cour arrière de la demanderesse pour enlever l’eau et vider la piscine </w:t>
            </w:r>
            <w:r w:rsidRPr="00096A4B">
              <w:rPr>
                <w:rFonts w:eastAsia="Calibri"/>
                <w:sz w:val="20"/>
                <w:lang w:val="fr-CA"/>
              </w:rPr>
              <w:noBreakHyphen/>
              <w:t xml:space="preserve"> La piscine a été endommagée </w:t>
            </w:r>
            <w:r w:rsidRPr="00096A4B">
              <w:rPr>
                <w:rFonts w:eastAsia="Calibri"/>
                <w:sz w:val="20"/>
                <w:lang w:val="fr-CA"/>
              </w:rPr>
              <w:noBreakHyphen/>
              <w:t xml:space="preserve"> La</w:t>
            </w:r>
            <w:r w:rsidRPr="00096A4B">
              <w:rPr>
                <w:rFonts w:eastAsia="Calibri"/>
                <w:i/>
                <w:sz w:val="20"/>
                <w:lang w:val="fr-CA"/>
              </w:rPr>
              <w:t xml:space="preserve"> Loi sur les municipalités</w:t>
            </w:r>
            <w:r w:rsidRPr="00096A4B">
              <w:rPr>
                <w:rFonts w:eastAsia="Calibri"/>
                <w:sz w:val="20"/>
                <w:lang w:val="fr-CA"/>
              </w:rPr>
              <w:t xml:space="preserve"> ou les règlements de la ville ont</w:t>
            </w:r>
            <w:r w:rsidRPr="00096A4B">
              <w:rPr>
                <w:rFonts w:eastAsia="Calibri"/>
                <w:sz w:val="20"/>
                <w:lang w:val="fr-CA"/>
              </w:rPr>
              <w:noBreakHyphen/>
              <w:t>ils violé les droits fondamentaux de la demanderesse garantis par la</w:t>
            </w:r>
            <w:r w:rsidRPr="00096A4B">
              <w:rPr>
                <w:rFonts w:eastAsia="Calibri"/>
                <w:i/>
                <w:sz w:val="20"/>
                <w:lang w:val="fr-CA"/>
              </w:rPr>
              <w:t xml:space="preserve"> Charte des droits</w:t>
            </w:r>
            <w:r w:rsidRPr="00096A4B">
              <w:rPr>
                <w:rFonts w:eastAsia="Calibri"/>
                <w:sz w:val="20"/>
                <w:lang w:val="fr-CA"/>
              </w:rPr>
              <w:t>?</w:t>
            </w:r>
          </w:p>
          <w:p w:rsidR="00F72419" w:rsidRPr="00096A4B" w:rsidRDefault="00F72419" w:rsidP="00970CF7">
            <w:pPr>
              <w:jc w:val="both"/>
              <w:rPr>
                <w:rFonts w:eastAsia="Calibri"/>
                <w:sz w:val="20"/>
                <w:lang w:val="fr-CA"/>
              </w:rPr>
            </w:pPr>
          </w:p>
        </w:tc>
      </w:tr>
      <w:tr w:rsidR="00F72419" w:rsidRPr="00643997" w:rsidTr="00970CF7">
        <w:tc>
          <w:tcPr>
            <w:tcW w:w="5000" w:type="pct"/>
            <w:gridSpan w:val="3"/>
          </w:tcPr>
          <w:p w:rsidR="00F72419" w:rsidRPr="00096A4B" w:rsidRDefault="00F72419" w:rsidP="00970CF7">
            <w:pPr>
              <w:jc w:val="both"/>
              <w:rPr>
                <w:rFonts w:eastAsia="Calibri"/>
                <w:color w:val="000000"/>
                <w:sz w:val="20"/>
                <w:lang w:val="fr-CA"/>
              </w:rPr>
            </w:pPr>
            <w:r w:rsidRPr="00096A4B">
              <w:rPr>
                <w:rFonts w:eastAsia="Calibri"/>
                <w:sz w:val="20"/>
                <w:lang w:val="fr-CA"/>
              </w:rPr>
              <w:t>Au printemps 2006, la Ville de Guelph a reçu une plainte concernant de l’eau stagnante sur une bâche qui couvrait la piscine dans la cour arrière de Mme Davis.  La Ville a effectué deux inspections et a observé l’eau et une petite pompe de circulation qui ne paraissait pas fonctionner.  La Ville a signifié à Mme Davis un avis d’infraction en vertu du règlement (2003)</w:t>
            </w:r>
            <w:r w:rsidRPr="00096A4B">
              <w:rPr>
                <w:rFonts w:eastAsia="Calibri"/>
                <w:sz w:val="20"/>
                <w:lang w:val="fr-CA"/>
              </w:rPr>
              <w:noBreakHyphen/>
              <w:t xml:space="preserve">17192, </w:t>
            </w:r>
            <w:r w:rsidRPr="00096A4B">
              <w:rPr>
                <w:rFonts w:eastAsia="Calibri"/>
                <w:i/>
                <w:sz w:val="20"/>
                <w:lang w:val="fr-CA"/>
              </w:rPr>
              <w:t>Standing Water By</w:t>
            </w:r>
            <w:r w:rsidRPr="00096A4B">
              <w:rPr>
                <w:rFonts w:eastAsia="Calibri"/>
                <w:i/>
                <w:sz w:val="20"/>
                <w:lang w:val="fr-CA"/>
              </w:rPr>
              <w:noBreakHyphen/>
              <w:t>law</w:t>
            </w:r>
            <w:r w:rsidRPr="00096A4B">
              <w:rPr>
                <w:rFonts w:eastAsia="Calibri"/>
                <w:sz w:val="20"/>
                <w:lang w:val="fr-CA"/>
              </w:rPr>
              <w:t>, l’obligeant à faire en sorte qu’au 6 juin au plus tard, la pompe de la piscine fasse circuler l’eau de la piscine et que l’eau soit chlorée.  On craignait à l’époque que l’eau stagnante soit un milieu de reproduction de moustiques.  Le 15 juin 2006, un agent d’exécution s’est rendu chez Mme Davis alors qu’elle était à l’extérieur du pays et est entré dans sa cour arrière où il a observé de l’eau stagnante sur la bâche et le fait que la pompe ne fonctionnait toujours pas.  Il a pris des dispositions pour faire enlever l’eau et la bâche, faire vider la piscine à une profondeur de six pouces dans la partie peu profonde et faire chlorer l’eau qui restait.  Lorsque Mme Davis est rentrée, elle a vu que la toile de la piscine avait commencé à se détacher et que la terre qui entourait la piscine avait commencé à s’affaisser dans la piscine.  Elle a écrit à la Ville et a demandé une indemnité.  La Ville a effectué une autre inspection et a constaté la présence d’eau stagnante de couleur verte dans la piscine et que la toile était en mauvais état.  La Ville a émis un autre avis d’infraction obligeant Mme Davis à faire circuler et à chlorer l’eau.  Lorsque ces mesures n’ont pas été prises, la Ville a vidé l’eau qui restait dans la piscine.  La Ville a émis d’autres avis d’infraction en 2007, 2008 et 2009 et Mme Davis n’a donné suite à aucun d’entre eux.  Madame Davis était d’avis que la Ville avait causé le dommage en vidant indûment l’eau et que la Ville devait payer la réparation et les dommages.  Elle a intenté une action au civil en 2008, sollicitant des dommages</w:t>
            </w:r>
            <w:r w:rsidRPr="00096A4B">
              <w:rPr>
                <w:rFonts w:eastAsia="Calibri"/>
                <w:sz w:val="20"/>
                <w:lang w:val="fr-CA"/>
              </w:rPr>
              <w:noBreakHyphen/>
              <w:t xml:space="preserve">intérêts 75 000 $ à titre de coût estimé de réparation de la piscine.  </w:t>
            </w:r>
            <w:r w:rsidRPr="00096A4B">
              <w:rPr>
                <w:rFonts w:eastAsia="Calibri"/>
                <w:color w:val="000000"/>
                <w:sz w:val="20"/>
                <w:lang w:val="fr-CA"/>
              </w:rPr>
              <w:t>En 2009, l’agent des normes des biens</w:t>
            </w:r>
            <w:r w:rsidRPr="00096A4B">
              <w:rPr>
                <w:rFonts w:eastAsia="Calibri"/>
                <w:color w:val="000000"/>
                <w:sz w:val="20"/>
                <w:lang w:val="fr-CA"/>
              </w:rPr>
              <w:noBreakHyphen/>
              <w:t>fonds a délivré une demande de réparation à Mme Davis.  Elle a interjeté appel de la demande au Comité des normes des biens</w:t>
            </w:r>
            <w:r w:rsidRPr="00096A4B">
              <w:rPr>
                <w:rFonts w:eastAsia="Calibri"/>
                <w:color w:val="000000"/>
                <w:sz w:val="20"/>
                <w:lang w:val="fr-CA"/>
              </w:rPr>
              <w:noBreakHyphen/>
              <w:t>fonds qui a confirmé la demande.  Madame Davis a interjeté appel de cette décision à un juge.</w:t>
            </w:r>
          </w:p>
          <w:p w:rsidR="00F72419" w:rsidRPr="00096A4B" w:rsidRDefault="00F72419" w:rsidP="00970CF7">
            <w:pPr>
              <w:jc w:val="both"/>
              <w:rPr>
                <w:rFonts w:eastAsia="Calibri"/>
                <w:sz w:val="20"/>
                <w:lang w:val="fr-CA"/>
              </w:rPr>
            </w:pPr>
          </w:p>
        </w:tc>
      </w:tr>
      <w:tr w:rsidR="00F72419" w:rsidRPr="00643997" w:rsidTr="00970CF7">
        <w:tc>
          <w:tcPr>
            <w:tcW w:w="2427" w:type="pct"/>
          </w:tcPr>
          <w:p w:rsidR="00F72419" w:rsidRPr="00096A4B" w:rsidRDefault="00F72419" w:rsidP="00970CF7">
            <w:pPr>
              <w:jc w:val="both"/>
              <w:rPr>
                <w:rFonts w:eastAsia="Calibri"/>
                <w:sz w:val="20"/>
                <w:lang w:val="fr-CA"/>
              </w:rPr>
            </w:pPr>
            <w:r w:rsidRPr="00096A4B">
              <w:rPr>
                <w:rFonts w:eastAsia="Calibri"/>
                <w:sz w:val="20"/>
                <w:lang w:val="fr-CA"/>
              </w:rPr>
              <w:t>18 février 2011</w:t>
            </w:r>
          </w:p>
          <w:p w:rsidR="00F72419" w:rsidRPr="00096A4B" w:rsidRDefault="00F72419" w:rsidP="00970CF7">
            <w:pPr>
              <w:jc w:val="both"/>
              <w:rPr>
                <w:rFonts w:eastAsia="Calibri"/>
                <w:sz w:val="20"/>
                <w:lang w:val="fr-CA"/>
              </w:rPr>
            </w:pPr>
            <w:r w:rsidRPr="00096A4B">
              <w:rPr>
                <w:rFonts w:eastAsia="Calibri"/>
                <w:sz w:val="20"/>
                <w:lang w:val="fr-CA"/>
              </w:rPr>
              <w:t xml:space="preserve">Cour supérieure de justice de l’Ontario </w:t>
            </w:r>
          </w:p>
          <w:p w:rsidR="00F72419" w:rsidRPr="00096A4B" w:rsidRDefault="00F72419" w:rsidP="00970CF7">
            <w:pPr>
              <w:jc w:val="both"/>
              <w:rPr>
                <w:rFonts w:eastAsia="Calibri"/>
                <w:sz w:val="20"/>
                <w:lang w:val="fr-CA"/>
              </w:rPr>
            </w:pPr>
            <w:r w:rsidRPr="00096A4B">
              <w:rPr>
                <w:rFonts w:eastAsia="Calibri"/>
                <w:sz w:val="20"/>
                <w:lang w:val="fr-CA"/>
              </w:rPr>
              <w:t>(Juge Price)</w:t>
            </w:r>
          </w:p>
          <w:p w:rsidR="00F72419" w:rsidRPr="00096A4B" w:rsidRDefault="00F72419" w:rsidP="00970CF7">
            <w:pPr>
              <w:jc w:val="both"/>
              <w:rPr>
                <w:rFonts w:eastAsia="Calibri"/>
                <w:sz w:val="20"/>
                <w:lang w:val="fr-CA"/>
              </w:rPr>
            </w:pPr>
            <w:r w:rsidRPr="00096A4B">
              <w:rPr>
                <w:rFonts w:eastAsia="Calibri"/>
                <w:sz w:val="20"/>
                <w:lang w:val="fr-CA"/>
              </w:rPr>
              <w:t>2011 ONSC 1137</w:t>
            </w:r>
          </w:p>
        </w:tc>
        <w:tc>
          <w:tcPr>
            <w:tcW w:w="243"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Ordonnance de l’agent des normes des biens</w:t>
            </w:r>
            <w:r w:rsidRPr="00096A4B">
              <w:rPr>
                <w:rFonts w:eastAsia="Calibri"/>
                <w:sz w:val="20"/>
                <w:lang w:val="fr-CA"/>
              </w:rPr>
              <w:noBreakHyphen/>
              <w:t>fonds de réparer la piscine, annulée; la demanderesse et l’intimée sont sommées de partager les frais de réparation de la piscine de la demanderesse</w:t>
            </w:r>
          </w:p>
          <w:p w:rsidR="00F72419" w:rsidRPr="00096A4B" w:rsidRDefault="00F72419" w:rsidP="00970CF7">
            <w:pPr>
              <w:jc w:val="both"/>
              <w:rPr>
                <w:rFonts w:eastAsia="Calibri"/>
                <w:sz w:val="20"/>
                <w:lang w:val="fr-CA"/>
              </w:rPr>
            </w:pPr>
          </w:p>
        </w:tc>
      </w:tr>
      <w:tr w:rsidR="00F72419" w:rsidRPr="00643997" w:rsidTr="00970CF7">
        <w:tc>
          <w:tcPr>
            <w:tcW w:w="2427" w:type="pct"/>
          </w:tcPr>
          <w:p w:rsidR="00F72419" w:rsidRPr="00096A4B" w:rsidRDefault="00F72419" w:rsidP="00970CF7">
            <w:pPr>
              <w:jc w:val="both"/>
              <w:rPr>
                <w:rFonts w:eastAsia="Calibri"/>
                <w:sz w:val="20"/>
                <w:lang w:val="fr-CA"/>
              </w:rPr>
            </w:pPr>
            <w:r w:rsidRPr="00096A4B">
              <w:rPr>
                <w:rFonts w:eastAsia="Calibri"/>
                <w:sz w:val="20"/>
                <w:lang w:val="fr-CA"/>
              </w:rPr>
              <w:t>6 décembre 2011</w:t>
            </w:r>
          </w:p>
          <w:p w:rsidR="00F72419" w:rsidRPr="00096A4B" w:rsidRDefault="00F72419" w:rsidP="00970CF7">
            <w:pPr>
              <w:jc w:val="both"/>
              <w:rPr>
                <w:rFonts w:eastAsia="Calibri"/>
                <w:sz w:val="20"/>
                <w:lang w:val="fr-CA"/>
              </w:rPr>
            </w:pPr>
            <w:r w:rsidRPr="00096A4B">
              <w:rPr>
                <w:rFonts w:eastAsia="Calibri"/>
                <w:sz w:val="20"/>
                <w:lang w:val="fr-CA"/>
              </w:rPr>
              <w:t>Cour d’appel de l’Ontario</w:t>
            </w:r>
          </w:p>
          <w:p w:rsidR="00F72419" w:rsidRPr="00096A4B" w:rsidRDefault="00F72419" w:rsidP="00970CF7">
            <w:pPr>
              <w:jc w:val="both"/>
              <w:rPr>
                <w:rFonts w:eastAsia="Calibri"/>
                <w:sz w:val="20"/>
                <w:lang w:val="fr-CA"/>
              </w:rPr>
            </w:pPr>
            <w:r w:rsidRPr="00096A4B">
              <w:rPr>
                <w:rFonts w:eastAsia="Calibri"/>
                <w:sz w:val="20"/>
                <w:lang w:val="fr-CA"/>
              </w:rPr>
              <w:t>(Juges Blair, Juriansz et Pepall (</w:t>
            </w:r>
            <w:r w:rsidRPr="00096A4B">
              <w:rPr>
                <w:rFonts w:eastAsia="Calibri"/>
                <w:i/>
                <w:sz w:val="20"/>
                <w:lang w:val="fr-CA"/>
              </w:rPr>
              <w:t>ad hoc</w:t>
            </w:r>
            <w:r w:rsidRPr="00096A4B">
              <w:rPr>
                <w:rFonts w:eastAsia="Calibri"/>
                <w:sz w:val="20"/>
                <w:lang w:val="fr-CA"/>
              </w:rPr>
              <w:t>))</w:t>
            </w:r>
          </w:p>
          <w:p w:rsidR="00F72419" w:rsidRPr="00096A4B" w:rsidRDefault="00F72419" w:rsidP="00970CF7">
            <w:pPr>
              <w:jc w:val="both"/>
              <w:rPr>
                <w:rFonts w:eastAsia="Calibri"/>
                <w:sz w:val="20"/>
                <w:lang w:val="fr-CA"/>
              </w:rPr>
            </w:pPr>
            <w:r w:rsidRPr="00096A4B">
              <w:rPr>
                <w:rFonts w:eastAsia="Calibri"/>
                <w:sz w:val="20"/>
                <w:lang w:val="fr-CA"/>
              </w:rPr>
              <w:t>2011 ONCA 761</w:t>
            </w:r>
          </w:p>
          <w:p w:rsidR="00F72419" w:rsidRPr="00096A4B" w:rsidRDefault="00F72419" w:rsidP="00970CF7">
            <w:pPr>
              <w:jc w:val="both"/>
              <w:rPr>
                <w:rFonts w:eastAsia="Calibri"/>
                <w:sz w:val="20"/>
                <w:lang w:val="fr-CA"/>
              </w:rPr>
            </w:pPr>
          </w:p>
        </w:tc>
        <w:tc>
          <w:tcPr>
            <w:tcW w:w="243"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Appel accueilli; ordonnance du comité des normes des biens</w:t>
            </w:r>
            <w:r w:rsidRPr="00096A4B">
              <w:rPr>
                <w:rFonts w:eastAsia="Calibri"/>
                <w:sz w:val="20"/>
                <w:lang w:val="fr-CA"/>
              </w:rPr>
              <w:noBreakHyphen/>
              <w:t>fonds, rétablie</w:t>
            </w:r>
          </w:p>
          <w:p w:rsidR="00F72419" w:rsidRPr="00096A4B" w:rsidRDefault="00F72419" w:rsidP="00970CF7">
            <w:pPr>
              <w:jc w:val="both"/>
              <w:rPr>
                <w:rFonts w:eastAsia="Calibri"/>
                <w:sz w:val="20"/>
                <w:lang w:val="fr-CA"/>
              </w:rPr>
            </w:pPr>
          </w:p>
        </w:tc>
      </w:tr>
      <w:tr w:rsidR="00F72419" w:rsidRPr="00643997" w:rsidTr="00970CF7">
        <w:tc>
          <w:tcPr>
            <w:tcW w:w="2427" w:type="pct"/>
          </w:tcPr>
          <w:p w:rsidR="00F72419" w:rsidRPr="00096A4B" w:rsidRDefault="00F72419" w:rsidP="00970CF7">
            <w:pPr>
              <w:jc w:val="both"/>
              <w:rPr>
                <w:rFonts w:eastAsia="Calibri"/>
                <w:sz w:val="20"/>
                <w:lang w:val="fr-CA"/>
              </w:rPr>
            </w:pPr>
            <w:r w:rsidRPr="00096A4B">
              <w:rPr>
                <w:rFonts w:eastAsia="Calibri"/>
                <w:sz w:val="20"/>
                <w:lang w:val="fr-CA"/>
              </w:rPr>
              <w:t>11 janvier 2012</w:t>
            </w:r>
          </w:p>
          <w:p w:rsidR="00F72419" w:rsidRPr="00096A4B" w:rsidRDefault="00F72419" w:rsidP="00970CF7">
            <w:pPr>
              <w:jc w:val="both"/>
              <w:rPr>
                <w:rFonts w:eastAsia="Calibri"/>
                <w:sz w:val="20"/>
                <w:lang w:val="fr-CA"/>
              </w:rPr>
            </w:pPr>
            <w:r w:rsidRPr="00096A4B">
              <w:rPr>
                <w:rFonts w:eastAsia="Calibri"/>
                <w:sz w:val="20"/>
                <w:lang w:val="fr-CA"/>
              </w:rPr>
              <w:t>Cour suprême du Canada</w:t>
            </w:r>
          </w:p>
        </w:tc>
        <w:tc>
          <w:tcPr>
            <w:tcW w:w="243"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Demande d’autorisation d’appel et requête en vue d’obtenir un sursis à l’exécution, déposées</w:t>
            </w:r>
          </w:p>
        </w:tc>
      </w:tr>
    </w:tbl>
    <w:p w:rsidR="00691AA0" w:rsidRPr="00F72419" w:rsidRDefault="00691AA0" w:rsidP="00691AA0">
      <w:pPr>
        <w:rPr>
          <w:sz w:val="20"/>
          <w:szCs w:val="20"/>
          <w:lang w:val="fr-CA"/>
        </w:rPr>
      </w:pPr>
    </w:p>
    <w:p w:rsidR="00691AA0" w:rsidRDefault="003B0427" w:rsidP="00691AA0">
      <w:pPr>
        <w:rPr>
          <w:sz w:val="20"/>
          <w:szCs w:val="20"/>
          <w:lang w:val="fr-CA"/>
        </w:rPr>
      </w:pPr>
      <w:r w:rsidRPr="003B0427">
        <w:rPr>
          <w:sz w:val="20"/>
          <w:szCs w:val="20"/>
          <w:lang w:val="fr-CA"/>
        </w:rPr>
        <w:pict>
          <v:rect id="_x0000_i1068"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50796" w:rsidRPr="00B9644F" w:rsidTr="004724AB">
        <w:trPr>
          <w:cantSplit/>
        </w:trPr>
        <w:tc>
          <w:tcPr>
            <w:tcW w:w="1458" w:type="dxa"/>
          </w:tcPr>
          <w:p w:rsidR="00950796" w:rsidRPr="00B9644F" w:rsidRDefault="00950796" w:rsidP="004724AB">
            <w:pPr>
              <w:rPr>
                <w:sz w:val="20"/>
                <w:szCs w:val="20"/>
              </w:rPr>
            </w:pPr>
            <w:r w:rsidRPr="00B9644F">
              <w:rPr>
                <w:rStyle w:val="SCCFileNumberChar"/>
                <w:sz w:val="20"/>
                <w:szCs w:val="20"/>
              </w:rPr>
              <w:lastRenderedPageBreak/>
              <w:t>34684</w:t>
            </w:r>
          </w:p>
          <w:p w:rsidR="00950796" w:rsidRPr="00B9644F" w:rsidRDefault="00950796" w:rsidP="004724AB">
            <w:pPr>
              <w:rPr>
                <w:b/>
                <w:sz w:val="20"/>
                <w:szCs w:val="20"/>
                <w:lang w:val="fr-CA"/>
              </w:rPr>
            </w:pPr>
          </w:p>
        </w:tc>
        <w:tc>
          <w:tcPr>
            <w:tcW w:w="8118" w:type="dxa"/>
          </w:tcPr>
          <w:p w:rsidR="00950796" w:rsidRPr="00B9644F" w:rsidRDefault="00950796" w:rsidP="00950796">
            <w:pPr>
              <w:jc w:val="both"/>
              <w:rPr>
                <w:sz w:val="20"/>
                <w:szCs w:val="20"/>
              </w:rPr>
            </w:pPr>
            <w:r w:rsidRPr="00950796">
              <w:rPr>
                <w:rStyle w:val="SCCLsocChar"/>
                <w:sz w:val="20"/>
                <w:szCs w:val="20"/>
                <w:lang w:val="en-CA"/>
              </w:rPr>
              <w:t>Naim Sawaged v. IPC (Investment Planning Counsel)</w:t>
            </w:r>
            <w:r w:rsidR="002A74E1">
              <w:rPr>
                <w:rStyle w:val="SCCLsocChar"/>
                <w:sz w:val="20"/>
                <w:szCs w:val="20"/>
                <w:lang w:val="en-CA"/>
              </w:rPr>
              <w:t xml:space="preserve"> and </w:t>
            </w:r>
            <w:r w:rsidRPr="00950796">
              <w:rPr>
                <w:rStyle w:val="SCCLsocChar"/>
                <w:sz w:val="20"/>
                <w:szCs w:val="20"/>
                <w:lang w:val="en-CA"/>
              </w:rPr>
              <w:t>Liberty International</w:t>
            </w:r>
            <w:r w:rsidRPr="00B9644F">
              <w:rPr>
                <w:sz w:val="20"/>
                <w:szCs w:val="20"/>
              </w:rPr>
              <w:t xml:space="preserve"> (Ont.) (Civil) (By Leave)</w:t>
            </w:r>
          </w:p>
          <w:p w:rsidR="00950796" w:rsidRPr="00B9644F" w:rsidRDefault="00950796" w:rsidP="004724AB">
            <w:pPr>
              <w:rPr>
                <w:sz w:val="20"/>
                <w:szCs w:val="20"/>
              </w:rPr>
            </w:pPr>
          </w:p>
        </w:tc>
      </w:tr>
      <w:tr w:rsidR="00950796" w:rsidRPr="00B9644F" w:rsidTr="004724AB">
        <w:trPr>
          <w:cantSplit/>
        </w:trPr>
        <w:tc>
          <w:tcPr>
            <w:tcW w:w="1458" w:type="dxa"/>
          </w:tcPr>
          <w:p w:rsidR="00950796" w:rsidRPr="00B9644F" w:rsidRDefault="00950796" w:rsidP="004724AB">
            <w:pPr>
              <w:rPr>
                <w:sz w:val="20"/>
                <w:szCs w:val="20"/>
              </w:rPr>
            </w:pPr>
            <w:r w:rsidRPr="00B9644F">
              <w:rPr>
                <w:sz w:val="20"/>
                <w:szCs w:val="20"/>
              </w:rPr>
              <w:t>Coram :</w:t>
            </w:r>
          </w:p>
        </w:tc>
        <w:tc>
          <w:tcPr>
            <w:tcW w:w="8118" w:type="dxa"/>
          </w:tcPr>
          <w:p w:rsidR="00950796" w:rsidRPr="00B9644F" w:rsidRDefault="00950796" w:rsidP="004724AB">
            <w:pPr>
              <w:rPr>
                <w:sz w:val="20"/>
                <w:szCs w:val="20"/>
              </w:rPr>
            </w:pPr>
            <w:r w:rsidRPr="00950796">
              <w:rPr>
                <w:rStyle w:val="SCCCoramChar"/>
                <w:sz w:val="20"/>
                <w:szCs w:val="20"/>
                <w:lang w:val="en-CA"/>
              </w:rPr>
              <w:t>McLachlin C.J. and Rothstein and Moldaver JJ.</w:t>
            </w:r>
          </w:p>
          <w:p w:rsidR="00950796" w:rsidRPr="00B9644F" w:rsidRDefault="00950796" w:rsidP="004724AB">
            <w:pPr>
              <w:rPr>
                <w:sz w:val="20"/>
                <w:szCs w:val="20"/>
                <w:u w:val="single"/>
              </w:rPr>
            </w:pPr>
          </w:p>
        </w:tc>
      </w:tr>
      <w:tr w:rsidR="00950796" w:rsidRPr="00643997" w:rsidTr="004724AB">
        <w:trPr>
          <w:cantSplit/>
        </w:trPr>
        <w:tc>
          <w:tcPr>
            <w:tcW w:w="9576" w:type="dxa"/>
            <w:gridSpan w:val="2"/>
          </w:tcPr>
          <w:p w:rsidR="00950796" w:rsidRPr="00B9644F" w:rsidRDefault="00950796" w:rsidP="004724AB">
            <w:pPr>
              <w:pStyle w:val="SCCShortJudgment"/>
              <w:rPr>
                <w:szCs w:val="20"/>
              </w:rPr>
            </w:pPr>
            <w:r w:rsidRPr="00B9644F">
              <w:rPr>
                <w:szCs w:val="20"/>
              </w:rPr>
              <w:t>The motion for an extension of time to serve and file the application for leave to appeal is granted. The application for leave to appeal from the judgment of the Court of Appeal for Ontario, Number C53202, 2011 ONCA 827, dated December 16, 2011, is dismissed with costs.</w:t>
            </w:r>
          </w:p>
          <w:p w:rsidR="00950796" w:rsidRPr="00B9644F" w:rsidRDefault="00950796" w:rsidP="004724AB">
            <w:pPr>
              <w:pStyle w:val="SCCShortJudgment"/>
              <w:ind w:firstLine="0"/>
              <w:rPr>
                <w:szCs w:val="20"/>
              </w:rPr>
            </w:pPr>
          </w:p>
          <w:p w:rsidR="00950796" w:rsidRPr="00B9644F" w:rsidRDefault="00950796" w:rsidP="004724AB">
            <w:pPr>
              <w:pStyle w:val="SCCShortJudgment"/>
              <w:rPr>
                <w:szCs w:val="20"/>
                <w:lang w:val="fr-CA"/>
              </w:rPr>
            </w:pPr>
            <w:r w:rsidRPr="00B9644F">
              <w:rPr>
                <w:szCs w:val="20"/>
                <w:lang w:val="fr-CA"/>
              </w:rPr>
              <w:t>La requête en prorogation du délai de signification et de dépôt de la demande d’autorisation d’appel est accueillie.  La demande d’autorisation d’appel de l’arrêt de la Cour d’appel de l’Ontario, numéro C53202, 2011 ONCA 827, daté du 16 décembre 2011, est rejetée avec dépens.</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419" w:rsidRPr="00096A4B" w:rsidTr="00970CF7">
        <w:tc>
          <w:tcPr>
            <w:tcW w:w="5000" w:type="pct"/>
            <w:gridSpan w:val="3"/>
          </w:tcPr>
          <w:p w:rsidR="00F72419" w:rsidRPr="00096A4B" w:rsidRDefault="00F72419" w:rsidP="00970CF7">
            <w:pPr>
              <w:jc w:val="both"/>
              <w:rPr>
                <w:rFonts w:eastAsia="Calibri"/>
                <w:sz w:val="20"/>
              </w:rPr>
            </w:pPr>
            <w:r w:rsidRPr="00096A4B">
              <w:rPr>
                <w:rFonts w:eastAsia="Calibri"/>
                <w:sz w:val="20"/>
              </w:rPr>
              <w:t>Employment law – Unjust dismissal – Insurance law – Professional liability insurance – Applicant’s former principal dismissing him after paying settlement to Applicant’s client – Applicant counterclaiming for damages – Applicant also making third party claim against insurer for denial of coverage of his professional liability insurance - Whether Applicant should be compensated for his loss of business, defamation and pain and suffering – Whether insurer should pay punitive damages for failing to stand by obligations in insurance policy – Whether lower courts properly applied the law</w:t>
            </w:r>
          </w:p>
        </w:tc>
      </w:tr>
      <w:tr w:rsidR="00F72419" w:rsidRPr="00096A4B" w:rsidTr="00970CF7">
        <w:tc>
          <w:tcPr>
            <w:tcW w:w="5000" w:type="pct"/>
            <w:gridSpan w:val="3"/>
          </w:tcPr>
          <w:p w:rsidR="00F72419" w:rsidRPr="00096A4B" w:rsidRDefault="00F72419" w:rsidP="00970CF7">
            <w:pPr>
              <w:jc w:val="both"/>
              <w:rPr>
                <w:rFonts w:eastAsia="Calibri"/>
                <w:sz w:val="20"/>
              </w:rPr>
            </w:pPr>
          </w:p>
        </w:tc>
      </w:tr>
      <w:tr w:rsidR="00F72419" w:rsidRPr="00096A4B" w:rsidTr="00970CF7">
        <w:tc>
          <w:tcPr>
            <w:tcW w:w="5000" w:type="pct"/>
            <w:gridSpan w:val="3"/>
          </w:tcPr>
          <w:p w:rsidR="00F72419" w:rsidRPr="00096A4B" w:rsidRDefault="00F72419" w:rsidP="00970CF7">
            <w:pPr>
              <w:jc w:val="both"/>
              <w:rPr>
                <w:color w:val="000000"/>
                <w:sz w:val="20"/>
              </w:rPr>
            </w:pPr>
            <w:r w:rsidRPr="00096A4B">
              <w:rPr>
                <w:color w:val="000000"/>
                <w:sz w:val="20"/>
              </w:rPr>
              <w:t xml:space="preserve">Mr. Sawaged was an agent with the IPC Investment Corporation (“IPC”), with a position as a financial advisor.  The Principal/Agent agreement between IPC and Mr. Sawaged, executed on June 26, 2002, provided that Mr. Sawaged would indemnify IPC during and after the term of the agreement.  In 1998, Mr. Sawaged had provided financial advice to Mr. and Mrs. Marjis to mortgage their home and to use that money to invest in the stock market.  For a while, the investments did well but when the market turned, the Marjis were left with approximately $100,000 in mortgage debt.  Following complaints about the advice received from Mr. Sawaged, IPC eventually settled with the Marjis for $75,000.  IPC then terminated Mr. Sawaged’s position and brought an action against him, seeking reimbursement of the amount of the settlement, relying on the indemnity clause in its agreement.  Mr. Sawaged counterclaimed against IPC for $750,000 in damages for loss of income, defamation, emotional distress and for interference in a business deal.  He also sued Liberty International Underwriter Canada (“Liberty”), the carrier of his professional liability insurance, for denying him coverage.  Liberty denied his claim because it alleged he had not complied with the obligation to properly notify it of the claim against him within the policy period. </w:t>
            </w: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December 20, 2010</w:t>
            </w:r>
          </w:p>
          <w:p w:rsidR="00F72419" w:rsidRPr="00096A4B" w:rsidRDefault="00F72419" w:rsidP="00970CF7">
            <w:pPr>
              <w:jc w:val="both"/>
              <w:rPr>
                <w:rFonts w:eastAsia="Calibri"/>
                <w:sz w:val="20"/>
              </w:rPr>
            </w:pPr>
            <w:r w:rsidRPr="00096A4B">
              <w:rPr>
                <w:rFonts w:eastAsia="Calibri"/>
                <w:sz w:val="20"/>
              </w:rPr>
              <w:t>Ontario Superior Court of Justice</w:t>
            </w:r>
          </w:p>
          <w:p w:rsidR="00F72419" w:rsidRPr="00096A4B" w:rsidRDefault="00F72419" w:rsidP="00970CF7">
            <w:pPr>
              <w:jc w:val="both"/>
              <w:rPr>
                <w:rFonts w:eastAsia="Calibri"/>
                <w:sz w:val="20"/>
              </w:rPr>
            </w:pPr>
            <w:r w:rsidRPr="00096A4B">
              <w:rPr>
                <w:rFonts w:eastAsia="Calibri"/>
                <w:sz w:val="20"/>
              </w:rPr>
              <w:t>(Trotter J.)</w:t>
            </w:r>
          </w:p>
          <w:p w:rsidR="00F72419" w:rsidRPr="00096A4B" w:rsidRDefault="00F72419" w:rsidP="00970CF7">
            <w:pPr>
              <w:jc w:val="both"/>
              <w:rPr>
                <w:rFonts w:eastAsia="Calibri"/>
                <w:sz w:val="20"/>
              </w:rPr>
            </w:pPr>
            <w:r w:rsidRPr="00096A4B">
              <w:rPr>
                <w:rFonts w:eastAsia="Calibri"/>
                <w:sz w:val="20"/>
              </w:rPr>
              <w:t>2010 ONSC 6611</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IPC’s action against Applicant dismissed; Applicant’s counter-claim and third party claim dismissed</w:t>
            </w:r>
          </w:p>
          <w:p w:rsidR="00F72419" w:rsidRPr="00096A4B" w:rsidRDefault="00F72419" w:rsidP="00970CF7">
            <w:pPr>
              <w:jc w:val="both"/>
              <w:rPr>
                <w:rFonts w:eastAsia="Calibri"/>
                <w:sz w:val="20"/>
              </w:rPr>
            </w:pP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December 16, 2011</w:t>
            </w:r>
          </w:p>
          <w:p w:rsidR="00F72419" w:rsidRPr="00096A4B" w:rsidRDefault="00F72419" w:rsidP="00970CF7">
            <w:pPr>
              <w:jc w:val="both"/>
              <w:rPr>
                <w:rFonts w:eastAsia="Calibri"/>
                <w:sz w:val="20"/>
              </w:rPr>
            </w:pPr>
            <w:r w:rsidRPr="00096A4B">
              <w:rPr>
                <w:rFonts w:eastAsia="Calibri"/>
                <w:sz w:val="20"/>
              </w:rPr>
              <w:t>Court of Appeal for Ontario</w:t>
            </w:r>
          </w:p>
          <w:p w:rsidR="00F72419" w:rsidRPr="00096A4B" w:rsidRDefault="00F72419" w:rsidP="00970CF7">
            <w:pPr>
              <w:jc w:val="both"/>
              <w:rPr>
                <w:rFonts w:eastAsia="Calibri"/>
                <w:sz w:val="20"/>
              </w:rPr>
            </w:pPr>
            <w:r w:rsidRPr="00096A4B">
              <w:rPr>
                <w:rFonts w:eastAsia="Calibri"/>
                <w:sz w:val="20"/>
              </w:rPr>
              <w:t>(O'Connor, Laskin and Cronk JJ.A.)</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Applicant’s appeal dismissed</w:t>
            </w: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February 20, 2012</w:t>
            </w:r>
          </w:p>
          <w:p w:rsidR="00F72419" w:rsidRPr="00096A4B" w:rsidRDefault="00F72419" w:rsidP="00970CF7">
            <w:pPr>
              <w:jc w:val="both"/>
              <w:rPr>
                <w:rFonts w:eastAsia="Calibri"/>
                <w:sz w:val="20"/>
              </w:rPr>
            </w:pPr>
            <w:r w:rsidRPr="00096A4B">
              <w:rPr>
                <w:rFonts w:eastAsia="Calibri"/>
                <w:sz w:val="20"/>
              </w:rPr>
              <w:t>Supreme Court of Canada</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Application for leave to appeal and motion for extention of time to serve and file application for leave to appeal filed</w:t>
            </w: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69"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lastRenderedPageBreak/>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72419" w:rsidRPr="00096A4B" w:rsidTr="00970CF7">
        <w:tc>
          <w:tcPr>
            <w:tcW w:w="5000" w:type="pct"/>
            <w:gridSpan w:val="3"/>
          </w:tcPr>
          <w:p w:rsidR="00F72419" w:rsidRPr="00096A4B" w:rsidRDefault="00F72419" w:rsidP="00970CF7">
            <w:pPr>
              <w:jc w:val="both"/>
              <w:rPr>
                <w:sz w:val="20"/>
                <w:lang w:val="fr-CA"/>
              </w:rPr>
            </w:pPr>
            <w:r w:rsidRPr="00096A4B">
              <w:rPr>
                <w:sz w:val="20"/>
                <w:lang w:val="fr-CA"/>
              </w:rPr>
              <w:t xml:space="preserve">Droit de l’emploi </w:t>
            </w:r>
            <w:r w:rsidRPr="00096A4B">
              <w:rPr>
                <w:sz w:val="20"/>
                <w:lang w:val="fr-CA"/>
              </w:rPr>
              <w:noBreakHyphen/>
              <w:t xml:space="preserve"> Congédiement injustifié </w:t>
            </w:r>
            <w:r w:rsidRPr="00096A4B">
              <w:rPr>
                <w:sz w:val="20"/>
                <w:lang w:val="fr-CA"/>
              </w:rPr>
              <w:noBreakHyphen/>
              <w:t xml:space="preserve"> Droit des assurances </w:t>
            </w:r>
            <w:r w:rsidRPr="00096A4B">
              <w:rPr>
                <w:sz w:val="20"/>
                <w:lang w:val="fr-CA"/>
              </w:rPr>
              <w:noBreakHyphen/>
              <w:t xml:space="preserve"> Assurance responsabilité professionnelle </w:t>
            </w:r>
            <w:r w:rsidRPr="00096A4B">
              <w:rPr>
                <w:sz w:val="20"/>
                <w:lang w:val="fr-CA"/>
              </w:rPr>
              <w:noBreakHyphen/>
              <w:t xml:space="preserve"> L’ancien mandant du demandeur l’a renvoyé après avoir versé une indemnité de règlement au client du demandeur </w:t>
            </w:r>
            <w:r w:rsidRPr="00096A4B">
              <w:rPr>
                <w:sz w:val="20"/>
                <w:lang w:val="fr-CA"/>
              </w:rPr>
              <w:noBreakHyphen/>
              <w:t xml:space="preserve"> Le demandeur a présenté une demande reconventionnelle en dommages</w:t>
            </w:r>
            <w:r w:rsidRPr="00096A4B">
              <w:rPr>
                <w:sz w:val="20"/>
                <w:lang w:val="fr-CA"/>
              </w:rPr>
              <w:noBreakHyphen/>
              <w:t xml:space="preserve">intérêts </w:t>
            </w:r>
            <w:r w:rsidRPr="00096A4B">
              <w:rPr>
                <w:sz w:val="20"/>
                <w:lang w:val="fr-CA"/>
              </w:rPr>
              <w:noBreakHyphen/>
              <w:t xml:space="preserve"> Le demandeur a également mis en cause l’assureur pour refus de couverture en vertu de son assurance responsabilité professionnelle </w:t>
            </w:r>
            <w:r w:rsidRPr="00096A4B">
              <w:rPr>
                <w:sz w:val="20"/>
                <w:lang w:val="fr-CA"/>
              </w:rPr>
              <w:noBreakHyphen/>
              <w:t xml:space="preserve"> Le demandeur devrait</w:t>
            </w:r>
            <w:r w:rsidRPr="00096A4B">
              <w:rPr>
                <w:sz w:val="20"/>
                <w:lang w:val="fr-CA"/>
              </w:rPr>
              <w:noBreakHyphen/>
              <w:t xml:space="preserve">il être indemnisé pour sa perte d’activités commerciales, diffamation, souffrances et douleurs? </w:t>
            </w:r>
            <w:r w:rsidRPr="00096A4B">
              <w:rPr>
                <w:sz w:val="20"/>
                <w:lang w:val="fr-CA"/>
              </w:rPr>
              <w:noBreakHyphen/>
              <w:t xml:space="preserve"> L’assureur devrait</w:t>
            </w:r>
            <w:r w:rsidRPr="00096A4B">
              <w:rPr>
                <w:sz w:val="20"/>
                <w:lang w:val="fr-CA"/>
              </w:rPr>
              <w:noBreakHyphen/>
              <w:t>il être condamné à des dommages</w:t>
            </w:r>
            <w:r w:rsidRPr="00096A4B">
              <w:rPr>
                <w:sz w:val="20"/>
                <w:lang w:val="fr-CA"/>
              </w:rPr>
              <w:noBreakHyphen/>
              <w:t xml:space="preserve">intérêts punitifs pour ne pas avoir honoré ses obligations aux termes d’un contrat d’assurance? </w:t>
            </w:r>
            <w:r w:rsidRPr="00096A4B">
              <w:rPr>
                <w:sz w:val="20"/>
                <w:lang w:val="fr-CA"/>
              </w:rPr>
              <w:noBreakHyphen/>
              <w:t xml:space="preserve"> Les juridictions inférieures ont</w:t>
            </w:r>
            <w:r w:rsidRPr="00096A4B">
              <w:rPr>
                <w:sz w:val="20"/>
                <w:lang w:val="fr-CA"/>
              </w:rPr>
              <w:noBreakHyphen/>
              <w:t>elles correctement appliqué le droit?</w:t>
            </w:r>
          </w:p>
        </w:tc>
      </w:tr>
      <w:tr w:rsidR="00F72419" w:rsidRPr="00096A4B" w:rsidTr="00970CF7">
        <w:tc>
          <w:tcPr>
            <w:tcW w:w="5000" w:type="pct"/>
            <w:gridSpan w:val="3"/>
          </w:tcPr>
          <w:p w:rsidR="00F72419" w:rsidRPr="00096A4B" w:rsidRDefault="00F72419" w:rsidP="00970CF7">
            <w:pPr>
              <w:jc w:val="both"/>
              <w:rPr>
                <w:sz w:val="20"/>
                <w:lang w:val="fr-CA"/>
              </w:rPr>
            </w:pPr>
          </w:p>
        </w:tc>
      </w:tr>
      <w:tr w:rsidR="00F72419" w:rsidRPr="00643997" w:rsidTr="00970CF7">
        <w:tc>
          <w:tcPr>
            <w:tcW w:w="5000" w:type="pct"/>
            <w:gridSpan w:val="3"/>
          </w:tcPr>
          <w:p w:rsidR="00F72419" w:rsidRPr="00096A4B" w:rsidRDefault="00F72419" w:rsidP="00970CF7">
            <w:pPr>
              <w:pStyle w:val="loose"/>
              <w:spacing w:before="0"/>
              <w:jc w:val="both"/>
              <w:rPr>
                <w:color w:val="000000"/>
                <w:sz w:val="20"/>
                <w:szCs w:val="20"/>
                <w:lang w:val="fr-CA"/>
              </w:rPr>
            </w:pPr>
            <w:r w:rsidRPr="00096A4B">
              <w:rPr>
                <w:color w:val="000000"/>
                <w:sz w:val="20"/>
                <w:szCs w:val="20"/>
                <w:lang w:val="fr-CA"/>
              </w:rPr>
              <w:t>Monsieur Sawaged était un agent d’IPC Investment Corporation (« IPC »), où il occupait un poste de conseiller financier.  En vertu du mandat qui liait IPC et M. Sawaged, signé le 26 juin 2002, M. Sawaged devait indemniser IPC pendant et après la durée du contrat.  En 1998, M. Sawaged avait fourni des conseils financiers à M. et Mme Marjis, leur conseillant d’hypothéquer leur maison et d’investir l’argent emprunté à la bourse.  Pendant un certain temps, les placements offraient un bon rendement, mais lorsque le marché a baissé, les Marjis se sont retrouvés avec une dette hypothécaire d’environ 100 000 $.  À la suite de plaintes concernant les conseils reçus de M. Sawaged, IPC a fini par conclure un règlement à l’amiable avec les Marjis pour la somme de 75 000 $.  IPC a ensuite renvoyé M. Sawaged et a intenté une action contre lui, lui demandant de rembourser le montant du règlement, s’appuyant sur la clause d’indemnisation de son contrat.  Monsieur Sawaged a intenté une demande reconventionnelle contre IPC réclamant la somme de 750 000 $ en dommages</w:t>
            </w:r>
            <w:r w:rsidRPr="00096A4B">
              <w:rPr>
                <w:color w:val="000000"/>
                <w:sz w:val="20"/>
                <w:szCs w:val="20"/>
                <w:lang w:val="fr-CA"/>
              </w:rPr>
              <w:noBreakHyphen/>
              <w:t xml:space="preserve">intérêts pour perte de revenus, diffamation, troubles émotionnels et ingérence dans une relation d’affaires.  Il a également poursuivi Liberty International Underwriter Canada (« Liberty »), l’assureur qui avait souscrit son assurance responsabilité professionnelle pour son refus de l’avoir indemnisé.  Liberty a rejeté sa demande d’indemnisation parce que selon elle, M. Sawaged n’avait pas respecté son obligation d’aviser l’assureur de la demande d’indemnisation contre lui pendant la durée du contrat d’assurance. </w:t>
            </w:r>
          </w:p>
          <w:p w:rsidR="00F72419" w:rsidRPr="00096A4B" w:rsidRDefault="00F72419" w:rsidP="00970CF7">
            <w:pPr>
              <w:jc w:val="both"/>
              <w:rPr>
                <w:sz w:val="20"/>
                <w:lang w:val="fr-CA"/>
              </w:rPr>
            </w:pPr>
          </w:p>
        </w:tc>
      </w:tr>
      <w:tr w:rsidR="00F72419" w:rsidRPr="00643997" w:rsidTr="00970CF7">
        <w:tc>
          <w:tcPr>
            <w:tcW w:w="2427" w:type="pct"/>
          </w:tcPr>
          <w:p w:rsidR="00F72419" w:rsidRPr="00096A4B" w:rsidRDefault="00F72419" w:rsidP="00970CF7">
            <w:pPr>
              <w:jc w:val="both"/>
              <w:rPr>
                <w:sz w:val="20"/>
                <w:lang w:val="fr-CA"/>
              </w:rPr>
            </w:pPr>
            <w:r w:rsidRPr="00096A4B">
              <w:rPr>
                <w:sz w:val="20"/>
                <w:lang w:val="fr-CA"/>
              </w:rPr>
              <w:t>20 décembre 2010</w:t>
            </w:r>
          </w:p>
          <w:p w:rsidR="00F72419" w:rsidRPr="00096A4B" w:rsidRDefault="00F72419" w:rsidP="00970CF7">
            <w:pPr>
              <w:jc w:val="both"/>
              <w:rPr>
                <w:sz w:val="20"/>
                <w:lang w:val="fr-CA"/>
              </w:rPr>
            </w:pPr>
            <w:r w:rsidRPr="00096A4B">
              <w:rPr>
                <w:sz w:val="20"/>
                <w:lang w:val="fr-CA"/>
              </w:rPr>
              <w:t xml:space="preserve">Cour supérieure de justice de l’Ontario </w:t>
            </w:r>
          </w:p>
          <w:p w:rsidR="00F72419" w:rsidRPr="00096A4B" w:rsidRDefault="00F72419" w:rsidP="00970CF7">
            <w:pPr>
              <w:jc w:val="both"/>
              <w:rPr>
                <w:sz w:val="20"/>
                <w:lang w:val="fr-CA"/>
              </w:rPr>
            </w:pPr>
            <w:r w:rsidRPr="00096A4B">
              <w:rPr>
                <w:sz w:val="20"/>
                <w:lang w:val="fr-CA"/>
              </w:rPr>
              <w:t>(Juge Trotter)</w:t>
            </w:r>
          </w:p>
          <w:p w:rsidR="00F72419" w:rsidRPr="00096A4B" w:rsidRDefault="00F72419" w:rsidP="00970CF7">
            <w:pPr>
              <w:jc w:val="both"/>
              <w:rPr>
                <w:sz w:val="20"/>
                <w:lang w:val="fr-CA"/>
              </w:rPr>
            </w:pPr>
            <w:r w:rsidRPr="00096A4B">
              <w:rPr>
                <w:sz w:val="20"/>
                <w:lang w:val="fr-CA"/>
              </w:rPr>
              <w:t>2010 ONSC 6611</w:t>
            </w:r>
          </w:p>
          <w:p w:rsidR="00F72419" w:rsidRPr="00096A4B" w:rsidRDefault="00F72419" w:rsidP="00970CF7">
            <w:pPr>
              <w:jc w:val="both"/>
              <w:rPr>
                <w:sz w:val="20"/>
                <w:lang w:val="fr-CA"/>
              </w:rPr>
            </w:pPr>
          </w:p>
        </w:tc>
        <w:tc>
          <w:tcPr>
            <w:tcW w:w="243" w:type="pct"/>
          </w:tcPr>
          <w:p w:rsidR="00F72419" w:rsidRPr="00096A4B" w:rsidRDefault="00F72419" w:rsidP="00970CF7">
            <w:pPr>
              <w:jc w:val="both"/>
              <w:rPr>
                <w:sz w:val="20"/>
                <w:lang w:val="fr-CA"/>
              </w:rPr>
            </w:pPr>
          </w:p>
        </w:tc>
        <w:tc>
          <w:tcPr>
            <w:tcW w:w="2330" w:type="pct"/>
          </w:tcPr>
          <w:p w:rsidR="00F72419" w:rsidRPr="00096A4B" w:rsidRDefault="00F72419" w:rsidP="00970CF7">
            <w:pPr>
              <w:jc w:val="both"/>
              <w:rPr>
                <w:sz w:val="20"/>
                <w:lang w:val="fr-CA"/>
              </w:rPr>
            </w:pPr>
            <w:r w:rsidRPr="00096A4B">
              <w:rPr>
                <w:sz w:val="20"/>
                <w:lang w:val="fr-CA"/>
              </w:rPr>
              <w:t>Action d’IPC contre le demandeur, rejetée; demandes reconventionnelle et de mise en cause du demandeur, rejetées</w:t>
            </w:r>
          </w:p>
          <w:p w:rsidR="00F72419" w:rsidRPr="00096A4B" w:rsidRDefault="00F72419" w:rsidP="00970CF7">
            <w:pPr>
              <w:jc w:val="both"/>
              <w:rPr>
                <w:sz w:val="20"/>
                <w:lang w:val="fr-CA"/>
              </w:rPr>
            </w:pPr>
          </w:p>
        </w:tc>
      </w:tr>
      <w:tr w:rsidR="00F72419" w:rsidRPr="00096A4B" w:rsidTr="00970CF7">
        <w:tc>
          <w:tcPr>
            <w:tcW w:w="2427" w:type="pct"/>
          </w:tcPr>
          <w:p w:rsidR="00F72419" w:rsidRPr="00096A4B" w:rsidRDefault="00F72419" w:rsidP="00970CF7">
            <w:pPr>
              <w:jc w:val="both"/>
              <w:rPr>
                <w:sz w:val="20"/>
                <w:lang w:val="fr-CA"/>
              </w:rPr>
            </w:pPr>
            <w:r w:rsidRPr="00096A4B">
              <w:rPr>
                <w:sz w:val="20"/>
                <w:lang w:val="fr-CA"/>
              </w:rPr>
              <w:t>16 décembre 2011</w:t>
            </w:r>
          </w:p>
          <w:p w:rsidR="00F72419" w:rsidRPr="00096A4B" w:rsidRDefault="00F72419" w:rsidP="00970CF7">
            <w:pPr>
              <w:jc w:val="both"/>
              <w:rPr>
                <w:sz w:val="20"/>
                <w:lang w:val="fr-CA"/>
              </w:rPr>
            </w:pPr>
            <w:r w:rsidRPr="00096A4B">
              <w:rPr>
                <w:sz w:val="20"/>
                <w:lang w:val="fr-CA"/>
              </w:rPr>
              <w:t xml:space="preserve">Cour d’appel de l’Ontario </w:t>
            </w:r>
          </w:p>
          <w:p w:rsidR="00F72419" w:rsidRPr="00096A4B" w:rsidRDefault="00F72419" w:rsidP="00970CF7">
            <w:pPr>
              <w:jc w:val="both"/>
              <w:rPr>
                <w:sz w:val="20"/>
                <w:lang w:val="fr-CA"/>
              </w:rPr>
            </w:pPr>
            <w:r w:rsidRPr="00096A4B">
              <w:rPr>
                <w:sz w:val="20"/>
                <w:lang w:val="fr-CA"/>
              </w:rPr>
              <w:t>(Juges O’Connor, Laskin et Cronk)</w:t>
            </w:r>
          </w:p>
          <w:p w:rsidR="00F72419" w:rsidRPr="00096A4B" w:rsidRDefault="00F72419" w:rsidP="00970CF7">
            <w:pPr>
              <w:jc w:val="both"/>
              <w:rPr>
                <w:sz w:val="20"/>
                <w:lang w:val="fr-CA"/>
              </w:rPr>
            </w:pPr>
          </w:p>
        </w:tc>
        <w:tc>
          <w:tcPr>
            <w:tcW w:w="243" w:type="pct"/>
          </w:tcPr>
          <w:p w:rsidR="00F72419" w:rsidRPr="00096A4B" w:rsidRDefault="00F72419" w:rsidP="00970CF7">
            <w:pPr>
              <w:jc w:val="both"/>
              <w:rPr>
                <w:sz w:val="20"/>
                <w:lang w:val="fr-CA"/>
              </w:rPr>
            </w:pPr>
          </w:p>
        </w:tc>
        <w:tc>
          <w:tcPr>
            <w:tcW w:w="2330" w:type="pct"/>
          </w:tcPr>
          <w:p w:rsidR="00F72419" w:rsidRPr="00096A4B" w:rsidRDefault="00F72419" w:rsidP="00970CF7">
            <w:pPr>
              <w:jc w:val="both"/>
              <w:rPr>
                <w:sz w:val="20"/>
                <w:lang w:val="fr-CA"/>
              </w:rPr>
            </w:pPr>
            <w:r w:rsidRPr="00096A4B">
              <w:rPr>
                <w:sz w:val="20"/>
                <w:lang w:val="fr-CA"/>
              </w:rPr>
              <w:t>Appel du demandeur, rejeté</w:t>
            </w:r>
          </w:p>
        </w:tc>
      </w:tr>
      <w:tr w:rsidR="00F72419" w:rsidRPr="00643997" w:rsidTr="00970CF7">
        <w:tc>
          <w:tcPr>
            <w:tcW w:w="2427" w:type="pct"/>
          </w:tcPr>
          <w:p w:rsidR="00F72419" w:rsidRPr="00096A4B" w:rsidRDefault="00F72419" w:rsidP="00970CF7">
            <w:pPr>
              <w:jc w:val="both"/>
              <w:rPr>
                <w:sz w:val="20"/>
                <w:lang w:val="fr-CA"/>
              </w:rPr>
            </w:pPr>
            <w:r w:rsidRPr="00096A4B">
              <w:rPr>
                <w:sz w:val="20"/>
                <w:lang w:val="fr-CA"/>
              </w:rPr>
              <w:t>20 février 2012</w:t>
            </w:r>
          </w:p>
          <w:p w:rsidR="00F72419" w:rsidRPr="00096A4B" w:rsidRDefault="00F72419" w:rsidP="00970CF7">
            <w:pPr>
              <w:jc w:val="both"/>
              <w:rPr>
                <w:sz w:val="20"/>
                <w:lang w:val="fr-CA"/>
              </w:rPr>
            </w:pPr>
            <w:r w:rsidRPr="00096A4B">
              <w:rPr>
                <w:sz w:val="20"/>
                <w:lang w:val="fr-CA"/>
              </w:rPr>
              <w:t>Cour suprême du Canada</w:t>
            </w:r>
          </w:p>
          <w:p w:rsidR="00F72419" w:rsidRPr="00096A4B" w:rsidRDefault="00F72419" w:rsidP="00970CF7">
            <w:pPr>
              <w:jc w:val="both"/>
              <w:rPr>
                <w:sz w:val="20"/>
                <w:lang w:val="fr-CA"/>
              </w:rPr>
            </w:pPr>
          </w:p>
        </w:tc>
        <w:tc>
          <w:tcPr>
            <w:tcW w:w="243" w:type="pct"/>
          </w:tcPr>
          <w:p w:rsidR="00F72419" w:rsidRPr="00096A4B" w:rsidRDefault="00F72419" w:rsidP="00970CF7">
            <w:pPr>
              <w:jc w:val="both"/>
              <w:rPr>
                <w:sz w:val="20"/>
                <w:lang w:val="fr-CA"/>
              </w:rPr>
            </w:pPr>
          </w:p>
        </w:tc>
        <w:tc>
          <w:tcPr>
            <w:tcW w:w="2330" w:type="pct"/>
          </w:tcPr>
          <w:p w:rsidR="00F72419" w:rsidRPr="00096A4B" w:rsidRDefault="00F72419" w:rsidP="00970CF7">
            <w:pPr>
              <w:jc w:val="both"/>
              <w:rPr>
                <w:sz w:val="20"/>
                <w:lang w:val="fr-CA"/>
              </w:rPr>
            </w:pPr>
            <w:r w:rsidRPr="00096A4B">
              <w:rPr>
                <w:sz w:val="20"/>
                <w:lang w:val="fr-CA"/>
              </w:rPr>
              <w:t>Demande d’autorisation d’appel et requête en prorogation du délai de signification et de dépôt de la demande d’autorisation d’appel, déposées</w:t>
            </w:r>
          </w:p>
        </w:tc>
      </w:tr>
    </w:tbl>
    <w:p w:rsidR="00691AA0" w:rsidRPr="00F72419" w:rsidRDefault="00691AA0" w:rsidP="00691AA0">
      <w:pPr>
        <w:rPr>
          <w:sz w:val="20"/>
          <w:szCs w:val="20"/>
          <w:lang w:val="fr-CA"/>
        </w:rPr>
      </w:pPr>
    </w:p>
    <w:p w:rsidR="00691AA0" w:rsidRDefault="003B0427" w:rsidP="00691AA0">
      <w:pPr>
        <w:rPr>
          <w:sz w:val="20"/>
          <w:szCs w:val="20"/>
          <w:lang w:val="fr-CA"/>
        </w:rPr>
      </w:pPr>
      <w:r w:rsidRPr="003B0427">
        <w:rPr>
          <w:sz w:val="20"/>
          <w:szCs w:val="20"/>
          <w:lang w:val="fr-CA"/>
        </w:rPr>
        <w:pict>
          <v:rect id="_x0000_i1070" style="width:2in;height:1pt" o:hrpct="0" o:hralign="center" o:hrstd="t" o:hrnoshade="t" o:hr="t" fillcolor="black [3213]" stroked="f"/>
        </w:pict>
      </w:r>
    </w:p>
    <w:p w:rsidR="00691AA0" w:rsidRDefault="00691AA0" w:rsidP="00691AA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50796" w:rsidRPr="00B9644F" w:rsidTr="004724AB">
        <w:trPr>
          <w:cantSplit/>
        </w:trPr>
        <w:tc>
          <w:tcPr>
            <w:tcW w:w="1458" w:type="dxa"/>
          </w:tcPr>
          <w:p w:rsidR="00950796" w:rsidRPr="00B9644F" w:rsidRDefault="00950796" w:rsidP="004724AB">
            <w:pPr>
              <w:rPr>
                <w:sz w:val="20"/>
                <w:szCs w:val="20"/>
              </w:rPr>
            </w:pPr>
            <w:r w:rsidRPr="00B9644F">
              <w:rPr>
                <w:rStyle w:val="SCCFileNumberChar"/>
                <w:sz w:val="20"/>
                <w:szCs w:val="20"/>
              </w:rPr>
              <w:t>34703</w:t>
            </w:r>
          </w:p>
          <w:p w:rsidR="00950796" w:rsidRPr="00B9644F" w:rsidRDefault="00950796" w:rsidP="004724AB">
            <w:pPr>
              <w:rPr>
                <w:b/>
                <w:sz w:val="20"/>
                <w:szCs w:val="20"/>
                <w:lang w:val="fr-CA"/>
              </w:rPr>
            </w:pPr>
          </w:p>
        </w:tc>
        <w:tc>
          <w:tcPr>
            <w:tcW w:w="8118" w:type="dxa"/>
          </w:tcPr>
          <w:p w:rsidR="00950796" w:rsidRPr="00B9644F" w:rsidRDefault="00950796" w:rsidP="00950796">
            <w:pPr>
              <w:jc w:val="both"/>
              <w:rPr>
                <w:sz w:val="20"/>
                <w:szCs w:val="20"/>
              </w:rPr>
            </w:pPr>
            <w:r w:rsidRPr="00950796">
              <w:rPr>
                <w:rStyle w:val="SCCLsocChar"/>
                <w:sz w:val="20"/>
                <w:szCs w:val="20"/>
                <w:lang w:val="en-CA"/>
              </w:rPr>
              <w:t>K.S. v. CAS of the Regional Municipality of Waterloo, C.B.</w:t>
            </w:r>
            <w:r w:rsidR="00D76406">
              <w:rPr>
                <w:rStyle w:val="SCCLsocChar"/>
                <w:sz w:val="20"/>
                <w:szCs w:val="20"/>
                <w:lang w:val="en-CA"/>
              </w:rPr>
              <w:t xml:space="preserve"> and</w:t>
            </w:r>
            <w:r w:rsidRPr="00950796">
              <w:rPr>
                <w:rStyle w:val="SCCLsocChar"/>
                <w:sz w:val="20"/>
                <w:szCs w:val="20"/>
                <w:lang w:val="en-CA"/>
              </w:rPr>
              <w:t xml:space="preserve"> Children's Lawyer, Henry Shields</w:t>
            </w:r>
            <w:r w:rsidRPr="00B9644F">
              <w:rPr>
                <w:sz w:val="20"/>
                <w:szCs w:val="20"/>
              </w:rPr>
              <w:t xml:space="preserve"> (Ont.) (Civil) (By Leave)</w:t>
            </w:r>
          </w:p>
          <w:p w:rsidR="00950796" w:rsidRPr="00B9644F" w:rsidRDefault="00950796" w:rsidP="004724AB">
            <w:pPr>
              <w:rPr>
                <w:sz w:val="20"/>
                <w:szCs w:val="20"/>
              </w:rPr>
            </w:pPr>
          </w:p>
        </w:tc>
      </w:tr>
      <w:tr w:rsidR="00950796" w:rsidRPr="00B9644F" w:rsidTr="004724AB">
        <w:trPr>
          <w:cantSplit/>
        </w:trPr>
        <w:tc>
          <w:tcPr>
            <w:tcW w:w="1458" w:type="dxa"/>
          </w:tcPr>
          <w:p w:rsidR="00950796" w:rsidRPr="00B9644F" w:rsidRDefault="00950796" w:rsidP="004724AB">
            <w:pPr>
              <w:rPr>
                <w:sz w:val="20"/>
                <w:szCs w:val="20"/>
              </w:rPr>
            </w:pPr>
            <w:r w:rsidRPr="00B9644F">
              <w:rPr>
                <w:sz w:val="20"/>
                <w:szCs w:val="20"/>
              </w:rPr>
              <w:t>Coram :</w:t>
            </w:r>
          </w:p>
        </w:tc>
        <w:tc>
          <w:tcPr>
            <w:tcW w:w="8118" w:type="dxa"/>
          </w:tcPr>
          <w:p w:rsidR="00950796" w:rsidRPr="00B9644F" w:rsidRDefault="00950796" w:rsidP="004724AB">
            <w:pPr>
              <w:rPr>
                <w:sz w:val="20"/>
                <w:szCs w:val="20"/>
              </w:rPr>
            </w:pPr>
            <w:r w:rsidRPr="00950796">
              <w:rPr>
                <w:rStyle w:val="SCCCoramChar"/>
                <w:sz w:val="20"/>
                <w:szCs w:val="20"/>
                <w:lang w:val="en-CA"/>
              </w:rPr>
              <w:t>McLachlin C.J. and Rothstein and Moldaver JJ.</w:t>
            </w:r>
          </w:p>
          <w:p w:rsidR="00950796" w:rsidRPr="00B9644F" w:rsidRDefault="00950796" w:rsidP="004724AB">
            <w:pPr>
              <w:rPr>
                <w:sz w:val="20"/>
                <w:szCs w:val="20"/>
                <w:u w:val="single"/>
              </w:rPr>
            </w:pPr>
          </w:p>
        </w:tc>
      </w:tr>
      <w:tr w:rsidR="00950796" w:rsidRPr="00643997" w:rsidTr="0062747A">
        <w:tc>
          <w:tcPr>
            <w:tcW w:w="9576" w:type="dxa"/>
            <w:gridSpan w:val="2"/>
          </w:tcPr>
          <w:p w:rsidR="00950796" w:rsidRPr="00B9644F" w:rsidRDefault="00950796" w:rsidP="004724AB">
            <w:pPr>
              <w:pStyle w:val="SCCShortJudgment"/>
              <w:rPr>
                <w:szCs w:val="20"/>
              </w:rPr>
            </w:pPr>
            <w:r w:rsidRPr="00B9644F">
              <w:rPr>
                <w:szCs w:val="20"/>
              </w:rPr>
              <w:t>The motion for an extension of time to serve and file the application for leave to appeal is granted. The application for leave to appeal from the judgment of the Court of Appeal for Ontario, Number C54238, 2011 ONCA 781, dated December 12, 2011, is dismissed with costs to the respondent Children’s Aid Society of the Regional Municipality of Waterloo.</w:t>
            </w:r>
          </w:p>
          <w:p w:rsidR="00950796" w:rsidRPr="00B9644F" w:rsidRDefault="00950796" w:rsidP="004724AB">
            <w:pPr>
              <w:pStyle w:val="SCCShortJudgment"/>
              <w:ind w:firstLine="0"/>
              <w:rPr>
                <w:szCs w:val="20"/>
              </w:rPr>
            </w:pPr>
          </w:p>
          <w:p w:rsidR="00950796" w:rsidRPr="00B9644F" w:rsidRDefault="00950796" w:rsidP="0062747A">
            <w:pPr>
              <w:pStyle w:val="SCCShortJudgment"/>
              <w:rPr>
                <w:szCs w:val="20"/>
                <w:lang w:val="fr-CA"/>
              </w:rPr>
            </w:pPr>
            <w:r w:rsidRPr="00B9644F">
              <w:rPr>
                <w:szCs w:val="20"/>
                <w:lang w:val="fr-CA"/>
              </w:rPr>
              <w:lastRenderedPageBreak/>
              <w:t>La requête en prorogation du délai de signification et de dépôt de la demande d’autorisation d’appel est accueillie. La demande d’autorisation d’appel de l’arrêt de la Cour d’appel de l’Ontario, numéro C54238, 2011 ONCA 781, daté du 12 décembre 2011, est rejeté avec dépens en faveur de l’intimée Children’s Aid Society of the Regional Municipality of Waterloo.</w:t>
            </w:r>
          </w:p>
        </w:tc>
      </w:tr>
    </w:tbl>
    <w:p w:rsidR="00691AA0" w:rsidRPr="00691AA0" w:rsidRDefault="00691AA0" w:rsidP="00691AA0">
      <w:pPr>
        <w:rPr>
          <w:sz w:val="20"/>
          <w:szCs w:val="20"/>
          <w:lang w:val="fr-CA"/>
        </w:rPr>
      </w:pPr>
    </w:p>
    <w:p w:rsidR="00691AA0" w:rsidRPr="001B157C" w:rsidRDefault="00691AA0" w:rsidP="00691AA0">
      <w:pPr>
        <w:rPr>
          <w:sz w:val="20"/>
          <w:szCs w:val="20"/>
          <w:u w:val="single"/>
        </w:rPr>
      </w:pPr>
      <w:r w:rsidRPr="001B157C">
        <w:rPr>
          <w:sz w:val="20"/>
          <w:szCs w:val="20"/>
          <w:u w:val="single"/>
        </w:rPr>
        <w:t>CASE SUMMARY</w:t>
      </w:r>
    </w:p>
    <w:p w:rsidR="00691AA0" w:rsidRDefault="00691AA0" w:rsidP="00691AA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419" w:rsidRPr="00096A4B" w:rsidTr="00970CF7">
        <w:tc>
          <w:tcPr>
            <w:tcW w:w="5000" w:type="pct"/>
            <w:gridSpan w:val="3"/>
          </w:tcPr>
          <w:p w:rsidR="00F72419" w:rsidRPr="00096A4B" w:rsidRDefault="00F72419" w:rsidP="00970CF7">
            <w:pPr>
              <w:jc w:val="both"/>
              <w:rPr>
                <w:rFonts w:eastAsia="Calibri"/>
                <w:smallCaps/>
                <w:sz w:val="20"/>
              </w:rPr>
            </w:pPr>
            <w:r w:rsidRPr="00096A4B">
              <w:rPr>
                <w:rFonts w:eastAsia="Calibri"/>
                <w:smallCaps/>
                <w:sz w:val="20"/>
              </w:rPr>
              <w:t>(Publication Ban in Case) (Publication Ban on Party) (Court File Contains Information that is not Available for Inspection by the Public)</w:t>
            </w:r>
          </w:p>
          <w:p w:rsidR="00F72419" w:rsidRPr="00096A4B" w:rsidRDefault="00F72419" w:rsidP="00970CF7">
            <w:pPr>
              <w:jc w:val="both"/>
              <w:rPr>
                <w:rFonts w:eastAsia="Calibri"/>
                <w:sz w:val="20"/>
              </w:rPr>
            </w:pPr>
          </w:p>
          <w:p w:rsidR="00F72419" w:rsidRPr="00096A4B" w:rsidRDefault="00F72419" w:rsidP="00970CF7">
            <w:pPr>
              <w:jc w:val="both"/>
              <w:rPr>
                <w:rFonts w:eastAsia="Calibri"/>
                <w:sz w:val="20"/>
              </w:rPr>
            </w:pPr>
            <w:r w:rsidRPr="00096A4B">
              <w:rPr>
                <w:rFonts w:eastAsia="Calibri"/>
                <w:i/>
                <w:sz w:val="20"/>
              </w:rPr>
              <w:t>Charter of Rights</w:t>
            </w:r>
            <w:r w:rsidRPr="00096A4B">
              <w:rPr>
                <w:rFonts w:eastAsia="Calibri"/>
                <w:sz w:val="20"/>
              </w:rPr>
              <w:t xml:space="preserve"> –Right to fair hearing - Judgments and orders – Summary judgment - Status review order regarding Applicant’s children expiring – Respondents’ moving for summary judgment of mother’s appeal – Whether Applicant and her children were given a fair hearing under the </w:t>
            </w:r>
            <w:r w:rsidRPr="00096A4B">
              <w:rPr>
                <w:rFonts w:eastAsia="Calibri"/>
                <w:i/>
                <w:sz w:val="20"/>
              </w:rPr>
              <w:t>Charter</w:t>
            </w:r>
            <w:r w:rsidRPr="00096A4B">
              <w:rPr>
                <w:rFonts w:eastAsia="Calibri"/>
                <w:sz w:val="20"/>
              </w:rPr>
              <w:t xml:space="preserve">  and </w:t>
            </w:r>
            <w:r w:rsidRPr="00096A4B">
              <w:rPr>
                <w:rFonts w:eastAsia="Calibri"/>
                <w:i/>
                <w:sz w:val="20"/>
              </w:rPr>
              <w:t>Canadian Bill of Rights</w:t>
            </w:r>
            <w:r w:rsidRPr="00096A4B">
              <w:rPr>
                <w:rFonts w:eastAsia="Calibri"/>
                <w:sz w:val="20"/>
              </w:rPr>
              <w:t xml:space="preserve"> in accordance with principles of fundamental justice</w:t>
            </w:r>
          </w:p>
        </w:tc>
      </w:tr>
      <w:tr w:rsidR="00F72419" w:rsidRPr="00096A4B" w:rsidTr="00970CF7">
        <w:tc>
          <w:tcPr>
            <w:tcW w:w="5000" w:type="pct"/>
            <w:gridSpan w:val="3"/>
          </w:tcPr>
          <w:p w:rsidR="00F72419" w:rsidRPr="00096A4B" w:rsidRDefault="00F72419" w:rsidP="00970CF7">
            <w:pPr>
              <w:jc w:val="both"/>
              <w:rPr>
                <w:rFonts w:eastAsia="Calibri"/>
                <w:sz w:val="20"/>
              </w:rPr>
            </w:pPr>
          </w:p>
        </w:tc>
      </w:tr>
      <w:tr w:rsidR="00F72419" w:rsidRPr="00096A4B" w:rsidTr="00970CF7">
        <w:tc>
          <w:tcPr>
            <w:tcW w:w="5000" w:type="pct"/>
            <w:gridSpan w:val="3"/>
          </w:tcPr>
          <w:p w:rsidR="00F72419" w:rsidRPr="00096A4B" w:rsidRDefault="00F72419" w:rsidP="00970CF7">
            <w:pPr>
              <w:jc w:val="both"/>
              <w:rPr>
                <w:rFonts w:eastAsia="Calibri"/>
                <w:sz w:val="20"/>
              </w:rPr>
            </w:pPr>
            <w:r w:rsidRPr="00096A4B">
              <w:rPr>
                <w:rFonts w:eastAsia="Calibri"/>
                <w:sz w:val="20"/>
              </w:rPr>
              <w:t>The Applicant’s two children were apprehended from her care on August 10, 2006 and were subsequently placed in the care of their father.  Her access was terminated on May 23, 2007 by court order and she has not had access to them since that time.  On August 3, 2007, the children were found to be in need of protection and were placed in the care of their father, under supervision.  The mother’s appeals to the Divisional Court and the Court of Appeal were unsuccessful.  A status review of those orders led to a 45 day trial in which the previous orders were upheld on July 14, 2010.  After that order expired, The Children’s Aid Society brought another status review before the Ontario Court of Justice.  The mother appealed the expired order.</w:t>
            </w: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August 4, 2011</w:t>
            </w:r>
          </w:p>
          <w:p w:rsidR="00F72419" w:rsidRPr="00096A4B" w:rsidRDefault="00F72419" w:rsidP="00970CF7">
            <w:pPr>
              <w:jc w:val="both"/>
              <w:rPr>
                <w:rFonts w:eastAsia="Calibri"/>
                <w:sz w:val="20"/>
              </w:rPr>
            </w:pPr>
            <w:r w:rsidRPr="00096A4B">
              <w:rPr>
                <w:rFonts w:eastAsia="Calibri"/>
                <w:sz w:val="20"/>
              </w:rPr>
              <w:t>Ontario Superior Court of Justice</w:t>
            </w:r>
          </w:p>
          <w:p w:rsidR="00F72419" w:rsidRPr="00096A4B" w:rsidRDefault="00F72419" w:rsidP="00970CF7">
            <w:pPr>
              <w:jc w:val="both"/>
              <w:rPr>
                <w:rFonts w:eastAsia="Calibri"/>
                <w:sz w:val="20"/>
              </w:rPr>
            </w:pPr>
            <w:r w:rsidRPr="00096A4B">
              <w:rPr>
                <w:rFonts w:eastAsia="Calibri"/>
                <w:sz w:val="20"/>
              </w:rPr>
              <w:t>(Taliano J.)</w:t>
            </w:r>
          </w:p>
          <w:p w:rsidR="00F72419" w:rsidRPr="00096A4B" w:rsidRDefault="00F72419" w:rsidP="00970CF7">
            <w:pPr>
              <w:jc w:val="both"/>
              <w:rPr>
                <w:rFonts w:eastAsia="Calibri"/>
                <w:sz w:val="20"/>
              </w:rPr>
            </w:pPr>
            <w:r w:rsidRPr="00096A4B">
              <w:rPr>
                <w:rFonts w:eastAsia="Calibri"/>
                <w:sz w:val="20"/>
              </w:rPr>
              <w:t>Unreported</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Respondents’ motion for summary judgment granted; Applicant’s motions dismissed</w:t>
            </w: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December 12, 2011</w:t>
            </w:r>
          </w:p>
          <w:p w:rsidR="00F72419" w:rsidRPr="00096A4B" w:rsidRDefault="00F72419" w:rsidP="00970CF7">
            <w:pPr>
              <w:jc w:val="both"/>
              <w:rPr>
                <w:rFonts w:eastAsia="Calibri"/>
                <w:sz w:val="20"/>
              </w:rPr>
            </w:pPr>
            <w:r w:rsidRPr="00096A4B">
              <w:rPr>
                <w:rFonts w:eastAsia="Calibri"/>
                <w:sz w:val="20"/>
              </w:rPr>
              <w:t>Court of Appeal for Ontario</w:t>
            </w:r>
          </w:p>
          <w:p w:rsidR="00F72419" w:rsidRPr="00096A4B" w:rsidRDefault="00F72419" w:rsidP="00970CF7">
            <w:pPr>
              <w:jc w:val="both"/>
              <w:rPr>
                <w:rFonts w:eastAsia="Calibri"/>
                <w:sz w:val="20"/>
              </w:rPr>
            </w:pPr>
            <w:r w:rsidRPr="00096A4B">
              <w:rPr>
                <w:rFonts w:eastAsia="Calibri"/>
                <w:sz w:val="20"/>
              </w:rPr>
              <w:t>(O'Connor, Laskin and Cronk JJ.A.)</w:t>
            </w:r>
          </w:p>
          <w:p w:rsidR="00F72419" w:rsidRPr="00096A4B" w:rsidRDefault="00F72419" w:rsidP="00970CF7">
            <w:pPr>
              <w:jc w:val="both"/>
              <w:rPr>
                <w:rFonts w:eastAsia="Calibri"/>
                <w:sz w:val="20"/>
              </w:rPr>
            </w:pPr>
            <w:r w:rsidRPr="00096A4B">
              <w:rPr>
                <w:rFonts w:eastAsia="Calibri"/>
                <w:sz w:val="20"/>
              </w:rPr>
              <w:t>2011 ONCA 781</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Appeal dismissed</w:t>
            </w:r>
          </w:p>
          <w:p w:rsidR="00F72419" w:rsidRPr="00096A4B" w:rsidRDefault="00F72419" w:rsidP="00970CF7">
            <w:pPr>
              <w:jc w:val="both"/>
              <w:rPr>
                <w:rFonts w:eastAsia="Calibri"/>
                <w:sz w:val="20"/>
              </w:rPr>
            </w:pPr>
          </w:p>
        </w:tc>
      </w:tr>
      <w:tr w:rsidR="00F72419" w:rsidRPr="00096A4B" w:rsidTr="00970CF7">
        <w:tc>
          <w:tcPr>
            <w:tcW w:w="2427" w:type="pct"/>
          </w:tcPr>
          <w:p w:rsidR="00F72419" w:rsidRPr="00096A4B" w:rsidRDefault="00F72419" w:rsidP="00970CF7">
            <w:pPr>
              <w:jc w:val="both"/>
              <w:rPr>
                <w:rFonts w:eastAsia="Calibri"/>
                <w:sz w:val="20"/>
              </w:rPr>
            </w:pPr>
            <w:r w:rsidRPr="00096A4B">
              <w:rPr>
                <w:rFonts w:eastAsia="Calibri"/>
                <w:sz w:val="20"/>
              </w:rPr>
              <w:t>February 21, 2012</w:t>
            </w:r>
          </w:p>
          <w:p w:rsidR="00F72419" w:rsidRPr="00096A4B" w:rsidRDefault="00F72419" w:rsidP="00970CF7">
            <w:pPr>
              <w:jc w:val="both"/>
              <w:rPr>
                <w:rFonts w:eastAsia="Calibri"/>
                <w:sz w:val="20"/>
              </w:rPr>
            </w:pPr>
            <w:r w:rsidRPr="00096A4B">
              <w:rPr>
                <w:rFonts w:eastAsia="Calibri"/>
                <w:sz w:val="20"/>
              </w:rPr>
              <w:t>Supreme Court of Canada</w:t>
            </w:r>
          </w:p>
          <w:p w:rsidR="00F72419" w:rsidRPr="00096A4B" w:rsidRDefault="00F72419" w:rsidP="00970CF7">
            <w:pPr>
              <w:jc w:val="both"/>
              <w:rPr>
                <w:rFonts w:eastAsia="Calibri"/>
                <w:sz w:val="20"/>
              </w:rPr>
            </w:pPr>
          </w:p>
        </w:tc>
        <w:tc>
          <w:tcPr>
            <w:tcW w:w="243" w:type="pct"/>
          </w:tcPr>
          <w:p w:rsidR="00F72419" w:rsidRPr="00096A4B" w:rsidRDefault="00F72419" w:rsidP="00970CF7">
            <w:pPr>
              <w:jc w:val="both"/>
              <w:rPr>
                <w:rFonts w:eastAsia="Calibri"/>
                <w:sz w:val="20"/>
              </w:rPr>
            </w:pPr>
          </w:p>
        </w:tc>
        <w:tc>
          <w:tcPr>
            <w:tcW w:w="2330" w:type="pct"/>
          </w:tcPr>
          <w:p w:rsidR="00F72419" w:rsidRPr="00096A4B" w:rsidRDefault="00F72419" w:rsidP="00970CF7">
            <w:pPr>
              <w:jc w:val="both"/>
              <w:rPr>
                <w:rFonts w:eastAsia="Calibri"/>
                <w:sz w:val="20"/>
              </w:rPr>
            </w:pPr>
            <w:r w:rsidRPr="00096A4B">
              <w:rPr>
                <w:rFonts w:eastAsia="Calibri"/>
                <w:sz w:val="20"/>
              </w:rPr>
              <w:t>Application for leave to appeal filed and motion for extension of time in which to serve and file the application for leave to appeal filed</w:t>
            </w:r>
          </w:p>
        </w:tc>
      </w:tr>
    </w:tbl>
    <w:p w:rsidR="00691AA0" w:rsidRDefault="00691AA0" w:rsidP="00691AA0">
      <w:pPr>
        <w:rPr>
          <w:sz w:val="20"/>
          <w:szCs w:val="20"/>
        </w:rPr>
      </w:pPr>
    </w:p>
    <w:p w:rsidR="00691AA0" w:rsidRPr="00C50A5C" w:rsidRDefault="003B0427" w:rsidP="00691AA0">
      <w:pPr>
        <w:rPr>
          <w:sz w:val="20"/>
          <w:szCs w:val="20"/>
        </w:rPr>
      </w:pPr>
      <w:r w:rsidRPr="003B0427">
        <w:rPr>
          <w:sz w:val="20"/>
          <w:szCs w:val="20"/>
          <w:lang w:val="fr-CA"/>
        </w:rPr>
        <w:pict>
          <v:rect id="_x0000_i1071" style="width:2in;height:1pt" o:hrpct="0" o:hralign="center" o:hrstd="t" o:hrnoshade="t" o:hr="t" fillcolor="black [3213]" stroked="f"/>
        </w:pict>
      </w:r>
    </w:p>
    <w:p w:rsidR="00691AA0" w:rsidRDefault="00691AA0" w:rsidP="00691AA0">
      <w:pPr>
        <w:rPr>
          <w:sz w:val="20"/>
          <w:szCs w:val="20"/>
        </w:rPr>
      </w:pPr>
    </w:p>
    <w:p w:rsidR="00691AA0" w:rsidRPr="001B157C" w:rsidRDefault="00691AA0" w:rsidP="00691AA0">
      <w:pPr>
        <w:rPr>
          <w:sz w:val="20"/>
          <w:szCs w:val="20"/>
          <w:u w:val="single"/>
          <w:lang w:val="fr-CA"/>
        </w:rPr>
      </w:pPr>
      <w:r w:rsidRPr="001B157C">
        <w:rPr>
          <w:sz w:val="20"/>
          <w:szCs w:val="20"/>
          <w:u w:val="single"/>
          <w:lang w:val="fr-CA"/>
        </w:rPr>
        <w:t>RÉSUMÉ DE L’AFFAIRE</w:t>
      </w:r>
    </w:p>
    <w:p w:rsidR="00691AA0" w:rsidRDefault="00691AA0" w:rsidP="00691AA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72419" w:rsidRPr="00643997" w:rsidTr="00970CF7">
        <w:tc>
          <w:tcPr>
            <w:tcW w:w="5000" w:type="pct"/>
            <w:gridSpan w:val="3"/>
          </w:tcPr>
          <w:p w:rsidR="00F72419" w:rsidRPr="00096A4B" w:rsidRDefault="00F72419" w:rsidP="00970CF7">
            <w:pPr>
              <w:jc w:val="both"/>
              <w:rPr>
                <w:rFonts w:eastAsia="Calibri"/>
                <w:smallCaps/>
                <w:sz w:val="20"/>
                <w:lang w:val="fr-CA"/>
              </w:rPr>
            </w:pPr>
            <w:r w:rsidRPr="00096A4B">
              <w:rPr>
                <w:rFonts w:eastAsia="Calibri"/>
                <w:smallCaps/>
                <w:sz w:val="20"/>
                <w:lang w:val="fr-CA"/>
              </w:rPr>
              <w:t>(Ordonnance de non-publication dans le dossier) (Ordonnance de non-publication visant une partie) (Le dossier de la Cour renferme des données que le public n'est pas autorisé à consulter)</w:t>
            </w:r>
          </w:p>
          <w:p w:rsidR="00F72419" w:rsidRPr="00096A4B" w:rsidRDefault="00F72419" w:rsidP="00970CF7">
            <w:pPr>
              <w:jc w:val="both"/>
              <w:rPr>
                <w:rFonts w:eastAsia="Calibri"/>
                <w:sz w:val="20"/>
                <w:lang w:val="fr-CA"/>
              </w:rPr>
            </w:pPr>
          </w:p>
          <w:p w:rsidR="00F72419" w:rsidRPr="00096A4B" w:rsidRDefault="00F72419" w:rsidP="00970CF7">
            <w:pPr>
              <w:jc w:val="both"/>
              <w:rPr>
                <w:rFonts w:eastAsia="Calibri"/>
                <w:sz w:val="20"/>
                <w:lang w:val="fr-CA"/>
              </w:rPr>
            </w:pPr>
            <w:r w:rsidRPr="00096A4B">
              <w:rPr>
                <w:rFonts w:eastAsia="Calibri"/>
                <w:i/>
                <w:sz w:val="20"/>
                <w:lang w:val="fr-CA"/>
              </w:rPr>
              <w:t xml:space="preserve">Charte des droits </w:t>
            </w:r>
            <w:r w:rsidRPr="00096A4B">
              <w:rPr>
                <w:rFonts w:eastAsia="Calibri"/>
                <w:sz w:val="20"/>
                <w:lang w:val="fr-CA"/>
              </w:rPr>
              <w:t xml:space="preserve">– Procès équitable - Jugements et ordonnances – Jugement sommaire - Expiration de l’ordonnance de révision de statut ayant trait aux enfants de la demanderesse – Les intimés demandent par motion un jugement sommaire de l'appel de la mère – La demanderesse et ses enfants ont-ils eu un procès équitable au regard de la </w:t>
            </w:r>
            <w:r w:rsidRPr="00096A4B">
              <w:rPr>
                <w:rFonts w:eastAsia="Calibri"/>
                <w:i/>
                <w:sz w:val="20"/>
                <w:lang w:val="fr-CA"/>
              </w:rPr>
              <w:t>Charte</w:t>
            </w:r>
            <w:r w:rsidRPr="00096A4B">
              <w:rPr>
                <w:rFonts w:eastAsia="Calibri"/>
                <w:sz w:val="20"/>
                <w:lang w:val="fr-CA"/>
              </w:rPr>
              <w:t xml:space="preserve"> et de la</w:t>
            </w:r>
            <w:r w:rsidRPr="00096A4B">
              <w:rPr>
                <w:rFonts w:eastAsia="Calibri"/>
                <w:i/>
                <w:sz w:val="20"/>
                <w:lang w:val="fr-CA"/>
              </w:rPr>
              <w:t xml:space="preserve"> Déclaration canadienne des droits</w:t>
            </w:r>
            <w:r w:rsidRPr="00096A4B">
              <w:rPr>
                <w:rFonts w:eastAsia="Calibri"/>
                <w:sz w:val="20"/>
                <w:lang w:val="fr-CA"/>
              </w:rPr>
              <w:t xml:space="preserve"> conformément aux principes de justice fondamentale?</w:t>
            </w:r>
          </w:p>
        </w:tc>
      </w:tr>
      <w:tr w:rsidR="00F72419" w:rsidRPr="00643997" w:rsidTr="00970CF7">
        <w:tc>
          <w:tcPr>
            <w:tcW w:w="5000" w:type="pct"/>
            <w:gridSpan w:val="3"/>
          </w:tcPr>
          <w:p w:rsidR="00F72419" w:rsidRPr="00096A4B" w:rsidRDefault="00F72419" w:rsidP="00970CF7">
            <w:pPr>
              <w:jc w:val="both"/>
              <w:rPr>
                <w:rFonts w:eastAsia="Calibri"/>
                <w:sz w:val="20"/>
                <w:lang w:val="fr-CA"/>
              </w:rPr>
            </w:pPr>
          </w:p>
        </w:tc>
      </w:tr>
      <w:tr w:rsidR="00F72419" w:rsidRPr="00096A4B" w:rsidTr="00970CF7">
        <w:tc>
          <w:tcPr>
            <w:tcW w:w="5000" w:type="pct"/>
            <w:gridSpan w:val="3"/>
          </w:tcPr>
          <w:p w:rsidR="00F72419" w:rsidRPr="00096A4B" w:rsidRDefault="00F72419" w:rsidP="00970CF7">
            <w:pPr>
              <w:jc w:val="both"/>
              <w:rPr>
                <w:rFonts w:eastAsia="Calibri"/>
                <w:sz w:val="20"/>
                <w:lang w:val="fr-CA"/>
              </w:rPr>
            </w:pPr>
            <w:r w:rsidRPr="00096A4B">
              <w:rPr>
                <w:rFonts w:eastAsia="Calibri"/>
                <w:sz w:val="20"/>
                <w:lang w:val="fr-CA"/>
              </w:rPr>
              <w:t xml:space="preserve">Les deux enfants de la demanderesse ont appréhendés alors qu’ils étaient sous sa garde le 10 août 2006 et ils ont été </w:t>
            </w:r>
            <w:r w:rsidRPr="00096A4B">
              <w:rPr>
                <w:rFonts w:eastAsia="Calibri"/>
                <w:sz w:val="20"/>
                <w:lang w:val="fr-CA"/>
              </w:rPr>
              <w:lastRenderedPageBreak/>
              <w:t>placés par la suite sous la garde de leur père. Les droits de visite de la demanderesse ont été retirés le 23 mai 2007 par ordonnance de la Cour et elle n'a pas accès à ses enfants depuis cette date. Le 3 août 2007, il a été jugé que les enfants avaient besoin de protection et ils ont été placés sous la garde de leur père, avec supervision. Les appels de la mère à la Cour divisionnaire et à la Cour d'appel ont été rejetés. Une révision de statut de ces ordonnances a donné lieu à un procès de 45 jours au terme duquel les ordonnances précédentes ont été confirmées le 14 juillet 2010. Après l'expiration de cette ordonnance, la Société d'aide à l'enfance a présenté une autre demande de révision de statut à la Cour de justice de l'Ontario. La mère a interjeté appel de l'ordonnance échue.</w:t>
            </w:r>
          </w:p>
          <w:p w:rsidR="00F72419" w:rsidRPr="00096A4B" w:rsidRDefault="00F72419" w:rsidP="00970CF7">
            <w:pPr>
              <w:jc w:val="both"/>
              <w:rPr>
                <w:rFonts w:eastAsia="Calibri"/>
                <w:sz w:val="20"/>
                <w:lang w:val="fr-CA"/>
              </w:rPr>
            </w:pPr>
          </w:p>
        </w:tc>
      </w:tr>
      <w:tr w:rsidR="00F72419" w:rsidRPr="00643997" w:rsidTr="00970CF7">
        <w:tc>
          <w:tcPr>
            <w:tcW w:w="2427" w:type="pct"/>
          </w:tcPr>
          <w:p w:rsidR="00F72419" w:rsidRPr="00096A4B" w:rsidRDefault="00F72419" w:rsidP="00970CF7">
            <w:pPr>
              <w:jc w:val="both"/>
              <w:rPr>
                <w:rFonts w:eastAsia="Calibri"/>
                <w:sz w:val="20"/>
                <w:lang w:val="fr-CA"/>
              </w:rPr>
            </w:pPr>
            <w:r w:rsidRPr="00096A4B">
              <w:rPr>
                <w:rFonts w:eastAsia="Calibri"/>
                <w:sz w:val="20"/>
                <w:lang w:val="fr-CA"/>
              </w:rPr>
              <w:lastRenderedPageBreak/>
              <w:t>4 août 2011</w:t>
            </w:r>
          </w:p>
          <w:p w:rsidR="00F72419" w:rsidRPr="00096A4B" w:rsidRDefault="00F72419" w:rsidP="00970CF7">
            <w:pPr>
              <w:jc w:val="both"/>
              <w:rPr>
                <w:rFonts w:eastAsia="Calibri"/>
                <w:sz w:val="20"/>
                <w:lang w:val="fr-CA"/>
              </w:rPr>
            </w:pPr>
            <w:r w:rsidRPr="00096A4B">
              <w:rPr>
                <w:rFonts w:eastAsia="Calibri"/>
                <w:sz w:val="20"/>
                <w:lang w:val="fr-CA"/>
              </w:rPr>
              <w:t xml:space="preserve">Cour supérieure de justice de l'Ontario </w:t>
            </w:r>
          </w:p>
          <w:p w:rsidR="00F72419" w:rsidRPr="00096A4B" w:rsidRDefault="00F72419" w:rsidP="00970CF7">
            <w:pPr>
              <w:jc w:val="both"/>
              <w:rPr>
                <w:rFonts w:eastAsia="Calibri"/>
                <w:sz w:val="20"/>
                <w:lang w:val="fr-CA"/>
              </w:rPr>
            </w:pPr>
            <w:r w:rsidRPr="00096A4B">
              <w:rPr>
                <w:rFonts w:eastAsia="Calibri"/>
                <w:sz w:val="20"/>
                <w:lang w:val="fr-CA"/>
              </w:rPr>
              <w:t>(Juge Taliano)</w:t>
            </w:r>
          </w:p>
          <w:p w:rsidR="00F72419" w:rsidRPr="00096A4B" w:rsidRDefault="00F72419" w:rsidP="00970CF7">
            <w:pPr>
              <w:jc w:val="both"/>
              <w:rPr>
                <w:rFonts w:eastAsia="Calibri"/>
                <w:sz w:val="20"/>
                <w:lang w:val="fr-CA"/>
              </w:rPr>
            </w:pPr>
            <w:r w:rsidRPr="00096A4B">
              <w:rPr>
                <w:rFonts w:eastAsia="Calibri"/>
                <w:sz w:val="20"/>
                <w:lang w:val="fr-CA"/>
              </w:rPr>
              <w:t>Non publié</w:t>
            </w:r>
          </w:p>
          <w:p w:rsidR="00F72419" w:rsidRPr="00096A4B" w:rsidRDefault="00F72419" w:rsidP="00970CF7">
            <w:pPr>
              <w:jc w:val="both"/>
              <w:rPr>
                <w:rFonts w:eastAsia="Calibri"/>
                <w:sz w:val="20"/>
                <w:lang w:val="fr-CA"/>
              </w:rPr>
            </w:pPr>
          </w:p>
        </w:tc>
        <w:tc>
          <w:tcPr>
            <w:tcW w:w="243"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Motion des intimés en vue d'obtenir un jugement sommaire, accueillie; motions de la demanderesse, rejetées</w:t>
            </w:r>
          </w:p>
          <w:p w:rsidR="00F72419" w:rsidRPr="00096A4B" w:rsidRDefault="00F72419" w:rsidP="00970CF7">
            <w:pPr>
              <w:jc w:val="both"/>
              <w:rPr>
                <w:rFonts w:eastAsia="Calibri"/>
                <w:sz w:val="20"/>
                <w:lang w:val="fr-CA"/>
              </w:rPr>
            </w:pPr>
          </w:p>
        </w:tc>
      </w:tr>
      <w:tr w:rsidR="00F72419" w:rsidRPr="00096A4B" w:rsidTr="00970CF7">
        <w:tc>
          <w:tcPr>
            <w:tcW w:w="2427" w:type="pct"/>
          </w:tcPr>
          <w:p w:rsidR="00F72419" w:rsidRPr="00096A4B" w:rsidRDefault="00F72419" w:rsidP="00970CF7">
            <w:pPr>
              <w:jc w:val="both"/>
              <w:rPr>
                <w:rFonts w:eastAsia="Calibri"/>
                <w:sz w:val="20"/>
                <w:lang w:val="fr-CA"/>
              </w:rPr>
            </w:pPr>
            <w:r w:rsidRPr="00096A4B">
              <w:rPr>
                <w:rFonts w:eastAsia="Calibri"/>
                <w:sz w:val="20"/>
                <w:lang w:val="fr-CA"/>
              </w:rPr>
              <w:t>12 décembre 2011</w:t>
            </w:r>
          </w:p>
          <w:p w:rsidR="00F72419" w:rsidRPr="00096A4B" w:rsidRDefault="00F72419" w:rsidP="00970CF7">
            <w:pPr>
              <w:jc w:val="both"/>
              <w:rPr>
                <w:rFonts w:eastAsia="Calibri"/>
                <w:sz w:val="20"/>
                <w:lang w:val="fr-CA"/>
              </w:rPr>
            </w:pPr>
            <w:r w:rsidRPr="00096A4B">
              <w:rPr>
                <w:rFonts w:eastAsia="Calibri"/>
                <w:sz w:val="20"/>
                <w:lang w:val="fr-CA"/>
              </w:rPr>
              <w:t>Cour d'appel de l'Ontario</w:t>
            </w:r>
          </w:p>
          <w:p w:rsidR="00F72419" w:rsidRPr="00096A4B" w:rsidRDefault="00F72419" w:rsidP="00970CF7">
            <w:pPr>
              <w:jc w:val="both"/>
              <w:rPr>
                <w:rFonts w:eastAsia="Calibri"/>
                <w:sz w:val="20"/>
                <w:lang w:val="fr-CA"/>
              </w:rPr>
            </w:pPr>
            <w:r w:rsidRPr="00096A4B">
              <w:rPr>
                <w:rFonts w:eastAsia="Calibri"/>
                <w:sz w:val="20"/>
                <w:lang w:val="fr-CA"/>
              </w:rPr>
              <w:t>(Juge O'Connor, Laskin et Cronk)</w:t>
            </w:r>
          </w:p>
          <w:p w:rsidR="00F72419" w:rsidRPr="00096A4B" w:rsidRDefault="00F72419" w:rsidP="00970CF7">
            <w:pPr>
              <w:jc w:val="both"/>
              <w:rPr>
                <w:rFonts w:eastAsia="Calibri"/>
                <w:sz w:val="20"/>
                <w:lang w:val="fr-CA"/>
              </w:rPr>
            </w:pPr>
            <w:r w:rsidRPr="00096A4B">
              <w:rPr>
                <w:rFonts w:eastAsia="Calibri"/>
                <w:sz w:val="20"/>
                <w:lang w:val="fr-CA"/>
              </w:rPr>
              <w:t>2011 ONCA 781</w:t>
            </w:r>
          </w:p>
          <w:p w:rsidR="00F72419" w:rsidRPr="00096A4B" w:rsidRDefault="00F72419" w:rsidP="00970CF7">
            <w:pPr>
              <w:jc w:val="both"/>
              <w:rPr>
                <w:rFonts w:eastAsia="Calibri"/>
                <w:sz w:val="20"/>
                <w:lang w:val="fr-CA"/>
              </w:rPr>
            </w:pPr>
          </w:p>
        </w:tc>
        <w:tc>
          <w:tcPr>
            <w:tcW w:w="243"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Appel rejeté</w:t>
            </w:r>
          </w:p>
          <w:p w:rsidR="00F72419" w:rsidRPr="00096A4B" w:rsidRDefault="00F72419" w:rsidP="00970CF7">
            <w:pPr>
              <w:jc w:val="both"/>
              <w:rPr>
                <w:rFonts w:eastAsia="Calibri"/>
                <w:sz w:val="20"/>
                <w:lang w:val="fr-CA"/>
              </w:rPr>
            </w:pPr>
          </w:p>
        </w:tc>
      </w:tr>
      <w:tr w:rsidR="00F72419" w:rsidRPr="00643997" w:rsidTr="00970CF7">
        <w:tc>
          <w:tcPr>
            <w:tcW w:w="2427" w:type="pct"/>
          </w:tcPr>
          <w:p w:rsidR="00F72419" w:rsidRPr="00096A4B" w:rsidRDefault="00F72419" w:rsidP="00970CF7">
            <w:pPr>
              <w:jc w:val="both"/>
              <w:rPr>
                <w:rFonts w:eastAsia="Calibri"/>
                <w:sz w:val="20"/>
                <w:lang w:val="fr-CA"/>
              </w:rPr>
            </w:pPr>
            <w:r w:rsidRPr="00096A4B">
              <w:rPr>
                <w:rFonts w:eastAsia="Calibri"/>
                <w:sz w:val="20"/>
                <w:lang w:val="fr-CA"/>
              </w:rPr>
              <w:t>21 février 2012</w:t>
            </w:r>
          </w:p>
          <w:p w:rsidR="00F72419" w:rsidRPr="00096A4B" w:rsidRDefault="00F72419" w:rsidP="00970CF7">
            <w:pPr>
              <w:jc w:val="both"/>
              <w:rPr>
                <w:rFonts w:eastAsia="Calibri"/>
                <w:sz w:val="20"/>
                <w:lang w:val="fr-CA"/>
              </w:rPr>
            </w:pPr>
            <w:r w:rsidRPr="00096A4B">
              <w:rPr>
                <w:rFonts w:eastAsia="Calibri"/>
                <w:sz w:val="20"/>
                <w:lang w:val="fr-CA"/>
              </w:rPr>
              <w:t>Cour suprême du Canada</w:t>
            </w:r>
          </w:p>
          <w:p w:rsidR="00F72419" w:rsidRPr="00096A4B" w:rsidRDefault="00F72419" w:rsidP="00970CF7">
            <w:pPr>
              <w:jc w:val="both"/>
              <w:rPr>
                <w:rFonts w:eastAsia="Calibri"/>
                <w:sz w:val="20"/>
                <w:lang w:val="fr-CA"/>
              </w:rPr>
            </w:pPr>
          </w:p>
        </w:tc>
        <w:tc>
          <w:tcPr>
            <w:tcW w:w="243" w:type="pct"/>
          </w:tcPr>
          <w:p w:rsidR="00F72419" w:rsidRPr="00096A4B" w:rsidRDefault="00F72419" w:rsidP="00970CF7">
            <w:pPr>
              <w:jc w:val="both"/>
              <w:rPr>
                <w:rFonts w:eastAsia="Calibri"/>
                <w:sz w:val="20"/>
                <w:lang w:val="fr-CA"/>
              </w:rPr>
            </w:pPr>
          </w:p>
        </w:tc>
        <w:tc>
          <w:tcPr>
            <w:tcW w:w="2330" w:type="pct"/>
          </w:tcPr>
          <w:p w:rsidR="00F72419" w:rsidRPr="00096A4B" w:rsidRDefault="00F72419" w:rsidP="00970CF7">
            <w:pPr>
              <w:jc w:val="both"/>
              <w:rPr>
                <w:rFonts w:eastAsia="Calibri"/>
                <w:sz w:val="20"/>
                <w:lang w:val="fr-CA"/>
              </w:rPr>
            </w:pPr>
            <w:r w:rsidRPr="00096A4B">
              <w:rPr>
                <w:rFonts w:eastAsia="Calibri"/>
                <w:sz w:val="20"/>
                <w:lang w:val="fr-CA"/>
              </w:rPr>
              <w:t>Demande d'autorisation d'appel déposée et requête en prorogation du délai de signification et de dépôt de la demande d'autorisation d'appel, déposée</w:t>
            </w:r>
          </w:p>
        </w:tc>
      </w:tr>
    </w:tbl>
    <w:p w:rsidR="00691AA0" w:rsidRPr="00F72419" w:rsidRDefault="00691AA0" w:rsidP="00691AA0">
      <w:pPr>
        <w:rPr>
          <w:sz w:val="20"/>
          <w:szCs w:val="20"/>
          <w:lang w:val="fr-CA"/>
        </w:rPr>
      </w:pPr>
    </w:p>
    <w:p w:rsidR="00691AA0" w:rsidRDefault="003B0427" w:rsidP="00691AA0">
      <w:pPr>
        <w:rPr>
          <w:sz w:val="20"/>
          <w:szCs w:val="20"/>
          <w:lang w:val="fr-CA"/>
        </w:rPr>
      </w:pPr>
      <w:r w:rsidRPr="003B0427">
        <w:rPr>
          <w:sz w:val="20"/>
          <w:szCs w:val="20"/>
          <w:lang w:val="fr-CA"/>
        </w:rPr>
        <w:pict>
          <v:rect id="_x0000_i1072" style="width:2in;height:1pt" o:hrpct="0" o:hralign="center" o:hrstd="t" o:hrnoshade="t" o:hr="t" fillcolor="black [3213]" stroked="f"/>
        </w:pict>
      </w:r>
    </w:p>
    <w:p w:rsidR="00691AA0" w:rsidRDefault="00691AA0" w:rsidP="00691AA0">
      <w:pPr>
        <w:rPr>
          <w:sz w:val="20"/>
          <w:szCs w:val="20"/>
          <w:lang w:val="fr-CA"/>
        </w:rPr>
      </w:pPr>
    </w:p>
    <w:p w:rsidR="006E6A6F" w:rsidRPr="006E6A6F" w:rsidRDefault="006E6A6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90FEB" w:rsidRPr="001D0D5F" w:rsidTr="00BA6468">
        <w:tc>
          <w:tcPr>
            <w:tcW w:w="4200" w:type="dxa"/>
            <w:shd w:val="clear" w:color="auto" w:fill="auto"/>
            <w:tcMar>
              <w:left w:w="0" w:type="dxa"/>
              <w:right w:w="0" w:type="dxa"/>
            </w:tcMar>
          </w:tcPr>
          <w:p w:rsidR="00890FEB" w:rsidRPr="001D0D5F" w:rsidRDefault="00890FEB" w:rsidP="00EB2B90">
            <w:pPr>
              <w:rPr>
                <w:b/>
                <w:szCs w:val="24"/>
              </w:rPr>
            </w:pPr>
            <w:r w:rsidRPr="001D0D5F">
              <w:rPr>
                <w:b/>
                <w:szCs w:val="24"/>
              </w:rPr>
              <w:lastRenderedPageBreak/>
              <w:t>JUDGMENT ON MOTION</w:t>
            </w:r>
          </w:p>
        </w:tc>
        <w:tc>
          <w:tcPr>
            <w:tcW w:w="1200" w:type="dxa"/>
            <w:shd w:val="clear" w:color="auto" w:fill="auto"/>
            <w:tcMar>
              <w:left w:w="0" w:type="dxa"/>
              <w:right w:w="0" w:type="dxa"/>
            </w:tcMar>
          </w:tcPr>
          <w:p w:rsidR="00890FEB" w:rsidRPr="001D0D5F" w:rsidRDefault="00890FEB" w:rsidP="00890FEB">
            <w:pPr>
              <w:jc w:val="center"/>
              <w:rPr>
                <w:b/>
                <w:szCs w:val="24"/>
              </w:rPr>
            </w:pPr>
          </w:p>
          <w:p w:rsidR="00890FEB" w:rsidRPr="001D0D5F" w:rsidRDefault="00890FEB" w:rsidP="00890FEB">
            <w:pPr>
              <w:jc w:val="center"/>
              <w:rPr>
                <w:b/>
                <w:szCs w:val="24"/>
              </w:rPr>
            </w:pPr>
          </w:p>
        </w:tc>
        <w:tc>
          <w:tcPr>
            <w:tcW w:w="4080" w:type="dxa"/>
            <w:shd w:val="clear" w:color="auto" w:fill="auto"/>
            <w:tcMar>
              <w:left w:w="0" w:type="dxa"/>
              <w:right w:w="0" w:type="dxa"/>
            </w:tcMar>
          </w:tcPr>
          <w:p w:rsidR="00890FEB" w:rsidRPr="001D0D5F" w:rsidRDefault="00890FEB" w:rsidP="00EB2B90">
            <w:pPr>
              <w:rPr>
                <w:b/>
                <w:szCs w:val="24"/>
                <w:lang w:val="fr-CA"/>
              </w:rPr>
            </w:pPr>
            <w:r w:rsidRPr="001D0D5F">
              <w:rPr>
                <w:b/>
                <w:szCs w:val="24"/>
                <w:lang w:val="fr-CA"/>
              </w:rPr>
              <w:t>JUGEMENT SUR REQUÊTE</w:t>
            </w:r>
          </w:p>
        </w:tc>
      </w:tr>
    </w:tbl>
    <w:p w:rsidR="00890FEB" w:rsidRPr="00C50A5C" w:rsidRDefault="00890FEB" w:rsidP="00890FEB">
      <w:pPr>
        <w:rPr>
          <w:sz w:val="20"/>
          <w:szCs w:val="20"/>
        </w:rPr>
      </w:pPr>
    </w:p>
    <w:p w:rsidR="00D64901" w:rsidRPr="00D64901" w:rsidRDefault="00B45347" w:rsidP="00D64901">
      <w:pPr>
        <w:rPr>
          <w:sz w:val="20"/>
          <w:szCs w:val="20"/>
        </w:rPr>
      </w:pPr>
      <w:r>
        <w:rPr>
          <w:sz w:val="20"/>
          <w:szCs w:val="20"/>
        </w:rPr>
        <w:t>24</w:t>
      </w:r>
      <w:r w:rsidR="00D64901" w:rsidRPr="00D64901">
        <w:rPr>
          <w:sz w:val="20"/>
          <w:szCs w:val="20"/>
        </w:rPr>
        <w:t>.</w:t>
      </w:r>
      <w:r>
        <w:rPr>
          <w:sz w:val="20"/>
          <w:szCs w:val="20"/>
        </w:rPr>
        <w:t>05</w:t>
      </w:r>
      <w:r w:rsidR="00D64901" w:rsidRPr="00D64901">
        <w:rPr>
          <w:sz w:val="20"/>
          <w:szCs w:val="20"/>
        </w:rPr>
        <w:t>.201</w:t>
      </w:r>
      <w:r>
        <w:rPr>
          <w:sz w:val="20"/>
          <w:szCs w:val="20"/>
        </w:rPr>
        <w:t>2</w:t>
      </w:r>
      <w:r w:rsidR="00D64901" w:rsidRPr="00D64901">
        <w:rPr>
          <w:sz w:val="20"/>
          <w:szCs w:val="20"/>
        </w:rPr>
        <w:t xml:space="preserve">  - 201</w:t>
      </w:r>
      <w:r>
        <w:rPr>
          <w:sz w:val="20"/>
          <w:szCs w:val="20"/>
        </w:rPr>
        <w:t>2</w:t>
      </w:r>
      <w:r w:rsidR="00D64901" w:rsidRPr="00D64901">
        <w:rPr>
          <w:sz w:val="20"/>
          <w:szCs w:val="20"/>
        </w:rPr>
        <w:t xml:space="preserve"> SCC </w:t>
      </w:r>
      <w:r>
        <w:rPr>
          <w:sz w:val="20"/>
          <w:szCs w:val="20"/>
        </w:rPr>
        <w:t>2</w:t>
      </w:r>
      <w:r w:rsidR="00D64901" w:rsidRPr="00D64901">
        <w:rPr>
          <w:sz w:val="20"/>
          <w:szCs w:val="20"/>
        </w:rPr>
        <w:t>5 / 201</w:t>
      </w:r>
      <w:r>
        <w:rPr>
          <w:sz w:val="20"/>
          <w:szCs w:val="20"/>
        </w:rPr>
        <w:t>2</w:t>
      </w:r>
      <w:r w:rsidR="00D64901" w:rsidRPr="00D64901">
        <w:rPr>
          <w:sz w:val="20"/>
          <w:szCs w:val="20"/>
        </w:rPr>
        <w:t xml:space="preserve"> CSC </w:t>
      </w:r>
      <w:r>
        <w:rPr>
          <w:sz w:val="20"/>
          <w:szCs w:val="20"/>
        </w:rPr>
        <w:t>2</w:t>
      </w:r>
      <w:r w:rsidR="00D64901" w:rsidRPr="00D64901">
        <w:rPr>
          <w:sz w:val="20"/>
          <w:szCs w:val="20"/>
        </w:rPr>
        <w:t>5</w:t>
      </w:r>
    </w:p>
    <w:p w:rsidR="00D64901" w:rsidRDefault="00D64901" w:rsidP="00D64901">
      <w:pPr>
        <w:rPr>
          <w:sz w:val="20"/>
          <w:szCs w:val="20"/>
        </w:rPr>
      </w:pPr>
    </w:p>
    <w:p w:rsidR="00A404C8" w:rsidRPr="00B45347" w:rsidRDefault="00A404C8" w:rsidP="00A404C8">
      <w:pPr>
        <w:rPr>
          <w:sz w:val="20"/>
          <w:szCs w:val="20"/>
          <w:lang w:val="fr-CA" w:bidi="en-US"/>
        </w:rPr>
      </w:pPr>
      <w:r w:rsidRPr="007E5CB4">
        <w:rPr>
          <w:sz w:val="20"/>
          <w:szCs w:val="20"/>
          <w:lang w:val="fr-CA" w:bidi="en-US"/>
        </w:rPr>
        <w:t>CORAM:</w:t>
      </w:r>
      <w:r>
        <w:rPr>
          <w:sz w:val="20"/>
          <w:szCs w:val="20"/>
          <w:lang w:val="fr-CA" w:bidi="en-US"/>
        </w:rPr>
        <w:tab/>
      </w:r>
      <w:r w:rsidRPr="00B45347">
        <w:rPr>
          <w:sz w:val="20"/>
          <w:szCs w:val="20"/>
          <w:u w:val="single"/>
          <w:lang w:val="fr-CA" w:bidi="en-US"/>
        </w:rPr>
        <w:t>Les juges LeBel, Fish et Karakatsanis</w:t>
      </w:r>
    </w:p>
    <w:p w:rsidR="00A404C8" w:rsidRPr="00A404C8" w:rsidRDefault="00A404C8" w:rsidP="00D64901">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4"/>
        <w:gridCol w:w="1166"/>
        <w:gridCol w:w="4334"/>
      </w:tblGrid>
      <w:tr w:rsidR="00D64901" w:rsidRPr="00970CF7" w:rsidTr="007E5CB4">
        <w:trPr>
          <w:cantSplit/>
        </w:trPr>
        <w:tc>
          <w:tcPr>
            <w:tcW w:w="4334" w:type="dxa"/>
          </w:tcPr>
          <w:p w:rsidR="00D64901" w:rsidRPr="00D67826" w:rsidRDefault="00A404C8" w:rsidP="00B45347">
            <w:pPr>
              <w:rPr>
                <w:b/>
                <w:sz w:val="20"/>
                <w:szCs w:val="20"/>
                <w:lang w:val="fr-CA"/>
              </w:rPr>
            </w:pPr>
            <w:r>
              <w:rPr>
                <w:b/>
                <w:sz w:val="20"/>
                <w:szCs w:val="20"/>
                <w:lang w:val="fr-CA"/>
              </w:rPr>
              <w:t>Motion for security</w:t>
            </w:r>
          </w:p>
        </w:tc>
        <w:tc>
          <w:tcPr>
            <w:tcW w:w="1166" w:type="dxa"/>
          </w:tcPr>
          <w:p w:rsidR="00D64901" w:rsidRPr="00D67826" w:rsidRDefault="00D64901" w:rsidP="002A4AFA">
            <w:pPr>
              <w:rPr>
                <w:sz w:val="20"/>
                <w:szCs w:val="20"/>
                <w:lang w:val="fr-CA"/>
              </w:rPr>
            </w:pPr>
          </w:p>
          <w:p w:rsidR="00D64901" w:rsidRPr="00D67826" w:rsidRDefault="00D64901" w:rsidP="002A4AFA">
            <w:pPr>
              <w:rPr>
                <w:sz w:val="20"/>
                <w:szCs w:val="20"/>
                <w:lang w:val="fr-CA"/>
              </w:rPr>
            </w:pPr>
          </w:p>
        </w:tc>
        <w:tc>
          <w:tcPr>
            <w:tcW w:w="4334" w:type="dxa"/>
          </w:tcPr>
          <w:p w:rsidR="00D64901" w:rsidRPr="00C73EE6" w:rsidRDefault="00D64901" w:rsidP="007E5CB4">
            <w:pPr>
              <w:rPr>
                <w:b/>
                <w:sz w:val="20"/>
                <w:szCs w:val="20"/>
                <w:lang w:val="fr-CA"/>
              </w:rPr>
            </w:pPr>
            <w:r w:rsidRPr="00C73EE6">
              <w:rPr>
                <w:b/>
                <w:sz w:val="20"/>
                <w:szCs w:val="20"/>
                <w:lang w:val="fr-CA"/>
              </w:rPr>
              <w:t>Requête</w:t>
            </w:r>
            <w:r>
              <w:rPr>
                <w:b/>
                <w:sz w:val="20"/>
                <w:szCs w:val="20"/>
                <w:lang w:val="fr-CA"/>
              </w:rPr>
              <w:t xml:space="preserve"> </w:t>
            </w:r>
            <w:r w:rsidR="007E5CB4">
              <w:rPr>
                <w:b/>
                <w:sz w:val="20"/>
                <w:szCs w:val="20"/>
                <w:lang w:val="fr-CA"/>
              </w:rPr>
              <w:t>en cautionnement</w:t>
            </w:r>
            <w:r>
              <w:rPr>
                <w:b/>
                <w:sz w:val="20"/>
                <w:szCs w:val="20"/>
                <w:lang w:val="fr-CA"/>
              </w:rPr>
              <w:t xml:space="preserve"> </w:t>
            </w:r>
          </w:p>
        </w:tc>
      </w:tr>
      <w:tr w:rsidR="00D64901" w:rsidRPr="00643997" w:rsidTr="007E5CB4">
        <w:trPr>
          <w:cantSplit/>
        </w:trPr>
        <w:tc>
          <w:tcPr>
            <w:tcW w:w="4334" w:type="dxa"/>
          </w:tcPr>
          <w:p w:rsidR="00D64901" w:rsidRPr="00C935D9" w:rsidRDefault="00C935D9" w:rsidP="002A4AFA">
            <w:pPr>
              <w:rPr>
                <w:sz w:val="20"/>
                <w:szCs w:val="20"/>
                <w:lang w:val="fr-CA"/>
              </w:rPr>
            </w:pPr>
            <w:r w:rsidRPr="00C935D9">
              <w:rPr>
                <w:sz w:val="20"/>
                <w:szCs w:val="20"/>
                <w:lang w:val="fr-CA"/>
              </w:rPr>
              <w:t>Cinar Corporation et autre</w:t>
            </w:r>
          </w:p>
          <w:p w:rsidR="00D64901" w:rsidRPr="00C935D9" w:rsidRDefault="00D64901" w:rsidP="002A4AFA">
            <w:pPr>
              <w:rPr>
                <w:sz w:val="20"/>
                <w:szCs w:val="20"/>
                <w:lang w:val="fr-CA"/>
              </w:rPr>
            </w:pPr>
          </w:p>
          <w:p w:rsidR="00D64901" w:rsidRPr="00C935D9" w:rsidRDefault="00D64901" w:rsidP="002A4AFA">
            <w:pPr>
              <w:rPr>
                <w:sz w:val="20"/>
                <w:szCs w:val="20"/>
                <w:lang w:val="fr-CA"/>
              </w:rPr>
            </w:pPr>
            <w:r w:rsidRPr="00C935D9">
              <w:rPr>
                <w:sz w:val="20"/>
                <w:szCs w:val="20"/>
                <w:lang w:val="fr-CA"/>
              </w:rPr>
              <w:tab/>
            </w:r>
            <w:r w:rsidR="00C935D9" w:rsidRPr="00C935D9">
              <w:rPr>
                <w:sz w:val="20"/>
                <w:szCs w:val="20"/>
                <w:lang w:val="fr-CA"/>
              </w:rPr>
              <w:t>c</w:t>
            </w:r>
            <w:r w:rsidRPr="00C935D9">
              <w:rPr>
                <w:sz w:val="20"/>
                <w:szCs w:val="20"/>
                <w:lang w:val="fr-CA"/>
              </w:rPr>
              <w:t>. (33</w:t>
            </w:r>
            <w:r w:rsidR="00C935D9">
              <w:rPr>
                <w:sz w:val="20"/>
                <w:szCs w:val="20"/>
                <w:lang w:val="fr-CA"/>
              </w:rPr>
              <w:t>466</w:t>
            </w:r>
            <w:r w:rsidRPr="00C935D9">
              <w:rPr>
                <w:sz w:val="20"/>
                <w:szCs w:val="20"/>
                <w:lang w:val="fr-CA"/>
              </w:rPr>
              <w:t>)</w:t>
            </w:r>
          </w:p>
          <w:p w:rsidR="00D64901" w:rsidRPr="00C935D9" w:rsidRDefault="00D64901" w:rsidP="002A4AFA">
            <w:pPr>
              <w:rPr>
                <w:sz w:val="20"/>
                <w:szCs w:val="20"/>
                <w:lang w:val="fr-CA"/>
              </w:rPr>
            </w:pPr>
          </w:p>
          <w:p w:rsidR="00D64901" w:rsidRPr="00C935D9" w:rsidRDefault="00C935D9" w:rsidP="002A4AFA">
            <w:pPr>
              <w:rPr>
                <w:sz w:val="20"/>
                <w:szCs w:val="20"/>
                <w:lang w:val="fr-CA"/>
              </w:rPr>
            </w:pPr>
            <w:r w:rsidRPr="00C935D9">
              <w:rPr>
                <w:sz w:val="20"/>
                <w:szCs w:val="20"/>
                <w:lang w:val="fr-CA"/>
              </w:rPr>
              <w:t>Claude Robinson et autre</w:t>
            </w:r>
            <w:r w:rsidR="00D64901" w:rsidRPr="00C935D9">
              <w:rPr>
                <w:sz w:val="20"/>
                <w:szCs w:val="20"/>
                <w:lang w:val="fr-CA"/>
              </w:rPr>
              <w:t xml:space="preserve"> (</w:t>
            </w:r>
            <w:r w:rsidRPr="00C935D9">
              <w:rPr>
                <w:sz w:val="20"/>
                <w:szCs w:val="20"/>
                <w:lang w:val="fr-CA"/>
              </w:rPr>
              <w:t>Qc</w:t>
            </w:r>
            <w:r w:rsidR="00D64901" w:rsidRPr="00C935D9">
              <w:rPr>
                <w:sz w:val="20"/>
                <w:szCs w:val="20"/>
                <w:lang w:val="fr-CA"/>
              </w:rPr>
              <w:t>)</w:t>
            </w:r>
          </w:p>
          <w:p w:rsidR="00B45347" w:rsidRPr="00C935D9" w:rsidRDefault="00B45347" w:rsidP="002A4AFA">
            <w:pPr>
              <w:rPr>
                <w:sz w:val="20"/>
                <w:szCs w:val="20"/>
                <w:lang w:val="fr-CA"/>
              </w:rPr>
            </w:pPr>
          </w:p>
          <w:p w:rsidR="00B45347" w:rsidRPr="00A404C8" w:rsidRDefault="008756AD" w:rsidP="00B45347">
            <w:pPr>
              <w:rPr>
                <w:sz w:val="20"/>
                <w:szCs w:val="20"/>
                <w:lang w:val="fr-CA"/>
              </w:rPr>
            </w:pPr>
            <w:r w:rsidRPr="00A404C8">
              <w:rPr>
                <w:sz w:val="20"/>
                <w:szCs w:val="20"/>
                <w:lang w:val="fr-CA"/>
              </w:rPr>
              <w:t xml:space="preserve">- </w:t>
            </w:r>
            <w:r w:rsidR="00B45347" w:rsidRPr="00A404C8">
              <w:rPr>
                <w:sz w:val="20"/>
                <w:szCs w:val="20"/>
                <w:lang w:val="fr-CA"/>
              </w:rPr>
              <w:t>et entre</w:t>
            </w:r>
            <w:r w:rsidRPr="00A404C8">
              <w:rPr>
                <w:sz w:val="20"/>
                <w:szCs w:val="20"/>
                <w:lang w:val="fr-CA"/>
              </w:rPr>
              <w:t xml:space="preserve"> -</w:t>
            </w:r>
          </w:p>
          <w:p w:rsidR="008756AD" w:rsidRPr="00A404C8" w:rsidRDefault="008756AD" w:rsidP="00B45347">
            <w:pPr>
              <w:rPr>
                <w:sz w:val="20"/>
                <w:szCs w:val="20"/>
                <w:lang w:val="fr-CA"/>
              </w:rPr>
            </w:pPr>
          </w:p>
          <w:p w:rsidR="008756AD" w:rsidRDefault="00A404C8" w:rsidP="00B45347">
            <w:pPr>
              <w:rPr>
                <w:sz w:val="20"/>
                <w:szCs w:val="20"/>
                <w:lang w:val="fr-CA"/>
              </w:rPr>
            </w:pPr>
            <w:r w:rsidRPr="00A404C8">
              <w:rPr>
                <w:sz w:val="20"/>
                <w:szCs w:val="20"/>
                <w:lang w:val="fr-CA"/>
              </w:rPr>
              <w:t xml:space="preserve">Ronald A. </w:t>
            </w:r>
            <w:r>
              <w:rPr>
                <w:sz w:val="20"/>
                <w:szCs w:val="20"/>
                <w:lang w:val="fr-CA"/>
              </w:rPr>
              <w:t>Weinberg et autre</w:t>
            </w:r>
          </w:p>
          <w:p w:rsidR="00A404C8" w:rsidRDefault="00A404C8" w:rsidP="00B45347">
            <w:pPr>
              <w:rPr>
                <w:sz w:val="20"/>
                <w:szCs w:val="20"/>
                <w:lang w:val="fr-CA"/>
              </w:rPr>
            </w:pPr>
          </w:p>
          <w:p w:rsidR="00A404C8" w:rsidRDefault="00A404C8" w:rsidP="00B45347">
            <w:pPr>
              <w:rPr>
                <w:sz w:val="20"/>
                <w:szCs w:val="20"/>
                <w:lang w:val="fr-CA"/>
              </w:rPr>
            </w:pPr>
            <w:r>
              <w:rPr>
                <w:sz w:val="20"/>
                <w:szCs w:val="20"/>
                <w:lang w:val="fr-CA"/>
              </w:rPr>
              <w:tab/>
              <w:t>c. (33467)</w:t>
            </w:r>
          </w:p>
          <w:p w:rsidR="00A404C8" w:rsidRDefault="00A404C8" w:rsidP="00B45347">
            <w:pPr>
              <w:rPr>
                <w:sz w:val="20"/>
                <w:szCs w:val="20"/>
                <w:lang w:val="fr-CA"/>
              </w:rPr>
            </w:pPr>
          </w:p>
          <w:p w:rsidR="00A404C8" w:rsidRPr="00A404C8" w:rsidRDefault="00A404C8" w:rsidP="00B45347">
            <w:pPr>
              <w:rPr>
                <w:sz w:val="20"/>
                <w:szCs w:val="20"/>
                <w:lang w:val="fr-CA"/>
              </w:rPr>
            </w:pPr>
            <w:r>
              <w:rPr>
                <w:sz w:val="20"/>
                <w:szCs w:val="20"/>
                <w:lang w:val="fr-CA"/>
              </w:rPr>
              <w:t>Les productions Nilem Inc. et autre</w:t>
            </w:r>
          </w:p>
          <w:p w:rsidR="008756AD" w:rsidRPr="00A404C8" w:rsidRDefault="008756AD" w:rsidP="00B45347">
            <w:pPr>
              <w:rPr>
                <w:sz w:val="20"/>
                <w:szCs w:val="20"/>
                <w:lang w:val="fr-CA"/>
              </w:rPr>
            </w:pPr>
          </w:p>
          <w:p w:rsidR="008756AD" w:rsidRPr="00A404C8" w:rsidRDefault="008756AD" w:rsidP="008756AD">
            <w:pPr>
              <w:rPr>
                <w:sz w:val="20"/>
                <w:szCs w:val="20"/>
                <w:lang w:val="fr-CA"/>
              </w:rPr>
            </w:pPr>
            <w:r w:rsidRPr="00A404C8">
              <w:rPr>
                <w:sz w:val="20"/>
                <w:szCs w:val="20"/>
                <w:lang w:val="fr-CA"/>
              </w:rPr>
              <w:t>- et entre -</w:t>
            </w:r>
          </w:p>
          <w:p w:rsidR="008756AD" w:rsidRPr="00A404C8" w:rsidRDefault="008756AD" w:rsidP="00B45347">
            <w:pPr>
              <w:rPr>
                <w:sz w:val="20"/>
                <w:szCs w:val="20"/>
                <w:lang w:val="fr-CA"/>
              </w:rPr>
            </w:pPr>
          </w:p>
          <w:p w:rsidR="008756AD" w:rsidRDefault="00A404C8" w:rsidP="00B45347">
            <w:pPr>
              <w:rPr>
                <w:sz w:val="20"/>
                <w:szCs w:val="20"/>
                <w:lang w:val="fr-CA"/>
              </w:rPr>
            </w:pPr>
            <w:r>
              <w:rPr>
                <w:sz w:val="20"/>
                <w:szCs w:val="20"/>
                <w:lang w:val="fr-CA"/>
              </w:rPr>
              <w:t>Christopher Izard et autres</w:t>
            </w:r>
          </w:p>
          <w:p w:rsidR="00A404C8" w:rsidRDefault="00A404C8" w:rsidP="00B45347">
            <w:pPr>
              <w:rPr>
                <w:sz w:val="20"/>
                <w:szCs w:val="20"/>
                <w:lang w:val="fr-CA"/>
              </w:rPr>
            </w:pPr>
          </w:p>
          <w:p w:rsidR="00A404C8" w:rsidRPr="00C935D9" w:rsidRDefault="00A404C8" w:rsidP="00A404C8">
            <w:pPr>
              <w:rPr>
                <w:sz w:val="20"/>
                <w:szCs w:val="20"/>
                <w:lang w:val="fr-CA"/>
              </w:rPr>
            </w:pPr>
            <w:r w:rsidRPr="00C935D9">
              <w:rPr>
                <w:sz w:val="20"/>
                <w:szCs w:val="20"/>
                <w:lang w:val="fr-CA"/>
              </w:rPr>
              <w:tab/>
              <w:t>c. (33</w:t>
            </w:r>
            <w:r>
              <w:rPr>
                <w:sz w:val="20"/>
                <w:szCs w:val="20"/>
                <w:lang w:val="fr-CA"/>
              </w:rPr>
              <w:t>468</w:t>
            </w:r>
            <w:r w:rsidRPr="00C935D9">
              <w:rPr>
                <w:sz w:val="20"/>
                <w:szCs w:val="20"/>
                <w:lang w:val="fr-CA"/>
              </w:rPr>
              <w:t>)</w:t>
            </w:r>
          </w:p>
          <w:p w:rsidR="00A404C8" w:rsidRPr="00C935D9" w:rsidRDefault="00A404C8" w:rsidP="00A404C8">
            <w:pPr>
              <w:rPr>
                <w:sz w:val="20"/>
                <w:szCs w:val="20"/>
                <w:lang w:val="fr-CA"/>
              </w:rPr>
            </w:pPr>
          </w:p>
          <w:p w:rsidR="008756AD" w:rsidRPr="00C73EE6" w:rsidRDefault="00A404C8" w:rsidP="00A404C8">
            <w:pPr>
              <w:rPr>
                <w:sz w:val="20"/>
                <w:szCs w:val="20"/>
                <w:lang w:val="fr-CA"/>
              </w:rPr>
            </w:pPr>
            <w:r w:rsidRPr="00C935D9">
              <w:rPr>
                <w:sz w:val="20"/>
                <w:szCs w:val="20"/>
                <w:lang w:val="fr-CA"/>
              </w:rPr>
              <w:t>Claude Robinson et autre (Qc)</w:t>
            </w:r>
          </w:p>
        </w:tc>
        <w:tc>
          <w:tcPr>
            <w:tcW w:w="1166" w:type="dxa"/>
          </w:tcPr>
          <w:p w:rsidR="00D64901" w:rsidRPr="00C73EE6" w:rsidRDefault="00D64901" w:rsidP="002A4AFA">
            <w:pPr>
              <w:rPr>
                <w:sz w:val="20"/>
                <w:szCs w:val="20"/>
                <w:lang w:val="fr-CA"/>
              </w:rPr>
            </w:pPr>
          </w:p>
          <w:p w:rsidR="00D64901" w:rsidRPr="00C73EE6" w:rsidRDefault="00D64901" w:rsidP="002A4AFA">
            <w:pPr>
              <w:rPr>
                <w:sz w:val="20"/>
                <w:szCs w:val="20"/>
                <w:lang w:val="fr-CA"/>
              </w:rPr>
            </w:pPr>
          </w:p>
          <w:p w:rsidR="00D64901" w:rsidRDefault="00D64901"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Default="007E5CB4" w:rsidP="002A4AFA">
            <w:pPr>
              <w:rPr>
                <w:sz w:val="20"/>
                <w:szCs w:val="20"/>
                <w:lang w:val="fr-CA"/>
              </w:rPr>
            </w:pPr>
          </w:p>
          <w:p w:rsidR="007E5CB4" w:rsidRPr="00C73EE6" w:rsidRDefault="007E5CB4" w:rsidP="002A4AFA">
            <w:pPr>
              <w:rPr>
                <w:sz w:val="20"/>
                <w:szCs w:val="20"/>
                <w:lang w:val="fr-CA"/>
              </w:rPr>
            </w:pPr>
          </w:p>
          <w:p w:rsidR="00D64901" w:rsidRPr="00C73EE6" w:rsidRDefault="00D64901" w:rsidP="002A4AFA">
            <w:pPr>
              <w:rPr>
                <w:sz w:val="20"/>
                <w:szCs w:val="20"/>
                <w:lang w:val="fr-CA"/>
              </w:rPr>
            </w:pPr>
          </w:p>
          <w:p w:rsidR="00D64901" w:rsidRPr="00C73EE6" w:rsidRDefault="00D64901" w:rsidP="002A4AFA">
            <w:pPr>
              <w:rPr>
                <w:sz w:val="20"/>
                <w:szCs w:val="20"/>
                <w:lang w:val="fr-CA"/>
              </w:rPr>
            </w:pPr>
          </w:p>
        </w:tc>
        <w:tc>
          <w:tcPr>
            <w:tcW w:w="4334" w:type="dxa"/>
          </w:tcPr>
          <w:p w:rsidR="00D64901" w:rsidRPr="00A404C8" w:rsidRDefault="00D64901" w:rsidP="002A4AFA">
            <w:pPr>
              <w:rPr>
                <w:sz w:val="20"/>
                <w:szCs w:val="20"/>
                <w:lang w:val="fr-CA"/>
              </w:rPr>
            </w:pPr>
          </w:p>
        </w:tc>
      </w:tr>
    </w:tbl>
    <w:p w:rsidR="00D64901" w:rsidRPr="00A404C8" w:rsidRDefault="00D64901" w:rsidP="00D64901">
      <w:pPr>
        <w:rPr>
          <w:sz w:val="20"/>
          <w:szCs w:val="20"/>
          <w:lang w:val="fr-CA"/>
        </w:rPr>
      </w:pPr>
    </w:p>
    <w:p w:rsidR="00CE3D7E" w:rsidRPr="007E5CB4" w:rsidRDefault="007E5CB4" w:rsidP="00CE3D7E">
      <w:pPr>
        <w:rPr>
          <w:sz w:val="20"/>
          <w:szCs w:val="20"/>
          <w:lang w:bidi="en-US"/>
        </w:rPr>
      </w:pPr>
      <w:r w:rsidRPr="007E5CB4">
        <w:rPr>
          <w:b/>
          <w:sz w:val="20"/>
          <w:szCs w:val="20"/>
          <w:lang w:bidi="en-US"/>
        </w:rPr>
        <w:t>DISMISSED WITH</w:t>
      </w:r>
      <w:r w:rsidR="00CE3D7E" w:rsidRPr="007E5CB4">
        <w:rPr>
          <w:b/>
          <w:sz w:val="20"/>
          <w:szCs w:val="20"/>
          <w:lang w:bidi="en-US"/>
        </w:rPr>
        <w:t>O</w:t>
      </w:r>
      <w:r w:rsidRPr="007E5CB4">
        <w:rPr>
          <w:b/>
          <w:sz w:val="20"/>
          <w:szCs w:val="20"/>
          <w:lang w:bidi="en-US"/>
        </w:rPr>
        <w:t>UT COSTS</w:t>
      </w:r>
      <w:r>
        <w:rPr>
          <w:b/>
          <w:sz w:val="20"/>
          <w:szCs w:val="20"/>
          <w:lang w:bidi="en-US"/>
        </w:rPr>
        <w:t xml:space="preserve"> / REJETÉE SANS DÉPENS</w:t>
      </w:r>
    </w:p>
    <w:p w:rsidR="00CE3D7E" w:rsidRPr="007E5CB4" w:rsidRDefault="00CE3D7E" w:rsidP="00D64901">
      <w:pPr>
        <w:rPr>
          <w:sz w:val="20"/>
          <w:szCs w:val="20"/>
        </w:rPr>
      </w:pPr>
    </w:p>
    <w:p w:rsidR="00CE3D7E" w:rsidRDefault="00CE3D7E" w:rsidP="00CE3D7E">
      <w:pPr>
        <w:pStyle w:val="ParaNoNdepar-AltN"/>
        <w:spacing w:before="0" w:line="240" w:lineRule="auto"/>
        <w:contextualSpacing/>
        <w:rPr>
          <w:sz w:val="20"/>
          <w:szCs w:val="20"/>
          <w:lang w:val="fr-CA"/>
        </w:rPr>
      </w:pPr>
      <w:r w:rsidRPr="003C13DF">
        <w:rPr>
          <w:sz w:val="20"/>
          <w:szCs w:val="20"/>
          <w:lang w:val="fr-CA"/>
        </w:rPr>
        <w:t>Les intimés, Claude Robinson et Les Productions Nilem Inc., demandent que notre Cour ordonne aux demandeurs de fournir un cautionnement de 3 250 000 $ en garantie de paiement des sommes qu’ils devraient payer si leurs appels devant notre Cour échouaient. Selon les intimés, cette requête se fonde sur l’al. 60(1)</w:t>
      </w:r>
      <w:r w:rsidRPr="003C13DF">
        <w:rPr>
          <w:i/>
          <w:sz w:val="20"/>
          <w:szCs w:val="20"/>
          <w:lang w:val="fr-CA"/>
        </w:rPr>
        <w:t>b</w:t>
      </w:r>
      <w:r w:rsidRPr="003C13DF">
        <w:rPr>
          <w:sz w:val="20"/>
          <w:szCs w:val="20"/>
          <w:lang w:val="fr-CA"/>
        </w:rPr>
        <w:t xml:space="preserve">) de la </w:t>
      </w:r>
      <w:r w:rsidRPr="003C13DF">
        <w:rPr>
          <w:i/>
          <w:sz w:val="20"/>
          <w:szCs w:val="20"/>
          <w:lang w:val="fr-CA"/>
        </w:rPr>
        <w:t>Loi sur la Cour suprême</w:t>
      </w:r>
      <w:r w:rsidRPr="003C13DF">
        <w:rPr>
          <w:sz w:val="20"/>
          <w:szCs w:val="20"/>
          <w:lang w:val="fr-CA"/>
        </w:rPr>
        <w:t>, L.R.C. 1985, ch. S-26, et sur l’art. 47 des Règles de la Cour suprême du Canada, DORS/2002-156. Cette requête a été présentée à la toute fin de la procédure d’autorisation d’appel, après qu’un avis eut été donné que notre Cour s’apprêtait à rendre jugement à l’égard des demandes d’autorisation d’appel des parties.</w:t>
      </w:r>
    </w:p>
    <w:p w:rsidR="00CE3D7E" w:rsidRPr="003C13DF" w:rsidRDefault="00CE3D7E" w:rsidP="00CE3D7E">
      <w:pPr>
        <w:pStyle w:val="ParaNoNdepar-AltN"/>
        <w:numPr>
          <w:ilvl w:val="0"/>
          <w:numId w:val="0"/>
        </w:numPr>
        <w:spacing w:line="240" w:lineRule="auto"/>
        <w:contextualSpacing/>
        <w:rPr>
          <w:sz w:val="20"/>
          <w:szCs w:val="20"/>
          <w:lang w:val="fr-CA"/>
        </w:rPr>
      </w:pPr>
    </w:p>
    <w:p w:rsidR="00CE3D7E" w:rsidRDefault="00CE3D7E" w:rsidP="00CE3D7E">
      <w:pPr>
        <w:pStyle w:val="ParaNoNdepar-AltN"/>
        <w:spacing w:line="240" w:lineRule="auto"/>
        <w:contextualSpacing/>
        <w:rPr>
          <w:sz w:val="20"/>
          <w:szCs w:val="20"/>
          <w:lang w:val="fr-CA"/>
        </w:rPr>
      </w:pPr>
      <w:r w:rsidRPr="003C13DF">
        <w:rPr>
          <w:sz w:val="20"/>
          <w:szCs w:val="20"/>
          <w:lang w:val="fr-CA"/>
        </w:rPr>
        <w:t xml:space="preserve">Les intimés ont obtenu un jugement de la Cour supérieure ([2009] R.J.Q. 2261) qui a ordonné aux demandeurs de leur verser des dommages-intérêts pour une violation de leurs droits d’auteur. La Cour d’appel du Québec a maintenu en partie cette condamnation ([2011] R.J.Q. 1415). Après le jugement de la Cour d’appel, en vertu de l’art. 522.1 du </w:t>
      </w:r>
      <w:r w:rsidRPr="003C13DF">
        <w:rPr>
          <w:i/>
          <w:sz w:val="20"/>
          <w:szCs w:val="20"/>
          <w:lang w:val="fr-CA"/>
        </w:rPr>
        <w:t xml:space="preserve">Code de procédure civile </w:t>
      </w:r>
      <w:r w:rsidRPr="003C13DF">
        <w:rPr>
          <w:sz w:val="20"/>
          <w:szCs w:val="20"/>
          <w:lang w:val="fr-CA"/>
        </w:rPr>
        <w:t>du Québec,</w:t>
      </w:r>
      <w:r w:rsidRPr="003C13DF">
        <w:rPr>
          <w:i/>
          <w:sz w:val="20"/>
          <w:szCs w:val="20"/>
          <w:lang w:val="fr-CA"/>
        </w:rPr>
        <w:t xml:space="preserve"> </w:t>
      </w:r>
      <w:r w:rsidRPr="003C13DF">
        <w:rPr>
          <w:sz w:val="20"/>
          <w:szCs w:val="20"/>
          <w:lang w:val="fr-CA"/>
        </w:rPr>
        <w:t>L.R.Q., ch. C-25 (« </w:t>
      </w:r>
      <w:r w:rsidRPr="003C13DF">
        <w:rPr>
          <w:i/>
          <w:sz w:val="20"/>
          <w:szCs w:val="20"/>
          <w:lang w:val="fr-CA"/>
        </w:rPr>
        <w:t>C.p.c.</w:t>
      </w:r>
      <w:r w:rsidRPr="003C13DF">
        <w:rPr>
          <w:sz w:val="20"/>
          <w:szCs w:val="20"/>
          <w:lang w:val="fr-CA"/>
        </w:rPr>
        <w:t xml:space="preserve"> »), et de l’art. 65.1 de la </w:t>
      </w:r>
      <w:r w:rsidRPr="003C13DF">
        <w:rPr>
          <w:i/>
          <w:sz w:val="20"/>
          <w:szCs w:val="20"/>
          <w:lang w:val="fr-CA"/>
        </w:rPr>
        <w:t>Loi sur la Cour suprême</w:t>
      </w:r>
      <w:r w:rsidRPr="003C13DF">
        <w:rPr>
          <w:sz w:val="20"/>
          <w:szCs w:val="20"/>
          <w:lang w:val="fr-CA"/>
        </w:rPr>
        <w:t>, les demandeurs ont demandé à un juge de la Cour d’appel de surseoir à l’exécution de son jugement, pendant l’examen de leurs demandes d’autorisation d’appel et pendant les pourvois si ces demandes étaient accordées.</w:t>
      </w:r>
    </w:p>
    <w:p w:rsidR="00CE3D7E" w:rsidRPr="003C13DF" w:rsidRDefault="00CE3D7E" w:rsidP="00CE3D7E">
      <w:pPr>
        <w:pStyle w:val="ParaNoNdepar-AltN"/>
        <w:numPr>
          <w:ilvl w:val="0"/>
          <w:numId w:val="0"/>
        </w:numPr>
        <w:spacing w:line="240" w:lineRule="auto"/>
        <w:contextualSpacing/>
        <w:rPr>
          <w:sz w:val="20"/>
          <w:szCs w:val="20"/>
          <w:lang w:val="fr-CA"/>
        </w:rPr>
      </w:pPr>
    </w:p>
    <w:p w:rsidR="00CE3D7E" w:rsidRDefault="00CE3D7E" w:rsidP="00CE3D7E">
      <w:pPr>
        <w:pStyle w:val="ParaNoNdepar-AltN"/>
        <w:spacing w:line="240" w:lineRule="auto"/>
        <w:contextualSpacing/>
        <w:rPr>
          <w:sz w:val="20"/>
          <w:szCs w:val="20"/>
          <w:lang w:val="fr-CA"/>
        </w:rPr>
      </w:pPr>
      <w:r w:rsidRPr="003C13DF">
        <w:rPr>
          <w:sz w:val="20"/>
          <w:szCs w:val="20"/>
          <w:lang w:val="fr-CA"/>
        </w:rPr>
        <w:t xml:space="preserve">Le juge Fournier, de la Cour d’appel du Québec, a accordé en partie les demandes de sursis (2011 QCCA 2305 (CanLII)), mais il a assorti les sursis de certaines conditions, notamment le dépôt de garanties partielles de paiement du capital, des intérêts et des frais que les demandeurs devraient payer si leurs appels devant la Cour suprême échouaient. Il a rejeté la demande de sursis à l’égard de M. Weinberg, après avoir conclu qu’il aurait été inutile de lui ordonner de fournir une garantie, puisqu’il ne semblait pas posséder d’éléments d’actif. Il a ordonné aux demandeurs Cinar Corporation et Les Films Cinar Inc. (« Cinar ») de déposer une lettre de garantie bancaire de 750 000 $. Il a aussi ordonné aux demandeurs Ravensburger Film + TV GmbH, RTV Family Entertainment AG, France Animation S.A. et Christophe Izard de déposer une lettre de garantie de 2 500 000 $ ou un engagement équivalent irrévocable de leur assureur, comme condition du sursis à l’exécution. Cinar a déposé sa lettre de garantie. Les avocats de Ravensburger Film + TV GmbH, RTV Family Entertainment AG, France Animation S.A. et Christophe Izard ont informé le </w:t>
      </w:r>
      <w:r w:rsidRPr="003C13DF">
        <w:rPr>
          <w:sz w:val="20"/>
          <w:szCs w:val="20"/>
          <w:lang w:val="fr-CA"/>
        </w:rPr>
        <w:lastRenderedPageBreak/>
        <w:t>procureur des intimés que leurs clients ne fourniraient pas la lettre de garantie prévue. En conséquence, le jugement de la Cour d’appel demeure exécutoire à leur égard, jusqu’au jugement de notre Cour sur les pourvois des parties.</w:t>
      </w:r>
    </w:p>
    <w:p w:rsidR="00CE3D7E" w:rsidRPr="003C13DF" w:rsidRDefault="00CE3D7E" w:rsidP="00CE3D7E">
      <w:pPr>
        <w:pStyle w:val="ParaNoNdepar-AltN"/>
        <w:numPr>
          <w:ilvl w:val="0"/>
          <w:numId w:val="0"/>
        </w:numPr>
        <w:spacing w:line="240" w:lineRule="auto"/>
        <w:contextualSpacing/>
        <w:rPr>
          <w:sz w:val="20"/>
          <w:szCs w:val="20"/>
          <w:lang w:val="fr-CA"/>
        </w:rPr>
      </w:pPr>
    </w:p>
    <w:p w:rsidR="00CE3D7E" w:rsidRPr="003C13DF" w:rsidRDefault="00CE3D7E" w:rsidP="00CE3D7E">
      <w:pPr>
        <w:pStyle w:val="ParaNoNdepar-AltN"/>
        <w:spacing w:line="240" w:lineRule="auto"/>
        <w:contextualSpacing/>
        <w:rPr>
          <w:sz w:val="20"/>
          <w:szCs w:val="20"/>
          <w:lang w:val="fr-CA"/>
        </w:rPr>
      </w:pPr>
      <w:r w:rsidRPr="003C13DF">
        <w:rPr>
          <w:sz w:val="20"/>
          <w:szCs w:val="20"/>
          <w:lang w:val="fr-CA"/>
        </w:rPr>
        <w:t>Nous n’accorderons pas la garantie demandée. Bien que nous ne voulions pas affirmer qu’il serait impossible d’accorder une garantie sous forme de dépôt d’un cautionnement ou d’une autre sûreté supérieurs à 500 $, il n’existe apparemment aucun cas où notre Cour aurait accordé ce type de garantie comme condition de la formation d’un appel en vertu de l’al. 60(1)</w:t>
      </w:r>
      <w:r w:rsidRPr="003C13DF">
        <w:rPr>
          <w:i/>
          <w:sz w:val="20"/>
          <w:szCs w:val="20"/>
          <w:lang w:val="fr-CA"/>
        </w:rPr>
        <w:t>b</w:t>
      </w:r>
      <w:r w:rsidRPr="003C13DF">
        <w:rPr>
          <w:sz w:val="20"/>
          <w:szCs w:val="20"/>
          <w:lang w:val="fr-CA"/>
        </w:rPr>
        <w:t xml:space="preserve">) de la </w:t>
      </w:r>
      <w:r w:rsidRPr="003C13DF">
        <w:rPr>
          <w:i/>
          <w:sz w:val="20"/>
          <w:szCs w:val="20"/>
          <w:lang w:val="fr-CA"/>
        </w:rPr>
        <w:t>Loi sur la Cour suprême</w:t>
      </w:r>
      <w:r w:rsidRPr="003C13DF">
        <w:rPr>
          <w:sz w:val="20"/>
          <w:szCs w:val="20"/>
          <w:lang w:val="fr-CA"/>
        </w:rPr>
        <w:t>. L’application de celui-ci a été traditionnellement limitée à la consignation d’un dépôt symbolique de 500 $ pour les dépens du pourvoi (</w:t>
      </w:r>
      <w:r w:rsidRPr="003C13DF">
        <w:rPr>
          <w:i/>
          <w:sz w:val="20"/>
          <w:szCs w:val="20"/>
          <w:lang w:val="fr-CA"/>
        </w:rPr>
        <w:t>Lanificio Fratelli Bettazzi S.N.C. c. Tissus Ranchar Inc.</w:t>
      </w:r>
      <w:r w:rsidRPr="003C13DF">
        <w:rPr>
          <w:sz w:val="20"/>
          <w:szCs w:val="20"/>
          <w:lang w:val="fr-CA"/>
        </w:rPr>
        <w:t>, 6 septembre 1990, n</w:t>
      </w:r>
      <w:r w:rsidRPr="003C13DF">
        <w:rPr>
          <w:sz w:val="20"/>
          <w:szCs w:val="20"/>
          <w:vertAlign w:val="superscript"/>
          <w:lang w:val="fr-CA"/>
        </w:rPr>
        <w:t>o</w:t>
      </w:r>
      <w:r w:rsidRPr="003C13DF">
        <w:rPr>
          <w:sz w:val="20"/>
          <w:szCs w:val="20"/>
          <w:lang w:val="fr-CA"/>
        </w:rPr>
        <w:t xml:space="preserve"> 21373, M. le juge Cory; voir H.S. Brown, </w:t>
      </w:r>
      <w:r w:rsidRPr="003C13DF">
        <w:rPr>
          <w:i/>
          <w:sz w:val="20"/>
          <w:szCs w:val="20"/>
          <w:lang w:val="fr-CA"/>
        </w:rPr>
        <w:t xml:space="preserve">Supreme Court of Canada Practice 2012 </w:t>
      </w:r>
      <w:r w:rsidRPr="003C13DF">
        <w:rPr>
          <w:sz w:val="20"/>
          <w:szCs w:val="20"/>
          <w:lang w:val="fr-CA"/>
        </w:rPr>
        <w:t xml:space="preserve">(2011), 12th ed., pp. 134-136). Le type de garantie demandé par les intimés a été habituellement accordé comme condition de la suspension d’une procédure ou d’un sursis à l’exécution en vertu des art. 65 et 65.1 de la </w:t>
      </w:r>
      <w:r w:rsidRPr="003C13DF">
        <w:rPr>
          <w:i/>
          <w:sz w:val="20"/>
          <w:szCs w:val="20"/>
          <w:lang w:val="fr-CA"/>
        </w:rPr>
        <w:t>Loi sur la Cour suprême</w:t>
      </w:r>
      <w:r w:rsidRPr="003C13DF">
        <w:rPr>
          <w:sz w:val="20"/>
          <w:szCs w:val="20"/>
          <w:lang w:val="fr-CA"/>
        </w:rPr>
        <w:t xml:space="preserve"> ou d’une disposition législative comme l’art. 522.1 </w:t>
      </w:r>
      <w:r w:rsidRPr="003C13DF">
        <w:rPr>
          <w:i/>
          <w:sz w:val="20"/>
          <w:szCs w:val="20"/>
          <w:lang w:val="fr-CA"/>
        </w:rPr>
        <w:t>C.p.c.</w:t>
      </w:r>
    </w:p>
    <w:p w:rsidR="00CE3D7E" w:rsidRPr="003C13DF" w:rsidRDefault="00CE3D7E" w:rsidP="00CE3D7E">
      <w:pPr>
        <w:pStyle w:val="ParaNoNdepar-AltN"/>
        <w:numPr>
          <w:ilvl w:val="0"/>
          <w:numId w:val="0"/>
        </w:numPr>
        <w:spacing w:line="240" w:lineRule="auto"/>
        <w:contextualSpacing/>
        <w:rPr>
          <w:sz w:val="20"/>
          <w:szCs w:val="20"/>
          <w:lang w:val="fr-CA"/>
        </w:rPr>
      </w:pPr>
    </w:p>
    <w:p w:rsidR="00CE3D7E" w:rsidRDefault="00CE3D7E" w:rsidP="00CE3D7E">
      <w:pPr>
        <w:pStyle w:val="ParaNoNdepar-AltN"/>
        <w:spacing w:line="240" w:lineRule="auto"/>
        <w:contextualSpacing/>
        <w:rPr>
          <w:sz w:val="20"/>
          <w:szCs w:val="20"/>
          <w:lang w:val="fr-CA"/>
        </w:rPr>
      </w:pPr>
      <w:r w:rsidRPr="003C13DF">
        <w:rPr>
          <w:sz w:val="20"/>
          <w:szCs w:val="20"/>
          <w:lang w:val="fr-CA"/>
        </w:rPr>
        <w:t>En l’espèce, les conditions des sursis demandés ont été fixées par la décision du juge Fournier de la Cour d’appel du Québec. Ce jugement demeure applicable durant les pourvois qui sont autorisés par des jugements rendus ce même jour par notre Cour et qui sont déposés en même temps que notre décision sur la requête des intimés. Cette requête des intimés, dont le pourvoi est également autorisé, équivaut à toutes fins pratiques à une tentative de révision du jugement de M. le juge Fournier.</w:t>
      </w:r>
    </w:p>
    <w:p w:rsidR="00CE3D7E" w:rsidRPr="003C13DF" w:rsidRDefault="00CE3D7E" w:rsidP="00CE3D7E">
      <w:pPr>
        <w:pStyle w:val="ParaNoNdepar-AltN"/>
        <w:numPr>
          <w:ilvl w:val="0"/>
          <w:numId w:val="0"/>
        </w:numPr>
        <w:spacing w:line="240" w:lineRule="auto"/>
        <w:contextualSpacing/>
        <w:rPr>
          <w:sz w:val="20"/>
          <w:szCs w:val="20"/>
          <w:lang w:val="fr-CA"/>
        </w:rPr>
      </w:pPr>
    </w:p>
    <w:p w:rsidR="00CE3D7E" w:rsidRDefault="00CE3D7E" w:rsidP="00CE3D7E">
      <w:pPr>
        <w:pStyle w:val="ParaNoNdepar-AltN"/>
        <w:spacing w:line="240" w:lineRule="auto"/>
        <w:contextualSpacing/>
        <w:rPr>
          <w:sz w:val="20"/>
          <w:szCs w:val="20"/>
          <w:lang w:val="fr-CA"/>
        </w:rPr>
      </w:pPr>
      <w:r w:rsidRPr="003C13DF">
        <w:rPr>
          <w:sz w:val="20"/>
          <w:szCs w:val="20"/>
          <w:lang w:val="fr-CA"/>
        </w:rPr>
        <w:t xml:space="preserve">Nous ajoutons que ce type de garantie serait difficilement compatible avec les exigences d’un accès approprié à la Cour suprême. Les décisions sur les demandes d’autorisation d’appel sont régies par le critère de l’importance de l’appel en vertu de l’art. 40 de la </w:t>
      </w:r>
      <w:r w:rsidRPr="003C13DF">
        <w:rPr>
          <w:i/>
          <w:sz w:val="20"/>
          <w:szCs w:val="20"/>
          <w:lang w:val="fr-CA"/>
        </w:rPr>
        <w:t>Loi sur la Cour suprême</w:t>
      </w:r>
      <w:r w:rsidRPr="003C13DF">
        <w:rPr>
          <w:sz w:val="20"/>
          <w:szCs w:val="20"/>
          <w:lang w:val="fr-CA"/>
        </w:rPr>
        <w:t xml:space="preserve">. De plus, la procédure d’autorisation d’appel représente en elle-même un filtre suffisamment dissuasif à l’égard des appels futiles ou dilatoires. </w:t>
      </w:r>
    </w:p>
    <w:p w:rsidR="00CE3D7E" w:rsidRPr="003C13DF" w:rsidRDefault="00CE3D7E" w:rsidP="00CE3D7E">
      <w:pPr>
        <w:pStyle w:val="ParaNoNdepar-AltN"/>
        <w:numPr>
          <w:ilvl w:val="0"/>
          <w:numId w:val="0"/>
        </w:numPr>
        <w:spacing w:line="240" w:lineRule="auto"/>
        <w:contextualSpacing/>
        <w:rPr>
          <w:sz w:val="20"/>
          <w:szCs w:val="20"/>
          <w:lang w:val="fr-CA"/>
        </w:rPr>
      </w:pPr>
    </w:p>
    <w:p w:rsidR="00CE3D7E" w:rsidRPr="003C13DF" w:rsidRDefault="00CE3D7E" w:rsidP="00CE3D7E">
      <w:pPr>
        <w:pStyle w:val="ParaNoNdepar-AltN"/>
        <w:spacing w:after="0" w:line="240" w:lineRule="auto"/>
        <w:contextualSpacing/>
        <w:rPr>
          <w:rFonts w:cs="Times New Roman"/>
          <w:sz w:val="20"/>
          <w:szCs w:val="20"/>
          <w:lang w:val="fr-CA"/>
        </w:rPr>
      </w:pPr>
      <w:r w:rsidRPr="003C13DF">
        <w:rPr>
          <w:sz w:val="20"/>
          <w:szCs w:val="20"/>
          <w:lang w:val="fr-CA"/>
        </w:rPr>
        <w:t>Pour ces motifs, la requête des intimés est rejetée sans dépens.</w:t>
      </w:r>
    </w:p>
    <w:p w:rsidR="00CE3D7E" w:rsidRPr="00CE3D7E" w:rsidRDefault="00CE3D7E" w:rsidP="00D64901">
      <w:pPr>
        <w:rPr>
          <w:sz w:val="20"/>
          <w:szCs w:val="20"/>
          <w:lang w:val="fr-CA"/>
        </w:rPr>
      </w:pPr>
    </w:p>
    <w:p w:rsidR="00CE3D7E" w:rsidRDefault="00CE3D7E" w:rsidP="00D64901">
      <w:pPr>
        <w:rPr>
          <w:sz w:val="20"/>
          <w:szCs w:val="20"/>
          <w:lang w:val="fr-CA"/>
        </w:rPr>
      </w:pPr>
    </w:p>
    <w:p w:rsidR="00A6397A" w:rsidRPr="00085158" w:rsidRDefault="00A6397A" w:rsidP="00A6397A">
      <w:pPr>
        <w:jc w:val="both"/>
        <w:rPr>
          <w:rFonts w:cs="Times New Roman"/>
          <w:sz w:val="20"/>
          <w:szCs w:val="20"/>
          <w:lang w:val="fr-CA"/>
        </w:rPr>
      </w:pPr>
    </w:p>
    <w:p w:rsidR="00A6397A" w:rsidRPr="00A6397A" w:rsidRDefault="00A6397A" w:rsidP="00A6397A">
      <w:pPr>
        <w:pStyle w:val="ParaNoNdepar-AltN"/>
        <w:numPr>
          <w:ilvl w:val="0"/>
          <w:numId w:val="3"/>
        </w:numPr>
        <w:spacing w:before="0" w:after="0" w:line="240" w:lineRule="auto"/>
        <w:rPr>
          <w:rFonts w:cs="Times New Roman"/>
          <w:sz w:val="20"/>
          <w:szCs w:val="20"/>
        </w:rPr>
      </w:pPr>
      <w:r w:rsidRPr="00A6397A">
        <w:rPr>
          <w:rFonts w:cs="Times New Roman"/>
          <w:sz w:val="20"/>
          <w:szCs w:val="20"/>
        </w:rPr>
        <w:t>The respondents, Claude Robinson and Les Productions Nilem Inc., are asking this Court to order the applicants to provide security in the amount of $3,250,000 for the amounts they would have to pay should their appeals to this Court be unsuccessful.  According to the respondents, this motion is made under s. 60(1)(</w:t>
      </w:r>
      <w:r w:rsidRPr="00A6397A">
        <w:rPr>
          <w:rFonts w:cs="Times New Roman"/>
          <w:i/>
          <w:sz w:val="20"/>
          <w:szCs w:val="20"/>
        </w:rPr>
        <w:t>b</w:t>
      </w:r>
      <w:r w:rsidRPr="00A6397A">
        <w:rPr>
          <w:rFonts w:cs="Times New Roman"/>
          <w:sz w:val="20"/>
          <w:szCs w:val="20"/>
        </w:rPr>
        <w:t xml:space="preserve">) of the </w:t>
      </w:r>
      <w:r w:rsidRPr="00A6397A">
        <w:rPr>
          <w:rFonts w:cs="Times New Roman"/>
          <w:i/>
          <w:sz w:val="20"/>
          <w:szCs w:val="20"/>
        </w:rPr>
        <w:t>Supreme Court Act</w:t>
      </w:r>
      <w:r w:rsidRPr="00A6397A">
        <w:rPr>
          <w:rFonts w:cs="Times New Roman"/>
          <w:sz w:val="20"/>
          <w:szCs w:val="20"/>
        </w:rPr>
        <w:t>, R.S.C. 1985, c. S</w:t>
      </w:r>
      <w:r w:rsidRPr="00A6397A">
        <w:rPr>
          <w:rFonts w:cs="Times New Roman"/>
          <w:sz w:val="20"/>
          <w:szCs w:val="20"/>
        </w:rPr>
        <w:noBreakHyphen/>
        <w:t>26, and Rule 47 of the Rules of the Supreme Court of Canada, SOR/2002</w:t>
      </w:r>
      <w:r w:rsidRPr="00A6397A">
        <w:rPr>
          <w:rFonts w:cs="Times New Roman"/>
          <w:sz w:val="20"/>
          <w:szCs w:val="20"/>
        </w:rPr>
        <w:noBreakHyphen/>
        <w:t>156.  The motion was filed at the very end of the leave to appeal process, after the Court had given notice that it was about to rule on the parties’ applications for leave to appeal.</w:t>
      </w:r>
    </w:p>
    <w:p w:rsidR="00A6397A" w:rsidRPr="0006115C" w:rsidRDefault="00A6397A" w:rsidP="00A6397A">
      <w:pPr>
        <w:pStyle w:val="ParaNoNdepar-AltN"/>
        <w:numPr>
          <w:ilvl w:val="0"/>
          <w:numId w:val="0"/>
        </w:numPr>
        <w:spacing w:before="0" w:after="0" w:line="240" w:lineRule="auto"/>
        <w:rPr>
          <w:rFonts w:cs="Times New Roman"/>
          <w:sz w:val="20"/>
          <w:szCs w:val="20"/>
        </w:rPr>
      </w:pPr>
    </w:p>
    <w:p w:rsidR="00A6397A" w:rsidRDefault="00A6397A" w:rsidP="00A6397A">
      <w:pPr>
        <w:pStyle w:val="ParaNoNdepar-AltN"/>
        <w:spacing w:before="0" w:after="0" w:line="240" w:lineRule="auto"/>
        <w:rPr>
          <w:rFonts w:cs="Times New Roman"/>
          <w:sz w:val="20"/>
          <w:szCs w:val="20"/>
        </w:rPr>
      </w:pPr>
      <w:r w:rsidRPr="0006115C">
        <w:rPr>
          <w:rFonts w:cs="Times New Roman"/>
          <w:sz w:val="20"/>
          <w:szCs w:val="20"/>
        </w:rPr>
        <w:t xml:space="preserve">The respondents obtained a judgment from the Superior Court ([2009] R.J.Q. 2261) ordering the applicants to pay them damages in respect of an infringement of copyright.  The Quebec Court of Appeal upheld that judgment in part ([2011] R.J.Q. 1415).  After the Court of Appeal’s judgment, the applicants applied to a Court of Appeal judge under art. 522.1 of the Quebec </w:t>
      </w:r>
      <w:r w:rsidRPr="0006115C">
        <w:rPr>
          <w:rFonts w:cs="Times New Roman"/>
          <w:i/>
          <w:sz w:val="20"/>
          <w:szCs w:val="20"/>
        </w:rPr>
        <w:t>Code of Civil Procedure</w:t>
      </w:r>
      <w:r w:rsidRPr="0006115C">
        <w:rPr>
          <w:rFonts w:cs="Times New Roman"/>
          <w:sz w:val="20"/>
          <w:szCs w:val="20"/>
        </w:rPr>
        <w:t>, R.S.Q., c. C</w:t>
      </w:r>
      <w:r w:rsidRPr="0006115C">
        <w:rPr>
          <w:rFonts w:cs="Times New Roman"/>
          <w:sz w:val="20"/>
          <w:szCs w:val="20"/>
        </w:rPr>
        <w:noBreakHyphen/>
        <w:t>25 (“</w:t>
      </w:r>
      <w:r w:rsidRPr="0006115C">
        <w:rPr>
          <w:rFonts w:cs="Times New Roman"/>
          <w:i/>
          <w:sz w:val="20"/>
          <w:szCs w:val="20"/>
        </w:rPr>
        <w:t>C.C.P.</w:t>
      </w:r>
      <w:r w:rsidRPr="0006115C">
        <w:rPr>
          <w:rFonts w:cs="Times New Roman"/>
          <w:sz w:val="20"/>
          <w:szCs w:val="20"/>
        </w:rPr>
        <w:t xml:space="preserve">”), and s. 65.1 of the </w:t>
      </w:r>
      <w:r w:rsidRPr="0006115C">
        <w:rPr>
          <w:rFonts w:cs="Times New Roman"/>
          <w:i/>
          <w:sz w:val="20"/>
          <w:szCs w:val="20"/>
        </w:rPr>
        <w:t>Supreme Court Act</w:t>
      </w:r>
      <w:r w:rsidRPr="0006115C">
        <w:rPr>
          <w:rFonts w:cs="Times New Roman"/>
          <w:sz w:val="20"/>
          <w:szCs w:val="20"/>
        </w:rPr>
        <w:t xml:space="preserve"> to stay the execution of the judgment pending consideration of their applications for leave to appeal and, should leave be granted, pending a decision on the appeals.</w:t>
      </w:r>
    </w:p>
    <w:p w:rsidR="00A6397A" w:rsidRPr="0006115C" w:rsidRDefault="00A6397A" w:rsidP="00A6397A">
      <w:pPr>
        <w:pStyle w:val="ParaNoNdepar-AltN"/>
        <w:numPr>
          <w:ilvl w:val="0"/>
          <w:numId w:val="0"/>
        </w:numPr>
        <w:spacing w:before="0" w:after="0" w:line="240" w:lineRule="auto"/>
        <w:rPr>
          <w:rFonts w:cs="Times New Roman"/>
          <w:sz w:val="20"/>
          <w:szCs w:val="20"/>
        </w:rPr>
      </w:pPr>
    </w:p>
    <w:p w:rsidR="00A6397A" w:rsidRDefault="00A6397A" w:rsidP="00A6397A">
      <w:pPr>
        <w:pStyle w:val="ParaNoNdepar-AltN"/>
        <w:spacing w:before="0" w:after="0" w:line="240" w:lineRule="auto"/>
        <w:rPr>
          <w:rFonts w:cs="Times New Roman"/>
          <w:sz w:val="20"/>
          <w:szCs w:val="20"/>
        </w:rPr>
      </w:pPr>
      <w:r w:rsidRPr="0006115C">
        <w:rPr>
          <w:rFonts w:cs="Times New Roman"/>
          <w:sz w:val="20"/>
          <w:szCs w:val="20"/>
        </w:rPr>
        <w:t>Fournier J.A. granted the stay applications in part (2011 QCCA 2305 (CanLII)), but imposed certain conditions for the stays, including the deposit of partial security for the payment of the capital, interest and costs that the applicants would have to pay should their appeals to the Supreme Court be unsuccessful.  He dismissed the stay application in respect of Mr. Weinberg after concluding that it would be pointless to order Mr. Weinberg to provide security, since he did not appear to have any assets.  Fournier J.A. ordered the applicants Cinar Corporation and Les Films Cinar Inc. (“Cinar”) to deposit a bank letter of credit for $750,000.  He also ordered the applicants Ravensburger Film + TV GmbH, RTV Family Entertainment AG, France Animation S.A. and Christophe Izard to deposit a letter of credit for $2,500,000 or an equivalent irrevocable undertaking from their insurer as a condition of the stay.  Cinar deposited its letter of credit.  Counsel for Ravensburger Film + TV GmbH, RTV Family Entertainment AG, France Animation S.A. and Christophe Izard informed counsel for the respondents that their clients would not be providing the letter of credit they had been ordered to deposit.  As a result, the Court of Appeal’s judgment remains enforceable against them until this Court rules on the parties’ appeals.</w:t>
      </w:r>
    </w:p>
    <w:p w:rsidR="00A6397A" w:rsidRPr="0006115C" w:rsidRDefault="00A6397A" w:rsidP="00A6397A">
      <w:pPr>
        <w:pStyle w:val="ParaNoNdepar-AltN"/>
        <w:numPr>
          <w:ilvl w:val="0"/>
          <w:numId w:val="0"/>
        </w:numPr>
        <w:spacing w:before="0" w:after="0" w:line="240" w:lineRule="auto"/>
        <w:rPr>
          <w:rFonts w:cs="Times New Roman"/>
          <w:sz w:val="20"/>
          <w:szCs w:val="20"/>
        </w:rPr>
      </w:pPr>
    </w:p>
    <w:p w:rsidR="00A6397A" w:rsidRPr="0006115C" w:rsidRDefault="00A6397A" w:rsidP="00A6397A">
      <w:pPr>
        <w:pStyle w:val="ParaNoNdepar-AltN"/>
        <w:spacing w:before="0" w:after="0" w:line="240" w:lineRule="auto"/>
        <w:rPr>
          <w:rFonts w:cs="Times New Roman"/>
          <w:sz w:val="20"/>
          <w:szCs w:val="20"/>
        </w:rPr>
      </w:pPr>
      <w:r w:rsidRPr="0006115C">
        <w:rPr>
          <w:rFonts w:cs="Times New Roman"/>
          <w:sz w:val="20"/>
          <w:szCs w:val="20"/>
        </w:rPr>
        <w:lastRenderedPageBreak/>
        <w:t>We will not grant the requested order for security.  Although we do not mean to say that it would be impossible to order security — whether the deposit of a bond or any other form of security — in excess of $500, it appears that this Court has never granted such security as a condition for bringing an appeal under s. 60(1)(</w:t>
      </w:r>
      <w:r w:rsidRPr="0006115C">
        <w:rPr>
          <w:rFonts w:cs="Times New Roman"/>
          <w:i/>
          <w:sz w:val="20"/>
          <w:szCs w:val="20"/>
        </w:rPr>
        <w:t>b</w:t>
      </w:r>
      <w:r w:rsidRPr="0006115C">
        <w:rPr>
          <w:rFonts w:cs="Times New Roman"/>
          <w:sz w:val="20"/>
          <w:szCs w:val="20"/>
        </w:rPr>
        <w:t xml:space="preserve">) of the </w:t>
      </w:r>
      <w:r w:rsidRPr="0006115C">
        <w:rPr>
          <w:rFonts w:cs="Times New Roman"/>
          <w:i/>
          <w:sz w:val="20"/>
          <w:szCs w:val="20"/>
        </w:rPr>
        <w:t>Supreme Court Act</w:t>
      </w:r>
      <w:r w:rsidRPr="0006115C">
        <w:rPr>
          <w:rFonts w:cs="Times New Roman"/>
          <w:sz w:val="20"/>
          <w:szCs w:val="20"/>
        </w:rPr>
        <w:t>, which has traditionally been applied so as to require the deposit of only a symbolic amount of $500 in respect of the costs of the appeal (</w:t>
      </w:r>
      <w:r w:rsidRPr="0006115C">
        <w:rPr>
          <w:rFonts w:cs="Times New Roman"/>
          <w:i/>
          <w:sz w:val="20"/>
          <w:szCs w:val="20"/>
        </w:rPr>
        <w:t>Lanificio Fratelli Bettazzi S.N.C. v. Tissus Ranchar Inc.</w:t>
      </w:r>
      <w:r w:rsidRPr="0006115C">
        <w:rPr>
          <w:rFonts w:cs="Times New Roman"/>
          <w:sz w:val="20"/>
          <w:szCs w:val="20"/>
        </w:rPr>
        <w:t xml:space="preserve">, September 6, 1990, No. 21373, </w:t>
      </w:r>
      <w:r w:rsidRPr="0006115C">
        <w:rPr>
          <w:rFonts w:cs="Times New Roman"/>
          <w:i/>
          <w:sz w:val="20"/>
          <w:szCs w:val="20"/>
        </w:rPr>
        <w:t xml:space="preserve">per </w:t>
      </w:r>
      <w:r w:rsidRPr="0006115C">
        <w:rPr>
          <w:rFonts w:cs="Times New Roman"/>
          <w:sz w:val="20"/>
          <w:szCs w:val="20"/>
        </w:rPr>
        <w:t xml:space="preserve">Cory J.; see H. S. Brown, </w:t>
      </w:r>
      <w:r w:rsidRPr="0006115C">
        <w:rPr>
          <w:rFonts w:cs="Times New Roman"/>
          <w:i/>
          <w:sz w:val="20"/>
          <w:szCs w:val="20"/>
        </w:rPr>
        <w:t>Supreme Court of Canada Practice 2012</w:t>
      </w:r>
      <w:r w:rsidRPr="0006115C">
        <w:rPr>
          <w:rFonts w:cs="Times New Roman"/>
          <w:sz w:val="20"/>
          <w:szCs w:val="20"/>
        </w:rPr>
        <w:t xml:space="preserve"> (2011), 12th ed., at pp. 134</w:t>
      </w:r>
      <w:r w:rsidRPr="0006115C">
        <w:rPr>
          <w:rFonts w:cs="Times New Roman"/>
          <w:sz w:val="20"/>
          <w:szCs w:val="20"/>
        </w:rPr>
        <w:noBreakHyphen/>
        <w:t xml:space="preserve">36).  The type of security the respondents are seeking has usually been granted as a condition for a stay of proceedings or a stay of execution under s. 65 or 65.1 of the </w:t>
      </w:r>
      <w:r w:rsidRPr="0006115C">
        <w:rPr>
          <w:rFonts w:cs="Times New Roman"/>
          <w:i/>
          <w:sz w:val="20"/>
          <w:szCs w:val="20"/>
        </w:rPr>
        <w:t>Supreme Court Act</w:t>
      </w:r>
      <w:r w:rsidRPr="0006115C">
        <w:rPr>
          <w:rFonts w:cs="Times New Roman"/>
          <w:sz w:val="20"/>
          <w:szCs w:val="20"/>
        </w:rPr>
        <w:t xml:space="preserve"> or under a statutory provision such as art. 522.1 </w:t>
      </w:r>
      <w:r w:rsidRPr="0006115C">
        <w:rPr>
          <w:rFonts w:cs="Times New Roman"/>
          <w:i/>
          <w:sz w:val="20"/>
          <w:szCs w:val="20"/>
        </w:rPr>
        <w:t>C.C.P.</w:t>
      </w:r>
    </w:p>
    <w:p w:rsidR="00A6397A" w:rsidRPr="0006115C" w:rsidRDefault="00A6397A" w:rsidP="00A6397A">
      <w:pPr>
        <w:pStyle w:val="ParaNoNdepar-AltN"/>
        <w:numPr>
          <w:ilvl w:val="0"/>
          <w:numId w:val="0"/>
        </w:numPr>
        <w:spacing w:before="0" w:after="0" w:line="240" w:lineRule="auto"/>
        <w:rPr>
          <w:rFonts w:cs="Times New Roman"/>
          <w:sz w:val="20"/>
          <w:szCs w:val="20"/>
        </w:rPr>
      </w:pPr>
    </w:p>
    <w:p w:rsidR="00A6397A" w:rsidRDefault="00A6397A" w:rsidP="00A6397A">
      <w:pPr>
        <w:pStyle w:val="ParaNoNdepar-AltN"/>
        <w:spacing w:before="0" w:after="0" w:line="240" w:lineRule="auto"/>
        <w:rPr>
          <w:rFonts w:cs="Times New Roman"/>
          <w:sz w:val="20"/>
          <w:szCs w:val="20"/>
        </w:rPr>
      </w:pPr>
      <w:r w:rsidRPr="0006115C">
        <w:rPr>
          <w:rFonts w:cs="Times New Roman"/>
          <w:sz w:val="20"/>
          <w:szCs w:val="20"/>
        </w:rPr>
        <w:t>In the instant case, the conditions for the requested stays were laid down in Fournier J.A.’s decision.  That judgment will continue to apply for the duration of the appeals for which leave is being granted in judgments rendered this same day by this Court and filed together with our decision on the respondents’ motion.  This motion by the respondents, whose application for leave to appeal is also being granted, amounts for all intents and purposes to an attempt to review the judgment of Fournier J.A.</w:t>
      </w:r>
    </w:p>
    <w:p w:rsidR="00A6397A" w:rsidRPr="0006115C" w:rsidRDefault="00A6397A" w:rsidP="00A6397A">
      <w:pPr>
        <w:pStyle w:val="ParaNoNdepar-AltN"/>
        <w:numPr>
          <w:ilvl w:val="0"/>
          <w:numId w:val="0"/>
        </w:numPr>
        <w:spacing w:before="0" w:after="0" w:line="240" w:lineRule="auto"/>
        <w:rPr>
          <w:rFonts w:cs="Times New Roman"/>
          <w:sz w:val="20"/>
          <w:szCs w:val="20"/>
        </w:rPr>
      </w:pPr>
    </w:p>
    <w:p w:rsidR="00A6397A" w:rsidRDefault="00A6397A" w:rsidP="00A6397A">
      <w:pPr>
        <w:pStyle w:val="ParaNoNdepar-AltN"/>
        <w:spacing w:before="0" w:after="0" w:line="240" w:lineRule="auto"/>
        <w:rPr>
          <w:rFonts w:cs="Times New Roman"/>
          <w:sz w:val="20"/>
          <w:szCs w:val="20"/>
        </w:rPr>
      </w:pPr>
      <w:r w:rsidRPr="0006115C">
        <w:rPr>
          <w:rFonts w:cs="Times New Roman"/>
          <w:sz w:val="20"/>
          <w:szCs w:val="20"/>
        </w:rPr>
        <w:tab/>
        <w:t xml:space="preserve">It should be added that it would be difficult to reconcile security such as this with the requirements underlying proper access to the Supreme Court.  Section 40 of the </w:t>
      </w:r>
      <w:r w:rsidRPr="0006115C">
        <w:rPr>
          <w:rFonts w:cs="Times New Roman"/>
          <w:i/>
          <w:sz w:val="20"/>
          <w:szCs w:val="20"/>
        </w:rPr>
        <w:t>Supreme Court Act</w:t>
      </w:r>
      <w:r w:rsidRPr="0006115C">
        <w:rPr>
          <w:rFonts w:cs="Times New Roman"/>
          <w:sz w:val="20"/>
          <w:szCs w:val="20"/>
        </w:rPr>
        <w:t xml:space="preserve"> provides that an application for leave to appeal is to be decided on the basis of the importance of the case.  Moreover, the procedure for granting leave to appeal is in itself a sufficient deterrent against frivolous or dilatory appeals. </w:t>
      </w:r>
    </w:p>
    <w:p w:rsidR="00A6397A" w:rsidRPr="0006115C" w:rsidRDefault="00A6397A" w:rsidP="00A6397A">
      <w:pPr>
        <w:pStyle w:val="ParaNoNdepar-AltN"/>
        <w:numPr>
          <w:ilvl w:val="0"/>
          <w:numId w:val="0"/>
        </w:numPr>
        <w:spacing w:before="0" w:after="0" w:line="240" w:lineRule="auto"/>
        <w:rPr>
          <w:rFonts w:cs="Times New Roman"/>
          <w:sz w:val="20"/>
          <w:szCs w:val="20"/>
        </w:rPr>
      </w:pPr>
    </w:p>
    <w:p w:rsidR="00A6397A" w:rsidRDefault="00A6397A" w:rsidP="00A6397A">
      <w:pPr>
        <w:pStyle w:val="ParaNoNdepar-AltN"/>
        <w:spacing w:before="0" w:after="0" w:line="240" w:lineRule="auto"/>
        <w:rPr>
          <w:rFonts w:cs="Times New Roman"/>
          <w:sz w:val="20"/>
          <w:szCs w:val="20"/>
        </w:rPr>
      </w:pPr>
      <w:r w:rsidRPr="0006115C">
        <w:rPr>
          <w:rFonts w:cs="Times New Roman"/>
          <w:sz w:val="20"/>
          <w:szCs w:val="20"/>
        </w:rPr>
        <w:t>For these reasons, the respondents’ motion is dismissed without costs.</w:t>
      </w:r>
    </w:p>
    <w:p w:rsidR="00CE3D7E" w:rsidRPr="00A6397A" w:rsidRDefault="00CE3D7E" w:rsidP="00D64901">
      <w:pPr>
        <w:rPr>
          <w:sz w:val="20"/>
          <w:szCs w:val="20"/>
        </w:rPr>
      </w:pPr>
    </w:p>
    <w:p w:rsidR="00890FEB" w:rsidRDefault="003B0427" w:rsidP="00C50A5C">
      <w:pPr>
        <w:jc w:val="both"/>
        <w:rPr>
          <w:sz w:val="20"/>
          <w:szCs w:val="20"/>
          <w:lang w:val="fr-CA"/>
        </w:rPr>
      </w:pPr>
      <w:r w:rsidRPr="003B0427">
        <w:rPr>
          <w:sz w:val="20"/>
          <w:szCs w:val="20"/>
          <w:lang w:val="fr-CA"/>
        </w:rPr>
        <w:pict>
          <v:rect id="_x0000_i1075" style="width:2in;height:1pt" o:hrpct="0" o:hralign="center" o:hrstd="t" o:hrnoshade="t" o:hr="t" fillcolor="black [3213]" stroked="f"/>
        </w:pict>
      </w:r>
    </w:p>
    <w:p w:rsidR="007E5CB4" w:rsidRPr="00C50A5C" w:rsidRDefault="007E5CB4" w:rsidP="00C50A5C">
      <w:pPr>
        <w:jc w:val="both"/>
        <w:rPr>
          <w:sz w:val="20"/>
          <w:szCs w:val="20"/>
        </w:rPr>
      </w:pPr>
    </w:p>
    <w:p w:rsidR="00890FEB" w:rsidRPr="006975B7" w:rsidRDefault="00890FEB" w:rsidP="00890FEB">
      <w:pPr>
        <w:spacing w:line="0" w:lineRule="atLeast"/>
        <w:rPr>
          <w:sz w:val="20"/>
          <w:szCs w:val="20"/>
        </w:rPr>
      </w:pPr>
    </w:p>
    <w:p w:rsidR="00890FEB" w:rsidRPr="006975B7" w:rsidRDefault="00890FEB" w:rsidP="00890FEB">
      <w:pPr>
        <w:spacing w:line="0" w:lineRule="atLeast"/>
        <w:rPr>
          <w:sz w:val="20"/>
          <w:szCs w:val="20"/>
        </w:rPr>
        <w:sectPr w:rsidR="00890FEB" w:rsidRPr="006975B7" w:rsidSect="00890FEB">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10.05.2012</w: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Before / Devant :   ROTHSTEIN J. / LE JUGE ROTHSTEIN</w:t>
      </w:r>
    </w:p>
    <w:p w:rsidR="008172CB" w:rsidRPr="00043E21" w:rsidRDefault="008172CB" w:rsidP="008172C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8172CB" w:rsidRPr="00643997" w:rsidTr="00C476AD">
        <w:tc>
          <w:tcPr>
            <w:tcW w:w="4338" w:type="dxa"/>
            <w:gridSpan w:val="2"/>
          </w:tcPr>
          <w:p w:rsidR="008172CB" w:rsidRPr="00043E21" w:rsidRDefault="008172CB" w:rsidP="00C476AD">
            <w:pPr>
              <w:jc w:val="both"/>
              <w:rPr>
                <w:b/>
                <w:sz w:val="20"/>
                <w:szCs w:val="20"/>
              </w:rPr>
            </w:pPr>
            <w:r w:rsidRPr="00043E21">
              <w:rPr>
                <w:b/>
                <w:sz w:val="20"/>
                <w:szCs w:val="20"/>
              </w:rPr>
              <w:t xml:space="preserve">Order on interventions with respect to oral argument </w:t>
            </w:r>
            <w:r w:rsidR="003B0427" w:rsidRPr="00043E21">
              <w:rPr>
                <w:b/>
                <w:sz w:val="20"/>
                <w:szCs w:val="20"/>
              </w:rPr>
              <w:fldChar w:fldCharType="begin"/>
            </w:r>
            <w:r w:rsidRPr="00043E21">
              <w:rPr>
                <w:b/>
                <w:sz w:val="20"/>
                <w:szCs w:val="20"/>
              </w:rPr>
              <w:instrText xml:space="preserve"> SEQ CHAPTER \h \r 1</w:instrText>
            </w:r>
            <w:r w:rsidR="003B0427" w:rsidRPr="00043E21">
              <w:rPr>
                <w:b/>
                <w:sz w:val="20"/>
                <w:szCs w:val="20"/>
              </w:rPr>
              <w:fldChar w:fldCharType="end"/>
            </w:r>
          </w:p>
        </w:tc>
        <w:tc>
          <w:tcPr>
            <w:tcW w:w="1170" w:type="dxa"/>
          </w:tcPr>
          <w:p w:rsidR="008172CB" w:rsidRPr="00043E21" w:rsidRDefault="008172CB" w:rsidP="00C476AD">
            <w:pPr>
              <w:rPr>
                <w:sz w:val="20"/>
                <w:szCs w:val="20"/>
              </w:rPr>
            </w:pPr>
          </w:p>
          <w:p w:rsidR="008172CB" w:rsidRPr="00043E21" w:rsidRDefault="008172CB" w:rsidP="00C476AD">
            <w:pPr>
              <w:rPr>
                <w:sz w:val="20"/>
                <w:szCs w:val="20"/>
              </w:rPr>
            </w:pPr>
          </w:p>
          <w:p w:rsidR="008172CB" w:rsidRPr="00043E21" w:rsidRDefault="008172CB" w:rsidP="00C476AD">
            <w:pPr>
              <w:rPr>
                <w:sz w:val="20"/>
                <w:szCs w:val="20"/>
              </w:rPr>
            </w:pPr>
          </w:p>
        </w:tc>
        <w:tc>
          <w:tcPr>
            <w:tcW w:w="4327" w:type="dxa"/>
          </w:tcPr>
          <w:p w:rsidR="008172CB" w:rsidRPr="00043E21" w:rsidRDefault="008172CB" w:rsidP="00C476AD">
            <w:pPr>
              <w:jc w:val="both"/>
              <w:rPr>
                <w:b/>
                <w:sz w:val="20"/>
                <w:szCs w:val="20"/>
                <w:lang w:val="fr-CA"/>
              </w:rPr>
            </w:pPr>
            <w:r w:rsidRPr="00043E21">
              <w:rPr>
                <w:b/>
                <w:sz w:val="20"/>
                <w:szCs w:val="20"/>
                <w:lang w:val="fr-CA"/>
              </w:rPr>
              <w:t>Ordonnance relative à la présentation d’une plaidoirie orale par les intervenants</w:t>
            </w:r>
            <w:r w:rsidR="003B0427" w:rsidRPr="00043E21">
              <w:rPr>
                <w:b/>
                <w:sz w:val="20"/>
                <w:szCs w:val="20"/>
              </w:rPr>
              <w:fldChar w:fldCharType="begin"/>
            </w:r>
            <w:r w:rsidRPr="00043E21">
              <w:rPr>
                <w:b/>
                <w:sz w:val="20"/>
                <w:szCs w:val="20"/>
                <w:lang w:val="fr-CA"/>
              </w:rPr>
              <w:instrText xml:space="preserve"> SEQ CHAPTER \h \r 1</w:instrText>
            </w:r>
            <w:r w:rsidR="003B0427" w:rsidRPr="00043E21">
              <w:rPr>
                <w:b/>
                <w:sz w:val="20"/>
                <w:szCs w:val="20"/>
              </w:rPr>
              <w:fldChar w:fldCharType="end"/>
            </w:r>
          </w:p>
        </w:tc>
      </w:tr>
      <w:tr w:rsidR="008172CB" w:rsidRPr="00043E21" w:rsidTr="00C476AD">
        <w:tc>
          <w:tcPr>
            <w:tcW w:w="1368" w:type="dxa"/>
          </w:tcPr>
          <w:p w:rsidR="008172CB" w:rsidRPr="00043E21" w:rsidRDefault="008172CB" w:rsidP="00C476AD">
            <w:pPr>
              <w:rPr>
                <w:sz w:val="20"/>
                <w:szCs w:val="20"/>
              </w:rPr>
            </w:pPr>
            <w:r w:rsidRPr="00043E21">
              <w:rPr>
                <w:sz w:val="20"/>
                <w:szCs w:val="20"/>
              </w:rPr>
              <w:t>RE:</w:t>
            </w:r>
          </w:p>
        </w:tc>
        <w:tc>
          <w:tcPr>
            <w:tcW w:w="2970" w:type="dxa"/>
          </w:tcPr>
          <w:p w:rsidR="008172CB" w:rsidRPr="00043E21" w:rsidRDefault="008172CB" w:rsidP="00C476AD">
            <w:pPr>
              <w:rPr>
                <w:sz w:val="20"/>
                <w:szCs w:val="20"/>
              </w:rPr>
            </w:pPr>
            <w:r w:rsidRPr="00043E21">
              <w:rPr>
                <w:sz w:val="20"/>
                <w:szCs w:val="20"/>
              </w:rPr>
              <w:t>Superintendent of Financial Services ;</w:t>
            </w: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rPr>
                <w:sz w:val="20"/>
                <w:szCs w:val="20"/>
              </w:rPr>
            </w:pPr>
            <w:r w:rsidRPr="00043E21">
              <w:rPr>
                <w:sz w:val="20"/>
                <w:szCs w:val="20"/>
              </w:rPr>
              <w:t>Insolvency Institute of Canada;</w:t>
            </w: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rPr>
                <w:sz w:val="20"/>
                <w:szCs w:val="20"/>
              </w:rPr>
            </w:pPr>
            <w:r w:rsidRPr="00043E21">
              <w:rPr>
                <w:sz w:val="20"/>
                <w:szCs w:val="20"/>
              </w:rPr>
              <w:t>Canadian Labour Congress;</w:t>
            </w: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rPr>
                <w:sz w:val="20"/>
                <w:szCs w:val="20"/>
              </w:rPr>
            </w:pPr>
            <w:r w:rsidRPr="00043E21">
              <w:rPr>
                <w:sz w:val="20"/>
                <w:szCs w:val="20"/>
              </w:rPr>
              <w:t>Canadian Federation of Pensioners;</w:t>
            </w: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rPr>
                <w:sz w:val="20"/>
                <w:szCs w:val="20"/>
              </w:rPr>
            </w:pPr>
            <w:r w:rsidRPr="00043E21">
              <w:rPr>
                <w:sz w:val="20"/>
                <w:szCs w:val="20"/>
              </w:rPr>
              <w:t>Canadian Association of Insolvency and Restructuring Professionals;</w:t>
            </w: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rPr>
                <w:sz w:val="20"/>
                <w:szCs w:val="20"/>
              </w:rPr>
            </w:pPr>
            <w:r w:rsidRPr="00043E21">
              <w:rPr>
                <w:sz w:val="20"/>
                <w:szCs w:val="20"/>
              </w:rPr>
              <w:t>Canadian Bankers Association</w:t>
            </w: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rPr>
                <w:sz w:val="20"/>
                <w:szCs w:val="20"/>
              </w:rPr>
            </w:pP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643997" w:rsidTr="00C476AD">
        <w:tc>
          <w:tcPr>
            <w:tcW w:w="1368" w:type="dxa"/>
          </w:tcPr>
          <w:p w:rsidR="008172CB" w:rsidRPr="00043E21" w:rsidRDefault="008172CB" w:rsidP="00C476AD">
            <w:pPr>
              <w:rPr>
                <w:sz w:val="20"/>
                <w:szCs w:val="20"/>
              </w:rPr>
            </w:pPr>
            <w:r w:rsidRPr="00043E21">
              <w:rPr>
                <w:sz w:val="20"/>
                <w:szCs w:val="20"/>
              </w:rPr>
              <w:t>IN / DANS :</w:t>
            </w:r>
          </w:p>
        </w:tc>
        <w:tc>
          <w:tcPr>
            <w:tcW w:w="2970" w:type="dxa"/>
          </w:tcPr>
          <w:p w:rsidR="008172CB" w:rsidRPr="00043E21" w:rsidRDefault="008172CB" w:rsidP="00C476AD">
            <w:pPr>
              <w:rPr>
                <w:sz w:val="20"/>
                <w:szCs w:val="20"/>
                <w:lang w:val="fr-CA"/>
              </w:rPr>
            </w:pPr>
            <w:r w:rsidRPr="00043E21">
              <w:rPr>
                <w:sz w:val="20"/>
                <w:szCs w:val="20"/>
                <w:lang w:val="fr-CA"/>
              </w:rPr>
              <w:t>Sun Indalex Finance, LLC et al.</w:t>
            </w:r>
          </w:p>
          <w:p w:rsidR="008172CB" w:rsidRPr="00043E21" w:rsidRDefault="008172CB" w:rsidP="00C476AD">
            <w:pPr>
              <w:rPr>
                <w:sz w:val="20"/>
                <w:szCs w:val="20"/>
                <w:lang w:val="fr-CA"/>
              </w:rPr>
            </w:pPr>
          </w:p>
        </w:tc>
        <w:tc>
          <w:tcPr>
            <w:tcW w:w="1170" w:type="dxa"/>
          </w:tcPr>
          <w:p w:rsidR="008172CB" w:rsidRPr="00043E21" w:rsidRDefault="008172CB" w:rsidP="00C476AD">
            <w:pPr>
              <w:rPr>
                <w:sz w:val="20"/>
                <w:szCs w:val="20"/>
                <w:lang w:val="fr-CA"/>
              </w:rPr>
            </w:pPr>
          </w:p>
        </w:tc>
        <w:tc>
          <w:tcPr>
            <w:tcW w:w="4327" w:type="dxa"/>
          </w:tcPr>
          <w:p w:rsidR="008172CB" w:rsidRPr="00043E21" w:rsidRDefault="008172CB" w:rsidP="00C476AD">
            <w:pPr>
              <w:rPr>
                <w:sz w:val="20"/>
                <w:szCs w:val="20"/>
                <w:lang w:val="fr-CA"/>
              </w:rPr>
            </w:pPr>
          </w:p>
        </w:tc>
      </w:tr>
      <w:tr w:rsidR="008172CB" w:rsidRPr="00043E21" w:rsidTr="00C476AD">
        <w:tc>
          <w:tcPr>
            <w:tcW w:w="1368" w:type="dxa"/>
          </w:tcPr>
          <w:p w:rsidR="008172CB" w:rsidRPr="00043E21" w:rsidRDefault="008172CB" w:rsidP="00C476AD">
            <w:pPr>
              <w:rPr>
                <w:sz w:val="20"/>
                <w:szCs w:val="20"/>
                <w:lang w:val="fr-CA"/>
              </w:rPr>
            </w:pPr>
          </w:p>
        </w:tc>
        <w:tc>
          <w:tcPr>
            <w:tcW w:w="2970" w:type="dxa"/>
          </w:tcPr>
          <w:p w:rsidR="008172CB" w:rsidRPr="00043E21" w:rsidRDefault="008172CB" w:rsidP="00C476AD">
            <w:pPr>
              <w:rPr>
                <w:sz w:val="20"/>
                <w:szCs w:val="20"/>
              </w:rPr>
            </w:pPr>
            <w:r w:rsidRPr="00043E21">
              <w:rPr>
                <w:sz w:val="20"/>
                <w:szCs w:val="20"/>
                <w:lang w:val="fr-CA"/>
              </w:rPr>
              <w:tab/>
              <w:t>v</w:t>
            </w:r>
            <w:r w:rsidRPr="00043E21">
              <w:rPr>
                <w:sz w:val="20"/>
                <w:szCs w:val="20"/>
              </w:rPr>
              <w:t>. (34308)</w:t>
            </w:r>
          </w:p>
          <w:p w:rsidR="008172CB" w:rsidRPr="00043E21" w:rsidRDefault="008172CB" w:rsidP="00C476AD">
            <w:pPr>
              <w:rPr>
                <w:sz w:val="20"/>
                <w:szCs w:val="20"/>
              </w:rPr>
            </w:pP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jc w:val="both"/>
              <w:rPr>
                <w:sz w:val="20"/>
                <w:szCs w:val="20"/>
              </w:rPr>
            </w:pPr>
            <w:r w:rsidRPr="00043E21">
              <w:rPr>
                <w:sz w:val="20"/>
                <w:szCs w:val="20"/>
              </w:rPr>
              <w:t>United Steelworkers et al. (Ont.)</w:t>
            </w: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bl>
    <w:p w:rsidR="008172CB" w:rsidRPr="00043E21" w:rsidRDefault="008172CB" w:rsidP="008172CB">
      <w:pPr>
        <w:tabs>
          <w:tab w:val="left" w:pos="-1440"/>
          <w:tab w:val="left" w:pos="-720"/>
        </w:tabs>
        <w:jc w:val="both"/>
        <w:rPr>
          <w:sz w:val="20"/>
          <w:szCs w:val="20"/>
        </w:rPr>
      </w:pPr>
    </w:p>
    <w:p w:rsidR="008172CB" w:rsidRPr="00043E21" w:rsidRDefault="008172CB" w:rsidP="008172CB">
      <w:pPr>
        <w:spacing w:line="233" w:lineRule="auto"/>
        <w:jc w:val="both"/>
        <w:rPr>
          <w:sz w:val="20"/>
          <w:szCs w:val="20"/>
        </w:rPr>
      </w:pPr>
      <w:r w:rsidRPr="00043E21">
        <w:rPr>
          <w:b/>
          <w:bCs/>
          <w:sz w:val="20"/>
          <w:szCs w:val="20"/>
        </w:rPr>
        <w:t>FURTHER TO THE ORDER</w:t>
      </w:r>
      <w:r w:rsidRPr="00043E21">
        <w:rPr>
          <w:sz w:val="20"/>
          <w:szCs w:val="20"/>
        </w:rPr>
        <w:t xml:space="preserve"> dated March 14, 2012, granting leave to intervene to</w:t>
      </w:r>
      <w:r w:rsidRPr="00043E21">
        <w:rPr>
          <w:b/>
          <w:bCs/>
          <w:sz w:val="20"/>
          <w:szCs w:val="20"/>
        </w:rPr>
        <w:t xml:space="preserve"> </w:t>
      </w:r>
      <w:r w:rsidR="003B0427" w:rsidRPr="00043E21">
        <w:rPr>
          <w:sz w:val="20"/>
          <w:szCs w:val="20"/>
        </w:rPr>
        <w:fldChar w:fldCharType="begin"/>
      </w:r>
      <w:r w:rsidRPr="00043E21">
        <w:rPr>
          <w:sz w:val="20"/>
          <w:szCs w:val="20"/>
        </w:rPr>
        <w:instrText xml:space="preserve"> SEQ CHAPTER \h \r 1</w:instrText>
      </w:r>
      <w:r w:rsidR="003B0427" w:rsidRPr="00043E21">
        <w:rPr>
          <w:sz w:val="20"/>
          <w:szCs w:val="20"/>
        </w:rPr>
        <w:fldChar w:fldCharType="end"/>
      </w:r>
      <w:r w:rsidRPr="00043E21">
        <w:rPr>
          <w:sz w:val="20"/>
          <w:szCs w:val="20"/>
        </w:rPr>
        <w:t>the Superintendent of Financial Services, the Insolvency Institute of Canada, the Canadian Labour Congress, the Canadian Federation of Pensioners, the Canadian Association of Insolvency and Restructuring Professionals and the Canadian Bankers Association in the above appeal;</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r w:rsidRPr="00043E21">
        <w:rPr>
          <w:b/>
          <w:bCs/>
          <w:sz w:val="20"/>
          <w:szCs w:val="20"/>
        </w:rPr>
        <w:t>IT IS HEREBY FURTHER ORDERED THAT:</w:t>
      </w:r>
      <w:r w:rsidRPr="00043E21">
        <w:rPr>
          <w:sz w:val="20"/>
          <w:szCs w:val="20"/>
        </w:rPr>
        <w:t xml:space="preserve"> each of the said interveners is granted permission to present oral argument not exceeding ten (10) minutes at the hearing of the appeal.</w:t>
      </w:r>
    </w:p>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sz w:val="20"/>
          <w:szCs w:val="20"/>
        </w:rPr>
      </w:pPr>
    </w:p>
    <w:p w:rsidR="008172CB" w:rsidRPr="00043E21" w:rsidRDefault="008172CB" w:rsidP="008172CB">
      <w:pPr>
        <w:spacing w:line="233" w:lineRule="auto"/>
        <w:jc w:val="both"/>
        <w:rPr>
          <w:sz w:val="20"/>
          <w:szCs w:val="20"/>
          <w:lang w:val="fr-FR"/>
        </w:rPr>
      </w:pPr>
      <w:r w:rsidRPr="00043E21">
        <w:rPr>
          <w:b/>
          <w:sz w:val="20"/>
          <w:szCs w:val="20"/>
          <w:lang w:val="fr-FR"/>
        </w:rPr>
        <w:t>À LA SUITE DE L’ORDONNANCE</w:t>
      </w:r>
      <w:r w:rsidRPr="00043E21">
        <w:rPr>
          <w:sz w:val="20"/>
          <w:szCs w:val="20"/>
          <w:lang w:val="fr-FR"/>
        </w:rPr>
        <w:t xml:space="preserve"> datée du 14 mars 2012 autorisant le Surintendant des services financiers, l’Institut d’insolvabilité du Canada, le Congrès du travail du Canada, la Fédération canadienne des retraités, l’Association canadienne des professionnels de l’insolvabilité et de la réorganisation et l’Association des banquiers canadiens à intervenir;</w:t>
      </w:r>
    </w:p>
    <w:p w:rsidR="008172CB" w:rsidRPr="00043E21" w:rsidRDefault="008172CB" w:rsidP="008172CB">
      <w:pPr>
        <w:spacing w:line="233" w:lineRule="auto"/>
        <w:jc w:val="both"/>
        <w:rPr>
          <w:sz w:val="20"/>
          <w:szCs w:val="20"/>
          <w:lang w:val="fr-FR"/>
        </w:rPr>
      </w:pPr>
    </w:p>
    <w:p w:rsidR="008172CB" w:rsidRPr="00043E21" w:rsidRDefault="008172CB" w:rsidP="008172CB">
      <w:pPr>
        <w:spacing w:line="233" w:lineRule="auto"/>
        <w:jc w:val="both"/>
        <w:rPr>
          <w:sz w:val="20"/>
          <w:szCs w:val="20"/>
          <w:lang w:val="fr-FR"/>
        </w:rPr>
      </w:pPr>
    </w:p>
    <w:p w:rsidR="008172CB" w:rsidRPr="00043E21" w:rsidRDefault="008172CB" w:rsidP="008172CB">
      <w:pPr>
        <w:spacing w:line="233" w:lineRule="auto"/>
        <w:jc w:val="both"/>
        <w:rPr>
          <w:sz w:val="20"/>
          <w:szCs w:val="20"/>
          <w:lang w:val="fr-FR"/>
        </w:rPr>
      </w:pPr>
      <w:r w:rsidRPr="00043E21">
        <w:rPr>
          <w:b/>
          <w:sz w:val="20"/>
          <w:szCs w:val="20"/>
          <w:lang w:val="fr-FR"/>
        </w:rPr>
        <w:t>IL EST EN OUTRE ORDONNÉ QUE</w:t>
      </w:r>
      <w:r w:rsidRPr="00043E21">
        <w:rPr>
          <w:sz w:val="20"/>
          <w:szCs w:val="20"/>
          <w:lang w:val="fr-FR"/>
        </w:rPr>
        <w:t xml:space="preserve"> chacun de ces intervenants pourra présenter une plaidoirie orale d’au plus dix (10) minutes lors de l’audition de l’appel.</w:t>
      </w:r>
    </w:p>
    <w:p w:rsidR="008172CB" w:rsidRPr="00043E21" w:rsidRDefault="008172CB" w:rsidP="008172CB">
      <w:pPr>
        <w:tabs>
          <w:tab w:val="left" w:pos="-1440"/>
          <w:tab w:val="left" w:pos="-720"/>
        </w:tabs>
        <w:jc w:val="both"/>
        <w:rPr>
          <w:sz w:val="20"/>
          <w:szCs w:val="20"/>
          <w:lang w:val="fr-FR"/>
        </w:rPr>
      </w:pPr>
    </w:p>
    <w:p w:rsidR="008172CB" w:rsidRPr="00043E21" w:rsidRDefault="003B0427" w:rsidP="008172CB">
      <w:pPr>
        <w:tabs>
          <w:tab w:val="left" w:pos="-1440"/>
          <w:tab w:val="left" w:pos="-720"/>
        </w:tabs>
        <w:jc w:val="both"/>
        <w:rPr>
          <w:sz w:val="20"/>
          <w:szCs w:val="20"/>
        </w:rPr>
      </w:pPr>
      <w:r w:rsidRPr="003B0427">
        <w:rPr>
          <w:sz w:val="20"/>
          <w:szCs w:val="20"/>
          <w:lang w:val="fr-CA"/>
        </w:rPr>
        <w:pict>
          <v:rect id="_x0000_i1078" style="width:2in;height:1pt" o:hrpct="0" o:hralign="center" o:hrstd="t" o:hrnoshade="t" o:hr="t" fillcolor="black [3213]" stroked="f"/>
        </w:pict>
      </w:r>
    </w:p>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11.05.2012</w: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Before / Devant :   FISH J. / LE JUGE FISH</w:t>
      </w:r>
    </w:p>
    <w:p w:rsidR="008172CB" w:rsidRPr="00043E21" w:rsidRDefault="008172CB" w:rsidP="008172C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172CB" w:rsidRPr="00643997" w:rsidTr="00C476AD">
        <w:tc>
          <w:tcPr>
            <w:tcW w:w="4338" w:type="dxa"/>
          </w:tcPr>
          <w:p w:rsidR="008172CB" w:rsidRPr="00043E21" w:rsidRDefault="003B0427" w:rsidP="00C476AD">
            <w:pPr>
              <w:tabs>
                <w:tab w:val="left" w:pos="-1440"/>
                <w:tab w:val="left" w:pos="-720"/>
              </w:tabs>
              <w:jc w:val="both"/>
              <w:rPr>
                <w:b/>
                <w:sz w:val="20"/>
                <w:szCs w:val="20"/>
              </w:rPr>
            </w:pP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008172CB" w:rsidRPr="00043E21">
              <w:rPr>
                <w:b/>
                <w:bCs/>
                <w:sz w:val="20"/>
                <w:szCs w:val="20"/>
              </w:rPr>
              <w:t>Motion to extend the time to serve and file the respondent's record, factum and book of authorities to April 30, 2012, and for an order pursuant to Rule 71(3) permitting oral argument at the hearing of the appeal</w:t>
            </w:r>
          </w:p>
        </w:tc>
        <w:tc>
          <w:tcPr>
            <w:tcW w:w="1170" w:type="dxa"/>
          </w:tcPr>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3B0427" w:rsidP="00C476AD">
            <w:pPr>
              <w:tabs>
                <w:tab w:val="left" w:pos="-1440"/>
                <w:tab w:val="left" w:pos="-720"/>
              </w:tabs>
              <w:jc w:val="both"/>
              <w:rPr>
                <w:sz w:val="20"/>
                <w:szCs w:val="20"/>
                <w:lang w:val="fr-CA"/>
              </w:rPr>
            </w:pPr>
            <w:r w:rsidRPr="00043E21">
              <w:rPr>
                <w:sz w:val="20"/>
                <w:szCs w:val="20"/>
              </w:rPr>
              <w:lastRenderedPageBreak/>
              <w:fldChar w:fldCharType="begin"/>
            </w:r>
            <w:r w:rsidR="008172CB" w:rsidRPr="00043E21">
              <w:rPr>
                <w:sz w:val="20"/>
                <w:szCs w:val="20"/>
                <w:lang w:val="fr-CA"/>
              </w:rPr>
              <w:instrText xml:space="preserve"> SEQ CHAPTER \h \r 1</w:instrText>
            </w:r>
            <w:r w:rsidRPr="00043E21">
              <w:rPr>
                <w:sz w:val="20"/>
                <w:szCs w:val="20"/>
              </w:rPr>
              <w:fldChar w:fldCharType="end"/>
            </w:r>
            <w:r w:rsidR="008172CB" w:rsidRPr="00043E21">
              <w:rPr>
                <w:b/>
                <w:bCs/>
                <w:sz w:val="20"/>
                <w:szCs w:val="20"/>
                <w:lang w:val="fr-CA"/>
              </w:rPr>
              <w:t xml:space="preserve">Requête de l'intimée en prorogation du délai de signification et de dépôt de ses dossier, mémoire et recueil de sources jusqu'au 30 avril 2012, et en vue de présenter une plaidoirie orale à l'audition en vertu du par. 71(3) des </w:t>
            </w:r>
            <w:r w:rsidR="008172CB" w:rsidRPr="00043E21">
              <w:rPr>
                <w:b/>
                <w:bCs/>
                <w:i/>
                <w:iCs/>
                <w:sz w:val="20"/>
                <w:szCs w:val="20"/>
                <w:lang w:val="fr-CA"/>
              </w:rPr>
              <w:t xml:space="preserve">Règles </w:t>
            </w: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p>
        </w:tc>
      </w:tr>
      <w:tr w:rsidR="008172CB" w:rsidRPr="00043E21" w:rsidTr="00C476AD">
        <w:tc>
          <w:tcPr>
            <w:tcW w:w="4338" w:type="dxa"/>
          </w:tcPr>
          <w:p w:rsidR="008172CB" w:rsidRPr="00043E21" w:rsidRDefault="008172CB" w:rsidP="00C476AD">
            <w:pPr>
              <w:tabs>
                <w:tab w:val="left" w:pos="-1440"/>
                <w:tab w:val="left" w:pos="-720"/>
              </w:tabs>
              <w:jc w:val="both"/>
              <w:rPr>
                <w:sz w:val="20"/>
                <w:szCs w:val="20"/>
              </w:rPr>
            </w:pPr>
            <w:r w:rsidRPr="00043E21">
              <w:rPr>
                <w:sz w:val="20"/>
                <w:szCs w:val="20"/>
              </w:rPr>
              <w:lastRenderedPageBreak/>
              <w:t xml:space="preserve">Mohammad </w:t>
            </w:r>
            <w:proofErr w:type="spellStart"/>
            <w:r w:rsidRPr="00043E21">
              <w:rPr>
                <w:sz w:val="20"/>
                <w:szCs w:val="20"/>
              </w:rPr>
              <w:t>Momin</w:t>
            </w:r>
            <w:proofErr w:type="spellEnd"/>
            <w:r w:rsidRPr="00043E21">
              <w:rPr>
                <w:sz w:val="20"/>
                <w:szCs w:val="20"/>
              </w:rPr>
              <w:t xml:space="preserve"> </w:t>
            </w:r>
            <w:proofErr w:type="spellStart"/>
            <w:r w:rsidRPr="00043E21">
              <w:rPr>
                <w:sz w:val="20"/>
                <w:szCs w:val="20"/>
              </w:rPr>
              <w:t>Khawaja</w:t>
            </w:r>
            <w:proofErr w:type="spellEnd"/>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ab/>
              <w:t>v. (34103)</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Her Majesty the Queen (Crim.) (Ont.)</w:t>
            </w:r>
          </w:p>
        </w:tc>
        <w:tc>
          <w:tcPr>
            <w:tcW w:w="1170" w:type="dxa"/>
          </w:tcPr>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8172CB" w:rsidP="00C476AD">
            <w:pPr>
              <w:tabs>
                <w:tab w:val="left" w:pos="-1440"/>
                <w:tab w:val="left" w:pos="-720"/>
              </w:tabs>
              <w:jc w:val="both"/>
              <w:rPr>
                <w:sz w:val="20"/>
                <w:szCs w:val="20"/>
              </w:rPr>
            </w:pPr>
          </w:p>
        </w:tc>
      </w:tr>
    </w:tbl>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b/>
          <w:sz w:val="20"/>
          <w:szCs w:val="20"/>
          <w:lang w:val="fr-CA"/>
        </w:rPr>
      </w:pPr>
      <w:r w:rsidRPr="00043E21">
        <w:rPr>
          <w:b/>
          <w:sz w:val="20"/>
          <w:szCs w:val="20"/>
          <w:lang w:val="fr-CA"/>
        </w:rPr>
        <w:t>GRANTED / ACCORDÉE</w:t>
      </w:r>
    </w:p>
    <w:p w:rsidR="008172CB" w:rsidRPr="00043E21" w:rsidRDefault="008172CB" w:rsidP="008172CB">
      <w:pPr>
        <w:tabs>
          <w:tab w:val="left" w:pos="-1440"/>
          <w:tab w:val="left" w:pos="-720"/>
        </w:tabs>
        <w:jc w:val="both"/>
        <w:rPr>
          <w:sz w:val="20"/>
          <w:szCs w:val="20"/>
          <w:lang w:val="fr-CA"/>
        </w:rPr>
      </w:pPr>
    </w:p>
    <w:p w:rsidR="008172CB" w:rsidRPr="00043E21" w:rsidRDefault="003B0427" w:rsidP="008172CB">
      <w:pPr>
        <w:tabs>
          <w:tab w:val="left" w:pos="-1440"/>
          <w:tab w:val="left" w:pos="-720"/>
        </w:tabs>
        <w:jc w:val="both"/>
        <w:rPr>
          <w:sz w:val="20"/>
          <w:szCs w:val="20"/>
          <w:lang w:val="fr-CA"/>
        </w:rPr>
      </w:pPr>
      <w:r w:rsidRPr="003B0427">
        <w:rPr>
          <w:sz w:val="20"/>
          <w:szCs w:val="20"/>
          <w:lang w:val="fr-CA"/>
        </w:rPr>
        <w:pict>
          <v:rect id="_x0000_i1079" style="width:2in;height:1pt" o:hrpct="0" o:hralign="center" o:hrstd="t" o:hrnoshade="t" o:hr="t" fillcolor="black [3213]" stroked="f"/>
        </w:pic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14.05.2012</w: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Before / Devant :   FISH J. / LE JUGE FISH</w:t>
      </w:r>
    </w:p>
    <w:p w:rsidR="008172CB" w:rsidRPr="00043E21" w:rsidRDefault="008172CB" w:rsidP="008172C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172CB" w:rsidRPr="00643997" w:rsidTr="00C476AD">
        <w:tc>
          <w:tcPr>
            <w:tcW w:w="4338" w:type="dxa"/>
          </w:tcPr>
          <w:p w:rsidR="008172CB" w:rsidRPr="00043E21" w:rsidRDefault="003B0427" w:rsidP="00C476AD">
            <w:pPr>
              <w:tabs>
                <w:tab w:val="left" w:pos="-1440"/>
                <w:tab w:val="left" w:pos="-720"/>
              </w:tabs>
              <w:jc w:val="both"/>
              <w:rPr>
                <w:b/>
                <w:sz w:val="20"/>
                <w:szCs w:val="20"/>
              </w:rPr>
            </w:pP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008172CB" w:rsidRPr="00043E21">
              <w:rPr>
                <w:b/>
                <w:bCs/>
                <w:sz w:val="20"/>
                <w:szCs w:val="20"/>
              </w:rPr>
              <w:t>Motion to extend the time to serve and file the respondent's factum and book of authorities to April 10, 2012, and for an order pursuant to Rule 71(3) permitting oral argument at the hearing of the appeal</w:t>
            </w:r>
          </w:p>
        </w:tc>
        <w:tc>
          <w:tcPr>
            <w:tcW w:w="1170" w:type="dxa"/>
          </w:tcPr>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3B0427" w:rsidP="00C476AD">
            <w:pPr>
              <w:tabs>
                <w:tab w:val="left" w:pos="-1440"/>
                <w:tab w:val="left" w:pos="-720"/>
              </w:tabs>
              <w:jc w:val="both"/>
              <w:rPr>
                <w:b/>
                <w:bCs/>
                <w:i/>
                <w:iCs/>
                <w:sz w:val="20"/>
                <w:szCs w:val="20"/>
                <w:lang w:val="fr-CA"/>
              </w:rPr>
            </w:pP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008172CB" w:rsidRPr="00043E21">
              <w:rPr>
                <w:b/>
                <w:bCs/>
                <w:sz w:val="20"/>
                <w:szCs w:val="20"/>
                <w:lang w:val="fr-CA"/>
              </w:rPr>
              <w:t xml:space="preserve">Requête de l'intimée en prorogation du délai de signification et de dépôt de ses mémoire et recueil de sources jusqu'au 10 avril 2012, et en vue de présenter une plaidoirie orale à l'audition en vertu du par. 71(3) des </w:t>
            </w:r>
            <w:r w:rsidR="008172CB" w:rsidRPr="00043E21">
              <w:rPr>
                <w:b/>
                <w:bCs/>
                <w:i/>
                <w:iCs/>
                <w:sz w:val="20"/>
                <w:szCs w:val="20"/>
                <w:lang w:val="fr-CA"/>
              </w:rPr>
              <w:t xml:space="preserve">Règles </w:t>
            </w:r>
          </w:p>
          <w:p w:rsidR="008172CB" w:rsidRPr="00043E21" w:rsidRDefault="008172CB" w:rsidP="00C476AD">
            <w:pPr>
              <w:tabs>
                <w:tab w:val="left" w:pos="-1440"/>
                <w:tab w:val="left" w:pos="-720"/>
              </w:tabs>
              <w:jc w:val="both"/>
              <w:rPr>
                <w:sz w:val="20"/>
                <w:szCs w:val="20"/>
                <w:lang w:val="fr-CA"/>
              </w:rPr>
            </w:pPr>
          </w:p>
        </w:tc>
      </w:tr>
      <w:tr w:rsidR="008172CB" w:rsidRPr="00643997" w:rsidTr="00C476AD">
        <w:tc>
          <w:tcPr>
            <w:tcW w:w="4338" w:type="dxa"/>
          </w:tcPr>
          <w:p w:rsidR="008172CB" w:rsidRPr="00043E21" w:rsidRDefault="008172CB" w:rsidP="00C476AD">
            <w:pPr>
              <w:tabs>
                <w:tab w:val="left" w:pos="-1440"/>
                <w:tab w:val="left" w:pos="-720"/>
              </w:tabs>
              <w:jc w:val="both"/>
              <w:rPr>
                <w:sz w:val="20"/>
                <w:szCs w:val="20"/>
              </w:rPr>
            </w:pPr>
            <w:r w:rsidRPr="00043E21">
              <w:rPr>
                <w:sz w:val="20"/>
                <w:szCs w:val="20"/>
              </w:rPr>
              <w:t xml:space="preserve">Her Majesty the Queen </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ab/>
              <w:t>v. (34272)</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lang w:val="fr-CA"/>
              </w:rPr>
            </w:pPr>
            <w:r w:rsidRPr="00043E21">
              <w:rPr>
                <w:sz w:val="20"/>
                <w:szCs w:val="20"/>
                <w:lang w:val="fr-CA"/>
              </w:rPr>
              <w:t>Nicole Patricia Ryan (Crim.) (N.S.)</w:t>
            </w:r>
          </w:p>
        </w:tc>
        <w:tc>
          <w:tcPr>
            <w:tcW w:w="1170" w:type="dxa"/>
          </w:tcPr>
          <w:p w:rsidR="008172CB" w:rsidRPr="00043E21" w:rsidRDefault="008172CB" w:rsidP="00C476AD">
            <w:pPr>
              <w:tabs>
                <w:tab w:val="left" w:pos="-1440"/>
                <w:tab w:val="left" w:pos="-720"/>
              </w:tabs>
              <w:jc w:val="both"/>
              <w:rPr>
                <w:sz w:val="20"/>
                <w:szCs w:val="20"/>
                <w:lang w:val="fr-CA"/>
              </w:rPr>
            </w:pPr>
          </w:p>
        </w:tc>
        <w:tc>
          <w:tcPr>
            <w:tcW w:w="4327" w:type="dxa"/>
          </w:tcPr>
          <w:p w:rsidR="008172CB" w:rsidRPr="00043E21" w:rsidRDefault="008172CB" w:rsidP="00C476AD">
            <w:pPr>
              <w:tabs>
                <w:tab w:val="left" w:pos="-1440"/>
                <w:tab w:val="left" w:pos="-720"/>
              </w:tabs>
              <w:jc w:val="both"/>
              <w:rPr>
                <w:sz w:val="20"/>
                <w:szCs w:val="20"/>
                <w:lang w:val="fr-CA"/>
              </w:rPr>
            </w:pPr>
          </w:p>
        </w:tc>
      </w:tr>
    </w:tbl>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b/>
          <w:sz w:val="20"/>
          <w:szCs w:val="20"/>
          <w:lang w:val="fr-CA"/>
        </w:rPr>
      </w:pPr>
      <w:r w:rsidRPr="00043E21">
        <w:rPr>
          <w:b/>
          <w:sz w:val="20"/>
          <w:szCs w:val="20"/>
          <w:lang w:val="fr-CA"/>
        </w:rPr>
        <w:t>GRANTED / ACCORDÉE</w:t>
      </w:r>
    </w:p>
    <w:p w:rsidR="008172CB" w:rsidRPr="00043E21" w:rsidRDefault="008172CB" w:rsidP="008172CB">
      <w:pPr>
        <w:tabs>
          <w:tab w:val="left" w:pos="-1440"/>
          <w:tab w:val="left" w:pos="-720"/>
        </w:tabs>
        <w:jc w:val="both"/>
        <w:rPr>
          <w:sz w:val="20"/>
          <w:szCs w:val="20"/>
          <w:lang w:val="fr-CA"/>
        </w:rPr>
      </w:pPr>
    </w:p>
    <w:p w:rsidR="008172CB" w:rsidRPr="00043E21" w:rsidRDefault="003B0427" w:rsidP="008172CB">
      <w:pPr>
        <w:tabs>
          <w:tab w:val="left" w:pos="-1440"/>
          <w:tab w:val="left" w:pos="-720"/>
        </w:tabs>
        <w:jc w:val="both"/>
        <w:rPr>
          <w:sz w:val="20"/>
          <w:szCs w:val="20"/>
          <w:lang w:val="fr-CA"/>
        </w:rPr>
      </w:pPr>
      <w:r w:rsidRPr="003B0427">
        <w:rPr>
          <w:sz w:val="20"/>
          <w:szCs w:val="20"/>
          <w:lang w:val="fr-CA"/>
        </w:rPr>
        <w:pict>
          <v:rect id="_x0000_i1080" style="width:2in;height:1pt" o:hrpct="0" o:hralign="center" o:hrstd="t" o:hrnoshade="t" o:hr="t" fillcolor="black [3213]" stroked="f"/>
        </w:pic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15.05.2012</w: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Before / Devant :   FISH J. / LE JUGE FISH</w:t>
      </w:r>
    </w:p>
    <w:p w:rsidR="008172CB" w:rsidRPr="00043E21" w:rsidRDefault="008172CB" w:rsidP="008172C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8172CB" w:rsidRPr="00043E21" w:rsidTr="00C476AD">
        <w:tc>
          <w:tcPr>
            <w:tcW w:w="4338" w:type="dxa"/>
            <w:gridSpan w:val="2"/>
          </w:tcPr>
          <w:p w:rsidR="008172CB" w:rsidRPr="00043E21" w:rsidRDefault="008172CB" w:rsidP="00C476AD">
            <w:pPr>
              <w:rPr>
                <w:b/>
                <w:sz w:val="20"/>
                <w:szCs w:val="20"/>
              </w:rPr>
            </w:pPr>
            <w:r w:rsidRPr="00043E21">
              <w:rPr>
                <w:b/>
                <w:sz w:val="20"/>
                <w:szCs w:val="20"/>
              </w:rPr>
              <w:t>Motion for leave to intervene</w:t>
            </w:r>
            <w:r w:rsidRPr="00043E21">
              <w:rPr>
                <w:sz w:val="20"/>
                <w:szCs w:val="20"/>
              </w:rPr>
              <w:t xml:space="preserve"> </w:t>
            </w:r>
            <w:r w:rsidR="003B0427" w:rsidRPr="00043E21">
              <w:rPr>
                <w:sz w:val="20"/>
                <w:szCs w:val="20"/>
              </w:rPr>
              <w:fldChar w:fldCharType="begin"/>
            </w:r>
            <w:r w:rsidRPr="00043E21">
              <w:rPr>
                <w:sz w:val="20"/>
                <w:szCs w:val="20"/>
              </w:rPr>
              <w:instrText xml:space="preserve"> SEQ CHAPTER \h \r 1</w:instrText>
            </w:r>
            <w:r w:rsidR="003B0427" w:rsidRPr="00043E21">
              <w:rPr>
                <w:sz w:val="20"/>
                <w:szCs w:val="20"/>
              </w:rPr>
              <w:fldChar w:fldCharType="end"/>
            </w:r>
          </w:p>
        </w:tc>
        <w:tc>
          <w:tcPr>
            <w:tcW w:w="1170" w:type="dxa"/>
          </w:tcPr>
          <w:p w:rsidR="008172CB" w:rsidRPr="00043E21" w:rsidRDefault="008172CB" w:rsidP="00C476AD">
            <w:pPr>
              <w:rPr>
                <w:sz w:val="20"/>
                <w:szCs w:val="20"/>
              </w:rPr>
            </w:pPr>
          </w:p>
          <w:p w:rsidR="008172CB" w:rsidRPr="00043E21" w:rsidRDefault="008172CB" w:rsidP="00C476AD">
            <w:pPr>
              <w:rPr>
                <w:sz w:val="20"/>
                <w:szCs w:val="20"/>
              </w:rPr>
            </w:pPr>
          </w:p>
        </w:tc>
        <w:tc>
          <w:tcPr>
            <w:tcW w:w="4327" w:type="dxa"/>
          </w:tcPr>
          <w:p w:rsidR="008172CB" w:rsidRPr="00043E21" w:rsidRDefault="008172CB" w:rsidP="00C476AD">
            <w:pPr>
              <w:rPr>
                <w:b/>
                <w:sz w:val="20"/>
                <w:szCs w:val="20"/>
              </w:rPr>
            </w:pPr>
            <w:r w:rsidRPr="00043E21">
              <w:rPr>
                <w:b/>
                <w:bCs/>
                <w:sz w:val="20"/>
                <w:szCs w:val="20"/>
                <w:lang w:val="fr-CA"/>
              </w:rPr>
              <w:t>Requête en autorisation d’intervenir</w:t>
            </w:r>
            <w:r w:rsidRPr="00043E21">
              <w:rPr>
                <w:sz w:val="20"/>
                <w:szCs w:val="20"/>
              </w:rPr>
              <w:t xml:space="preserve"> </w:t>
            </w:r>
            <w:r w:rsidR="003B0427" w:rsidRPr="00043E21">
              <w:rPr>
                <w:sz w:val="20"/>
                <w:szCs w:val="20"/>
              </w:rPr>
              <w:fldChar w:fldCharType="begin"/>
            </w:r>
            <w:r w:rsidRPr="00043E21">
              <w:rPr>
                <w:sz w:val="20"/>
                <w:szCs w:val="20"/>
              </w:rPr>
              <w:instrText xml:space="preserve"> SEQ CHAPTER \h \r 1</w:instrText>
            </w:r>
            <w:r w:rsidR="003B0427" w:rsidRPr="00043E21">
              <w:rPr>
                <w:sz w:val="20"/>
                <w:szCs w:val="20"/>
              </w:rPr>
              <w:fldChar w:fldCharType="end"/>
            </w:r>
          </w:p>
        </w:tc>
      </w:tr>
      <w:tr w:rsidR="008172CB" w:rsidRPr="00043E21" w:rsidTr="00C476AD">
        <w:tc>
          <w:tcPr>
            <w:tcW w:w="1368" w:type="dxa"/>
          </w:tcPr>
          <w:p w:rsidR="008172CB" w:rsidRPr="00043E21" w:rsidRDefault="008172CB" w:rsidP="00C476AD">
            <w:pPr>
              <w:rPr>
                <w:sz w:val="20"/>
                <w:szCs w:val="20"/>
              </w:rPr>
            </w:pPr>
            <w:r w:rsidRPr="00043E21">
              <w:rPr>
                <w:sz w:val="20"/>
                <w:szCs w:val="20"/>
              </w:rPr>
              <w:t>BY / PAR</w:t>
            </w:r>
          </w:p>
        </w:tc>
        <w:tc>
          <w:tcPr>
            <w:tcW w:w="2970" w:type="dxa"/>
          </w:tcPr>
          <w:p w:rsidR="008172CB" w:rsidRPr="00043E21" w:rsidRDefault="008172CB" w:rsidP="00C476AD">
            <w:pPr>
              <w:rPr>
                <w:sz w:val="20"/>
                <w:szCs w:val="20"/>
              </w:rPr>
            </w:pPr>
            <w:r w:rsidRPr="00043E21">
              <w:rPr>
                <w:sz w:val="20"/>
                <w:szCs w:val="20"/>
                <w:lang w:val="fr-CA"/>
              </w:rPr>
              <w:t>Procureur général de l’Ontario</w:t>
            </w:r>
            <w:r w:rsidRPr="00043E21">
              <w:rPr>
                <w:sz w:val="20"/>
                <w:szCs w:val="20"/>
              </w:rPr>
              <w:t>;</w:t>
            </w: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rPr>
                <w:sz w:val="20"/>
                <w:szCs w:val="20"/>
              </w:rPr>
            </w:pP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r w:rsidRPr="00043E21">
              <w:rPr>
                <w:sz w:val="20"/>
                <w:szCs w:val="20"/>
              </w:rPr>
              <w:t>IN / DANS :</w:t>
            </w:r>
          </w:p>
        </w:tc>
        <w:tc>
          <w:tcPr>
            <w:tcW w:w="2970" w:type="dxa"/>
          </w:tcPr>
          <w:p w:rsidR="008172CB" w:rsidRPr="00043E21" w:rsidRDefault="008172CB" w:rsidP="00C476AD">
            <w:pPr>
              <w:rPr>
                <w:sz w:val="20"/>
                <w:szCs w:val="20"/>
              </w:rPr>
            </w:pPr>
            <w:r w:rsidRPr="00043E21">
              <w:rPr>
                <w:sz w:val="20"/>
                <w:szCs w:val="20"/>
              </w:rPr>
              <w:t>Donald Boudreault</w:t>
            </w:r>
          </w:p>
          <w:p w:rsidR="008172CB" w:rsidRPr="00043E21" w:rsidRDefault="008172CB" w:rsidP="00C476AD">
            <w:pPr>
              <w:rPr>
                <w:sz w:val="20"/>
                <w:szCs w:val="20"/>
              </w:rPr>
            </w:pP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rPr>
                <w:sz w:val="20"/>
                <w:szCs w:val="20"/>
              </w:rPr>
            </w:pPr>
            <w:r w:rsidRPr="00043E21">
              <w:rPr>
                <w:sz w:val="20"/>
                <w:szCs w:val="20"/>
              </w:rPr>
              <w:tab/>
              <w:t>c. (34582)</w:t>
            </w:r>
          </w:p>
          <w:p w:rsidR="008172CB" w:rsidRPr="00043E21" w:rsidRDefault="008172CB" w:rsidP="00C476AD">
            <w:pPr>
              <w:rPr>
                <w:sz w:val="20"/>
                <w:szCs w:val="20"/>
              </w:rPr>
            </w:pP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r w:rsidR="008172CB" w:rsidRPr="00043E21" w:rsidTr="00C476AD">
        <w:tc>
          <w:tcPr>
            <w:tcW w:w="1368" w:type="dxa"/>
          </w:tcPr>
          <w:p w:rsidR="008172CB" w:rsidRPr="00043E21" w:rsidRDefault="008172CB" w:rsidP="00C476AD">
            <w:pPr>
              <w:rPr>
                <w:sz w:val="20"/>
                <w:szCs w:val="20"/>
              </w:rPr>
            </w:pPr>
          </w:p>
        </w:tc>
        <w:tc>
          <w:tcPr>
            <w:tcW w:w="2970" w:type="dxa"/>
          </w:tcPr>
          <w:p w:rsidR="008172CB" w:rsidRPr="00043E21" w:rsidRDefault="008172CB" w:rsidP="00C476AD">
            <w:pPr>
              <w:jc w:val="both"/>
              <w:rPr>
                <w:sz w:val="20"/>
                <w:szCs w:val="20"/>
              </w:rPr>
            </w:pPr>
            <w:r w:rsidRPr="00043E21">
              <w:rPr>
                <w:sz w:val="20"/>
                <w:szCs w:val="20"/>
                <w:lang w:val="fr-CA"/>
              </w:rPr>
              <w:t xml:space="preserve">Sa Majesté la Reine (Crim.) </w:t>
            </w:r>
            <w:r w:rsidRPr="00043E21">
              <w:rPr>
                <w:sz w:val="20"/>
                <w:szCs w:val="20"/>
              </w:rPr>
              <w:t>(Qc)</w:t>
            </w:r>
          </w:p>
        </w:tc>
        <w:tc>
          <w:tcPr>
            <w:tcW w:w="1170" w:type="dxa"/>
          </w:tcPr>
          <w:p w:rsidR="008172CB" w:rsidRPr="00043E21" w:rsidRDefault="008172CB" w:rsidP="00C476AD">
            <w:pPr>
              <w:rPr>
                <w:sz w:val="20"/>
                <w:szCs w:val="20"/>
              </w:rPr>
            </w:pPr>
          </w:p>
        </w:tc>
        <w:tc>
          <w:tcPr>
            <w:tcW w:w="4327" w:type="dxa"/>
          </w:tcPr>
          <w:p w:rsidR="008172CB" w:rsidRPr="00043E21" w:rsidRDefault="008172CB" w:rsidP="00C476AD">
            <w:pPr>
              <w:rPr>
                <w:sz w:val="20"/>
                <w:szCs w:val="20"/>
              </w:rPr>
            </w:pPr>
          </w:p>
        </w:tc>
      </w:tr>
    </w:tbl>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sz w:val="20"/>
          <w:szCs w:val="20"/>
        </w:rPr>
      </w:pPr>
      <w:r w:rsidRPr="00043E21">
        <w:rPr>
          <w:b/>
          <w:sz w:val="20"/>
          <w:szCs w:val="20"/>
        </w:rPr>
        <w:t>GRANTED / ACCORDÉE</w:t>
      </w:r>
    </w:p>
    <w:p w:rsidR="008172CB" w:rsidRPr="00043E21" w:rsidRDefault="008172CB" w:rsidP="008172CB">
      <w:pPr>
        <w:tabs>
          <w:tab w:val="left" w:pos="-1440"/>
          <w:tab w:val="left" w:pos="-720"/>
        </w:tabs>
        <w:jc w:val="both"/>
        <w:rPr>
          <w:sz w:val="20"/>
          <w:szCs w:val="20"/>
        </w:rPr>
      </w:pPr>
    </w:p>
    <w:p w:rsidR="008172CB" w:rsidRPr="00043E21" w:rsidRDefault="008172CB" w:rsidP="008172CB">
      <w:pPr>
        <w:spacing w:line="233" w:lineRule="auto"/>
        <w:jc w:val="both"/>
        <w:rPr>
          <w:sz w:val="20"/>
          <w:szCs w:val="20"/>
        </w:rPr>
      </w:pPr>
      <w:r w:rsidRPr="00043E21">
        <w:rPr>
          <w:b/>
          <w:bCs/>
          <w:sz w:val="20"/>
          <w:szCs w:val="20"/>
        </w:rPr>
        <w:t xml:space="preserve">UPON APPLICATION </w:t>
      </w:r>
      <w:r w:rsidRPr="00043E21">
        <w:rPr>
          <w:sz w:val="20"/>
          <w:szCs w:val="20"/>
        </w:rPr>
        <w:t>by the Attorney General of Ontario and for leave to intervene in the above appeal;</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r w:rsidRPr="00043E21">
        <w:rPr>
          <w:b/>
          <w:bCs/>
          <w:sz w:val="20"/>
          <w:szCs w:val="20"/>
        </w:rPr>
        <w:t>AND THE MATERIAL FILED</w:t>
      </w:r>
      <w:r w:rsidRPr="00043E21">
        <w:rPr>
          <w:sz w:val="20"/>
          <w:szCs w:val="20"/>
        </w:rPr>
        <w:t xml:space="preserve"> having been read;</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r w:rsidRPr="00043E21">
        <w:rPr>
          <w:b/>
          <w:bCs/>
          <w:sz w:val="20"/>
          <w:szCs w:val="20"/>
        </w:rPr>
        <w:t>IT IS HEREBY ORDERED THAT:</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r w:rsidRPr="00043E21">
        <w:rPr>
          <w:sz w:val="20"/>
          <w:szCs w:val="20"/>
        </w:rPr>
        <w:t>The motion for leave to intervene by the Attorney General of Ontario is granted and the said intervener shall be entitled to serve and file a factum not to exceed 10 pages in length on or before May 28, 2012.</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r w:rsidRPr="00043E21">
        <w:rPr>
          <w:sz w:val="20"/>
          <w:szCs w:val="20"/>
        </w:rPr>
        <w:lastRenderedPageBreak/>
        <w:t>The request to present oral argument is deferred to a date following receipt and consideration of the written arguments of the parties and the intervener.</w:t>
      </w:r>
    </w:p>
    <w:p w:rsidR="008172CB" w:rsidRPr="00043E21" w:rsidRDefault="008172CB" w:rsidP="008172CB">
      <w:pPr>
        <w:spacing w:line="233" w:lineRule="auto"/>
        <w:jc w:val="both"/>
        <w:rPr>
          <w:sz w:val="20"/>
          <w:szCs w:val="20"/>
        </w:rPr>
      </w:pPr>
    </w:p>
    <w:p w:rsidR="008172CB" w:rsidRPr="00043E21" w:rsidRDefault="003B0427" w:rsidP="008172CB">
      <w:pPr>
        <w:rPr>
          <w:bCs/>
          <w:sz w:val="20"/>
          <w:szCs w:val="20"/>
        </w:rPr>
      </w:pP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008172CB" w:rsidRPr="00043E21">
        <w:rPr>
          <w:bCs/>
          <w:sz w:val="20"/>
          <w:szCs w:val="20"/>
        </w:rPr>
        <w:t>The intervener is not entitled to raise new issues or to adduce further evidence or otherwise to supplement the record of the parties.</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r w:rsidRPr="00043E21">
        <w:rPr>
          <w:sz w:val="20"/>
          <w:szCs w:val="20"/>
        </w:rPr>
        <w:t>Pursuant to Rule 59(1)(</w:t>
      </w:r>
      <w:r w:rsidRPr="00043E21">
        <w:rPr>
          <w:i/>
          <w:iCs/>
          <w:sz w:val="20"/>
          <w:szCs w:val="20"/>
        </w:rPr>
        <w:t>a</w:t>
      </w:r>
      <w:r w:rsidRPr="00043E21">
        <w:rPr>
          <w:sz w:val="20"/>
          <w:szCs w:val="20"/>
        </w:rPr>
        <w:t xml:space="preserve">) of the </w:t>
      </w:r>
      <w:r w:rsidRPr="00043E21">
        <w:rPr>
          <w:i/>
          <w:iCs/>
          <w:sz w:val="20"/>
          <w:szCs w:val="20"/>
        </w:rPr>
        <w:t>Rules of the Supreme Court of Canada</w:t>
      </w:r>
      <w:r w:rsidRPr="00043E21">
        <w:rPr>
          <w:sz w:val="20"/>
          <w:szCs w:val="20"/>
        </w:rPr>
        <w:t>, the intervener shall pay to the appellant and respondent any additional disbursements occasioned to the appellant and respondent by its intervention.</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lang w:val="fr-FR"/>
        </w:rPr>
      </w:pPr>
      <w:r w:rsidRPr="00043E21">
        <w:rPr>
          <w:b/>
          <w:bCs/>
          <w:sz w:val="20"/>
          <w:szCs w:val="20"/>
          <w:lang w:val="fr-CA"/>
        </w:rPr>
        <w:t xml:space="preserve">À LA SUITE DE LA DEMANDE </w:t>
      </w:r>
      <w:r w:rsidRPr="00043E21">
        <w:rPr>
          <w:sz w:val="20"/>
          <w:szCs w:val="20"/>
          <w:lang w:val="fr-CA"/>
        </w:rPr>
        <w:t>présentée par le Procureur général de l’Ontario en vue d’intervenir dans l’appel;</w:t>
      </w:r>
    </w:p>
    <w:p w:rsidR="008172CB" w:rsidRPr="00043E21" w:rsidRDefault="008172CB" w:rsidP="008172CB">
      <w:pPr>
        <w:spacing w:line="233" w:lineRule="auto"/>
        <w:jc w:val="both"/>
        <w:rPr>
          <w:sz w:val="20"/>
          <w:szCs w:val="20"/>
          <w:lang w:val="fr-CA"/>
        </w:rPr>
      </w:pPr>
    </w:p>
    <w:p w:rsidR="008172CB" w:rsidRPr="00043E21" w:rsidRDefault="008172CB" w:rsidP="008172CB">
      <w:pPr>
        <w:spacing w:line="233" w:lineRule="auto"/>
        <w:jc w:val="both"/>
        <w:rPr>
          <w:sz w:val="20"/>
          <w:szCs w:val="20"/>
          <w:lang w:val="fr-CA"/>
        </w:rPr>
      </w:pPr>
      <w:r w:rsidRPr="00043E21">
        <w:rPr>
          <w:b/>
          <w:bCs/>
          <w:sz w:val="20"/>
          <w:szCs w:val="20"/>
          <w:lang w:val="fr-CA"/>
        </w:rPr>
        <w:t xml:space="preserve">ET APRÈS EXAMEN </w:t>
      </w:r>
      <w:r w:rsidRPr="00043E21">
        <w:rPr>
          <w:sz w:val="20"/>
          <w:szCs w:val="20"/>
          <w:lang w:val="fr-CA"/>
        </w:rPr>
        <w:t xml:space="preserve">des documents déposés; </w:t>
      </w:r>
    </w:p>
    <w:p w:rsidR="008172CB" w:rsidRPr="00043E21" w:rsidRDefault="008172CB" w:rsidP="008172CB">
      <w:pPr>
        <w:spacing w:line="233" w:lineRule="auto"/>
        <w:jc w:val="both"/>
        <w:rPr>
          <w:sz w:val="20"/>
          <w:szCs w:val="20"/>
          <w:lang w:val="fr-CA"/>
        </w:rPr>
      </w:pPr>
    </w:p>
    <w:p w:rsidR="008172CB" w:rsidRPr="00043E21" w:rsidRDefault="008172CB" w:rsidP="008172CB">
      <w:pPr>
        <w:spacing w:line="233" w:lineRule="auto"/>
        <w:jc w:val="both"/>
        <w:rPr>
          <w:sz w:val="20"/>
          <w:szCs w:val="20"/>
          <w:lang w:val="fr-CA"/>
        </w:rPr>
      </w:pPr>
      <w:r w:rsidRPr="00043E21">
        <w:rPr>
          <w:b/>
          <w:bCs/>
          <w:sz w:val="20"/>
          <w:szCs w:val="20"/>
          <w:lang w:val="fr-CA"/>
        </w:rPr>
        <w:t xml:space="preserve">IL EST ORDONNÉ CE QUI SUIT : </w:t>
      </w:r>
    </w:p>
    <w:p w:rsidR="008172CB" w:rsidRPr="00043E21" w:rsidRDefault="008172CB" w:rsidP="008172CB">
      <w:pPr>
        <w:spacing w:line="233" w:lineRule="auto"/>
        <w:jc w:val="both"/>
        <w:rPr>
          <w:sz w:val="20"/>
          <w:szCs w:val="20"/>
          <w:lang w:val="fr-CA"/>
        </w:rPr>
      </w:pPr>
    </w:p>
    <w:p w:rsidR="008172CB" w:rsidRPr="00043E21" w:rsidRDefault="008172CB" w:rsidP="008172CB">
      <w:pPr>
        <w:spacing w:line="233" w:lineRule="auto"/>
        <w:jc w:val="both"/>
        <w:rPr>
          <w:sz w:val="20"/>
          <w:szCs w:val="20"/>
          <w:lang w:val="fr-CA"/>
        </w:rPr>
      </w:pPr>
      <w:r w:rsidRPr="00043E21">
        <w:rPr>
          <w:sz w:val="20"/>
          <w:szCs w:val="20"/>
          <w:lang w:val="fr-CA"/>
        </w:rPr>
        <w:t xml:space="preserve">La requête </w:t>
      </w:r>
      <w:r w:rsidR="003B0427" w:rsidRPr="00043E21">
        <w:rPr>
          <w:sz w:val="20"/>
          <w:szCs w:val="20"/>
        </w:rPr>
        <w:fldChar w:fldCharType="begin"/>
      </w:r>
      <w:r w:rsidRPr="00043E21">
        <w:rPr>
          <w:sz w:val="20"/>
          <w:szCs w:val="20"/>
          <w:lang w:val="fr-FR"/>
        </w:rPr>
        <w:instrText xml:space="preserve"> SEQ CHAPTER \h \r 1</w:instrText>
      </w:r>
      <w:r w:rsidR="003B0427" w:rsidRPr="00043E21">
        <w:rPr>
          <w:sz w:val="20"/>
          <w:szCs w:val="20"/>
        </w:rPr>
        <w:fldChar w:fldCharType="end"/>
      </w:r>
      <w:r w:rsidRPr="00043E21">
        <w:rPr>
          <w:sz w:val="20"/>
          <w:szCs w:val="20"/>
          <w:lang w:val="fr-CA"/>
        </w:rPr>
        <w:t xml:space="preserve">en autorisation d’intervenir du Procureur général de l’Ontario </w:t>
      </w:r>
      <w:r w:rsidR="003B0427" w:rsidRPr="00043E21">
        <w:rPr>
          <w:sz w:val="20"/>
          <w:szCs w:val="20"/>
        </w:rPr>
        <w:fldChar w:fldCharType="begin"/>
      </w:r>
      <w:r w:rsidRPr="00043E21">
        <w:rPr>
          <w:sz w:val="20"/>
          <w:szCs w:val="20"/>
          <w:lang w:val="fr-FR"/>
        </w:rPr>
        <w:instrText xml:space="preserve"> SEQ CHAPTER \h \r 1</w:instrText>
      </w:r>
      <w:r w:rsidR="003B0427" w:rsidRPr="00043E21">
        <w:rPr>
          <w:sz w:val="20"/>
          <w:szCs w:val="20"/>
        </w:rPr>
        <w:fldChar w:fldCharType="end"/>
      </w:r>
      <w:r w:rsidRPr="00043E21">
        <w:rPr>
          <w:sz w:val="20"/>
          <w:szCs w:val="20"/>
          <w:lang w:val="fr-CA"/>
        </w:rPr>
        <w:t>est accueillie et cet intervenant pourra signifier et déposer un mémoire d’au plus 10 pages au plus tard le 28 mai 2012.</w:t>
      </w:r>
    </w:p>
    <w:p w:rsidR="008172CB" w:rsidRPr="00043E21" w:rsidRDefault="008172CB" w:rsidP="008172CB">
      <w:pPr>
        <w:spacing w:line="233" w:lineRule="auto"/>
        <w:jc w:val="both"/>
        <w:rPr>
          <w:sz w:val="20"/>
          <w:szCs w:val="20"/>
          <w:lang w:val="fr-CA"/>
        </w:rPr>
      </w:pPr>
    </w:p>
    <w:p w:rsidR="008172CB" w:rsidRPr="00043E21" w:rsidRDefault="008172CB" w:rsidP="008172CB">
      <w:pPr>
        <w:spacing w:line="225" w:lineRule="auto"/>
        <w:jc w:val="both"/>
        <w:rPr>
          <w:sz w:val="20"/>
          <w:szCs w:val="20"/>
          <w:lang w:val="fr-CA"/>
        </w:rPr>
      </w:pPr>
      <w:r w:rsidRPr="00043E21">
        <w:rPr>
          <w:sz w:val="20"/>
          <w:szCs w:val="20"/>
          <w:lang w:val="fr-CA"/>
        </w:rPr>
        <w:t xml:space="preserve">La décision sur la demande en vue de présenter une plaidoirie orale sera rendue après réception et examen des arguments écrits des parties et de l’intervenant. </w:t>
      </w:r>
    </w:p>
    <w:p w:rsidR="008172CB" w:rsidRPr="00043E21" w:rsidRDefault="008172CB" w:rsidP="008172CB">
      <w:pPr>
        <w:spacing w:line="233" w:lineRule="auto"/>
        <w:jc w:val="both"/>
        <w:rPr>
          <w:color w:val="000000" w:themeColor="text1"/>
          <w:sz w:val="20"/>
          <w:szCs w:val="20"/>
          <w:lang w:val="fr-CA" w:eastAsia="fr-FR"/>
        </w:rPr>
      </w:pPr>
    </w:p>
    <w:p w:rsidR="008172CB" w:rsidRPr="00043E21" w:rsidRDefault="003B0427" w:rsidP="008172CB">
      <w:pPr>
        <w:jc w:val="both"/>
        <w:rPr>
          <w:sz w:val="20"/>
          <w:szCs w:val="20"/>
          <w:lang w:val="fr-FR"/>
        </w:rPr>
      </w:pPr>
      <w:r w:rsidRPr="00043E21">
        <w:rPr>
          <w:sz w:val="20"/>
          <w:szCs w:val="20"/>
        </w:rPr>
        <w:fldChar w:fldCharType="begin"/>
      </w:r>
      <w:r w:rsidR="008172CB" w:rsidRPr="00043E21">
        <w:rPr>
          <w:sz w:val="20"/>
          <w:szCs w:val="20"/>
          <w:lang w:val="fr-FR"/>
        </w:rPr>
        <w:instrText xml:space="preserve"> SEQ CHAPTER \h \r 1</w:instrText>
      </w:r>
      <w:r w:rsidRPr="00043E21">
        <w:rPr>
          <w:sz w:val="20"/>
          <w:szCs w:val="20"/>
        </w:rPr>
        <w:fldChar w:fldCharType="end"/>
      </w:r>
      <w:r w:rsidR="008172CB" w:rsidRPr="00043E21">
        <w:rPr>
          <w:sz w:val="20"/>
          <w:szCs w:val="20"/>
          <w:lang w:val="fr-CA"/>
        </w:rPr>
        <w:t xml:space="preserve">L’intervenant </w:t>
      </w:r>
      <w:r w:rsidRPr="00043E21">
        <w:rPr>
          <w:sz w:val="20"/>
          <w:szCs w:val="20"/>
        </w:rPr>
        <w:fldChar w:fldCharType="begin"/>
      </w:r>
      <w:r w:rsidR="008172CB" w:rsidRPr="00043E21">
        <w:rPr>
          <w:sz w:val="20"/>
          <w:szCs w:val="20"/>
          <w:lang w:val="fr-FR"/>
        </w:rPr>
        <w:instrText xml:space="preserve"> SEQ CHAPTER \h \r 1</w:instrText>
      </w:r>
      <w:r w:rsidRPr="00043E21">
        <w:rPr>
          <w:sz w:val="20"/>
          <w:szCs w:val="20"/>
        </w:rPr>
        <w:fldChar w:fldCharType="end"/>
      </w:r>
      <w:r w:rsidR="008172CB" w:rsidRPr="00043E21">
        <w:rPr>
          <w:bCs/>
          <w:sz w:val="20"/>
          <w:szCs w:val="20"/>
          <w:lang w:val="fr-FR"/>
        </w:rPr>
        <w:t>n'a pas le droit de soulever de nouvelles questions, de produire d'autres éléments de preuve ni de compléter de quelque autre façon le dossier des parties.</w:t>
      </w:r>
    </w:p>
    <w:p w:rsidR="008172CB" w:rsidRPr="00043E21" w:rsidRDefault="008172CB" w:rsidP="008172CB">
      <w:pPr>
        <w:spacing w:line="233" w:lineRule="auto"/>
        <w:jc w:val="both"/>
        <w:rPr>
          <w:sz w:val="20"/>
          <w:szCs w:val="20"/>
          <w:lang w:val="fr-FR"/>
        </w:rPr>
      </w:pPr>
    </w:p>
    <w:p w:rsidR="008172CB" w:rsidRPr="00043E21" w:rsidRDefault="003B0427" w:rsidP="008172CB">
      <w:pPr>
        <w:spacing w:line="233" w:lineRule="auto"/>
        <w:jc w:val="both"/>
        <w:rPr>
          <w:sz w:val="20"/>
          <w:szCs w:val="20"/>
          <w:lang w:val="fr-CA"/>
        </w:rPr>
      </w:pPr>
      <w:r w:rsidRPr="00043E21">
        <w:rPr>
          <w:sz w:val="20"/>
          <w:szCs w:val="20"/>
        </w:rPr>
        <w:fldChar w:fldCharType="begin"/>
      </w:r>
      <w:r w:rsidR="008172CB" w:rsidRPr="00043E21">
        <w:rPr>
          <w:sz w:val="20"/>
          <w:szCs w:val="20"/>
          <w:lang w:val="fr-FR"/>
        </w:rPr>
        <w:instrText xml:space="preserve"> SEQ CHAPTER \h \r 1</w:instrText>
      </w:r>
      <w:r w:rsidRPr="00043E21">
        <w:rPr>
          <w:sz w:val="20"/>
          <w:szCs w:val="20"/>
        </w:rPr>
        <w:fldChar w:fldCharType="end"/>
      </w:r>
      <w:r w:rsidR="008172CB" w:rsidRPr="00043E21">
        <w:rPr>
          <w:sz w:val="20"/>
          <w:szCs w:val="20"/>
          <w:lang w:val="fr-CA"/>
        </w:rPr>
        <w:t>Conformément à l'alinéa 59(1)(</w:t>
      </w:r>
      <w:r w:rsidR="008172CB" w:rsidRPr="00043E21">
        <w:rPr>
          <w:i/>
          <w:iCs/>
          <w:sz w:val="20"/>
          <w:szCs w:val="20"/>
          <w:lang w:val="fr-CA"/>
        </w:rPr>
        <w:t>a</w:t>
      </w:r>
      <w:r w:rsidR="008172CB" w:rsidRPr="00043E21">
        <w:rPr>
          <w:sz w:val="20"/>
          <w:szCs w:val="20"/>
          <w:lang w:val="fr-CA"/>
        </w:rPr>
        <w:t xml:space="preserve">) des </w:t>
      </w:r>
      <w:r w:rsidR="008172CB" w:rsidRPr="00043E21">
        <w:rPr>
          <w:i/>
          <w:iCs/>
          <w:sz w:val="20"/>
          <w:szCs w:val="20"/>
          <w:lang w:val="fr-CA"/>
        </w:rPr>
        <w:t>Règles de la Cour suprême du Canada</w:t>
      </w:r>
      <w:r w:rsidR="008172CB" w:rsidRPr="00043E21">
        <w:rPr>
          <w:sz w:val="20"/>
          <w:szCs w:val="20"/>
          <w:lang w:val="fr-CA"/>
        </w:rPr>
        <w:t>, l’intervenant paiera à l’appelant et à l’intimée tous débours supplémentaires résultant de son intervention.</w:t>
      </w:r>
    </w:p>
    <w:p w:rsidR="008172CB" w:rsidRPr="00043E21" w:rsidRDefault="008172CB" w:rsidP="008172CB">
      <w:pPr>
        <w:tabs>
          <w:tab w:val="left" w:pos="-1440"/>
          <w:tab w:val="left" w:pos="-720"/>
        </w:tabs>
        <w:jc w:val="both"/>
        <w:rPr>
          <w:sz w:val="20"/>
          <w:szCs w:val="20"/>
          <w:lang w:val="fr-CA"/>
        </w:rPr>
      </w:pPr>
    </w:p>
    <w:p w:rsidR="008172CB" w:rsidRPr="00043E21" w:rsidRDefault="003B0427" w:rsidP="008172CB">
      <w:pPr>
        <w:tabs>
          <w:tab w:val="left" w:pos="-1440"/>
          <w:tab w:val="left" w:pos="-720"/>
        </w:tabs>
        <w:jc w:val="both"/>
        <w:rPr>
          <w:sz w:val="20"/>
          <w:szCs w:val="20"/>
          <w:lang w:val="fr-CA"/>
        </w:rPr>
      </w:pPr>
      <w:r w:rsidRPr="003B0427">
        <w:rPr>
          <w:sz w:val="20"/>
          <w:szCs w:val="20"/>
          <w:lang w:val="fr-CA"/>
        </w:rPr>
        <w:pict>
          <v:rect id="_x0000_i1081" style="width:2in;height:1pt" o:hrpct="0" o:hralign="center" o:hrstd="t" o:hrnoshade="t" o:hr="t" fillcolor="black [3213]" stroked="f"/>
        </w:pic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15.05.2012</w: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Before / Devant :   FISH J. / LE JUGE FISH</w:t>
      </w:r>
    </w:p>
    <w:p w:rsidR="008172CB" w:rsidRPr="00043E21" w:rsidRDefault="008172CB" w:rsidP="008172C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172CB" w:rsidRPr="00643997" w:rsidTr="00C476AD">
        <w:tc>
          <w:tcPr>
            <w:tcW w:w="4338" w:type="dxa"/>
          </w:tcPr>
          <w:p w:rsidR="008172CB" w:rsidRPr="00043E21" w:rsidRDefault="003B0427" w:rsidP="00C476AD">
            <w:pPr>
              <w:tabs>
                <w:tab w:val="left" w:pos="-1440"/>
                <w:tab w:val="left" w:pos="-720"/>
              </w:tabs>
              <w:jc w:val="both"/>
              <w:rPr>
                <w:b/>
                <w:sz w:val="20"/>
                <w:szCs w:val="20"/>
              </w:rPr>
            </w:pP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008172CB" w:rsidRPr="00043E21">
              <w:rPr>
                <w:b/>
                <w:bCs/>
                <w:sz w:val="20"/>
                <w:szCs w:val="20"/>
              </w:rPr>
              <w:t>Motion for a stay of execution</w:t>
            </w: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p>
        </w:tc>
        <w:tc>
          <w:tcPr>
            <w:tcW w:w="1170" w:type="dxa"/>
          </w:tcPr>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3B0427" w:rsidP="00C476AD">
            <w:pPr>
              <w:rPr>
                <w:b/>
                <w:bCs/>
                <w:sz w:val="20"/>
                <w:szCs w:val="20"/>
                <w:lang w:val="fr-CA"/>
              </w:rPr>
            </w:pP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008172CB" w:rsidRPr="00043E21">
              <w:rPr>
                <w:b/>
                <w:bCs/>
                <w:sz w:val="20"/>
                <w:szCs w:val="20"/>
                <w:lang w:val="fr-CA"/>
              </w:rPr>
              <w:t>Requête en vue d’obtenir un sursis à l’exécution</w:t>
            </w:r>
          </w:p>
          <w:p w:rsidR="008172CB" w:rsidRPr="00043E21" w:rsidRDefault="008172CB" w:rsidP="00C476AD">
            <w:pPr>
              <w:tabs>
                <w:tab w:val="left" w:pos="-1440"/>
                <w:tab w:val="left" w:pos="-720"/>
              </w:tabs>
              <w:jc w:val="both"/>
              <w:rPr>
                <w:sz w:val="20"/>
                <w:szCs w:val="20"/>
                <w:lang w:val="fr-CA"/>
              </w:rPr>
            </w:pPr>
          </w:p>
        </w:tc>
      </w:tr>
      <w:tr w:rsidR="008172CB" w:rsidRPr="00043E21" w:rsidTr="00C476AD">
        <w:tc>
          <w:tcPr>
            <w:tcW w:w="4338" w:type="dxa"/>
          </w:tcPr>
          <w:p w:rsidR="008172CB" w:rsidRPr="00043E21" w:rsidRDefault="008172CB" w:rsidP="00C476AD">
            <w:pPr>
              <w:tabs>
                <w:tab w:val="left" w:pos="-1440"/>
                <w:tab w:val="left" w:pos="-720"/>
              </w:tabs>
              <w:jc w:val="both"/>
              <w:rPr>
                <w:sz w:val="20"/>
                <w:szCs w:val="20"/>
              </w:rPr>
            </w:pPr>
            <w:r w:rsidRPr="00043E21">
              <w:rPr>
                <w:sz w:val="20"/>
                <w:szCs w:val="20"/>
              </w:rPr>
              <w:t>Valerie Guillaume</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ab/>
              <w:t>v. (34805)</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Mintz &amp; Partners Limited Court Appointed Receiver and Manager of Moshav Naom Non</w:t>
            </w:r>
            <w:r w:rsidRPr="00043E21">
              <w:rPr>
                <w:sz w:val="20"/>
                <w:szCs w:val="20"/>
              </w:rPr>
              <w:noBreakHyphen/>
              <w:t>Profit Co-Operative Housing Corporation and Not It’s Personal Capacity (Ont.)</w:t>
            </w:r>
          </w:p>
        </w:tc>
        <w:tc>
          <w:tcPr>
            <w:tcW w:w="1170" w:type="dxa"/>
          </w:tcPr>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8172CB" w:rsidP="00C476AD">
            <w:pPr>
              <w:tabs>
                <w:tab w:val="left" w:pos="-1440"/>
                <w:tab w:val="left" w:pos="-720"/>
              </w:tabs>
              <w:jc w:val="both"/>
              <w:rPr>
                <w:sz w:val="20"/>
                <w:szCs w:val="20"/>
              </w:rPr>
            </w:pPr>
          </w:p>
        </w:tc>
      </w:tr>
    </w:tbl>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b/>
          <w:sz w:val="20"/>
          <w:szCs w:val="20"/>
        </w:rPr>
      </w:pPr>
      <w:r w:rsidRPr="00043E21">
        <w:rPr>
          <w:b/>
          <w:sz w:val="20"/>
          <w:szCs w:val="20"/>
        </w:rPr>
        <w:t>DISMISSED / REJETÉE</w:t>
      </w:r>
    </w:p>
    <w:p w:rsidR="008172CB" w:rsidRPr="00043E21" w:rsidRDefault="008172CB" w:rsidP="008172CB">
      <w:pPr>
        <w:tabs>
          <w:tab w:val="left" w:pos="-1440"/>
          <w:tab w:val="left" w:pos="-720"/>
        </w:tabs>
        <w:jc w:val="both"/>
        <w:rPr>
          <w:sz w:val="20"/>
          <w:szCs w:val="20"/>
        </w:rPr>
      </w:pPr>
    </w:p>
    <w:p w:rsidR="008172CB" w:rsidRPr="00043E21" w:rsidRDefault="008172CB" w:rsidP="008172CB">
      <w:pPr>
        <w:jc w:val="both"/>
        <w:rPr>
          <w:sz w:val="20"/>
          <w:szCs w:val="20"/>
        </w:rPr>
      </w:pPr>
      <w:r w:rsidRPr="00043E21">
        <w:rPr>
          <w:b/>
          <w:sz w:val="20"/>
          <w:szCs w:val="20"/>
        </w:rPr>
        <w:t>UPON APPLICATION</w:t>
      </w:r>
      <w:r w:rsidRPr="00043E21">
        <w:rPr>
          <w:sz w:val="20"/>
          <w:szCs w:val="20"/>
        </w:rPr>
        <w:t xml:space="preserve"> by the applicant for a stay of execution and a stay of eviction and for an order staying the judgment of the Court of Appeal for Ontario dated April 4, 2012;</w:t>
      </w:r>
    </w:p>
    <w:p w:rsidR="008172CB" w:rsidRPr="00043E21" w:rsidRDefault="008172CB" w:rsidP="008172CB">
      <w:pPr>
        <w:jc w:val="both"/>
        <w:rPr>
          <w:sz w:val="20"/>
          <w:szCs w:val="20"/>
        </w:rPr>
      </w:pPr>
    </w:p>
    <w:p w:rsidR="008172CB" w:rsidRPr="00043E21" w:rsidRDefault="008172CB" w:rsidP="008172CB">
      <w:pPr>
        <w:jc w:val="both"/>
        <w:rPr>
          <w:sz w:val="20"/>
          <w:szCs w:val="20"/>
        </w:rPr>
      </w:pPr>
      <w:r w:rsidRPr="00043E21">
        <w:rPr>
          <w:b/>
          <w:sz w:val="20"/>
          <w:szCs w:val="20"/>
        </w:rPr>
        <w:t>AND HAVING READ THE MATERIAL FILED</w:t>
      </w:r>
      <w:r w:rsidRPr="00043E21">
        <w:rPr>
          <w:sz w:val="20"/>
          <w:szCs w:val="20"/>
        </w:rPr>
        <w:t xml:space="preserve">; </w:t>
      </w:r>
    </w:p>
    <w:p w:rsidR="008172CB" w:rsidRPr="00043E21" w:rsidRDefault="008172CB" w:rsidP="008172CB">
      <w:pPr>
        <w:jc w:val="both"/>
        <w:rPr>
          <w:sz w:val="20"/>
          <w:szCs w:val="20"/>
        </w:rPr>
      </w:pPr>
    </w:p>
    <w:p w:rsidR="008172CB" w:rsidRPr="00043E21" w:rsidRDefault="008172CB" w:rsidP="008172CB">
      <w:pPr>
        <w:jc w:val="both"/>
        <w:rPr>
          <w:sz w:val="20"/>
          <w:szCs w:val="20"/>
        </w:rPr>
      </w:pPr>
      <w:r w:rsidRPr="00043E21">
        <w:rPr>
          <w:b/>
          <w:sz w:val="20"/>
          <w:szCs w:val="20"/>
        </w:rPr>
        <w:t>IT IS HEREBY ORDERED THAT</w:t>
      </w:r>
      <w:r w:rsidRPr="00043E21">
        <w:rPr>
          <w:sz w:val="20"/>
          <w:szCs w:val="20"/>
        </w:rPr>
        <w:t xml:space="preserve"> the motion is dismissed.</w:t>
      </w:r>
    </w:p>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sz w:val="20"/>
          <w:szCs w:val="20"/>
        </w:rPr>
      </w:pPr>
    </w:p>
    <w:p w:rsidR="008172CB" w:rsidRPr="00043E21" w:rsidRDefault="008172CB" w:rsidP="008172CB">
      <w:pPr>
        <w:jc w:val="both"/>
        <w:rPr>
          <w:sz w:val="20"/>
          <w:szCs w:val="20"/>
          <w:lang w:val="fr-FR"/>
        </w:rPr>
      </w:pPr>
      <w:r w:rsidRPr="00043E21">
        <w:rPr>
          <w:b/>
          <w:sz w:val="20"/>
          <w:szCs w:val="20"/>
          <w:lang w:val="fr-FR"/>
        </w:rPr>
        <w:t>À LA SUITE DE LA REQUÊTE</w:t>
      </w:r>
      <w:r w:rsidRPr="00043E21">
        <w:rPr>
          <w:sz w:val="20"/>
          <w:szCs w:val="20"/>
          <w:lang w:val="fr-FR"/>
        </w:rPr>
        <w:t xml:space="preserve"> de la demanderesse sollicitant le sursis à l’exécution et le sursis à l’éviction ainsi que le sursis à l’exécution du jugement de la Cour d’appel de l’Ontario daté du 4 avril 2012; </w:t>
      </w:r>
    </w:p>
    <w:p w:rsidR="008172CB" w:rsidRPr="00043E21" w:rsidRDefault="008172CB" w:rsidP="008172CB">
      <w:pPr>
        <w:jc w:val="both"/>
        <w:rPr>
          <w:sz w:val="20"/>
          <w:szCs w:val="20"/>
          <w:lang w:val="fr-FR"/>
        </w:rPr>
      </w:pPr>
    </w:p>
    <w:p w:rsidR="008172CB" w:rsidRPr="00043E21" w:rsidRDefault="008172CB" w:rsidP="008172CB">
      <w:pPr>
        <w:jc w:val="both"/>
        <w:rPr>
          <w:sz w:val="20"/>
          <w:szCs w:val="20"/>
          <w:lang w:val="fr-FR"/>
        </w:rPr>
      </w:pPr>
      <w:r w:rsidRPr="00043E21">
        <w:rPr>
          <w:b/>
          <w:sz w:val="20"/>
          <w:szCs w:val="20"/>
          <w:lang w:val="fr-FR"/>
        </w:rPr>
        <w:t>ET APRÈS EXAMEN</w:t>
      </w:r>
      <w:r w:rsidRPr="00043E21">
        <w:rPr>
          <w:sz w:val="20"/>
          <w:szCs w:val="20"/>
          <w:lang w:val="fr-FR"/>
        </w:rPr>
        <w:t xml:space="preserve"> des documents déposés; </w:t>
      </w:r>
    </w:p>
    <w:p w:rsidR="008172CB" w:rsidRPr="00043E21" w:rsidRDefault="008172CB" w:rsidP="008172CB">
      <w:pPr>
        <w:jc w:val="both"/>
        <w:rPr>
          <w:sz w:val="20"/>
          <w:szCs w:val="20"/>
          <w:lang w:val="fr-FR"/>
        </w:rPr>
      </w:pPr>
    </w:p>
    <w:p w:rsidR="008172CB" w:rsidRPr="00043E21" w:rsidRDefault="008172CB" w:rsidP="008172CB">
      <w:pPr>
        <w:jc w:val="both"/>
        <w:rPr>
          <w:b/>
          <w:sz w:val="20"/>
          <w:szCs w:val="20"/>
          <w:lang w:val="fr-FR"/>
        </w:rPr>
      </w:pPr>
      <w:r w:rsidRPr="00043E21">
        <w:rPr>
          <w:b/>
          <w:sz w:val="20"/>
          <w:szCs w:val="20"/>
          <w:lang w:val="fr-FR"/>
        </w:rPr>
        <w:t>IL EST ORDONNÉ CE QUI SUIT :</w:t>
      </w:r>
    </w:p>
    <w:p w:rsidR="008172CB" w:rsidRPr="00043E21" w:rsidRDefault="008172CB" w:rsidP="008172CB">
      <w:pPr>
        <w:jc w:val="both"/>
        <w:rPr>
          <w:sz w:val="20"/>
          <w:szCs w:val="20"/>
          <w:lang w:val="fr-FR"/>
        </w:rPr>
      </w:pPr>
    </w:p>
    <w:p w:rsidR="008172CB" w:rsidRPr="00043E21" w:rsidRDefault="008172CB" w:rsidP="008172CB">
      <w:pPr>
        <w:jc w:val="both"/>
        <w:rPr>
          <w:sz w:val="20"/>
          <w:szCs w:val="20"/>
          <w:lang w:val="fr-FR"/>
        </w:rPr>
      </w:pPr>
      <w:r w:rsidRPr="00043E21">
        <w:rPr>
          <w:sz w:val="20"/>
          <w:szCs w:val="20"/>
          <w:lang w:val="fr-FR"/>
        </w:rPr>
        <w:t>La requête est rejetée.</w:t>
      </w:r>
    </w:p>
    <w:p w:rsidR="008172CB" w:rsidRPr="00043E21" w:rsidRDefault="008172CB" w:rsidP="008172CB">
      <w:pPr>
        <w:tabs>
          <w:tab w:val="left" w:pos="-1440"/>
          <w:tab w:val="left" w:pos="-720"/>
        </w:tabs>
        <w:jc w:val="both"/>
        <w:rPr>
          <w:sz w:val="20"/>
          <w:szCs w:val="20"/>
        </w:rPr>
      </w:pPr>
    </w:p>
    <w:p w:rsidR="008172CB" w:rsidRPr="00043E21" w:rsidRDefault="003B0427" w:rsidP="008172CB">
      <w:pPr>
        <w:tabs>
          <w:tab w:val="left" w:pos="-1440"/>
          <w:tab w:val="left" w:pos="-720"/>
        </w:tabs>
        <w:jc w:val="both"/>
        <w:rPr>
          <w:sz w:val="20"/>
          <w:szCs w:val="20"/>
          <w:lang w:val="fr-CA"/>
        </w:rPr>
      </w:pPr>
      <w:r w:rsidRPr="003B0427">
        <w:rPr>
          <w:sz w:val="20"/>
          <w:szCs w:val="20"/>
          <w:lang w:val="fr-CA"/>
        </w:rPr>
        <w:pict>
          <v:rect id="_x0000_i1082" style="width:2in;height:1pt" o:hrpct="0" o:hralign="center" o:hrstd="t" o:hrnoshade="t" o:hr="t" fillcolor="black [3213]" stroked="f"/>
        </w:pic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rPr>
      </w:pPr>
      <w:r w:rsidRPr="00043E21">
        <w:rPr>
          <w:sz w:val="20"/>
          <w:szCs w:val="20"/>
        </w:rPr>
        <w:t>15.05.2012</w:t>
      </w:r>
    </w:p>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sz w:val="20"/>
          <w:szCs w:val="20"/>
        </w:rPr>
      </w:pPr>
      <w:r w:rsidRPr="00043E21">
        <w:rPr>
          <w:sz w:val="20"/>
          <w:szCs w:val="20"/>
        </w:rPr>
        <w:t>Before / Devant :   THE REGISTRAR / LE REGISTRAIRE</w:t>
      </w:r>
    </w:p>
    <w:p w:rsidR="008172CB" w:rsidRPr="00043E21" w:rsidRDefault="008172CB" w:rsidP="008172CB">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172CB" w:rsidRPr="00643997" w:rsidTr="00C476AD">
        <w:tc>
          <w:tcPr>
            <w:tcW w:w="4338" w:type="dxa"/>
          </w:tcPr>
          <w:p w:rsidR="008172CB" w:rsidRPr="00043E21" w:rsidRDefault="003B0427" w:rsidP="00C476AD">
            <w:pPr>
              <w:tabs>
                <w:tab w:val="left" w:pos="-1440"/>
                <w:tab w:val="left" w:pos="-720"/>
              </w:tabs>
              <w:jc w:val="both"/>
              <w:rPr>
                <w:b/>
                <w:sz w:val="20"/>
                <w:szCs w:val="20"/>
              </w:rPr>
            </w:pP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008172CB" w:rsidRPr="00043E21">
              <w:rPr>
                <w:b/>
                <w:bCs/>
                <w:sz w:val="20"/>
                <w:szCs w:val="20"/>
              </w:rPr>
              <w:t>Motion to extend the time to serve and file the appellant’s book of authorities to April 12, 2012</w:t>
            </w: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p>
        </w:tc>
        <w:tc>
          <w:tcPr>
            <w:tcW w:w="1170" w:type="dxa"/>
          </w:tcPr>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3B0427" w:rsidP="00C476AD">
            <w:pPr>
              <w:tabs>
                <w:tab w:val="left" w:pos="-1440"/>
                <w:tab w:val="left" w:pos="-720"/>
              </w:tabs>
              <w:jc w:val="both"/>
              <w:rPr>
                <w:sz w:val="20"/>
                <w:szCs w:val="20"/>
                <w:lang w:val="fr-CA"/>
              </w:rPr>
            </w:pP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008172CB" w:rsidRPr="00043E21">
              <w:rPr>
                <w:b/>
                <w:bCs/>
                <w:sz w:val="20"/>
                <w:szCs w:val="20"/>
                <w:lang w:val="fr-CA"/>
              </w:rPr>
              <w:t>Requête de l’appelante en prorogation du délai de signification et de dépôt du recueil de sources jusqu’au 12 avril 2012</w:t>
            </w: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008172CB" w:rsidRPr="00043E21">
              <w:rPr>
                <w:sz w:val="20"/>
                <w:szCs w:val="20"/>
                <w:lang w:val="fr-CA"/>
              </w:rPr>
              <w:t xml:space="preserve"> </w:t>
            </w: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p>
        </w:tc>
      </w:tr>
      <w:tr w:rsidR="008172CB" w:rsidRPr="00043E21" w:rsidTr="00C476AD">
        <w:tc>
          <w:tcPr>
            <w:tcW w:w="4338" w:type="dxa"/>
          </w:tcPr>
          <w:p w:rsidR="008172CB" w:rsidRPr="00043E21" w:rsidRDefault="008172CB" w:rsidP="00C476AD">
            <w:pPr>
              <w:tabs>
                <w:tab w:val="left" w:pos="-1440"/>
                <w:tab w:val="left" w:pos="-720"/>
              </w:tabs>
              <w:jc w:val="both"/>
              <w:rPr>
                <w:sz w:val="20"/>
                <w:szCs w:val="20"/>
              </w:rPr>
            </w:pPr>
            <w:proofErr w:type="spellStart"/>
            <w:r w:rsidRPr="00043E21">
              <w:rPr>
                <w:sz w:val="20"/>
                <w:szCs w:val="20"/>
              </w:rPr>
              <w:t>Ivana</w:t>
            </w:r>
            <w:proofErr w:type="spellEnd"/>
            <w:r w:rsidRPr="00043E21">
              <w:rPr>
                <w:sz w:val="20"/>
                <w:szCs w:val="20"/>
              </w:rPr>
              <w:t xml:space="preserve"> </w:t>
            </w:r>
            <w:proofErr w:type="spellStart"/>
            <w:r w:rsidRPr="00043E21">
              <w:rPr>
                <w:sz w:val="20"/>
                <w:szCs w:val="20"/>
              </w:rPr>
              <w:t>Levkovic</w:t>
            </w:r>
            <w:proofErr w:type="spellEnd"/>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ab/>
              <w:t>v. (34229)</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Her Majesty the Queen (Crim.) (Ont.)</w:t>
            </w:r>
          </w:p>
        </w:tc>
        <w:tc>
          <w:tcPr>
            <w:tcW w:w="1170" w:type="dxa"/>
          </w:tcPr>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8172CB" w:rsidP="00C476AD">
            <w:pPr>
              <w:tabs>
                <w:tab w:val="left" w:pos="-1440"/>
                <w:tab w:val="left" w:pos="-720"/>
              </w:tabs>
              <w:jc w:val="both"/>
              <w:rPr>
                <w:sz w:val="20"/>
                <w:szCs w:val="20"/>
              </w:rPr>
            </w:pPr>
          </w:p>
        </w:tc>
      </w:tr>
    </w:tbl>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b/>
          <w:sz w:val="20"/>
          <w:szCs w:val="20"/>
          <w:lang w:val="fr-CA"/>
        </w:rPr>
      </w:pPr>
      <w:r w:rsidRPr="00043E21">
        <w:rPr>
          <w:b/>
          <w:sz w:val="20"/>
          <w:szCs w:val="20"/>
          <w:lang w:val="fr-CA"/>
        </w:rPr>
        <w:t>GRANTED / ACCORDÉE</w:t>
      </w:r>
    </w:p>
    <w:p w:rsidR="008172CB" w:rsidRPr="00043E21" w:rsidRDefault="008172CB" w:rsidP="008172CB">
      <w:pPr>
        <w:tabs>
          <w:tab w:val="left" w:pos="-1440"/>
          <w:tab w:val="left" w:pos="-720"/>
        </w:tabs>
        <w:jc w:val="both"/>
        <w:rPr>
          <w:sz w:val="20"/>
          <w:szCs w:val="20"/>
          <w:lang w:val="fr-CA"/>
        </w:rPr>
      </w:pPr>
    </w:p>
    <w:p w:rsidR="008172CB" w:rsidRPr="00043E21" w:rsidRDefault="003B0427" w:rsidP="008172CB">
      <w:pPr>
        <w:tabs>
          <w:tab w:val="left" w:pos="-1440"/>
          <w:tab w:val="left" w:pos="-720"/>
        </w:tabs>
        <w:jc w:val="both"/>
        <w:rPr>
          <w:sz w:val="20"/>
          <w:szCs w:val="20"/>
          <w:lang w:val="fr-CA"/>
        </w:rPr>
      </w:pPr>
      <w:r w:rsidRPr="003B0427">
        <w:rPr>
          <w:sz w:val="20"/>
          <w:szCs w:val="20"/>
          <w:lang w:val="fr-CA"/>
        </w:rPr>
        <w:pict>
          <v:rect id="_x0000_i1083" style="width:2in;height:1pt" o:hrpct="0" o:hralign="center" o:hrstd="t" o:hrnoshade="t" o:hr="t" fillcolor="black [3213]" stroked="f"/>
        </w:pic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rPr>
      </w:pPr>
      <w:r w:rsidRPr="00043E21">
        <w:rPr>
          <w:sz w:val="20"/>
          <w:szCs w:val="20"/>
        </w:rPr>
        <w:t>16.05.2012</w:t>
      </w:r>
    </w:p>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sz w:val="20"/>
          <w:szCs w:val="20"/>
        </w:rPr>
      </w:pPr>
      <w:r w:rsidRPr="00043E21">
        <w:rPr>
          <w:sz w:val="20"/>
          <w:szCs w:val="20"/>
        </w:rPr>
        <w:t xml:space="preserve">Before / Devant :   </w:t>
      </w:r>
      <w:r w:rsidRPr="00043E21">
        <w:rPr>
          <w:sz w:val="20"/>
          <w:szCs w:val="20"/>
          <w:lang w:val="fr-CA"/>
        </w:rPr>
        <w:t>THE REGISTRAR / LE REGISTRAIRE</w:t>
      </w:r>
    </w:p>
    <w:p w:rsidR="008172CB" w:rsidRPr="00043E21" w:rsidRDefault="008172CB" w:rsidP="008172CB">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172CB" w:rsidRPr="00643997" w:rsidTr="00C476AD">
        <w:tc>
          <w:tcPr>
            <w:tcW w:w="4338" w:type="dxa"/>
          </w:tcPr>
          <w:p w:rsidR="008172CB" w:rsidRPr="00043E21" w:rsidRDefault="003B0427" w:rsidP="00C476AD">
            <w:pPr>
              <w:tabs>
                <w:tab w:val="left" w:pos="-1440"/>
                <w:tab w:val="left" w:pos="-720"/>
              </w:tabs>
              <w:jc w:val="both"/>
              <w:rPr>
                <w:sz w:val="20"/>
                <w:szCs w:val="20"/>
              </w:rPr>
            </w:pP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008172CB" w:rsidRPr="00043E21">
              <w:rPr>
                <w:b/>
                <w:bCs/>
                <w:sz w:val="20"/>
                <w:szCs w:val="20"/>
              </w:rPr>
              <w:t>Motion to extend the time to serve and file the appellant’s record, factum and book of authorities to April 17, 2012</w:t>
            </w:r>
          </w:p>
        </w:tc>
        <w:tc>
          <w:tcPr>
            <w:tcW w:w="1170" w:type="dxa"/>
          </w:tcPr>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3B0427" w:rsidP="00C476AD">
            <w:pPr>
              <w:tabs>
                <w:tab w:val="left" w:pos="-1440"/>
                <w:tab w:val="left" w:pos="-720"/>
              </w:tabs>
              <w:jc w:val="both"/>
              <w:rPr>
                <w:sz w:val="20"/>
                <w:szCs w:val="20"/>
                <w:lang w:val="fr-CA"/>
              </w:rPr>
            </w:pP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008172CB" w:rsidRPr="00043E21">
              <w:rPr>
                <w:b/>
                <w:bCs/>
                <w:sz w:val="20"/>
                <w:szCs w:val="20"/>
                <w:lang w:val="fr-CA"/>
              </w:rPr>
              <w:t>Requête de l’appelant en prorogation du délai de signification et de dépôt des dossier, mémoire et recueil de sources jusqu’au 17 avril 2012</w:t>
            </w:r>
          </w:p>
        </w:tc>
      </w:tr>
      <w:tr w:rsidR="008172CB" w:rsidRPr="00043E21" w:rsidTr="00C476AD">
        <w:tc>
          <w:tcPr>
            <w:tcW w:w="4338" w:type="dxa"/>
          </w:tcPr>
          <w:p w:rsidR="008172CB" w:rsidRPr="00043E21" w:rsidRDefault="008172CB" w:rsidP="00C476AD">
            <w:pPr>
              <w:tabs>
                <w:tab w:val="left" w:pos="-1440"/>
                <w:tab w:val="left" w:pos="-720"/>
              </w:tabs>
              <w:jc w:val="both"/>
              <w:rPr>
                <w:sz w:val="20"/>
                <w:szCs w:val="20"/>
              </w:rPr>
            </w:pPr>
            <w:r w:rsidRPr="00043E21">
              <w:rPr>
                <w:sz w:val="20"/>
                <w:szCs w:val="20"/>
              </w:rPr>
              <w:t>D.J.W.</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ab/>
              <w:t>v. (34623)</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lang w:val="fr-CA"/>
              </w:rPr>
            </w:pPr>
            <w:r w:rsidRPr="00043E21">
              <w:rPr>
                <w:sz w:val="20"/>
                <w:szCs w:val="20"/>
              </w:rPr>
              <w:t xml:space="preserve">Her Majesty the Queen (Crim.) </w:t>
            </w:r>
            <w:r w:rsidRPr="00043E21">
              <w:rPr>
                <w:sz w:val="20"/>
                <w:szCs w:val="20"/>
                <w:lang w:val="fr-CA"/>
              </w:rPr>
              <w:t>(B.C.)</w:t>
            </w:r>
          </w:p>
        </w:tc>
        <w:tc>
          <w:tcPr>
            <w:tcW w:w="1170" w:type="dxa"/>
          </w:tcPr>
          <w:p w:rsidR="008172CB" w:rsidRPr="00043E21" w:rsidRDefault="008172CB" w:rsidP="00C476AD">
            <w:pPr>
              <w:tabs>
                <w:tab w:val="left" w:pos="-1440"/>
                <w:tab w:val="left" w:pos="-720"/>
              </w:tabs>
              <w:jc w:val="both"/>
              <w:rPr>
                <w:sz w:val="20"/>
                <w:szCs w:val="20"/>
                <w:lang w:val="fr-CA"/>
              </w:rPr>
            </w:pPr>
          </w:p>
        </w:tc>
        <w:tc>
          <w:tcPr>
            <w:tcW w:w="4327" w:type="dxa"/>
          </w:tcPr>
          <w:p w:rsidR="008172CB" w:rsidRPr="00043E21" w:rsidRDefault="008172CB" w:rsidP="00C476AD">
            <w:pPr>
              <w:tabs>
                <w:tab w:val="left" w:pos="-1440"/>
                <w:tab w:val="left" w:pos="-720"/>
              </w:tabs>
              <w:jc w:val="both"/>
              <w:rPr>
                <w:sz w:val="20"/>
                <w:szCs w:val="20"/>
                <w:lang w:val="fr-CA"/>
              </w:rPr>
            </w:pPr>
          </w:p>
        </w:tc>
      </w:tr>
    </w:tbl>
    <w:p w:rsidR="008172CB" w:rsidRPr="00043E21" w:rsidRDefault="008172CB" w:rsidP="008172CB">
      <w:pPr>
        <w:tabs>
          <w:tab w:val="left" w:pos="-1440"/>
          <w:tab w:val="left" w:pos="-720"/>
        </w:tabs>
        <w:jc w:val="both"/>
        <w:rPr>
          <w:b/>
          <w:sz w:val="20"/>
          <w:szCs w:val="20"/>
          <w:lang w:val="fr-CA"/>
        </w:rPr>
      </w:pPr>
    </w:p>
    <w:p w:rsidR="008172CB" w:rsidRPr="00043E21" w:rsidRDefault="008172CB" w:rsidP="008172CB">
      <w:pPr>
        <w:tabs>
          <w:tab w:val="left" w:pos="-1440"/>
          <w:tab w:val="left" w:pos="-720"/>
        </w:tabs>
        <w:jc w:val="both"/>
        <w:rPr>
          <w:sz w:val="20"/>
          <w:szCs w:val="20"/>
        </w:rPr>
      </w:pPr>
      <w:r w:rsidRPr="00043E21">
        <w:rPr>
          <w:b/>
          <w:sz w:val="20"/>
          <w:szCs w:val="20"/>
        </w:rPr>
        <w:t>GRANTED / ACCORDÉE</w:t>
      </w:r>
    </w:p>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spacing w:line="-19" w:lineRule="auto"/>
        <w:jc w:val="both"/>
        <w:rPr>
          <w:sz w:val="20"/>
          <w:szCs w:val="20"/>
          <w:lang w:val="fr-CA"/>
        </w:rPr>
      </w:pPr>
    </w:p>
    <w:p w:rsidR="008172CB" w:rsidRPr="00043E21" w:rsidRDefault="003B0427" w:rsidP="008172CB">
      <w:pPr>
        <w:tabs>
          <w:tab w:val="left" w:pos="-1440"/>
          <w:tab w:val="left" w:pos="-720"/>
        </w:tabs>
        <w:jc w:val="both"/>
        <w:rPr>
          <w:sz w:val="20"/>
          <w:szCs w:val="20"/>
        </w:rPr>
      </w:pPr>
      <w:r w:rsidRPr="003B0427">
        <w:rPr>
          <w:sz w:val="20"/>
          <w:szCs w:val="20"/>
          <w:lang w:val="fr-CA"/>
        </w:rPr>
        <w:pict>
          <v:rect id="_x0000_i1084" style="width:2in;height:1pt" o:hrpct="0" o:hralign="center" o:hrstd="t" o:hrnoshade="t" o:hr="t" fillcolor="black [3213]" stroked="f"/>
        </w:pic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16.05.2012</w:t>
      </w:r>
    </w:p>
    <w:p w:rsidR="008172CB" w:rsidRPr="00043E21" w:rsidRDefault="008172CB" w:rsidP="008172CB">
      <w:pPr>
        <w:tabs>
          <w:tab w:val="left" w:pos="-1440"/>
          <w:tab w:val="left" w:pos="-720"/>
        </w:tabs>
        <w:jc w:val="both"/>
        <w:rPr>
          <w:sz w:val="20"/>
          <w:szCs w:val="20"/>
          <w:lang w:val="fr-CA"/>
        </w:rPr>
      </w:pPr>
    </w:p>
    <w:p w:rsidR="008172CB" w:rsidRPr="00043E21" w:rsidRDefault="008172CB" w:rsidP="008172CB">
      <w:pPr>
        <w:tabs>
          <w:tab w:val="left" w:pos="-1440"/>
          <w:tab w:val="left" w:pos="-720"/>
        </w:tabs>
        <w:jc w:val="both"/>
        <w:rPr>
          <w:sz w:val="20"/>
          <w:szCs w:val="20"/>
          <w:lang w:val="fr-CA"/>
        </w:rPr>
      </w:pPr>
      <w:r w:rsidRPr="00043E21">
        <w:rPr>
          <w:sz w:val="20"/>
          <w:szCs w:val="20"/>
          <w:lang w:val="fr-CA"/>
        </w:rPr>
        <w:t>Before / Devant :   ABELLA J. / LA JUGE ABELLA</w:t>
      </w:r>
    </w:p>
    <w:p w:rsidR="008172CB" w:rsidRPr="00043E21" w:rsidRDefault="008172CB" w:rsidP="008172C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172CB" w:rsidRPr="00643997" w:rsidTr="00C476AD">
        <w:tc>
          <w:tcPr>
            <w:tcW w:w="4338" w:type="dxa"/>
          </w:tcPr>
          <w:p w:rsidR="008172CB" w:rsidRPr="00043E21" w:rsidRDefault="008172CB" w:rsidP="00C476AD">
            <w:pPr>
              <w:tabs>
                <w:tab w:val="left" w:pos="-1440"/>
                <w:tab w:val="left" w:pos="-720"/>
              </w:tabs>
              <w:jc w:val="both"/>
              <w:rPr>
                <w:b/>
                <w:sz w:val="20"/>
                <w:szCs w:val="20"/>
              </w:rPr>
            </w:pPr>
            <w:r w:rsidRPr="00043E21">
              <w:rPr>
                <w:b/>
                <w:sz w:val="20"/>
                <w:szCs w:val="20"/>
              </w:rPr>
              <w:t>Motion to add a party</w:t>
            </w:r>
            <w:r w:rsidR="003B0427" w:rsidRPr="00043E21">
              <w:rPr>
                <w:b/>
                <w:sz w:val="20"/>
                <w:szCs w:val="20"/>
              </w:rPr>
              <w:fldChar w:fldCharType="begin"/>
            </w:r>
            <w:r w:rsidRPr="00043E21">
              <w:rPr>
                <w:b/>
                <w:sz w:val="20"/>
                <w:szCs w:val="20"/>
              </w:rPr>
              <w:instrText xml:space="preserve"> SEQ CHAPTER \h \r 1</w:instrText>
            </w:r>
            <w:r w:rsidR="003B0427" w:rsidRPr="00043E21">
              <w:rPr>
                <w:b/>
                <w:sz w:val="20"/>
                <w:szCs w:val="20"/>
              </w:rPr>
              <w:fldChar w:fldCharType="end"/>
            </w:r>
            <w:r w:rsidR="003B0427" w:rsidRPr="00043E21">
              <w:rPr>
                <w:b/>
                <w:sz w:val="20"/>
                <w:szCs w:val="20"/>
              </w:rPr>
              <w:fldChar w:fldCharType="begin"/>
            </w:r>
            <w:r w:rsidRPr="00043E21">
              <w:rPr>
                <w:b/>
                <w:sz w:val="20"/>
                <w:szCs w:val="20"/>
              </w:rPr>
              <w:instrText xml:space="preserve"> SEQ CHAPTER \h \r 1</w:instrText>
            </w:r>
            <w:r w:rsidR="003B0427" w:rsidRPr="00043E21">
              <w:rPr>
                <w:b/>
                <w:sz w:val="20"/>
                <w:szCs w:val="20"/>
              </w:rPr>
              <w:fldChar w:fldCharType="end"/>
            </w:r>
          </w:p>
        </w:tc>
        <w:tc>
          <w:tcPr>
            <w:tcW w:w="1170" w:type="dxa"/>
          </w:tcPr>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3B0427" w:rsidP="00C476AD">
            <w:pPr>
              <w:tabs>
                <w:tab w:val="left" w:pos="-1440"/>
                <w:tab w:val="left" w:pos="-720"/>
              </w:tabs>
              <w:jc w:val="both"/>
              <w:rPr>
                <w:sz w:val="20"/>
                <w:szCs w:val="20"/>
                <w:lang w:val="fr-CA"/>
              </w:rPr>
            </w:pP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008172CB" w:rsidRPr="00043E21">
              <w:rPr>
                <w:b/>
                <w:bCs/>
                <w:sz w:val="20"/>
                <w:szCs w:val="20"/>
                <w:lang w:val="fr-CA"/>
              </w:rPr>
              <w:t>Requête visant l'ajout d'une partie</w:t>
            </w: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008172CB" w:rsidRPr="00043E21">
              <w:rPr>
                <w:sz w:val="20"/>
                <w:szCs w:val="20"/>
                <w:lang w:val="fr-CA"/>
              </w:rPr>
              <w:t xml:space="preserve"> </w:t>
            </w: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p>
        </w:tc>
      </w:tr>
      <w:tr w:rsidR="008172CB" w:rsidRPr="00043E21" w:rsidTr="00C476AD">
        <w:tc>
          <w:tcPr>
            <w:tcW w:w="4338" w:type="dxa"/>
          </w:tcPr>
          <w:p w:rsidR="008172CB" w:rsidRPr="00043E21" w:rsidRDefault="008172CB" w:rsidP="00C476AD">
            <w:pPr>
              <w:tabs>
                <w:tab w:val="left" w:pos="-1440"/>
                <w:tab w:val="left" w:pos="-720"/>
              </w:tabs>
              <w:jc w:val="both"/>
              <w:rPr>
                <w:sz w:val="20"/>
                <w:szCs w:val="20"/>
              </w:rPr>
            </w:pPr>
            <w:r w:rsidRPr="00043E21">
              <w:rPr>
                <w:sz w:val="20"/>
                <w:szCs w:val="20"/>
              </w:rPr>
              <w:t xml:space="preserve">Construction Labour Relations - An Alberta </w:t>
            </w:r>
            <w:r w:rsidRPr="00043E21">
              <w:rPr>
                <w:sz w:val="20"/>
                <w:szCs w:val="20"/>
              </w:rPr>
              <w:lastRenderedPageBreak/>
              <w:t>Association</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ab/>
              <w:t>v. (34205)</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lang w:val="fr-CA"/>
              </w:rPr>
              <w:t xml:space="preserve">Driver Iron Inc. et al. </w:t>
            </w:r>
            <w:r w:rsidRPr="00043E21">
              <w:rPr>
                <w:sz w:val="20"/>
                <w:szCs w:val="20"/>
              </w:rPr>
              <w:t>(Alta.)</w:t>
            </w:r>
          </w:p>
        </w:tc>
        <w:tc>
          <w:tcPr>
            <w:tcW w:w="1170" w:type="dxa"/>
          </w:tcPr>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8172CB" w:rsidP="00C476AD">
            <w:pPr>
              <w:tabs>
                <w:tab w:val="left" w:pos="-1440"/>
                <w:tab w:val="left" w:pos="-720"/>
              </w:tabs>
              <w:jc w:val="both"/>
              <w:rPr>
                <w:sz w:val="20"/>
                <w:szCs w:val="20"/>
              </w:rPr>
            </w:pPr>
          </w:p>
        </w:tc>
      </w:tr>
    </w:tbl>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b/>
          <w:sz w:val="20"/>
          <w:szCs w:val="20"/>
        </w:rPr>
      </w:pPr>
      <w:r w:rsidRPr="00043E21">
        <w:rPr>
          <w:b/>
          <w:sz w:val="20"/>
          <w:szCs w:val="20"/>
        </w:rPr>
        <w:t>GRANTED / ACCORDÉE</w:t>
      </w:r>
    </w:p>
    <w:p w:rsidR="008172CB" w:rsidRPr="00043E21" w:rsidRDefault="008172CB" w:rsidP="008172CB">
      <w:pPr>
        <w:tabs>
          <w:tab w:val="left" w:pos="-1440"/>
          <w:tab w:val="left" w:pos="-720"/>
        </w:tabs>
        <w:jc w:val="both"/>
        <w:rPr>
          <w:sz w:val="20"/>
          <w:szCs w:val="20"/>
        </w:rPr>
      </w:pPr>
    </w:p>
    <w:p w:rsidR="008172CB" w:rsidRPr="00043E21" w:rsidRDefault="008172CB" w:rsidP="008172CB">
      <w:pPr>
        <w:spacing w:line="233" w:lineRule="auto"/>
        <w:jc w:val="both"/>
        <w:rPr>
          <w:sz w:val="20"/>
          <w:szCs w:val="20"/>
        </w:rPr>
      </w:pPr>
      <w:r w:rsidRPr="00043E21">
        <w:rPr>
          <w:b/>
          <w:bCs/>
          <w:sz w:val="20"/>
          <w:szCs w:val="20"/>
        </w:rPr>
        <w:t xml:space="preserve">UPON APPLICATION </w:t>
      </w:r>
      <w:r w:rsidRPr="00043E21">
        <w:rPr>
          <w:sz w:val="20"/>
          <w:szCs w:val="20"/>
        </w:rPr>
        <w:t>by the Alberta Labour Relations Board for an order to be added as a Respondent Party to the above appeal;</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r w:rsidRPr="00043E21">
        <w:rPr>
          <w:b/>
          <w:bCs/>
          <w:sz w:val="20"/>
          <w:szCs w:val="20"/>
        </w:rPr>
        <w:t>AND THE MATERIAL FILED</w:t>
      </w:r>
      <w:r w:rsidRPr="00043E21">
        <w:rPr>
          <w:sz w:val="20"/>
          <w:szCs w:val="20"/>
        </w:rPr>
        <w:t xml:space="preserve"> having been read;</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rPr>
      </w:pPr>
      <w:r w:rsidRPr="00043E21">
        <w:rPr>
          <w:b/>
          <w:bCs/>
          <w:sz w:val="20"/>
          <w:szCs w:val="20"/>
        </w:rPr>
        <w:t>IT IS HEREBY ORDERED THAT:</w:t>
      </w:r>
    </w:p>
    <w:p w:rsidR="008172CB" w:rsidRPr="00043E21" w:rsidRDefault="008172CB" w:rsidP="008172CB">
      <w:pPr>
        <w:spacing w:line="233" w:lineRule="auto"/>
        <w:jc w:val="both"/>
        <w:rPr>
          <w:sz w:val="20"/>
          <w:szCs w:val="20"/>
        </w:rPr>
      </w:pPr>
    </w:p>
    <w:p w:rsidR="008172CB" w:rsidRPr="00043E21" w:rsidRDefault="008172CB" w:rsidP="008172CB">
      <w:pPr>
        <w:spacing w:line="233" w:lineRule="auto"/>
        <w:jc w:val="both"/>
        <w:rPr>
          <w:sz w:val="20"/>
          <w:szCs w:val="20"/>
          <w:lang w:val="fr-CA"/>
        </w:rPr>
      </w:pPr>
      <w:r w:rsidRPr="00043E21">
        <w:rPr>
          <w:sz w:val="20"/>
          <w:szCs w:val="20"/>
          <w:lang w:val="fr-CA"/>
        </w:rPr>
        <w:t>The motion is granted.</w:t>
      </w:r>
    </w:p>
    <w:p w:rsidR="008172CB" w:rsidRPr="00043E21" w:rsidRDefault="008172CB" w:rsidP="008172CB">
      <w:pPr>
        <w:tabs>
          <w:tab w:val="left" w:pos="-1440"/>
          <w:tab w:val="left" w:pos="-720"/>
        </w:tabs>
        <w:jc w:val="both"/>
        <w:rPr>
          <w:sz w:val="20"/>
          <w:szCs w:val="20"/>
          <w:lang w:val="fr-FR"/>
        </w:rPr>
      </w:pPr>
    </w:p>
    <w:p w:rsidR="008172CB" w:rsidRPr="00043E21" w:rsidRDefault="008172CB" w:rsidP="008172CB">
      <w:pPr>
        <w:tabs>
          <w:tab w:val="left" w:pos="-1440"/>
          <w:tab w:val="left" w:pos="-720"/>
        </w:tabs>
        <w:jc w:val="both"/>
        <w:rPr>
          <w:sz w:val="20"/>
          <w:szCs w:val="20"/>
          <w:lang w:val="fr-FR"/>
        </w:rPr>
      </w:pPr>
    </w:p>
    <w:p w:rsidR="008172CB" w:rsidRPr="00043E21" w:rsidRDefault="008172CB" w:rsidP="008172CB">
      <w:pPr>
        <w:tabs>
          <w:tab w:val="left" w:pos="-1440"/>
          <w:tab w:val="left" w:pos="-720"/>
        </w:tabs>
        <w:jc w:val="both"/>
        <w:rPr>
          <w:sz w:val="20"/>
          <w:szCs w:val="20"/>
          <w:lang w:val="fr-FR"/>
        </w:rPr>
      </w:pPr>
    </w:p>
    <w:p w:rsidR="008172CB" w:rsidRPr="00043E21" w:rsidRDefault="008172CB" w:rsidP="008172CB">
      <w:pPr>
        <w:spacing w:line="233" w:lineRule="auto"/>
        <w:jc w:val="both"/>
        <w:rPr>
          <w:sz w:val="20"/>
          <w:szCs w:val="20"/>
          <w:lang w:val="fr-FR"/>
        </w:rPr>
      </w:pPr>
      <w:r w:rsidRPr="00043E21">
        <w:rPr>
          <w:b/>
          <w:sz w:val="20"/>
          <w:szCs w:val="20"/>
          <w:lang w:val="fr-FR"/>
        </w:rPr>
        <w:t>À LA SUITE DE LA DEMANDE</w:t>
      </w:r>
      <w:r w:rsidRPr="00043E21">
        <w:rPr>
          <w:sz w:val="20"/>
          <w:szCs w:val="20"/>
          <w:lang w:val="fr-FR"/>
        </w:rPr>
        <w:t xml:space="preserve"> de l’Alberta Labour Relations Board pour être jointe en qualité d’intimée à l’appel ci-dessus;</w:t>
      </w:r>
    </w:p>
    <w:p w:rsidR="008172CB" w:rsidRPr="00043E21" w:rsidRDefault="008172CB" w:rsidP="008172CB">
      <w:pPr>
        <w:spacing w:line="233" w:lineRule="auto"/>
        <w:jc w:val="both"/>
        <w:rPr>
          <w:sz w:val="20"/>
          <w:szCs w:val="20"/>
          <w:lang w:val="fr-FR"/>
        </w:rPr>
      </w:pPr>
    </w:p>
    <w:p w:rsidR="008172CB" w:rsidRPr="00043E21" w:rsidRDefault="008172CB" w:rsidP="008172CB">
      <w:pPr>
        <w:spacing w:line="233" w:lineRule="auto"/>
        <w:jc w:val="both"/>
        <w:rPr>
          <w:sz w:val="20"/>
          <w:szCs w:val="20"/>
          <w:lang w:val="fr-FR"/>
        </w:rPr>
      </w:pPr>
      <w:r w:rsidRPr="00043E21">
        <w:rPr>
          <w:b/>
          <w:sz w:val="20"/>
          <w:szCs w:val="20"/>
          <w:lang w:val="fr-FR"/>
        </w:rPr>
        <w:t>ET APRÈS EXAMEN</w:t>
      </w:r>
      <w:r w:rsidRPr="00043E21">
        <w:rPr>
          <w:sz w:val="20"/>
          <w:szCs w:val="20"/>
          <w:lang w:val="fr-FR"/>
        </w:rPr>
        <w:t xml:space="preserve"> des documents déposés, </w:t>
      </w:r>
    </w:p>
    <w:p w:rsidR="008172CB" w:rsidRPr="00043E21" w:rsidRDefault="008172CB" w:rsidP="008172CB">
      <w:pPr>
        <w:spacing w:line="233" w:lineRule="auto"/>
        <w:jc w:val="both"/>
        <w:rPr>
          <w:sz w:val="20"/>
          <w:szCs w:val="20"/>
          <w:lang w:val="fr-FR"/>
        </w:rPr>
      </w:pPr>
    </w:p>
    <w:p w:rsidR="008172CB" w:rsidRPr="00043E21" w:rsidRDefault="008172CB" w:rsidP="008172CB">
      <w:pPr>
        <w:spacing w:line="233" w:lineRule="auto"/>
        <w:jc w:val="both"/>
        <w:rPr>
          <w:b/>
          <w:sz w:val="20"/>
          <w:szCs w:val="20"/>
          <w:lang w:val="fr-FR"/>
        </w:rPr>
      </w:pPr>
      <w:r w:rsidRPr="00043E21">
        <w:rPr>
          <w:b/>
          <w:sz w:val="20"/>
          <w:szCs w:val="20"/>
          <w:lang w:val="fr-FR"/>
        </w:rPr>
        <w:t>IL EST ORDONNÉ CE QUI SUIT :</w:t>
      </w:r>
    </w:p>
    <w:p w:rsidR="008172CB" w:rsidRPr="00043E21" w:rsidRDefault="008172CB" w:rsidP="008172CB">
      <w:pPr>
        <w:spacing w:line="233" w:lineRule="auto"/>
        <w:jc w:val="both"/>
        <w:rPr>
          <w:sz w:val="20"/>
          <w:szCs w:val="20"/>
          <w:lang w:val="fr-FR"/>
        </w:rPr>
      </w:pPr>
    </w:p>
    <w:p w:rsidR="008172CB" w:rsidRPr="00043E21" w:rsidRDefault="008172CB" w:rsidP="008172CB">
      <w:pPr>
        <w:tabs>
          <w:tab w:val="left" w:pos="-1440"/>
          <w:tab w:val="left" w:pos="-720"/>
        </w:tabs>
        <w:jc w:val="both"/>
        <w:rPr>
          <w:sz w:val="20"/>
          <w:szCs w:val="20"/>
          <w:lang w:val="fr-FR"/>
        </w:rPr>
      </w:pPr>
      <w:r w:rsidRPr="00043E21">
        <w:rPr>
          <w:sz w:val="20"/>
          <w:szCs w:val="20"/>
          <w:lang w:val="fr-FR"/>
        </w:rPr>
        <w:t>La requête est accueillie.</w:t>
      </w:r>
    </w:p>
    <w:p w:rsidR="008172CB" w:rsidRPr="00043E21" w:rsidRDefault="008172CB" w:rsidP="008172CB">
      <w:pPr>
        <w:tabs>
          <w:tab w:val="left" w:pos="-1440"/>
          <w:tab w:val="left" w:pos="-720"/>
        </w:tabs>
        <w:jc w:val="both"/>
        <w:rPr>
          <w:sz w:val="20"/>
          <w:szCs w:val="20"/>
          <w:lang w:val="fr-FR"/>
        </w:rPr>
      </w:pPr>
    </w:p>
    <w:p w:rsidR="008172CB" w:rsidRPr="00043E21" w:rsidRDefault="003B0427" w:rsidP="008172CB">
      <w:pPr>
        <w:tabs>
          <w:tab w:val="left" w:pos="-1440"/>
          <w:tab w:val="left" w:pos="-720"/>
        </w:tabs>
        <w:jc w:val="both"/>
        <w:rPr>
          <w:sz w:val="20"/>
          <w:szCs w:val="20"/>
          <w:lang w:val="fr-CA"/>
        </w:rPr>
      </w:pPr>
      <w:r w:rsidRPr="003B0427">
        <w:rPr>
          <w:sz w:val="20"/>
          <w:szCs w:val="20"/>
          <w:lang w:val="fr-CA"/>
        </w:rPr>
        <w:pict>
          <v:rect id="_x0000_i1085" style="width:2in;height:1pt" o:hrpct="0" o:hralign="center" o:hrstd="t" o:hrnoshade="t" o:hr="t" fillcolor="black [3213]" stroked="f"/>
        </w:pict>
      </w:r>
    </w:p>
    <w:p w:rsidR="008172CB" w:rsidRPr="00043E21" w:rsidRDefault="008172CB" w:rsidP="008172CB">
      <w:pPr>
        <w:rPr>
          <w:sz w:val="20"/>
          <w:szCs w:val="20"/>
          <w:lang w:val="fr-CA"/>
        </w:rPr>
      </w:pPr>
    </w:p>
    <w:p w:rsidR="008172CB" w:rsidRPr="00043E21" w:rsidRDefault="008172CB" w:rsidP="008172CB">
      <w:pPr>
        <w:tabs>
          <w:tab w:val="left" w:pos="-1440"/>
          <w:tab w:val="left" w:pos="-720"/>
        </w:tabs>
        <w:jc w:val="both"/>
        <w:rPr>
          <w:sz w:val="20"/>
          <w:szCs w:val="20"/>
        </w:rPr>
      </w:pPr>
      <w:r w:rsidRPr="00043E21">
        <w:rPr>
          <w:sz w:val="20"/>
          <w:szCs w:val="20"/>
        </w:rPr>
        <w:t>17.05.2012</w:t>
      </w:r>
    </w:p>
    <w:p w:rsidR="008172CB" w:rsidRPr="00043E21" w:rsidRDefault="008172CB" w:rsidP="008172CB">
      <w:pPr>
        <w:tabs>
          <w:tab w:val="left" w:pos="-1440"/>
          <w:tab w:val="left" w:pos="-720"/>
        </w:tabs>
        <w:jc w:val="both"/>
        <w:rPr>
          <w:sz w:val="20"/>
          <w:szCs w:val="20"/>
        </w:rPr>
      </w:pPr>
    </w:p>
    <w:p w:rsidR="008172CB" w:rsidRPr="00043E21" w:rsidRDefault="008172CB" w:rsidP="008172CB">
      <w:pPr>
        <w:tabs>
          <w:tab w:val="left" w:pos="-1440"/>
          <w:tab w:val="left" w:pos="-720"/>
        </w:tabs>
        <w:jc w:val="both"/>
        <w:rPr>
          <w:sz w:val="20"/>
          <w:szCs w:val="20"/>
        </w:rPr>
      </w:pPr>
      <w:r w:rsidRPr="00043E21">
        <w:rPr>
          <w:sz w:val="20"/>
          <w:szCs w:val="20"/>
        </w:rPr>
        <w:t>Before / Devant :   THE REGISTRAR / LE REGISTRAIRE</w:t>
      </w:r>
    </w:p>
    <w:p w:rsidR="008172CB" w:rsidRPr="00043E21" w:rsidRDefault="008172CB" w:rsidP="008172CB">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172CB" w:rsidRPr="00643997" w:rsidTr="00C476AD">
        <w:tc>
          <w:tcPr>
            <w:tcW w:w="4338" w:type="dxa"/>
          </w:tcPr>
          <w:p w:rsidR="008172CB" w:rsidRPr="00043E21" w:rsidRDefault="003B0427" w:rsidP="00C476AD">
            <w:pPr>
              <w:tabs>
                <w:tab w:val="left" w:pos="-1440"/>
                <w:tab w:val="left" w:pos="-720"/>
              </w:tabs>
              <w:jc w:val="both"/>
              <w:rPr>
                <w:sz w:val="20"/>
                <w:szCs w:val="20"/>
              </w:rPr>
            </w:pPr>
            <w:r w:rsidRPr="00043E21">
              <w:rPr>
                <w:sz w:val="20"/>
                <w:szCs w:val="20"/>
              </w:rPr>
              <w:fldChar w:fldCharType="begin"/>
            </w:r>
            <w:r w:rsidR="008172CB" w:rsidRPr="00043E21">
              <w:rPr>
                <w:sz w:val="20"/>
                <w:szCs w:val="20"/>
              </w:rPr>
              <w:instrText xml:space="preserve"> SEQ CHAPTER \h \r 1</w:instrText>
            </w:r>
            <w:r w:rsidRPr="00043E21">
              <w:rPr>
                <w:sz w:val="20"/>
                <w:szCs w:val="20"/>
              </w:rPr>
              <w:fldChar w:fldCharType="end"/>
            </w:r>
            <w:r w:rsidR="008172CB" w:rsidRPr="00043E21">
              <w:rPr>
                <w:b/>
                <w:bCs/>
                <w:sz w:val="20"/>
                <w:szCs w:val="20"/>
              </w:rPr>
              <w:t>Motion to extend the time to serve and file the applicant’s reply to April 17, 2012</w:t>
            </w:r>
          </w:p>
        </w:tc>
        <w:tc>
          <w:tcPr>
            <w:tcW w:w="1170" w:type="dxa"/>
          </w:tcPr>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3B0427" w:rsidP="00C476AD">
            <w:pPr>
              <w:tabs>
                <w:tab w:val="left" w:pos="-1440"/>
                <w:tab w:val="left" w:pos="-720"/>
              </w:tabs>
              <w:jc w:val="both"/>
              <w:rPr>
                <w:sz w:val="20"/>
                <w:szCs w:val="20"/>
                <w:lang w:val="fr-CA"/>
              </w:rPr>
            </w:pPr>
            <w:r w:rsidRPr="00043E21">
              <w:rPr>
                <w:sz w:val="20"/>
                <w:szCs w:val="20"/>
              </w:rPr>
              <w:fldChar w:fldCharType="begin"/>
            </w:r>
            <w:r w:rsidR="008172CB" w:rsidRPr="00043E21">
              <w:rPr>
                <w:sz w:val="20"/>
                <w:szCs w:val="20"/>
                <w:lang w:val="fr-CA"/>
              </w:rPr>
              <w:instrText xml:space="preserve"> SEQ CHAPTER \h \r 1</w:instrText>
            </w:r>
            <w:r w:rsidRPr="00043E21">
              <w:rPr>
                <w:sz w:val="20"/>
                <w:szCs w:val="20"/>
              </w:rPr>
              <w:fldChar w:fldCharType="end"/>
            </w:r>
            <w:r w:rsidR="008172CB" w:rsidRPr="00043E21">
              <w:rPr>
                <w:b/>
                <w:bCs/>
                <w:sz w:val="20"/>
                <w:szCs w:val="20"/>
                <w:lang w:val="fr-CA"/>
              </w:rPr>
              <w:t xml:space="preserve">Requête du demandeur en prorogation du délai de signification et de dépôt de la réplique jusqu’au 17 avril 2012 </w:t>
            </w:r>
          </w:p>
        </w:tc>
      </w:tr>
      <w:tr w:rsidR="008172CB" w:rsidRPr="00043E21" w:rsidTr="00C476AD">
        <w:tc>
          <w:tcPr>
            <w:tcW w:w="4338" w:type="dxa"/>
          </w:tcPr>
          <w:p w:rsidR="008172CB" w:rsidRPr="00043E21" w:rsidRDefault="008172CB" w:rsidP="00C476AD">
            <w:pPr>
              <w:tabs>
                <w:tab w:val="left" w:pos="-1440"/>
                <w:tab w:val="left" w:pos="-720"/>
              </w:tabs>
              <w:jc w:val="both"/>
              <w:rPr>
                <w:sz w:val="20"/>
                <w:szCs w:val="20"/>
              </w:rPr>
            </w:pPr>
            <w:r w:rsidRPr="00043E21">
              <w:rPr>
                <w:sz w:val="20"/>
                <w:szCs w:val="20"/>
              </w:rPr>
              <w:t>Norman Ted Walton</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ab/>
              <w:t>v. (34692)</w:t>
            </w:r>
          </w:p>
          <w:p w:rsidR="008172CB" w:rsidRPr="00043E21" w:rsidRDefault="008172CB" w:rsidP="00C476AD">
            <w:pPr>
              <w:tabs>
                <w:tab w:val="left" w:pos="-1440"/>
                <w:tab w:val="left" w:pos="-720"/>
              </w:tabs>
              <w:jc w:val="both"/>
              <w:rPr>
                <w:sz w:val="20"/>
                <w:szCs w:val="20"/>
              </w:rPr>
            </w:pPr>
          </w:p>
          <w:p w:rsidR="008172CB" w:rsidRPr="00043E21" w:rsidRDefault="008172CB" w:rsidP="00C476AD">
            <w:pPr>
              <w:tabs>
                <w:tab w:val="left" w:pos="-1440"/>
                <w:tab w:val="left" w:pos="-720"/>
              </w:tabs>
              <w:jc w:val="both"/>
              <w:rPr>
                <w:sz w:val="20"/>
                <w:szCs w:val="20"/>
              </w:rPr>
            </w:pPr>
            <w:r w:rsidRPr="00043E21">
              <w:rPr>
                <w:sz w:val="20"/>
                <w:szCs w:val="20"/>
              </w:rPr>
              <w:t>Her Majesty the Queen (Crim.) (B.C.)</w:t>
            </w:r>
          </w:p>
        </w:tc>
        <w:tc>
          <w:tcPr>
            <w:tcW w:w="1170" w:type="dxa"/>
          </w:tcPr>
          <w:p w:rsidR="008172CB" w:rsidRPr="00043E21" w:rsidRDefault="008172CB" w:rsidP="00C476AD">
            <w:pPr>
              <w:tabs>
                <w:tab w:val="left" w:pos="-1440"/>
                <w:tab w:val="left" w:pos="-720"/>
              </w:tabs>
              <w:jc w:val="both"/>
              <w:rPr>
                <w:sz w:val="20"/>
                <w:szCs w:val="20"/>
              </w:rPr>
            </w:pPr>
          </w:p>
        </w:tc>
        <w:tc>
          <w:tcPr>
            <w:tcW w:w="4327" w:type="dxa"/>
          </w:tcPr>
          <w:p w:rsidR="008172CB" w:rsidRPr="00043E21" w:rsidRDefault="008172CB" w:rsidP="00C476AD">
            <w:pPr>
              <w:tabs>
                <w:tab w:val="left" w:pos="-1440"/>
                <w:tab w:val="left" w:pos="-720"/>
              </w:tabs>
              <w:jc w:val="both"/>
              <w:rPr>
                <w:sz w:val="20"/>
                <w:szCs w:val="20"/>
              </w:rPr>
            </w:pPr>
          </w:p>
        </w:tc>
      </w:tr>
    </w:tbl>
    <w:p w:rsidR="008172CB" w:rsidRPr="00043E21" w:rsidRDefault="008172CB" w:rsidP="008172CB">
      <w:pPr>
        <w:tabs>
          <w:tab w:val="left" w:pos="-1440"/>
          <w:tab w:val="left" w:pos="-720"/>
        </w:tabs>
        <w:jc w:val="both"/>
        <w:rPr>
          <w:b/>
          <w:sz w:val="20"/>
          <w:szCs w:val="20"/>
        </w:rPr>
      </w:pPr>
    </w:p>
    <w:p w:rsidR="008172CB" w:rsidRPr="00043E21" w:rsidRDefault="008172CB" w:rsidP="008172CB">
      <w:pPr>
        <w:tabs>
          <w:tab w:val="left" w:pos="-1440"/>
          <w:tab w:val="left" w:pos="-720"/>
        </w:tabs>
        <w:jc w:val="both"/>
        <w:rPr>
          <w:sz w:val="20"/>
          <w:szCs w:val="20"/>
        </w:rPr>
      </w:pPr>
      <w:r w:rsidRPr="00043E21">
        <w:rPr>
          <w:b/>
          <w:sz w:val="20"/>
          <w:szCs w:val="20"/>
        </w:rPr>
        <w:t>GRANTED / ACCORDÉE</w:t>
      </w:r>
    </w:p>
    <w:p w:rsidR="008172CB" w:rsidRDefault="008172CB" w:rsidP="0010587F">
      <w:pPr>
        <w:tabs>
          <w:tab w:val="left" w:pos="-1440"/>
          <w:tab w:val="left" w:pos="-720"/>
        </w:tabs>
        <w:jc w:val="both"/>
        <w:rPr>
          <w:sz w:val="20"/>
          <w:szCs w:val="20"/>
        </w:rPr>
      </w:pPr>
    </w:p>
    <w:p w:rsidR="0010587F" w:rsidRPr="003B3977" w:rsidRDefault="003B0427" w:rsidP="0010587F">
      <w:pPr>
        <w:tabs>
          <w:tab w:val="left" w:pos="-1440"/>
          <w:tab w:val="left" w:pos="-720"/>
        </w:tabs>
        <w:jc w:val="both"/>
        <w:rPr>
          <w:sz w:val="20"/>
          <w:szCs w:val="20"/>
          <w:lang w:val="fr-CA"/>
        </w:rPr>
      </w:pPr>
      <w:r w:rsidRPr="003B0427">
        <w:rPr>
          <w:sz w:val="20"/>
          <w:szCs w:val="20"/>
          <w:lang w:val="fr-CA"/>
        </w:rPr>
        <w:pict>
          <v:rect id="_x0000_i1086"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p w:rsidR="00732DB7" w:rsidRPr="00C1697B" w:rsidRDefault="00732DB7" w:rsidP="00732DB7">
      <w:pPr>
        <w:widowControl w:val="0"/>
        <w:rPr>
          <w:sz w:val="20"/>
          <w:szCs w:val="20"/>
          <w:lang w:val="fr-CA"/>
        </w:r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326E3D">
            <w:pPr>
              <w:keepNext/>
              <w:keepLines/>
              <w:rPr>
                <w:b/>
                <w:szCs w:val="24"/>
              </w:rPr>
            </w:pPr>
            <w:r w:rsidRPr="00C50A5C">
              <w:rPr>
                <w:b/>
                <w:szCs w:val="24"/>
              </w:rPr>
              <w:t xml:space="preserve">AGENDA FOR </w:t>
            </w:r>
            <w:r w:rsidR="00326E3D">
              <w:rPr>
                <w:b/>
                <w:szCs w:val="24"/>
              </w:rPr>
              <w:t>JU</w:t>
            </w:r>
            <w:r w:rsidRPr="00C50A5C">
              <w:rPr>
                <w:b/>
                <w:szCs w:val="24"/>
              </w:rPr>
              <w:t>NE</w:t>
            </w:r>
            <w:r w:rsidR="00326E3D">
              <w:rPr>
                <w:b/>
                <w:szCs w:val="24"/>
              </w:rPr>
              <w:t xml:space="preserve">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326E3D">
            <w:pPr>
              <w:keepNext/>
              <w:keepLines/>
              <w:rPr>
                <w:b/>
                <w:szCs w:val="24"/>
                <w:lang w:val="fr-CA"/>
              </w:rPr>
            </w:pPr>
            <w:r w:rsidRPr="00C50A5C">
              <w:rPr>
                <w:b/>
                <w:szCs w:val="24"/>
                <w:lang w:val="fr-CA"/>
              </w:rPr>
              <w:t xml:space="preserve">CALENDRIER DE </w:t>
            </w:r>
            <w:r w:rsidR="00326E3D">
              <w:rPr>
                <w:b/>
                <w:szCs w:val="24"/>
                <w:lang w:val="fr-CA"/>
              </w:rPr>
              <w:t>JU</w:t>
            </w:r>
            <w:r w:rsidRPr="00C50A5C">
              <w:rPr>
                <w:b/>
                <w:szCs w:val="24"/>
                <w:lang w:val="fr-CA"/>
              </w:rPr>
              <w:t>IN</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326E3D">
        <w:rPr>
          <w:b/>
          <w:sz w:val="20"/>
          <w:szCs w:val="20"/>
        </w:rPr>
        <w:t>June 4</w:t>
      </w:r>
      <w:r w:rsidRPr="00DD0B49">
        <w:rPr>
          <w:b/>
          <w:sz w:val="20"/>
          <w:szCs w:val="20"/>
        </w:rPr>
        <w:t xml:space="preserve"> and </w:t>
      </w:r>
      <w:r w:rsidR="00326E3D">
        <w:rPr>
          <w:b/>
          <w:sz w:val="20"/>
          <w:szCs w:val="20"/>
        </w:rPr>
        <w:t>11</w:t>
      </w:r>
      <w:r w:rsidRPr="00DD0B49">
        <w:rPr>
          <w:b/>
          <w:sz w:val="20"/>
          <w:szCs w:val="20"/>
        </w:rPr>
        <w:t>, 201</w:t>
      </w:r>
      <w:r w:rsidR="00326E3D">
        <w:rPr>
          <w:b/>
          <w:sz w:val="20"/>
          <w:szCs w:val="20"/>
        </w:rPr>
        <w:t>2</w:t>
      </w:r>
      <w:r w:rsidRPr="00DD0B49">
        <w:rPr>
          <w:b/>
          <w:sz w:val="20"/>
          <w:szCs w:val="20"/>
        </w:rPr>
        <w:t>.</w:t>
      </w:r>
    </w:p>
    <w:p w:rsidR="004B66B4" w:rsidRPr="00DD0B49" w:rsidRDefault="004B66B4" w:rsidP="004B66B4">
      <w:pPr>
        <w:rPr>
          <w:sz w:val="20"/>
          <w:szCs w:val="20"/>
          <w:lang w:val="fr-CA"/>
        </w:rPr>
      </w:pPr>
      <w:r w:rsidRPr="00DD0B49">
        <w:rPr>
          <w:b/>
          <w:sz w:val="20"/>
          <w:szCs w:val="20"/>
          <w:lang w:val="fr-CA"/>
        </w:rPr>
        <w:t xml:space="preserve">CALENDRIER de la semaine du </w:t>
      </w:r>
      <w:r w:rsidR="00326E3D">
        <w:rPr>
          <w:b/>
          <w:sz w:val="20"/>
          <w:szCs w:val="20"/>
          <w:lang w:val="fr-CA"/>
        </w:rPr>
        <w:t>4 jui</w:t>
      </w:r>
      <w:r w:rsidRPr="00DD0B49">
        <w:rPr>
          <w:b/>
          <w:sz w:val="20"/>
          <w:szCs w:val="20"/>
          <w:lang w:val="fr-CA"/>
        </w:rPr>
        <w:t xml:space="preserve">n et celle du </w:t>
      </w:r>
      <w:r w:rsidR="00326E3D">
        <w:rPr>
          <w:b/>
          <w:sz w:val="20"/>
          <w:szCs w:val="20"/>
          <w:lang w:val="fr-CA"/>
        </w:rPr>
        <w:t>11</w:t>
      </w:r>
      <w:r w:rsidRPr="00DD0B49">
        <w:rPr>
          <w:b/>
          <w:sz w:val="20"/>
          <w:szCs w:val="20"/>
          <w:lang w:val="fr-CA"/>
        </w:rPr>
        <w:t xml:space="preserve"> </w:t>
      </w:r>
      <w:r w:rsidR="00326E3D">
        <w:rPr>
          <w:b/>
          <w:sz w:val="20"/>
          <w:szCs w:val="20"/>
          <w:lang w:val="fr-CA"/>
        </w:rPr>
        <w:t>jui</w:t>
      </w:r>
      <w:r w:rsidRPr="00DD0B49">
        <w:rPr>
          <w:b/>
          <w:sz w:val="20"/>
          <w:szCs w:val="20"/>
          <w:lang w:val="fr-CA"/>
        </w:rPr>
        <w:t>n 201</w:t>
      </w:r>
      <w:r w:rsidR="00326E3D">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326E3D">
        <w:rPr>
          <w:sz w:val="20"/>
          <w:szCs w:val="20"/>
        </w:rPr>
        <w:t>June</w:t>
      </w:r>
      <w:r w:rsidRPr="00DD0B49">
        <w:rPr>
          <w:sz w:val="20"/>
          <w:szCs w:val="20"/>
        </w:rPr>
        <w:t xml:space="preserve"> 1</w:t>
      </w:r>
      <w:r w:rsidR="00326E3D">
        <w:rPr>
          <w:sz w:val="20"/>
          <w:szCs w:val="20"/>
        </w:rPr>
        <w:t>8</w:t>
      </w:r>
      <w:r w:rsidRPr="00DD0B49">
        <w:rPr>
          <w:sz w:val="20"/>
          <w:szCs w:val="20"/>
        </w:rPr>
        <w:t xml:space="preserve"> and 2</w:t>
      </w:r>
      <w:r w:rsidR="00326E3D">
        <w:rPr>
          <w:sz w:val="20"/>
          <w:szCs w:val="20"/>
        </w:rPr>
        <w:t>5</w:t>
      </w:r>
      <w:r w:rsidRPr="00DD0B49">
        <w:rPr>
          <w:sz w:val="20"/>
          <w:szCs w:val="20"/>
        </w:rPr>
        <w:t>, 201</w:t>
      </w:r>
      <w:r w:rsidR="00326E3D">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1</w:t>
      </w:r>
      <w:r w:rsidR="00326E3D">
        <w:rPr>
          <w:sz w:val="20"/>
          <w:szCs w:val="20"/>
          <w:lang w:val="fr-CA"/>
        </w:rPr>
        <w:t>8</w:t>
      </w:r>
      <w:r w:rsidRPr="00DD0B49">
        <w:rPr>
          <w:sz w:val="20"/>
          <w:szCs w:val="20"/>
          <w:lang w:val="fr-CA"/>
        </w:rPr>
        <w:t xml:space="preserve"> et du 2</w:t>
      </w:r>
      <w:r w:rsidR="00326E3D">
        <w:rPr>
          <w:sz w:val="20"/>
          <w:szCs w:val="20"/>
          <w:lang w:val="fr-CA"/>
        </w:rPr>
        <w:t>5</w:t>
      </w:r>
      <w:r w:rsidRPr="00DD0B49">
        <w:rPr>
          <w:sz w:val="20"/>
          <w:szCs w:val="20"/>
          <w:lang w:val="fr-CA"/>
        </w:rPr>
        <w:t xml:space="preserve"> </w:t>
      </w:r>
      <w:r w:rsidR="00326E3D">
        <w:rPr>
          <w:sz w:val="20"/>
          <w:szCs w:val="20"/>
          <w:lang w:val="fr-CA"/>
        </w:rPr>
        <w:t>jui</w:t>
      </w:r>
      <w:r w:rsidRPr="00DD0B49">
        <w:rPr>
          <w:sz w:val="20"/>
          <w:szCs w:val="20"/>
          <w:lang w:val="fr-CA"/>
        </w:rPr>
        <w:t>n 201</w:t>
      </w:r>
      <w:r w:rsidR="00326E3D">
        <w:rPr>
          <w:sz w:val="20"/>
          <w:szCs w:val="20"/>
          <w:lang w:val="fr-CA"/>
        </w:rPr>
        <w:t>2</w:t>
      </w:r>
      <w:r w:rsidRPr="00DD0B49">
        <w:rPr>
          <w:sz w:val="20"/>
          <w:szCs w:val="20"/>
          <w:lang w:val="fr-CA"/>
        </w:rPr>
        <w:t>.</w:t>
      </w:r>
    </w:p>
    <w:p w:rsidR="004B66B4" w:rsidRPr="00DD0B49" w:rsidRDefault="003B0427" w:rsidP="004B66B4">
      <w:pPr>
        <w:rPr>
          <w:sz w:val="20"/>
          <w:szCs w:val="20"/>
        </w:rPr>
      </w:pPr>
      <w:r w:rsidRPr="003B0427">
        <w:rPr>
          <w:sz w:val="20"/>
          <w:szCs w:val="20"/>
        </w:rPr>
        <w:pict>
          <v:rect id="_x0000_i1089"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218"/>
        <w:gridCol w:w="7358"/>
      </w:tblGrid>
      <w:tr w:rsidR="001E76F2" w:rsidRPr="00643997" w:rsidTr="00F82EB7">
        <w:trPr>
          <w:cantSplit/>
        </w:trPr>
        <w:tc>
          <w:tcPr>
            <w:tcW w:w="2218" w:type="dxa"/>
          </w:tcPr>
          <w:p w:rsidR="001E76F2" w:rsidRPr="00A77884" w:rsidRDefault="001E76F2" w:rsidP="00BF1BC3">
            <w:pPr>
              <w:rPr>
                <w:sz w:val="20"/>
                <w:szCs w:val="20"/>
              </w:rPr>
            </w:pPr>
            <w:r w:rsidRPr="00A77884">
              <w:rPr>
                <w:sz w:val="20"/>
                <w:szCs w:val="20"/>
              </w:rPr>
              <w:t>DATE OF HEARING /</w:t>
            </w:r>
          </w:p>
          <w:p w:rsidR="001E76F2" w:rsidRPr="00A77884" w:rsidRDefault="001E76F2" w:rsidP="00BF1BC3">
            <w:pPr>
              <w:rPr>
                <w:sz w:val="20"/>
                <w:szCs w:val="20"/>
              </w:rPr>
            </w:pPr>
            <w:r w:rsidRPr="00A77884">
              <w:rPr>
                <w:sz w:val="20"/>
                <w:szCs w:val="20"/>
              </w:rPr>
              <w:t>DATE D’AUDITION</w:t>
            </w:r>
          </w:p>
        </w:tc>
        <w:tc>
          <w:tcPr>
            <w:tcW w:w="7358" w:type="dxa"/>
          </w:tcPr>
          <w:p w:rsidR="001E76F2" w:rsidRPr="00A77884" w:rsidRDefault="001E76F2" w:rsidP="00BF1BC3">
            <w:pPr>
              <w:rPr>
                <w:sz w:val="20"/>
                <w:szCs w:val="20"/>
                <w:lang w:val="fr-CA"/>
              </w:rPr>
            </w:pPr>
            <w:r w:rsidRPr="00A77884">
              <w:rPr>
                <w:sz w:val="20"/>
                <w:szCs w:val="20"/>
                <w:lang w:val="fr-CA"/>
              </w:rPr>
              <w:t>NAME AND CASE NUMBER /</w:t>
            </w:r>
          </w:p>
          <w:p w:rsidR="001E76F2" w:rsidRPr="00A77884" w:rsidRDefault="001E76F2" w:rsidP="00BF1BC3">
            <w:pPr>
              <w:rPr>
                <w:sz w:val="20"/>
                <w:szCs w:val="20"/>
                <w:lang w:val="fr-CA"/>
              </w:rPr>
            </w:pPr>
            <w:r w:rsidRPr="00A77884">
              <w:rPr>
                <w:sz w:val="20"/>
                <w:szCs w:val="20"/>
                <w:lang w:val="fr-CA"/>
              </w:rPr>
              <w:t>NOM DE LA CAUSE ET NUMÉRO</w:t>
            </w:r>
          </w:p>
        </w:tc>
      </w:tr>
      <w:tr w:rsidR="001E76F2" w:rsidRPr="00A77884" w:rsidTr="00F82EB7">
        <w:trPr>
          <w:cantSplit/>
        </w:trPr>
        <w:tc>
          <w:tcPr>
            <w:tcW w:w="2218" w:type="dxa"/>
          </w:tcPr>
          <w:p w:rsidR="001E76F2" w:rsidRPr="00A77884" w:rsidRDefault="001E76F2" w:rsidP="00BF1BC3">
            <w:pPr>
              <w:rPr>
                <w:sz w:val="20"/>
                <w:szCs w:val="20"/>
              </w:rPr>
            </w:pPr>
            <w:r w:rsidRPr="00A77884">
              <w:rPr>
                <w:sz w:val="20"/>
                <w:szCs w:val="20"/>
              </w:rPr>
              <w:t>2012-06-04</w:t>
            </w:r>
          </w:p>
        </w:tc>
        <w:tc>
          <w:tcPr>
            <w:tcW w:w="7358" w:type="dxa"/>
          </w:tcPr>
          <w:p w:rsidR="001E76F2" w:rsidRPr="00A77884" w:rsidRDefault="001E76F2" w:rsidP="00F82EB7">
            <w:pPr>
              <w:jc w:val="both"/>
              <w:rPr>
                <w:sz w:val="20"/>
                <w:szCs w:val="20"/>
              </w:rPr>
            </w:pPr>
            <w:r w:rsidRPr="00A77884">
              <w:rPr>
                <w:i/>
                <w:sz w:val="20"/>
                <w:szCs w:val="20"/>
              </w:rPr>
              <w:t>Daishowa-Marubeni International Ltd. v. Her Majesty the Queen</w:t>
            </w:r>
            <w:r w:rsidRPr="00A77884">
              <w:rPr>
                <w:sz w:val="20"/>
                <w:szCs w:val="20"/>
              </w:rPr>
              <w:t xml:space="preserve"> (F.C.) (Civil) (By</w:t>
            </w:r>
            <w:r w:rsidR="00F82EB7">
              <w:rPr>
                <w:sz w:val="20"/>
                <w:szCs w:val="20"/>
              </w:rPr>
              <w:t> </w:t>
            </w:r>
            <w:r w:rsidRPr="00A77884">
              <w:rPr>
                <w:sz w:val="20"/>
                <w:szCs w:val="20"/>
              </w:rPr>
              <w:t>Leave) (34534)</w:t>
            </w:r>
          </w:p>
          <w:p w:rsidR="001E76F2" w:rsidRPr="00A77884" w:rsidRDefault="001E76F2" w:rsidP="00F82EB7">
            <w:pPr>
              <w:jc w:val="both"/>
              <w:rPr>
                <w:sz w:val="20"/>
                <w:szCs w:val="20"/>
              </w:rPr>
            </w:pPr>
            <w:r w:rsidRPr="00A77884">
              <w:rPr>
                <w:sz w:val="20"/>
                <w:szCs w:val="20"/>
              </w:rPr>
              <w:t>(Oral hearing on application for leave to appeal / Audition orale sur demande d’autorisation d’appel)</w:t>
            </w:r>
          </w:p>
        </w:tc>
      </w:tr>
      <w:tr w:rsidR="001E76F2" w:rsidRPr="00A77884" w:rsidTr="00F82EB7">
        <w:trPr>
          <w:cantSplit/>
        </w:trPr>
        <w:tc>
          <w:tcPr>
            <w:tcW w:w="2218" w:type="dxa"/>
          </w:tcPr>
          <w:p w:rsidR="001E76F2" w:rsidRPr="00A77884" w:rsidRDefault="001E76F2" w:rsidP="00BF1BC3">
            <w:pPr>
              <w:rPr>
                <w:sz w:val="20"/>
                <w:szCs w:val="20"/>
              </w:rPr>
            </w:pPr>
            <w:r w:rsidRPr="00A77884">
              <w:rPr>
                <w:sz w:val="20"/>
                <w:szCs w:val="20"/>
              </w:rPr>
              <w:t>2012-06-04</w:t>
            </w:r>
          </w:p>
        </w:tc>
        <w:tc>
          <w:tcPr>
            <w:tcW w:w="7358" w:type="dxa"/>
          </w:tcPr>
          <w:p w:rsidR="001E76F2" w:rsidRPr="00A77884" w:rsidRDefault="001E76F2" w:rsidP="00F82EB7">
            <w:pPr>
              <w:jc w:val="both"/>
              <w:rPr>
                <w:sz w:val="20"/>
                <w:szCs w:val="20"/>
              </w:rPr>
            </w:pPr>
            <w:r w:rsidRPr="00A77884">
              <w:rPr>
                <w:i/>
                <w:sz w:val="20"/>
                <w:szCs w:val="20"/>
              </w:rPr>
              <w:t>Thanh Long Vu v. Her Majesty the Queen</w:t>
            </w:r>
            <w:r w:rsidRPr="00A77884">
              <w:rPr>
                <w:sz w:val="20"/>
                <w:szCs w:val="20"/>
              </w:rPr>
              <w:t xml:space="preserve"> (B.C.) (Criminal) (By Leave) (34687)</w:t>
            </w:r>
          </w:p>
          <w:p w:rsidR="001E76F2" w:rsidRPr="00A77884" w:rsidRDefault="001E76F2" w:rsidP="00F82EB7">
            <w:pPr>
              <w:jc w:val="both"/>
              <w:rPr>
                <w:sz w:val="20"/>
                <w:szCs w:val="20"/>
              </w:rPr>
            </w:pPr>
            <w:r w:rsidRPr="00A77884">
              <w:rPr>
                <w:sz w:val="20"/>
                <w:szCs w:val="20"/>
              </w:rPr>
              <w:t>(Oral hearing on application for leave to appeal / Audition orale sur demande d’autorisation d’appel)</w:t>
            </w:r>
          </w:p>
        </w:tc>
      </w:tr>
      <w:tr w:rsidR="001E76F2" w:rsidRPr="00A77884" w:rsidTr="00F82EB7">
        <w:trPr>
          <w:cantSplit/>
        </w:trPr>
        <w:tc>
          <w:tcPr>
            <w:tcW w:w="2218" w:type="dxa"/>
          </w:tcPr>
          <w:p w:rsidR="001E76F2" w:rsidRPr="00A77884" w:rsidRDefault="001E76F2" w:rsidP="00BF1BC3">
            <w:pPr>
              <w:rPr>
                <w:sz w:val="20"/>
                <w:szCs w:val="20"/>
              </w:rPr>
            </w:pPr>
            <w:r w:rsidRPr="00A77884">
              <w:rPr>
                <w:sz w:val="20"/>
                <w:szCs w:val="20"/>
              </w:rPr>
              <w:t>2012-06-05</w:t>
            </w:r>
          </w:p>
        </w:tc>
        <w:tc>
          <w:tcPr>
            <w:tcW w:w="7358" w:type="dxa"/>
          </w:tcPr>
          <w:p w:rsidR="001E76F2" w:rsidRPr="00A77884" w:rsidRDefault="001E76F2" w:rsidP="00F82EB7">
            <w:pPr>
              <w:jc w:val="both"/>
              <w:rPr>
                <w:sz w:val="20"/>
                <w:szCs w:val="20"/>
              </w:rPr>
            </w:pPr>
            <w:r w:rsidRPr="00A77884">
              <w:rPr>
                <w:i/>
                <w:sz w:val="20"/>
                <w:szCs w:val="20"/>
              </w:rPr>
              <w:t>Sun Indalex Finance, LLC et al. v. United Steelworkers et al.</w:t>
            </w:r>
            <w:r w:rsidRPr="00A77884">
              <w:rPr>
                <w:sz w:val="20"/>
                <w:szCs w:val="20"/>
              </w:rPr>
              <w:t xml:space="preserve"> (Ont.) (Civil) (By Leave) (34308)</w:t>
            </w:r>
          </w:p>
          <w:p w:rsidR="001E76F2" w:rsidRPr="00A77884" w:rsidRDefault="001E76F2" w:rsidP="00F82EB7">
            <w:pPr>
              <w:jc w:val="both"/>
              <w:rPr>
                <w:sz w:val="20"/>
                <w:szCs w:val="20"/>
              </w:rPr>
            </w:pPr>
            <w:r w:rsidRPr="00A77884">
              <w:rPr>
                <w:sz w:val="20"/>
                <w:szCs w:val="20"/>
              </w:rPr>
              <w:t>(Early start time: 9:00 a.m. / Horaire modifié : audience débutant à 9 h)</w:t>
            </w:r>
          </w:p>
        </w:tc>
      </w:tr>
      <w:tr w:rsidR="001E76F2" w:rsidRPr="00643997" w:rsidTr="00F82EB7">
        <w:trPr>
          <w:cantSplit/>
        </w:trPr>
        <w:tc>
          <w:tcPr>
            <w:tcW w:w="2218" w:type="dxa"/>
          </w:tcPr>
          <w:p w:rsidR="001E76F2" w:rsidRPr="00A77884" w:rsidRDefault="001E76F2" w:rsidP="00BF1BC3">
            <w:pPr>
              <w:rPr>
                <w:sz w:val="20"/>
                <w:szCs w:val="20"/>
              </w:rPr>
            </w:pPr>
            <w:r w:rsidRPr="00A77884">
              <w:rPr>
                <w:sz w:val="20"/>
                <w:szCs w:val="20"/>
              </w:rPr>
              <w:t>2012-06-06</w:t>
            </w:r>
          </w:p>
        </w:tc>
        <w:tc>
          <w:tcPr>
            <w:tcW w:w="7358" w:type="dxa"/>
          </w:tcPr>
          <w:p w:rsidR="001E76F2" w:rsidRPr="00A77884" w:rsidRDefault="001E76F2" w:rsidP="00F82EB7">
            <w:pPr>
              <w:jc w:val="both"/>
              <w:rPr>
                <w:sz w:val="20"/>
                <w:szCs w:val="20"/>
                <w:lang w:val="fr-CA"/>
              </w:rPr>
            </w:pPr>
            <w:r w:rsidRPr="00A77884">
              <w:rPr>
                <w:i/>
                <w:sz w:val="20"/>
                <w:szCs w:val="20"/>
                <w:lang w:val="fr-CA"/>
              </w:rPr>
              <w:t>Donald Boudreault c. Sa Majesté la Reine</w:t>
            </w:r>
            <w:r w:rsidRPr="00A77884">
              <w:rPr>
                <w:sz w:val="20"/>
                <w:szCs w:val="20"/>
                <w:lang w:val="fr-CA"/>
              </w:rPr>
              <w:t xml:space="preserve"> (Qc) (Criminelle) (De plein droit) (34582)</w:t>
            </w:r>
          </w:p>
        </w:tc>
      </w:tr>
      <w:tr w:rsidR="001E76F2" w:rsidRPr="00A77884" w:rsidTr="00F82EB7">
        <w:trPr>
          <w:cantSplit/>
        </w:trPr>
        <w:tc>
          <w:tcPr>
            <w:tcW w:w="2218" w:type="dxa"/>
          </w:tcPr>
          <w:p w:rsidR="001E76F2" w:rsidRPr="00A77884" w:rsidRDefault="001E76F2" w:rsidP="00BF1BC3">
            <w:pPr>
              <w:rPr>
                <w:sz w:val="20"/>
                <w:szCs w:val="20"/>
              </w:rPr>
            </w:pPr>
            <w:r w:rsidRPr="00A77884">
              <w:rPr>
                <w:sz w:val="20"/>
                <w:szCs w:val="20"/>
              </w:rPr>
              <w:t>2012-06-11</w:t>
            </w:r>
          </w:p>
        </w:tc>
        <w:tc>
          <w:tcPr>
            <w:tcW w:w="7358" w:type="dxa"/>
          </w:tcPr>
          <w:p w:rsidR="001E76F2" w:rsidRPr="00A77884" w:rsidRDefault="001E76F2" w:rsidP="00F82EB7">
            <w:pPr>
              <w:jc w:val="both"/>
              <w:rPr>
                <w:sz w:val="20"/>
                <w:szCs w:val="20"/>
              </w:rPr>
            </w:pPr>
            <w:r w:rsidRPr="00A77884">
              <w:rPr>
                <w:i/>
                <w:sz w:val="20"/>
                <w:szCs w:val="20"/>
              </w:rPr>
              <w:t>Suresh Sriskandarajah v. United States of America et al.</w:t>
            </w:r>
            <w:r w:rsidRPr="00A77884">
              <w:rPr>
                <w:sz w:val="20"/>
                <w:szCs w:val="20"/>
              </w:rPr>
              <w:t xml:space="preserve"> (Ont.) (Criminal) (By Leave) (34009)</w:t>
            </w:r>
          </w:p>
          <w:p w:rsidR="001E76F2" w:rsidRPr="00A77884" w:rsidRDefault="001E76F2" w:rsidP="00F82EB7">
            <w:pPr>
              <w:jc w:val="both"/>
              <w:rPr>
                <w:sz w:val="20"/>
                <w:szCs w:val="20"/>
              </w:rPr>
            </w:pPr>
            <w:r w:rsidRPr="00A77884">
              <w:rPr>
                <w:sz w:val="20"/>
                <w:szCs w:val="20"/>
              </w:rPr>
              <w:t>(Early start time: 9:00 a.m. / Horaire modifié : audience débutant à 9 h)</w:t>
            </w:r>
          </w:p>
        </w:tc>
      </w:tr>
      <w:tr w:rsidR="001E76F2" w:rsidRPr="00A77884" w:rsidTr="00F82EB7">
        <w:trPr>
          <w:cantSplit/>
        </w:trPr>
        <w:tc>
          <w:tcPr>
            <w:tcW w:w="2218" w:type="dxa"/>
          </w:tcPr>
          <w:p w:rsidR="001E76F2" w:rsidRPr="00A77884" w:rsidRDefault="001E76F2" w:rsidP="00BF1BC3">
            <w:pPr>
              <w:rPr>
                <w:sz w:val="20"/>
                <w:szCs w:val="20"/>
              </w:rPr>
            </w:pPr>
            <w:r w:rsidRPr="00A77884">
              <w:rPr>
                <w:sz w:val="20"/>
                <w:szCs w:val="20"/>
              </w:rPr>
              <w:t>2012-06-11</w:t>
            </w:r>
          </w:p>
        </w:tc>
        <w:tc>
          <w:tcPr>
            <w:tcW w:w="7358" w:type="dxa"/>
          </w:tcPr>
          <w:p w:rsidR="001E76F2" w:rsidRPr="00A77884" w:rsidRDefault="001E76F2" w:rsidP="00F82EB7">
            <w:pPr>
              <w:jc w:val="both"/>
              <w:rPr>
                <w:sz w:val="20"/>
                <w:szCs w:val="20"/>
              </w:rPr>
            </w:pPr>
            <w:r w:rsidRPr="00A77884">
              <w:rPr>
                <w:i/>
                <w:sz w:val="20"/>
                <w:szCs w:val="20"/>
              </w:rPr>
              <w:t>Piratheepan Nadarajah v. United States of America et al.</w:t>
            </w:r>
            <w:r w:rsidRPr="00A77884">
              <w:rPr>
                <w:sz w:val="20"/>
                <w:szCs w:val="20"/>
              </w:rPr>
              <w:t xml:space="preserve"> (Ont.) (Criminal) (By Leave) (34013) </w:t>
            </w:r>
          </w:p>
          <w:p w:rsidR="001E76F2" w:rsidRPr="00A77884" w:rsidRDefault="001E76F2" w:rsidP="00F82EB7">
            <w:pPr>
              <w:jc w:val="both"/>
              <w:rPr>
                <w:sz w:val="20"/>
                <w:szCs w:val="20"/>
              </w:rPr>
            </w:pPr>
            <w:r w:rsidRPr="00A77884">
              <w:rPr>
                <w:sz w:val="20"/>
                <w:szCs w:val="20"/>
              </w:rPr>
              <w:t>(Early start time: 9:00 a.m. / Horaire modifié : audience débutant à 9 h)</w:t>
            </w:r>
          </w:p>
        </w:tc>
      </w:tr>
      <w:tr w:rsidR="001E76F2" w:rsidRPr="00A77884" w:rsidTr="00F82EB7">
        <w:trPr>
          <w:cantSplit/>
        </w:trPr>
        <w:tc>
          <w:tcPr>
            <w:tcW w:w="2218" w:type="dxa"/>
          </w:tcPr>
          <w:p w:rsidR="001E76F2" w:rsidRPr="00A77884" w:rsidRDefault="001E76F2" w:rsidP="00BF1BC3">
            <w:pPr>
              <w:rPr>
                <w:sz w:val="20"/>
                <w:szCs w:val="20"/>
              </w:rPr>
            </w:pPr>
            <w:r w:rsidRPr="00A77884">
              <w:rPr>
                <w:sz w:val="20"/>
                <w:szCs w:val="20"/>
              </w:rPr>
              <w:t>2012-06-11</w:t>
            </w:r>
          </w:p>
        </w:tc>
        <w:tc>
          <w:tcPr>
            <w:tcW w:w="7358" w:type="dxa"/>
          </w:tcPr>
          <w:p w:rsidR="001E76F2" w:rsidRPr="00A77884" w:rsidRDefault="001E76F2" w:rsidP="00F82EB7">
            <w:pPr>
              <w:jc w:val="both"/>
              <w:rPr>
                <w:sz w:val="20"/>
                <w:szCs w:val="20"/>
              </w:rPr>
            </w:pPr>
            <w:r w:rsidRPr="00A77884">
              <w:rPr>
                <w:i/>
                <w:sz w:val="20"/>
                <w:szCs w:val="20"/>
              </w:rPr>
              <w:t>Mohammad Momin Khawaja v. Her Majesty the Queen</w:t>
            </w:r>
            <w:r w:rsidRPr="00A77884">
              <w:rPr>
                <w:sz w:val="20"/>
                <w:szCs w:val="20"/>
              </w:rPr>
              <w:t xml:space="preserve"> (Ont.) (Criminal) (By Leave) (34103)</w:t>
            </w:r>
          </w:p>
          <w:p w:rsidR="001E76F2" w:rsidRPr="00A77884" w:rsidRDefault="001E76F2" w:rsidP="00F82EB7">
            <w:pPr>
              <w:jc w:val="both"/>
              <w:rPr>
                <w:sz w:val="20"/>
                <w:szCs w:val="20"/>
              </w:rPr>
            </w:pPr>
            <w:r w:rsidRPr="00A77884">
              <w:rPr>
                <w:sz w:val="20"/>
                <w:szCs w:val="20"/>
              </w:rPr>
              <w:t>(Early start time: 9:00 a.m. / Horaire modifié : audience débutant à 9 h)</w:t>
            </w:r>
          </w:p>
        </w:tc>
      </w:tr>
      <w:tr w:rsidR="001E76F2" w:rsidRPr="00A77884" w:rsidTr="00F82EB7">
        <w:trPr>
          <w:cantSplit/>
        </w:trPr>
        <w:tc>
          <w:tcPr>
            <w:tcW w:w="2218" w:type="dxa"/>
          </w:tcPr>
          <w:p w:rsidR="001E76F2" w:rsidRPr="00A77884" w:rsidRDefault="001E76F2" w:rsidP="00BF1BC3">
            <w:pPr>
              <w:rPr>
                <w:sz w:val="20"/>
                <w:szCs w:val="20"/>
              </w:rPr>
            </w:pPr>
            <w:r w:rsidRPr="00A77884">
              <w:rPr>
                <w:sz w:val="20"/>
                <w:szCs w:val="20"/>
              </w:rPr>
              <w:t>2012-06-14</w:t>
            </w:r>
          </w:p>
        </w:tc>
        <w:tc>
          <w:tcPr>
            <w:tcW w:w="7358" w:type="dxa"/>
          </w:tcPr>
          <w:p w:rsidR="001E76F2" w:rsidRPr="00A77884" w:rsidRDefault="001E76F2" w:rsidP="00BF1BC3">
            <w:pPr>
              <w:rPr>
                <w:sz w:val="20"/>
                <w:szCs w:val="20"/>
              </w:rPr>
            </w:pPr>
            <w:r w:rsidRPr="00A77884">
              <w:rPr>
                <w:i/>
                <w:sz w:val="20"/>
                <w:szCs w:val="20"/>
              </w:rPr>
              <w:t>Her Majesty the Queen v. Nicole Patricia Ryan</w:t>
            </w:r>
            <w:r w:rsidRPr="00A77884">
              <w:rPr>
                <w:sz w:val="20"/>
                <w:szCs w:val="20"/>
              </w:rPr>
              <w:t xml:space="preserve"> (N.S.) (Criminal) (By Leave) (34272)</w:t>
            </w:r>
          </w:p>
        </w:tc>
      </w:tr>
    </w:tbl>
    <w:p w:rsidR="001E76F2" w:rsidRPr="00A77884" w:rsidRDefault="001E76F2" w:rsidP="001E76F2">
      <w:pPr>
        <w:rPr>
          <w:sz w:val="20"/>
          <w:szCs w:val="20"/>
        </w:rPr>
      </w:pPr>
    </w:p>
    <w:p w:rsidR="001E76F2" w:rsidRDefault="003B0427" w:rsidP="001E76F2">
      <w:pPr>
        <w:rPr>
          <w:sz w:val="20"/>
          <w:szCs w:val="20"/>
        </w:rPr>
      </w:pPr>
      <w:r w:rsidRPr="003B0427">
        <w:rPr>
          <w:sz w:val="20"/>
          <w:szCs w:val="20"/>
          <w:lang w:val="fr-CA"/>
        </w:rPr>
        <w:pict>
          <v:rect id="_x0000_i1090" style="width:2in;height:1pt" o:hrpct="0" o:hralign="center" o:hrstd="t" o:hrnoshade="t" o:hr="t" fillcolor="black [3213]" stroked="f"/>
        </w:pict>
      </w:r>
    </w:p>
    <w:p w:rsidR="001E76F2" w:rsidRPr="00A77884" w:rsidRDefault="001E76F2" w:rsidP="001E76F2">
      <w:pPr>
        <w:rPr>
          <w:sz w:val="20"/>
          <w:szCs w:val="20"/>
        </w:rPr>
      </w:pPr>
    </w:p>
    <w:p w:rsidR="001E76F2" w:rsidRPr="00A77884" w:rsidRDefault="001E76F2" w:rsidP="001E76F2">
      <w:pPr>
        <w:widowControl w:val="0"/>
        <w:jc w:val="both"/>
        <w:rPr>
          <w:sz w:val="20"/>
          <w:szCs w:val="20"/>
        </w:rPr>
      </w:pPr>
      <w:r w:rsidRPr="00A77884">
        <w:rPr>
          <w:b/>
          <w:sz w:val="20"/>
          <w:szCs w:val="20"/>
        </w:rPr>
        <w:t>NOTE:</w:t>
      </w:r>
      <w:r w:rsidRPr="00A77884">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1E76F2" w:rsidRPr="00A77884" w:rsidRDefault="001E76F2" w:rsidP="001E76F2">
      <w:pPr>
        <w:widowControl w:val="0"/>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656642" w:rsidRPr="00656642" w:rsidRDefault="00656642" w:rsidP="00656642">
      <w:pPr>
        <w:pStyle w:val="SCCLsocParty"/>
        <w:jc w:val="left"/>
        <w:rPr>
          <w:sz w:val="20"/>
          <w:szCs w:val="20"/>
          <w:lang w:val="en-CA"/>
        </w:rPr>
      </w:pPr>
      <w:r w:rsidRPr="00656642">
        <w:rPr>
          <w:b/>
          <w:sz w:val="20"/>
          <w:szCs w:val="20"/>
          <w:lang w:val="en-CA"/>
        </w:rPr>
        <w:t>34534</w:t>
      </w:r>
      <w:r w:rsidRPr="00656642">
        <w:rPr>
          <w:b/>
          <w:sz w:val="20"/>
          <w:szCs w:val="20"/>
          <w:lang w:val="en-CA"/>
        </w:rPr>
        <w:tab/>
        <w:t>Daishowa</w:t>
      </w:r>
      <w:r w:rsidRPr="00656642">
        <w:rPr>
          <w:b/>
          <w:sz w:val="20"/>
          <w:szCs w:val="20"/>
          <w:lang w:val="en-CA"/>
        </w:rPr>
        <w:noBreakHyphen/>
        <w:t>Marubeni International Ltd. v. Her Majesty the Queen</w:t>
      </w:r>
      <w:r>
        <w:rPr>
          <w:sz w:val="20"/>
          <w:szCs w:val="20"/>
          <w:lang w:val="en-CA"/>
        </w:rPr>
        <w:t xml:space="preserve"> </w:t>
      </w:r>
      <w:r w:rsidRPr="00656642">
        <w:rPr>
          <w:sz w:val="20"/>
          <w:szCs w:val="20"/>
          <w:lang w:val="en-CA"/>
        </w:rPr>
        <w:t>(F.C.) (Civil) (By Leave)</w:t>
      </w:r>
    </w:p>
    <w:p w:rsidR="00656642" w:rsidRPr="00656642" w:rsidRDefault="00656642" w:rsidP="000B3C9A">
      <w:pPr>
        <w:tabs>
          <w:tab w:val="left" w:pos="-1440"/>
          <w:tab w:val="left" w:pos="-720"/>
        </w:tabs>
        <w:ind w:left="720" w:hanging="720"/>
        <w:jc w:val="both"/>
        <w:rPr>
          <w:sz w:val="20"/>
          <w:szCs w:val="20"/>
        </w:rPr>
      </w:pPr>
    </w:p>
    <w:p w:rsidR="00656642" w:rsidRPr="00656642" w:rsidRDefault="00656642" w:rsidP="00656642">
      <w:pPr>
        <w:tabs>
          <w:tab w:val="left" w:pos="-1440"/>
          <w:tab w:val="left" w:pos="-720"/>
        </w:tabs>
        <w:jc w:val="both"/>
        <w:rPr>
          <w:sz w:val="20"/>
          <w:szCs w:val="20"/>
        </w:rPr>
      </w:pPr>
      <w:r w:rsidRPr="00554686">
        <w:rPr>
          <w:sz w:val="20"/>
          <w:szCs w:val="20"/>
        </w:rPr>
        <w:t>Taxation – Income Tax – Assessment – Tax treatment of assumed contingent liabilities – Amount if any to be included in proceeds of disposition in respect of reforestation obligations assumed by  purchasers of sawmill operations – If any amount must be included in proceeds, whether or not to allow an equivalent offsetting deduction or reduction in proceeds for having paid the purchasers to assume the obligations – Standard of appellate review for contractual interpretation issues – Fundamental principles regarding deductibility of taxpayer expenses and when an assumed liability results in an addition to vendor proceeds as opposed to a reduction in the purchase price paid – Whether a liability whose amount is uncertain at the outset is a contingent liability.</w:t>
      </w:r>
    </w:p>
    <w:p w:rsidR="00656642" w:rsidRPr="00656642" w:rsidRDefault="00656642" w:rsidP="000B3C9A">
      <w:pPr>
        <w:tabs>
          <w:tab w:val="left" w:pos="-1440"/>
          <w:tab w:val="left" w:pos="-720"/>
        </w:tabs>
        <w:ind w:left="720" w:hanging="720"/>
        <w:jc w:val="both"/>
        <w:rPr>
          <w:sz w:val="20"/>
          <w:szCs w:val="20"/>
        </w:rPr>
      </w:pPr>
    </w:p>
    <w:p w:rsidR="000B3C9A" w:rsidRPr="00DD0B49" w:rsidRDefault="003B0427" w:rsidP="001D1753">
      <w:pPr>
        <w:tabs>
          <w:tab w:val="left" w:pos="-1440"/>
          <w:tab w:val="left" w:pos="-720"/>
        </w:tabs>
        <w:jc w:val="both"/>
        <w:rPr>
          <w:sz w:val="20"/>
          <w:szCs w:val="20"/>
        </w:rPr>
      </w:pPr>
      <w:r w:rsidRPr="003B0427">
        <w:rPr>
          <w:sz w:val="20"/>
          <w:szCs w:val="20"/>
          <w:lang w:val="fr-CA"/>
        </w:rPr>
        <w:pict>
          <v:rect id="_x0000_i1093" style="width:2in;height:1pt" o:hrpct="0" o:hralign="center" o:hrstd="t" o:hrnoshade="t" o:hr="t" fillcolor="black [3213]" stroked="f"/>
        </w:pict>
      </w:r>
    </w:p>
    <w:p w:rsidR="000B3C9A" w:rsidRPr="00656642" w:rsidRDefault="000B3C9A" w:rsidP="000B3C9A">
      <w:pPr>
        <w:tabs>
          <w:tab w:val="left" w:pos="-1440"/>
          <w:tab w:val="left" w:pos="-720"/>
        </w:tabs>
        <w:ind w:left="720" w:hanging="720"/>
        <w:jc w:val="both"/>
        <w:rPr>
          <w:sz w:val="20"/>
          <w:szCs w:val="20"/>
        </w:rPr>
      </w:pPr>
    </w:p>
    <w:p w:rsidR="00656642" w:rsidRDefault="000B3C9A" w:rsidP="000B3C9A">
      <w:pPr>
        <w:tabs>
          <w:tab w:val="left" w:pos="-1440"/>
          <w:tab w:val="left" w:pos="-720"/>
        </w:tabs>
        <w:ind w:left="720" w:hanging="720"/>
        <w:jc w:val="both"/>
        <w:rPr>
          <w:b/>
          <w:sz w:val="20"/>
          <w:szCs w:val="20"/>
          <w:lang w:val="fr-CA"/>
        </w:rPr>
      </w:pPr>
      <w:r w:rsidRPr="00DD0B49">
        <w:rPr>
          <w:b/>
          <w:sz w:val="20"/>
          <w:szCs w:val="20"/>
          <w:lang w:val="fr-CA"/>
        </w:rPr>
        <w:t>3</w:t>
      </w:r>
      <w:r w:rsidR="00656642">
        <w:rPr>
          <w:b/>
          <w:sz w:val="20"/>
          <w:szCs w:val="20"/>
          <w:lang w:val="fr-CA"/>
        </w:rPr>
        <w:t>4</w:t>
      </w:r>
      <w:r w:rsidRPr="00DD0B49">
        <w:rPr>
          <w:b/>
          <w:sz w:val="20"/>
          <w:szCs w:val="20"/>
          <w:lang w:val="fr-CA"/>
        </w:rPr>
        <w:t>53</w:t>
      </w:r>
      <w:r w:rsidR="00656642">
        <w:rPr>
          <w:b/>
          <w:sz w:val="20"/>
          <w:szCs w:val="20"/>
          <w:lang w:val="fr-CA"/>
        </w:rPr>
        <w:t>4</w:t>
      </w:r>
      <w:r w:rsidRPr="00DD0B49">
        <w:rPr>
          <w:b/>
          <w:sz w:val="20"/>
          <w:szCs w:val="20"/>
          <w:lang w:val="fr-CA"/>
        </w:rPr>
        <w:tab/>
      </w:r>
      <w:r w:rsidR="00656642" w:rsidRPr="00D71FAC">
        <w:rPr>
          <w:b/>
          <w:sz w:val="20"/>
          <w:szCs w:val="20"/>
          <w:lang w:val="fr-CA"/>
        </w:rPr>
        <w:t xml:space="preserve">Daishowa-Marubeni International Ltd. c. Sa Majesté la Reine </w:t>
      </w:r>
      <w:r w:rsidR="00656642" w:rsidRPr="00656642">
        <w:rPr>
          <w:sz w:val="20"/>
          <w:szCs w:val="20"/>
          <w:lang w:val="fr-CA"/>
        </w:rPr>
        <w:t>(C.F.) (Civile) (Sur autorisation)</w:t>
      </w:r>
    </w:p>
    <w:p w:rsidR="000B3C9A" w:rsidRDefault="000B3C9A" w:rsidP="000B3C9A">
      <w:pPr>
        <w:tabs>
          <w:tab w:val="left" w:pos="-1440"/>
          <w:tab w:val="left" w:pos="-720"/>
        </w:tabs>
        <w:ind w:left="720" w:hanging="720"/>
        <w:jc w:val="both"/>
        <w:rPr>
          <w:sz w:val="20"/>
          <w:szCs w:val="20"/>
          <w:lang w:val="fr-CA"/>
        </w:rPr>
      </w:pPr>
    </w:p>
    <w:p w:rsidR="000B3C9A" w:rsidRDefault="00656642" w:rsidP="00656642">
      <w:pPr>
        <w:tabs>
          <w:tab w:val="left" w:pos="-1440"/>
          <w:tab w:val="left" w:pos="-720"/>
        </w:tabs>
        <w:jc w:val="both"/>
        <w:rPr>
          <w:sz w:val="20"/>
          <w:szCs w:val="20"/>
          <w:lang w:val="fr-CA"/>
        </w:rPr>
      </w:pPr>
      <w:r w:rsidRPr="00D71FAC">
        <w:rPr>
          <w:sz w:val="20"/>
          <w:szCs w:val="20"/>
          <w:lang w:val="fr-CA"/>
        </w:rPr>
        <w:t>Droit fiscal – Impôt sur le revenu – Cotisations – Traitement fiscal d'obligations éventuelles prises en charge – Montant à inclure s’il en est dans le produit de disposition à l'égard des obligations relatives au reboisement prises en charge par les acheteurs d'une scierie – Si un montant doit être inclus dans le produit, y a-t-il lieu ou non de permettre une déduction compensatoire ou une réduction du produit pour avoir payé les acheteurs afin qu'ils prennent en charge les obligations? – Norme de révision en appel de questions d'interprétation contractuelle – Principes fondamentaux relatifs à la déductibilité des frais du contribuable et aux situations où une responsabilité prise en charge donne lieu à un majoration du produit de disposition du vendeur par opposition à une réduction du prix d'achat payé – L’obligation dont le montant est incertain au départ est-elle une obligation éventuelle?</w:t>
      </w:r>
    </w:p>
    <w:p w:rsidR="00656642" w:rsidRDefault="00656642" w:rsidP="00656642">
      <w:pPr>
        <w:tabs>
          <w:tab w:val="left" w:pos="-1440"/>
          <w:tab w:val="left" w:pos="-720"/>
        </w:tabs>
        <w:jc w:val="both"/>
        <w:rPr>
          <w:sz w:val="20"/>
          <w:szCs w:val="20"/>
          <w:lang w:val="fr-CA"/>
        </w:rPr>
      </w:pPr>
    </w:p>
    <w:p w:rsidR="001D1753" w:rsidRDefault="003B0427" w:rsidP="00656642">
      <w:pPr>
        <w:tabs>
          <w:tab w:val="left" w:pos="-1440"/>
          <w:tab w:val="left" w:pos="-720"/>
        </w:tabs>
        <w:jc w:val="both"/>
        <w:rPr>
          <w:sz w:val="20"/>
          <w:szCs w:val="20"/>
          <w:lang w:val="fr-CA"/>
        </w:rPr>
      </w:pPr>
      <w:r w:rsidRPr="003B0427">
        <w:rPr>
          <w:sz w:val="20"/>
          <w:szCs w:val="20"/>
          <w:lang w:val="fr-CA"/>
        </w:rPr>
        <w:pict>
          <v:rect id="_x0000_i1094" style="width:2in;height:1pt" o:hrpct="0" o:hralign="center" o:hrstd="t" o:hrnoshade="t" o:hr="t" fillcolor="black [3213]" stroked="f"/>
        </w:pict>
      </w:r>
    </w:p>
    <w:p w:rsidR="001D1753" w:rsidRDefault="001D1753" w:rsidP="00656642">
      <w:pPr>
        <w:tabs>
          <w:tab w:val="left" w:pos="-1440"/>
          <w:tab w:val="left" w:pos="-720"/>
        </w:tabs>
        <w:jc w:val="both"/>
        <w:rPr>
          <w:sz w:val="20"/>
          <w:szCs w:val="20"/>
          <w:lang w:val="fr-CA"/>
        </w:rPr>
      </w:pPr>
    </w:p>
    <w:p w:rsidR="001D1753" w:rsidRPr="001D1753" w:rsidRDefault="001D1753" w:rsidP="00656642">
      <w:pPr>
        <w:tabs>
          <w:tab w:val="left" w:pos="-1440"/>
          <w:tab w:val="left" w:pos="-720"/>
        </w:tabs>
        <w:jc w:val="both"/>
        <w:rPr>
          <w:b/>
          <w:sz w:val="20"/>
          <w:szCs w:val="20"/>
        </w:rPr>
      </w:pPr>
      <w:r w:rsidRPr="001D1753">
        <w:rPr>
          <w:b/>
          <w:sz w:val="20"/>
          <w:szCs w:val="20"/>
        </w:rPr>
        <w:t>34687</w:t>
      </w:r>
      <w:r w:rsidRPr="001D1753">
        <w:rPr>
          <w:b/>
          <w:sz w:val="20"/>
          <w:szCs w:val="20"/>
        </w:rPr>
        <w:tab/>
        <w:t xml:space="preserve">Thanh Long Vu v. Her Majesty the Queen </w:t>
      </w:r>
      <w:r w:rsidRPr="001D1753">
        <w:rPr>
          <w:sz w:val="20"/>
          <w:szCs w:val="20"/>
        </w:rPr>
        <w:t>(B.C.) (Criminal) (By Leave)</w:t>
      </w:r>
    </w:p>
    <w:p w:rsidR="001D1753" w:rsidRPr="001D1753" w:rsidRDefault="001D1753" w:rsidP="00656642">
      <w:pPr>
        <w:tabs>
          <w:tab w:val="left" w:pos="-1440"/>
          <w:tab w:val="left" w:pos="-720"/>
        </w:tabs>
        <w:jc w:val="both"/>
        <w:rPr>
          <w:sz w:val="20"/>
          <w:szCs w:val="20"/>
        </w:rPr>
      </w:pPr>
    </w:p>
    <w:p w:rsidR="001D1753" w:rsidRPr="001D1753" w:rsidRDefault="001D1753" w:rsidP="00656642">
      <w:pPr>
        <w:tabs>
          <w:tab w:val="left" w:pos="-1440"/>
          <w:tab w:val="left" w:pos="-720"/>
        </w:tabs>
        <w:jc w:val="both"/>
        <w:rPr>
          <w:sz w:val="20"/>
          <w:szCs w:val="20"/>
        </w:rPr>
      </w:pPr>
      <w:r w:rsidRPr="00894642">
        <w:rPr>
          <w:i/>
          <w:sz w:val="20"/>
          <w:szCs w:val="20"/>
        </w:rPr>
        <w:t>Charter of Rights</w:t>
      </w:r>
      <w:r w:rsidRPr="00894642">
        <w:rPr>
          <w:sz w:val="20"/>
          <w:szCs w:val="20"/>
        </w:rPr>
        <w:t xml:space="preserve"> – Constitutional law – Search and seizure – Exclusion of evidence – Validity and scope of search warrant – Police obtaining warrant to search location and finding marijuana grow operation – Search of two laptop computers and cellular telephone found on premises leading to arrest of accused – What is the scope of police authority to search personal electronic devices found within a place for which a warrant to search has been issued – Did the Court of Appeal err by concluding that the learned Trial Judge had failed to correctly apply the legal test for reviewing the issuance of a search warrant</w:t>
      </w:r>
      <w:r>
        <w:rPr>
          <w:sz w:val="20"/>
          <w:szCs w:val="20"/>
        </w:rPr>
        <w:t>.</w:t>
      </w:r>
    </w:p>
    <w:p w:rsidR="001D1753" w:rsidRPr="001D1753" w:rsidRDefault="001D1753" w:rsidP="00656642">
      <w:pPr>
        <w:tabs>
          <w:tab w:val="left" w:pos="-1440"/>
          <w:tab w:val="left" w:pos="-720"/>
        </w:tabs>
        <w:jc w:val="both"/>
        <w:rPr>
          <w:sz w:val="20"/>
          <w:szCs w:val="20"/>
        </w:rPr>
      </w:pPr>
    </w:p>
    <w:p w:rsidR="001D1753" w:rsidRDefault="003B0427" w:rsidP="00656642">
      <w:pPr>
        <w:tabs>
          <w:tab w:val="left" w:pos="-1440"/>
          <w:tab w:val="left" w:pos="-720"/>
        </w:tabs>
        <w:jc w:val="both"/>
        <w:rPr>
          <w:sz w:val="20"/>
          <w:szCs w:val="20"/>
        </w:rPr>
      </w:pPr>
      <w:r w:rsidRPr="003B0427">
        <w:rPr>
          <w:sz w:val="20"/>
          <w:szCs w:val="20"/>
          <w:lang w:val="fr-CA"/>
        </w:rPr>
        <w:pict>
          <v:rect id="_x0000_i1095" style="width:2in;height:1pt" o:hrpct="0" o:hralign="center" o:hrstd="t" o:hrnoshade="t" o:hr="t" fillcolor="black [3213]" stroked="f"/>
        </w:pict>
      </w:r>
    </w:p>
    <w:p w:rsidR="001D1753" w:rsidRDefault="001D1753" w:rsidP="00656642">
      <w:pPr>
        <w:tabs>
          <w:tab w:val="left" w:pos="-1440"/>
          <w:tab w:val="left" w:pos="-720"/>
        </w:tabs>
        <w:jc w:val="both"/>
        <w:rPr>
          <w:sz w:val="20"/>
          <w:szCs w:val="20"/>
        </w:rPr>
      </w:pPr>
    </w:p>
    <w:p w:rsidR="001D1753" w:rsidRDefault="001D1753" w:rsidP="00656642">
      <w:pPr>
        <w:tabs>
          <w:tab w:val="left" w:pos="-1440"/>
          <w:tab w:val="left" w:pos="-720"/>
        </w:tabs>
        <w:jc w:val="both"/>
        <w:rPr>
          <w:sz w:val="20"/>
          <w:szCs w:val="20"/>
          <w:lang w:val="fr-CA"/>
        </w:rPr>
      </w:pPr>
      <w:r w:rsidRPr="001D1753">
        <w:rPr>
          <w:sz w:val="20"/>
          <w:szCs w:val="20"/>
          <w:lang w:val="fr-CA"/>
        </w:rPr>
        <w:t>34687</w:t>
      </w:r>
      <w:r w:rsidRPr="001D1753">
        <w:rPr>
          <w:sz w:val="20"/>
          <w:szCs w:val="20"/>
          <w:lang w:val="fr-CA"/>
        </w:rPr>
        <w:tab/>
      </w:r>
      <w:r w:rsidRPr="001D1753">
        <w:rPr>
          <w:b/>
          <w:sz w:val="20"/>
          <w:szCs w:val="20"/>
          <w:lang w:val="fr-CA"/>
        </w:rPr>
        <w:t xml:space="preserve">Thanh Long Vu c. Sa Majesté la Reine </w:t>
      </w:r>
      <w:r w:rsidRPr="001D1753">
        <w:rPr>
          <w:sz w:val="20"/>
          <w:szCs w:val="20"/>
          <w:lang w:val="fr-CA"/>
        </w:rPr>
        <w:t>(C.-B.) (Criminelle) (Sur autorisation)</w:t>
      </w:r>
    </w:p>
    <w:p w:rsidR="001D1753" w:rsidRDefault="001D1753" w:rsidP="00656642">
      <w:pPr>
        <w:tabs>
          <w:tab w:val="left" w:pos="-1440"/>
          <w:tab w:val="left" w:pos="-720"/>
        </w:tabs>
        <w:jc w:val="both"/>
        <w:rPr>
          <w:sz w:val="20"/>
          <w:szCs w:val="20"/>
          <w:lang w:val="fr-CA"/>
        </w:rPr>
      </w:pPr>
    </w:p>
    <w:p w:rsidR="001D1753" w:rsidRDefault="001D1753" w:rsidP="00656642">
      <w:pPr>
        <w:tabs>
          <w:tab w:val="left" w:pos="-1440"/>
          <w:tab w:val="left" w:pos="-720"/>
        </w:tabs>
        <w:jc w:val="both"/>
        <w:rPr>
          <w:sz w:val="20"/>
          <w:szCs w:val="20"/>
          <w:lang w:val="fr-CA"/>
        </w:rPr>
      </w:pPr>
      <w:r w:rsidRPr="00D04F1D">
        <w:rPr>
          <w:i/>
          <w:sz w:val="20"/>
          <w:szCs w:val="20"/>
          <w:lang w:val="fr-CA"/>
        </w:rPr>
        <w:t xml:space="preserve">Charte des droits </w:t>
      </w:r>
      <w:r w:rsidRPr="00D04F1D">
        <w:rPr>
          <w:sz w:val="20"/>
          <w:szCs w:val="20"/>
          <w:lang w:val="fr-CA"/>
        </w:rPr>
        <w:t>– Droit constitutionnel – Fouilles et perquisitions – Exclusion de la preuve – Validité et portée d'un mandat de perquisition – La police a obtenu un mandat pour perquisitionner un lieu et a trouvé une installation de culture de la marijuana – La fouille de deux ordinateurs portables et d'un téléphone cellulaire trouvés sur les lieux a mené à l'arrestation de l'accusé – Quelle est la portée du pouvoir de la police de fouiller des dispositifs électroniques personnels trouvés dans un endroit pour lequel un mandat de perquisition a été émis? – La Cour d'appel a-t-elle eu tort de conclure que le juge du procès n'avait pas correctement appliqué le critère juridique pour contrôler l'émission d'un mandat de perquisition?</w:t>
      </w:r>
    </w:p>
    <w:p w:rsidR="001D1753" w:rsidRPr="001D1753" w:rsidRDefault="001D1753" w:rsidP="00656642">
      <w:pPr>
        <w:tabs>
          <w:tab w:val="left" w:pos="-1440"/>
          <w:tab w:val="left" w:pos="-720"/>
        </w:tabs>
        <w:jc w:val="both"/>
        <w:rPr>
          <w:sz w:val="20"/>
          <w:szCs w:val="20"/>
          <w:lang w:val="fr-CA"/>
        </w:rPr>
      </w:pPr>
    </w:p>
    <w:p w:rsidR="000B3C9A" w:rsidRPr="00DD0B49" w:rsidRDefault="003B0427" w:rsidP="001D1753">
      <w:pPr>
        <w:tabs>
          <w:tab w:val="left" w:pos="-1440"/>
          <w:tab w:val="left" w:pos="-720"/>
        </w:tabs>
        <w:jc w:val="both"/>
        <w:rPr>
          <w:sz w:val="20"/>
          <w:szCs w:val="20"/>
          <w:lang w:val="fr-CA"/>
        </w:rPr>
      </w:pPr>
      <w:r w:rsidRPr="003B0427">
        <w:rPr>
          <w:sz w:val="20"/>
          <w:szCs w:val="20"/>
          <w:lang w:val="fr-CA"/>
        </w:rPr>
        <w:pict>
          <v:rect id="_x0000_i1096"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bookmarkStart w:id="3" w:name="1"/>
    <w:bookmarkEnd w:id="3"/>
    <w:p w:rsidR="001E4A5D" w:rsidRPr="00C34468" w:rsidRDefault="003B0427" w:rsidP="001E4A5D">
      <w:pPr>
        <w:widowControl w:val="0"/>
        <w:ind w:left="720" w:hanging="720"/>
        <w:jc w:val="both"/>
        <w:rPr>
          <w:b/>
          <w:sz w:val="20"/>
          <w:szCs w:val="20"/>
        </w:rPr>
      </w:pPr>
      <w:r w:rsidRPr="00C34468">
        <w:rPr>
          <w:b/>
          <w:sz w:val="20"/>
          <w:szCs w:val="20"/>
        </w:rPr>
        <w:lastRenderedPageBreak/>
        <w:fldChar w:fldCharType="begin"/>
      </w:r>
      <w:r w:rsidR="001E4A5D" w:rsidRPr="00C34468">
        <w:rPr>
          <w:b/>
          <w:sz w:val="20"/>
          <w:szCs w:val="20"/>
        </w:rPr>
        <w:instrText xml:space="preserve"> SEQ CHAPTER \h \r 1</w:instrText>
      </w:r>
      <w:r w:rsidRPr="00C34468">
        <w:rPr>
          <w:b/>
          <w:sz w:val="20"/>
          <w:szCs w:val="20"/>
        </w:rPr>
        <w:fldChar w:fldCharType="end"/>
      </w:r>
      <w:r w:rsidR="001E4A5D" w:rsidRPr="00C34468">
        <w:rPr>
          <w:b/>
          <w:sz w:val="20"/>
          <w:szCs w:val="20"/>
        </w:rPr>
        <w:t>34308</w:t>
      </w:r>
      <w:r w:rsidR="001E4A5D" w:rsidRPr="00C34468">
        <w:rPr>
          <w:sz w:val="20"/>
          <w:szCs w:val="20"/>
        </w:rPr>
        <w:tab/>
      </w:r>
      <w:bookmarkStart w:id="4" w:name="3"/>
      <w:bookmarkEnd w:id="4"/>
      <w:r w:rsidR="001E4A5D" w:rsidRPr="00C34468">
        <w:rPr>
          <w:b/>
          <w:i/>
          <w:sz w:val="20"/>
          <w:szCs w:val="20"/>
        </w:rPr>
        <w:t xml:space="preserve">Sun Indalex Finance, LLC v. United Steelworkers, Keith Carruthers, Leon Kozierok, Richard Benson, John Faveri, Ken Waldron, John (Jack) W. Rooney, Bertram McBride, Max Degen, Eugene D’Iorio, Neil Fraser, Richard Smith, Robert Leckie and Fred Granville </w:t>
      </w:r>
      <w:r w:rsidR="001E4A5D" w:rsidRPr="00C34468">
        <w:rPr>
          <w:b/>
          <w:i/>
          <w:sz w:val="20"/>
          <w:szCs w:val="20"/>
        </w:rPr>
        <w:noBreakHyphen/>
        <w:t xml:space="preserve"> and between </w:t>
      </w:r>
      <w:r w:rsidR="001E4A5D" w:rsidRPr="00C34468">
        <w:rPr>
          <w:b/>
          <w:i/>
          <w:sz w:val="20"/>
          <w:szCs w:val="20"/>
        </w:rPr>
        <w:noBreakHyphen/>
        <w:t xml:space="preserve"> George L. Miller, The Chapter 7 Trustee of the Bankruptcy Estates of the US Indalex Debtors v. United Steelworkers, Keith Carruthers, Leon Kozierok, Richard Benson, John Faveri, Ken Waldron, John (Jack) W. Rooney, Bertram McBride, Max Degen, Eugene D’Iorio, Neil Fraser, Richard Smith, Robert Leckie and Fred Granville </w:t>
      </w:r>
      <w:r w:rsidR="001E4A5D" w:rsidRPr="00C34468">
        <w:rPr>
          <w:b/>
          <w:i/>
          <w:sz w:val="20"/>
          <w:szCs w:val="20"/>
        </w:rPr>
        <w:noBreakHyphen/>
        <w:t xml:space="preserve"> and between </w:t>
      </w:r>
      <w:r w:rsidR="001E4A5D" w:rsidRPr="00C34468">
        <w:rPr>
          <w:b/>
          <w:i/>
          <w:sz w:val="20"/>
          <w:szCs w:val="20"/>
        </w:rPr>
        <w:noBreakHyphen/>
        <w:t xml:space="preserve"> FTI Consulting Canada ULC, In its capacity as court</w:t>
      </w:r>
      <w:r w:rsidR="001E4A5D" w:rsidRPr="00C34468">
        <w:rPr>
          <w:b/>
          <w:i/>
          <w:sz w:val="20"/>
          <w:szCs w:val="20"/>
        </w:rPr>
        <w:noBreakHyphen/>
        <w:t xml:space="preserve">appointed monitor of Indalex Limited, on behalf of Indalex Limited v. Keith Carruthers, Leon Kozierok, Richard Benson, John Faveri, Ken Waldron, John (Jack) W. Rooney, Bertram McBride, Max Degen, Eugene D’Iorio, Neil Fraser, Richard Smith, Robert Leckie and Fred Granville, United Steelworkers </w:t>
      </w:r>
      <w:r w:rsidR="001E4A5D" w:rsidRPr="00C34468">
        <w:rPr>
          <w:b/>
          <w:i/>
          <w:sz w:val="20"/>
          <w:szCs w:val="20"/>
        </w:rPr>
        <w:noBreakHyphen/>
        <w:t xml:space="preserve"> and between </w:t>
      </w:r>
      <w:r w:rsidR="001E4A5D" w:rsidRPr="00C34468">
        <w:rPr>
          <w:b/>
          <w:i/>
          <w:sz w:val="20"/>
          <w:szCs w:val="20"/>
        </w:rPr>
        <w:noBreakHyphen/>
        <w:t xml:space="preserve"> United Steelworkers v. Morneau Shepell Ltd. (formerly known as Morneau Sobeco Limited Partnership), Superintendent of Financial Services</w:t>
      </w:r>
    </w:p>
    <w:p w:rsidR="001E4A5D" w:rsidRPr="00C34468" w:rsidRDefault="001E4A5D" w:rsidP="001E4A5D">
      <w:pPr>
        <w:widowControl w:val="0"/>
        <w:ind w:left="1440" w:hanging="1440"/>
        <w:jc w:val="both"/>
        <w:rPr>
          <w:sz w:val="20"/>
          <w:szCs w:val="20"/>
        </w:rPr>
      </w:pPr>
    </w:p>
    <w:p w:rsidR="001E4A5D" w:rsidRPr="00C34468" w:rsidRDefault="001E4A5D" w:rsidP="001E4A5D">
      <w:pPr>
        <w:widowControl w:val="0"/>
        <w:jc w:val="both"/>
        <w:rPr>
          <w:sz w:val="20"/>
          <w:szCs w:val="20"/>
        </w:rPr>
      </w:pPr>
      <w:r w:rsidRPr="00C34468">
        <w:rPr>
          <w:sz w:val="20"/>
          <w:szCs w:val="20"/>
        </w:rPr>
        <w:t xml:space="preserve">Pensions </w:t>
      </w:r>
      <w:r w:rsidRPr="00C34468">
        <w:rPr>
          <w:sz w:val="20"/>
          <w:szCs w:val="20"/>
        </w:rPr>
        <w:noBreakHyphen/>
        <w:t xml:space="preserve"> Deemed trust provisions </w:t>
      </w:r>
      <w:r w:rsidRPr="00C34468">
        <w:rPr>
          <w:sz w:val="20"/>
          <w:szCs w:val="20"/>
        </w:rPr>
        <w:noBreakHyphen/>
        <w:t xml:space="preserve"> Bankruptcy and Insolvency </w:t>
      </w:r>
      <w:r w:rsidRPr="00C34468">
        <w:rPr>
          <w:sz w:val="20"/>
          <w:szCs w:val="20"/>
        </w:rPr>
        <w:noBreakHyphen/>
        <w:t xml:space="preserve"> Priorities </w:t>
      </w:r>
      <w:r w:rsidRPr="00C34468">
        <w:rPr>
          <w:sz w:val="20"/>
          <w:szCs w:val="20"/>
        </w:rPr>
        <w:noBreakHyphen/>
        <w:t xml:space="preserve"> Paramountcy </w:t>
      </w:r>
      <w:r w:rsidRPr="00C34468">
        <w:rPr>
          <w:sz w:val="20"/>
          <w:szCs w:val="20"/>
        </w:rPr>
        <w:noBreakHyphen/>
        <w:t xml:space="preserve"> Fiduciary duty </w:t>
      </w:r>
      <w:r w:rsidRPr="00C34468">
        <w:rPr>
          <w:sz w:val="20"/>
          <w:szCs w:val="20"/>
        </w:rPr>
        <w:noBreakHyphen/>
        <w:t xml:space="preserve"> Pension administrators </w:t>
      </w:r>
      <w:r w:rsidRPr="00C34468">
        <w:rPr>
          <w:sz w:val="20"/>
          <w:szCs w:val="20"/>
        </w:rPr>
        <w:noBreakHyphen/>
        <w:t xml:space="preserve"> Legislation </w:t>
      </w:r>
      <w:r w:rsidRPr="00C34468">
        <w:rPr>
          <w:sz w:val="20"/>
          <w:szCs w:val="20"/>
        </w:rPr>
        <w:noBreakHyphen/>
        <w:t xml:space="preserve"> Interpretation </w:t>
      </w:r>
      <w:r w:rsidRPr="00C34468">
        <w:rPr>
          <w:sz w:val="20"/>
          <w:szCs w:val="20"/>
        </w:rPr>
        <w:noBreakHyphen/>
        <w:t xml:space="preserve"> Whether s. 57(4) of the </w:t>
      </w:r>
      <w:r w:rsidRPr="00C34468">
        <w:rPr>
          <w:i/>
          <w:sz w:val="20"/>
          <w:szCs w:val="20"/>
        </w:rPr>
        <w:t>Pension Benefits Act</w:t>
      </w:r>
      <w:r w:rsidRPr="00C34468">
        <w:rPr>
          <w:sz w:val="20"/>
          <w:szCs w:val="20"/>
        </w:rPr>
        <w:t xml:space="preserve"> creates a deemed trust over wind</w:t>
      </w:r>
      <w:r w:rsidRPr="00C34468">
        <w:rPr>
          <w:sz w:val="20"/>
          <w:szCs w:val="20"/>
        </w:rPr>
        <w:noBreakHyphen/>
        <w:t xml:space="preserve">up deficits </w:t>
      </w:r>
      <w:r w:rsidRPr="00C34468">
        <w:rPr>
          <w:sz w:val="20"/>
          <w:szCs w:val="20"/>
        </w:rPr>
        <w:noBreakHyphen/>
        <w:t xml:space="preserve"> Whether a </w:t>
      </w:r>
      <w:r w:rsidRPr="00C34468">
        <w:rPr>
          <w:i/>
          <w:sz w:val="20"/>
          <w:szCs w:val="20"/>
        </w:rPr>
        <w:t>Companies’ Creditors Arrangement Act</w:t>
      </w:r>
      <w:r w:rsidRPr="00C34468">
        <w:rPr>
          <w:sz w:val="20"/>
          <w:szCs w:val="20"/>
        </w:rPr>
        <w:t>, R.S.C. 1985, c. C-36 (“</w:t>
      </w:r>
      <w:r w:rsidRPr="00C34468">
        <w:rPr>
          <w:i/>
          <w:sz w:val="20"/>
          <w:szCs w:val="20"/>
        </w:rPr>
        <w:t>CCAA</w:t>
      </w:r>
      <w:r w:rsidRPr="00C34468">
        <w:rPr>
          <w:sz w:val="20"/>
          <w:szCs w:val="20"/>
        </w:rPr>
        <w:t>”) debtor is a fiduciary to pensioners when making decisions to borrow money under a debtor-in-possession (“DIP”) loan and to sell its assets, and whether a constructive trust with super</w:t>
      </w:r>
      <w:r w:rsidRPr="00C34468">
        <w:rPr>
          <w:sz w:val="20"/>
          <w:szCs w:val="20"/>
        </w:rPr>
        <w:noBreakHyphen/>
        <w:t xml:space="preserve">priority can be granted as a remedy for alleged breaches of fiduciary duties </w:t>
      </w:r>
      <w:r w:rsidRPr="00C34468">
        <w:rPr>
          <w:sz w:val="20"/>
          <w:szCs w:val="20"/>
        </w:rPr>
        <w:noBreakHyphen/>
        <w:t xml:space="preserve"> Whether the Court of Appeal erred in failing to follow </w:t>
      </w:r>
      <w:r w:rsidRPr="00C34468">
        <w:rPr>
          <w:i/>
          <w:sz w:val="20"/>
          <w:szCs w:val="20"/>
        </w:rPr>
        <w:t>Century Services Inc. v. Canada (Attorney General)</w:t>
      </w:r>
      <w:r w:rsidRPr="00C34468">
        <w:rPr>
          <w:sz w:val="20"/>
          <w:szCs w:val="20"/>
        </w:rPr>
        <w:t xml:space="preserve">, 2010 SCC 60, [2010] 3 S.C.R. 379, and </w:t>
      </w:r>
      <w:r w:rsidRPr="00C34468">
        <w:rPr>
          <w:i/>
          <w:sz w:val="20"/>
          <w:szCs w:val="20"/>
        </w:rPr>
        <w:t>Ivaco Inc., Re</w:t>
      </w:r>
      <w:r w:rsidRPr="00C34468">
        <w:rPr>
          <w:sz w:val="20"/>
          <w:szCs w:val="20"/>
        </w:rPr>
        <w:t xml:space="preserve"> (2006), 83 O.R. (3d) 108 (CA), which provide that priorities at the end of a liquidating </w:t>
      </w:r>
      <w:r w:rsidRPr="00C34468">
        <w:rPr>
          <w:i/>
          <w:sz w:val="20"/>
          <w:szCs w:val="20"/>
        </w:rPr>
        <w:t>CCAA</w:t>
      </w:r>
      <w:r w:rsidRPr="00C34468">
        <w:rPr>
          <w:sz w:val="20"/>
          <w:szCs w:val="20"/>
        </w:rPr>
        <w:t xml:space="preserve"> proceeding are determined under the federal scheme of priorities as established under the </w:t>
      </w:r>
      <w:r w:rsidRPr="00C34468">
        <w:rPr>
          <w:i/>
          <w:sz w:val="20"/>
          <w:szCs w:val="20"/>
        </w:rPr>
        <w:t>Bankruptcy and Insolvency Act</w:t>
      </w:r>
      <w:r w:rsidRPr="00C34468">
        <w:rPr>
          <w:sz w:val="20"/>
          <w:szCs w:val="20"/>
        </w:rPr>
        <w:t xml:space="preserve"> </w:t>
      </w:r>
      <w:r w:rsidRPr="00C34468">
        <w:rPr>
          <w:sz w:val="20"/>
          <w:szCs w:val="20"/>
        </w:rPr>
        <w:noBreakHyphen/>
        <w:t xml:space="preserve"> Whether a super</w:t>
      </w:r>
      <w:r w:rsidRPr="00C34468">
        <w:rPr>
          <w:sz w:val="20"/>
          <w:szCs w:val="20"/>
        </w:rPr>
        <w:noBreakHyphen/>
        <w:t xml:space="preserve">priority charge, granted by a </w:t>
      </w:r>
      <w:r w:rsidRPr="00C34468">
        <w:rPr>
          <w:i/>
          <w:sz w:val="20"/>
          <w:szCs w:val="20"/>
        </w:rPr>
        <w:t>CCAA</w:t>
      </w:r>
      <w:r w:rsidRPr="00C34468">
        <w:rPr>
          <w:sz w:val="20"/>
          <w:szCs w:val="20"/>
        </w:rPr>
        <w:t xml:space="preserve"> supervising judge in an order that has not been appealed, can be retroactively revoked on a subsequent motion to the detriment of parties who acted in reliance on it.</w:t>
      </w:r>
    </w:p>
    <w:p w:rsidR="001E4A5D" w:rsidRPr="00C34468" w:rsidRDefault="001E4A5D" w:rsidP="001E4A5D">
      <w:pPr>
        <w:widowControl w:val="0"/>
        <w:jc w:val="both"/>
        <w:rPr>
          <w:sz w:val="20"/>
          <w:szCs w:val="20"/>
        </w:rPr>
      </w:pPr>
    </w:p>
    <w:p w:rsidR="001E4A5D" w:rsidRPr="00C34468" w:rsidRDefault="001E4A5D" w:rsidP="001E4A5D">
      <w:pPr>
        <w:widowControl w:val="0"/>
        <w:jc w:val="both"/>
        <w:rPr>
          <w:sz w:val="20"/>
          <w:szCs w:val="20"/>
        </w:rPr>
      </w:pPr>
      <w:r w:rsidRPr="00C34468">
        <w:rPr>
          <w:sz w:val="20"/>
          <w:szCs w:val="20"/>
        </w:rPr>
        <w:t xml:space="preserve">Civil procedure </w:t>
      </w:r>
      <w:r w:rsidRPr="00C34468">
        <w:rPr>
          <w:sz w:val="20"/>
          <w:szCs w:val="20"/>
        </w:rPr>
        <w:noBreakHyphen/>
        <w:t xml:space="preserve"> Costs </w:t>
      </w:r>
      <w:r w:rsidRPr="00C34468">
        <w:rPr>
          <w:sz w:val="20"/>
          <w:szCs w:val="20"/>
        </w:rPr>
        <w:noBreakHyphen/>
        <w:t xml:space="preserve"> Whether the bargaining agent for unionized pension plan members has the right to obtain payment of costs from a pension trust fund on behalf of its unionized members/plan beneficiaries </w:t>
      </w:r>
      <w:r w:rsidRPr="00C34468">
        <w:rPr>
          <w:sz w:val="20"/>
          <w:szCs w:val="20"/>
        </w:rPr>
        <w:noBreakHyphen/>
        <w:t xml:space="preserve"> Whether consent from pension plan beneficiaries is required as a prerequisite to ordering payment of costs from a pension trust fund when the proceeding is non</w:t>
      </w:r>
      <w:r w:rsidRPr="00C34468">
        <w:rPr>
          <w:sz w:val="20"/>
          <w:szCs w:val="20"/>
        </w:rPr>
        <w:noBreakHyphen/>
        <w:t xml:space="preserve">adversarial between pension plan beneficiaries, has been initiated to enforce the due administration of the trust and is for the benefit of all pension plan beneficiaries </w:t>
      </w:r>
      <w:r w:rsidRPr="00C34468">
        <w:rPr>
          <w:sz w:val="20"/>
          <w:szCs w:val="20"/>
        </w:rPr>
        <w:noBreakHyphen/>
        <w:t xml:space="preserve"> Whether the Court of Appeal was right to consider the funding status of a pension plan as a prerequisite to ordering the payment of costs from a pension trust fund when the proceeding is non</w:t>
      </w:r>
      <w:r w:rsidRPr="00C34468">
        <w:rPr>
          <w:sz w:val="20"/>
          <w:szCs w:val="20"/>
        </w:rPr>
        <w:noBreakHyphen/>
        <w:t>adversarial between pension plan beneficiaries, has been initiated to enforce the due administration of the trust and is for the benefit of all pension plan beneficiaries.</w:t>
      </w:r>
    </w:p>
    <w:p w:rsidR="001E4A5D" w:rsidRPr="00C34468" w:rsidRDefault="001E4A5D" w:rsidP="001E4A5D">
      <w:pPr>
        <w:widowControl w:val="0"/>
        <w:jc w:val="both"/>
        <w:rPr>
          <w:sz w:val="20"/>
          <w:szCs w:val="20"/>
        </w:rPr>
      </w:pPr>
    </w:p>
    <w:p w:rsidR="001E4A5D" w:rsidRPr="00C34468" w:rsidRDefault="001E4A5D" w:rsidP="001E4A5D">
      <w:pPr>
        <w:widowControl w:val="0"/>
        <w:jc w:val="both"/>
        <w:rPr>
          <w:sz w:val="20"/>
          <w:szCs w:val="20"/>
        </w:rPr>
      </w:pPr>
      <w:r w:rsidRPr="00C34468">
        <w:rPr>
          <w:sz w:val="20"/>
          <w:szCs w:val="20"/>
        </w:rPr>
        <w:t xml:space="preserve">Indalex Limited, Indalex Holdings (B.C.) Ltd., 6326765 Canada Inc. and Novar Inc. (collectively referred to as “Indalex”) obtained </w:t>
      </w:r>
      <w:r w:rsidRPr="00C34468">
        <w:rPr>
          <w:i/>
          <w:sz w:val="20"/>
          <w:szCs w:val="20"/>
        </w:rPr>
        <w:t>CCAA</w:t>
      </w:r>
      <w:r w:rsidRPr="00C34468">
        <w:rPr>
          <w:sz w:val="20"/>
          <w:szCs w:val="20"/>
        </w:rPr>
        <w:t xml:space="preserve"> protection.  At the time, its two pension plans were underfunded and one was being wound up.  FTI Consulting Canada ULC was appointed as monitor.  By court order, Indalex was authorized to borrow funds under a DIP credit agreement, and the DIP lenders were granted a “super</w:t>
      </w:r>
      <w:r w:rsidRPr="00C34468">
        <w:rPr>
          <w:sz w:val="20"/>
          <w:szCs w:val="20"/>
        </w:rPr>
        <w:noBreakHyphen/>
        <w:t>priority” charge.  The obligation to pay the DIP lenders was guaranteed by Indalex’s parent company and its affiliates (“Indalex U.S”).  The court approved the sale of Indalex’s assets on a going</w:t>
      </w:r>
      <w:r w:rsidRPr="00C34468">
        <w:rPr>
          <w:sz w:val="20"/>
          <w:szCs w:val="20"/>
        </w:rPr>
        <w:noBreakHyphen/>
        <w:t xml:space="preserve">concern basis, but United Steelworkers (“USW”) and representatives of former executives of Indalex (the “Retirees”) challenged the distribution of the sale proceeds to the DIP lenders.  They brought motions for a declaration that there were deemed trusts in favour of pension beneficiaries to the extent of the fund deficiencies and for orders for the release and payment of those amounts.  Meanwhile, Indalex brought a motion to lift the stay under the </w:t>
      </w:r>
      <w:r w:rsidRPr="00C34468">
        <w:rPr>
          <w:i/>
          <w:sz w:val="20"/>
          <w:szCs w:val="20"/>
        </w:rPr>
        <w:t>CCAA</w:t>
      </w:r>
      <w:r w:rsidRPr="00C34468">
        <w:rPr>
          <w:sz w:val="20"/>
          <w:szCs w:val="20"/>
        </w:rPr>
        <w:t xml:space="preserve"> and assign itself into bankruptcy.</w:t>
      </w:r>
    </w:p>
    <w:p w:rsidR="001E4A5D" w:rsidRPr="00C34468" w:rsidRDefault="001E4A5D" w:rsidP="001E4A5D">
      <w:pPr>
        <w:widowControl w:val="0"/>
        <w:jc w:val="both"/>
        <w:rPr>
          <w:sz w:val="20"/>
          <w:szCs w:val="20"/>
        </w:rPr>
      </w:pPr>
    </w:p>
    <w:p w:rsidR="001E4A5D" w:rsidRPr="00C34468" w:rsidRDefault="001E4A5D" w:rsidP="001E4A5D">
      <w:pPr>
        <w:widowControl w:val="0"/>
        <w:jc w:val="both"/>
        <w:rPr>
          <w:sz w:val="20"/>
          <w:szCs w:val="20"/>
        </w:rPr>
      </w:pPr>
      <w:r w:rsidRPr="00C34468">
        <w:rPr>
          <w:sz w:val="20"/>
          <w:szCs w:val="20"/>
        </w:rPr>
        <w:t xml:space="preserve">The Ontario Superior Court of Justice dismissed motions by USW, the Retirees and Indalex, finding that there had been no deemed trusts in favour of the pension plans at the time of the sale of Indalex’s assets.  The Court dismissed Indalex’s motion as unnecessary.  The Ontario Court of Appeal allowed the appeal.  The Court declared that there was a deemed trust in favour of one pension plan as well as breaches of common law and statutory fiduciary duties which resulted in a constructive trust in favour of the other pension plan.  The plans were declared to have priority and the deficiencies were ordered to be paid out of the reserve fund.  </w:t>
      </w:r>
    </w:p>
    <w:p w:rsidR="001E4A5D" w:rsidRPr="00C34468" w:rsidRDefault="001E4A5D" w:rsidP="001E4A5D">
      <w:pPr>
        <w:widowControl w:val="0"/>
        <w:jc w:val="both"/>
        <w:rPr>
          <w:sz w:val="20"/>
          <w:szCs w:val="20"/>
        </w:rPr>
      </w:pPr>
    </w:p>
    <w:p w:rsidR="001E4A5D" w:rsidRPr="00C34468" w:rsidRDefault="001E4A5D" w:rsidP="001E4A5D">
      <w:pPr>
        <w:widowControl w:val="0"/>
        <w:jc w:val="both"/>
        <w:rPr>
          <w:sz w:val="20"/>
          <w:szCs w:val="20"/>
        </w:rPr>
      </w:pPr>
      <w:r w:rsidRPr="00C34468">
        <w:rPr>
          <w:sz w:val="20"/>
          <w:szCs w:val="20"/>
        </w:rPr>
        <w:t xml:space="preserve">In a separate Costs Endorsement, the appellate court approved an agreement between the Retirees, Morneau Sobeco Limited Partnership (now Morneau Shepell Ltd.) as plan administrator, and the Ontario Superintendent of Financial Services and ordered, </w:t>
      </w:r>
      <w:r w:rsidRPr="00C34468">
        <w:rPr>
          <w:i/>
          <w:sz w:val="20"/>
          <w:szCs w:val="20"/>
        </w:rPr>
        <w:t>inter alia</w:t>
      </w:r>
      <w:r w:rsidRPr="00C34468">
        <w:rPr>
          <w:sz w:val="20"/>
          <w:szCs w:val="20"/>
        </w:rPr>
        <w:t xml:space="preserve">, that: i) the Retirees’ full indemnity legal fees and disbursements be paid from the pension fund attributable to each of the 14 Retirees’ accrued pension benefits (but not borne by the other three plan </w:t>
      </w:r>
      <w:r w:rsidRPr="00C34468">
        <w:rPr>
          <w:sz w:val="20"/>
          <w:szCs w:val="20"/>
        </w:rPr>
        <w:lastRenderedPageBreak/>
        <w:t>members who were not respondents); and ii) the costs ordered in favour of the Retirees were to be paid into the fund and allocated among the 14 Retirees in relation to their pension entitlement.  The Court of Appeal declined to make a similar order with respect to the costs incurred by USW, finding that the union was in a materially different position.  The Court noted that the non</w:t>
      </w:r>
      <w:r w:rsidRPr="00C34468">
        <w:rPr>
          <w:sz w:val="20"/>
          <w:szCs w:val="20"/>
        </w:rPr>
        <w:noBreakHyphen/>
        <w:t>union beneficiaries of that plan had not consented to the arrangement, that USW was not a beneficiary, and that the fund was underfunded.</w:t>
      </w:r>
      <w:bookmarkStart w:id="5" w:name="QuickMark_1"/>
      <w:bookmarkEnd w:id="5"/>
    </w:p>
    <w:p w:rsidR="001E4A5D" w:rsidRPr="00C34468" w:rsidRDefault="001E4A5D" w:rsidP="001E4A5D">
      <w:pPr>
        <w:widowControl w:val="0"/>
        <w:jc w:val="both"/>
        <w:rPr>
          <w:sz w:val="20"/>
          <w:szCs w:val="20"/>
        </w:rPr>
      </w:pPr>
    </w:p>
    <w:p w:rsidR="001E4A5D" w:rsidRPr="00C34468" w:rsidRDefault="001E4A5D" w:rsidP="001E4A5D">
      <w:pPr>
        <w:widowControl w:val="0"/>
        <w:jc w:val="both"/>
        <w:rPr>
          <w:sz w:val="20"/>
          <w:szCs w:val="20"/>
        </w:rPr>
      </w:pPr>
    </w:p>
    <w:p w:rsidR="001E4A5D" w:rsidRPr="00C34468" w:rsidRDefault="001E4A5D" w:rsidP="001E4A5D">
      <w:pPr>
        <w:widowControl w:val="0"/>
        <w:ind w:left="2880" w:hanging="2880"/>
        <w:jc w:val="both"/>
        <w:rPr>
          <w:sz w:val="20"/>
          <w:szCs w:val="20"/>
        </w:rPr>
      </w:pPr>
      <w:r w:rsidRPr="00C34468">
        <w:rPr>
          <w:sz w:val="20"/>
          <w:szCs w:val="20"/>
        </w:rPr>
        <w:t>Origin of the case:</w:t>
      </w:r>
      <w:r w:rsidRPr="00C34468">
        <w:rPr>
          <w:sz w:val="20"/>
          <w:szCs w:val="20"/>
        </w:rPr>
        <w:tab/>
      </w:r>
      <w:bookmarkStart w:id="6" w:name="4"/>
      <w:bookmarkEnd w:id="6"/>
      <w:r w:rsidRPr="00C34468">
        <w:rPr>
          <w:sz w:val="20"/>
          <w:szCs w:val="20"/>
        </w:rPr>
        <w:t>Ontario</w:t>
      </w:r>
    </w:p>
    <w:p w:rsidR="001E4A5D" w:rsidRPr="00C34468" w:rsidRDefault="001E4A5D" w:rsidP="001E4A5D">
      <w:pPr>
        <w:widowControl w:val="0"/>
        <w:ind w:left="2880" w:hanging="2880"/>
        <w:jc w:val="both"/>
        <w:rPr>
          <w:sz w:val="20"/>
          <w:szCs w:val="20"/>
        </w:rPr>
      </w:pPr>
    </w:p>
    <w:p w:rsidR="001E4A5D" w:rsidRPr="00C34468" w:rsidRDefault="001E4A5D" w:rsidP="001E4A5D">
      <w:pPr>
        <w:widowControl w:val="0"/>
        <w:ind w:left="2880" w:hanging="2880"/>
        <w:jc w:val="both"/>
        <w:rPr>
          <w:sz w:val="20"/>
          <w:szCs w:val="20"/>
        </w:rPr>
      </w:pPr>
      <w:r w:rsidRPr="00C34468">
        <w:rPr>
          <w:sz w:val="20"/>
          <w:szCs w:val="20"/>
        </w:rPr>
        <w:t>File No.:</w:t>
      </w:r>
      <w:r w:rsidRPr="00C34468">
        <w:rPr>
          <w:sz w:val="20"/>
          <w:szCs w:val="20"/>
        </w:rPr>
        <w:tab/>
      </w:r>
      <w:bookmarkStart w:id="7" w:name="2"/>
      <w:bookmarkEnd w:id="7"/>
      <w:r w:rsidRPr="00C34468">
        <w:rPr>
          <w:sz w:val="20"/>
          <w:szCs w:val="20"/>
        </w:rPr>
        <w:t>34308</w:t>
      </w:r>
    </w:p>
    <w:p w:rsidR="001E4A5D" w:rsidRPr="00C34468" w:rsidRDefault="001E4A5D" w:rsidP="001E4A5D">
      <w:pPr>
        <w:widowControl w:val="0"/>
        <w:ind w:left="2880" w:hanging="2880"/>
        <w:jc w:val="both"/>
        <w:rPr>
          <w:sz w:val="20"/>
          <w:szCs w:val="20"/>
        </w:rPr>
      </w:pPr>
    </w:p>
    <w:p w:rsidR="001E4A5D" w:rsidRPr="00C34468" w:rsidRDefault="001E4A5D" w:rsidP="001E4A5D">
      <w:pPr>
        <w:widowControl w:val="0"/>
        <w:ind w:left="2880" w:hanging="2880"/>
        <w:jc w:val="both"/>
        <w:rPr>
          <w:sz w:val="20"/>
          <w:szCs w:val="20"/>
        </w:rPr>
      </w:pPr>
      <w:r w:rsidRPr="00C34468">
        <w:rPr>
          <w:sz w:val="20"/>
          <w:szCs w:val="20"/>
        </w:rPr>
        <w:t>Judgments of the Court of Appeal:</w:t>
      </w:r>
      <w:r w:rsidRPr="00C34468">
        <w:rPr>
          <w:sz w:val="20"/>
          <w:szCs w:val="20"/>
        </w:rPr>
        <w:tab/>
      </w:r>
      <w:bookmarkStart w:id="8" w:name="5"/>
      <w:bookmarkEnd w:id="8"/>
      <w:r w:rsidRPr="00C34468">
        <w:rPr>
          <w:sz w:val="20"/>
          <w:szCs w:val="20"/>
        </w:rPr>
        <w:t>April 7, 2011; September 7, 2011</w:t>
      </w:r>
    </w:p>
    <w:p w:rsidR="001E4A5D" w:rsidRPr="00C34468" w:rsidRDefault="001E4A5D" w:rsidP="001E4A5D">
      <w:pPr>
        <w:widowControl w:val="0"/>
        <w:ind w:left="2880" w:hanging="2880"/>
        <w:jc w:val="both"/>
        <w:rPr>
          <w:sz w:val="20"/>
          <w:szCs w:val="20"/>
        </w:rPr>
      </w:pPr>
    </w:p>
    <w:p w:rsidR="001E4A5D" w:rsidRPr="00C34468" w:rsidRDefault="001E4A5D" w:rsidP="001E4A5D">
      <w:pPr>
        <w:widowControl w:val="0"/>
        <w:ind w:left="2880" w:hanging="2880"/>
        <w:jc w:val="both"/>
        <w:rPr>
          <w:sz w:val="20"/>
          <w:szCs w:val="20"/>
        </w:rPr>
      </w:pPr>
      <w:r w:rsidRPr="00C34468">
        <w:rPr>
          <w:sz w:val="20"/>
          <w:szCs w:val="20"/>
        </w:rPr>
        <w:t>Counsel:</w:t>
      </w:r>
      <w:r w:rsidRPr="00C34468">
        <w:rPr>
          <w:sz w:val="20"/>
          <w:szCs w:val="20"/>
        </w:rPr>
        <w:tab/>
      </w:r>
      <w:bookmarkStart w:id="9" w:name="6"/>
      <w:bookmarkEnd w:id="9"/>
      <w:r w:rsidRPr="00C34468">
        <w:rPr>
          <w:sz w:val="20"/>
          <w:szCs w:val="20"/>
        </w:rPr>
        <w:t>Benjamin Zarnett, Fred Myers, Brian Empey and Peter Kolla for the appellant Sun Indalex Finance, LLC</w:t>
      </w:r>
    </w:p>
    <w:p w:rsidR="001E4A5D" w:rsidRPr="00C34468" w:rsidRDefault="001E4A5D" w:rsidP="001E4A5D">
      <w:pPr>
        <w:widowControl w:val="0"/>
        <w:ind w:left="2880" w:hanging="2880"/>
        <w:jc w:val="both"/>
        <w:rPr>
          <w:sz w:val="20"/>
          <w:szCs w:val="20"/>
        </w:rPr>
      </w:pPr>
      <w:r w:rsidRPr="00C34468">
        <w:rPr>
          <w:sz w:val="20"/>
          <w:szCs w:val="20"/>
        </w:rPr>
        <w:tab/>
        <w:t>David R. Byers, Ashley John Taylor, Nichloas McHaffie and Lesley Mercer for the appellant FTI Consulting Canada ULC</w:t>
      </w:r>
    </w:p>
    <w:p w:rsidR="001E4A5D" w:rsidRPr="00C34468" w:rsidRDefault="001E4A5D" w:rsidP="001E4A5D">
      <w:pPr>
        <w:widowControl w:val="0"/>
        <w:ind w:left="2880" w:hanging="2880"/>
        <w:jc w:val="both"/>
        <w:rPr>
          <w:sz w:val="20"/>
          <w:szCs w:val="20"/>
        </w:rPr>
      </w:pPr>
      <w:r w:rsidRPr="00C34468">
        <w:rPr>
          <w:sz w:val="20"/>
          <w:szCs w:val="20"/>
        </w:rPr>
        <w:tab/>
        <w:t>Harvey G. Chaiton and George Benchetrit for the appellant</w:t>
      </w:r>
      <w:r w:rsidR="002D48C5">
        <w:rPr>
          <w:sz w:val="20"/>
          <w:szCs w:val="20"/>
        </w:rPr>
        <w:t xml:space="preserve"> </w:t>
      </w:r>
      <w:r w:rsidRPr="00C34468">
        <w:rPr>
          <w:sz w:val="20"/>
          <w:szCs w:val="20"/>
        </w:rPr>
        <w:t>George L. Miller</w:t>
      </w:r>
    </w:p>
    <w:p w:rsidR="001E4A5D" w:rsidRPr="00C34468" w:rsidRDefault="001E4A5D" w:rsidP="001E4A5D">
      <w:pPr>
        <w:widowControl w:val="0"/>
        <w:ind w:left="2880" w:hanging="2880"/>
        <w:jc w:val="both"/>
        <w:rPr>
          <w:sz w:val="20"/>
          <w:szCs w:val="20"/>
        </w:rPr>
      </w:pPr>
      <w:r w:rsidRPr="00C34468">
        <w:rPr>
          <w:sz w:val="20"/>
          <w:szCs w:val="20"/>
        </w:rPr>
        <w:tab/>
      </w:r>
      <w:bookmarkStart w:id="10" w:name="7"/>
      <w:bookmarkEnd w:id="10"/>
      <w:r w:rsidRPr="00C34468">
        <w:rPr>
          <w:sz w:val="20"/>
          <w:szCs w:val="20"/>
        </w:rPr>
        <w:t>Darrell L. Brown for the appellant/respondent United Steel</w:t>
      </w:r>
      <w:r w:rsidR="002D48C5">
        <w:rPr>
          <w:sz w:val="20"/>
          <w:szCs w:val="20"/>
        </w:rPr>
        <w:t xml:space="preserve"> </w:t>
      </w:r>
      <w:r w:rsidRPr="00C34468">
        <w:rPr>
          <w:sz w:val="20"/>
          <w:szCs w:val="20"/>
        </w:rPr>
        <w:t>Workers</w:t>
      </w:r>
    </w:p>
    <w:p w:rsidR="001E4A5D" w:rsidRPr="00C34468" w:rsidRDefault="001E4A5D" w:rsidP="001E4A5D">
      <w:pPr>
        <w:widowControl w:val="0"/>
        <w:ind w:left="2880" w:hanging="2880"/>
        <w:jc w:val="both"/>
        <w:rPr>
          <w:sz w:val="20"/>
          <w:szCs w:val="20"/>
        </w:rPr>
      </w:pPr>
      <w:r w:rsidRPr="00C34468">
        <w:rPr>
          <w:sz w:val="20"/>
          <w:szCs w:val="20"/>
        </w:rPr>
        <w:tab/>
        <w:t>Andrew J. Hatnay and Demetrios Yiokaria for the respondent Retirees</w:t>
      </w:r>
    </w:p>
    <w:p w:rsidR="001E4A5D" w:rsidRPr="00C34468" w:rsidRDefault="001E4A5D" w:rsidP="001E4A5D">
      <w:pPr>
        <w:widowControl w:val="0"/>
        <w:ind w:left="2880" w:hanging="2880"/>
        <w:jc w:val="both"/>
        <w:rPr>
          <w:sz w:val="20"/>
          <w:szCs w:val="20"/>
        </w:rPr>
      </w:pPr>
      <w:r w:rsidRPr="00C34468">
        <w:rPr>
          <w:sz w:val="20"/>
          <w:szCs w:val="20"/>
        </w:rPr>
        <w:tab/>
        <w:t>Hugh O’Reilly and Amanda Darrach for the respondent Morneau Shepell Ltd.</w:t>
      </w:r>
    </w:p>
    <w:p w:rsidR="000B3C9A" w:rsidRPr="001E4A5D" w:rsidRDefault="000B3C9A" w:rsidP="000B3C9A">
      <w:pPr>
        <w:tabs>
          <w:tab w:val="left" w:pos="-1440"/>
          <w:tab w:val="left" w:pos="-720"/>
        </w:tabs>
        <w:jc w:val="both"/>
        <w:rPr>
          <w:sz w:val="20"/>
          <w:szCs w:val="20"/>
        </w:rPr>
      </w:pPr>
    </w:p>
    <w:p w:rsidR="000B3C9A" w:rsidRDefault="003B0427" w:rsidP="000B3C9A">
      <w:pPr>
        <w:tabs>
          <w:tab w:val="left" w:pos="-1440"/>
          <w:tab w:val="left" w:pos="-720"/>
        </w:tabs>
        <w:jc w:val="both"/>
        <w:rPr>
          <w:sz w:val="20"/>
          <w:szCs w:val="20"/>
          <w:lang w:val="fr-CA"/>
        </w:rPr>
      </w:pPr>
      <w:r w:rsidRPr="003B0427">
        <w:rPr>
          <w:sz w:val="20"/>
          <w:szCs w:val="20"/>
          <w:lang w:val="fr-CA"/>
        </w:rPr>
        <w:pict>
          <v:rect id="_x0000_i1097" style="width:2in;height:1pt" o:hrpct="0" o:hralign="center" o:hrstd="t" o:hrnoshade="t" o:hr="t" fillcolor="black [3213]" stroked="f"/>
        </w:pict>
      </w:r>
    </w:p>
    <w:p w:rsidR="00DA4855" w:rsidRDefault="00DA4855" w:rsidP="000B3C9A">
      <w:pPr>
        <w:tabs>
          <w:tab w:val="left" w:pos="-1440"/>
          <w:tab w:val="left" w:pos="-720"/>
        </w:tabs>
        <w:jc w:val="both"/>
        <w:rPr>
          <w:sz w:val="20"/>
          <w:szCs w:val="20"/>
          <w:lang w:val="fr-CA"/>
        </w:rPr>
      </w:pPr>
    </w:p>
    <w:p w:rsidR="00DA4855" w:rsidRDefault="00DA4855">
      <w:pPr>
        <w:rPr>
          <w:sz w:val="20"/>
          <w:szCs w:val="20"/>
          <w:lang w:val="fr-CA"/>
        </w:rPr>
      </w:pPr>
      <w:r>
        <w:rPr>
          <w:sz w:val="20"/>
          <w:szCs w:val="20"/>
          <w:lang w:val="fr-CA"/>
        </w:rPr>
        <w:br w:type="page"/>
      </w:r>
    </w:p>
    <w:p w:rsidR="002C1807" w:rsidRPr="0060101E" w:rsidRDefault="003B0427" w:rsidP="002C1807">
      <w:pPr>
        <w:widowControl w:val="0"/>
        <w:ind w:left="720" w:hanging="720"/>
        <w:jc w:val="both"/>
        <w:rPr>
          <w:b/>
          <w:sz w:val="20"/>
          <w:szCs w:val="20"/>
          <w:lang w:val="fr-CA"/>
        </w:rPr>
      </w:pPr>
      <w:r w:rsidRPr="0060101E">
        <w:rPr>
          <w:b/>
          <w:sz w:val="20"/>
          <w:szCs w:val="20"/>
          <w:lang w:val="fr-CA"/>
        </w:rPr>
        <w:lastRenderedPageBreak/>
        <w:fldChar w:fldCharType="begin"/>
      </w:r>
      <w:r w:rsidR="002C1807" w:rsidRPr="0060101E">
        <w:rPr>
          <w:b/>
          <w:sz w:val="20"/>
          <w:szCs w:val="20"/>
          <w:lang w:val="fr-CA"/>
        </w:rPr>
        <w:instrText xml:space="preserve"> SEQ CHAPTER \h \r 1</w:instrText>
      </w:r>
      <w:r w:rsidRPr="0060101E">
        <w:rPr>
          <w:b/>
          <w:sz w:val="20"/>
          <w:szCs w:val="20"/>
          <w:lang w:val="fr-CA"/>
        </w:rPr>
        <w:fldChar w:fldCharType="end"/>
      </w:r>
      <w:r w:rsidR="002C1807" w:rsidRPr="0060101E">
        <w:rPr>
          <w:b/>
          <w:sz w:val="20"/>
          <w:szCs w:val="20"/>
          <w:lang w:val="fr-CA"/>
        </w:rPr>
        <w:t>34308</w:t>
      </w:r>
      <w:r w:rsidR="002C1807" w:rsidRPr="0060101E">
        <w:rPr>
          <w:sz w:val="20"/>
          <w:szCs w:val="20"/>
          <w:lang w:val="fr-CA"/>
        </w:rPr>
        <w:tab/>
      </w:r>
      <w:r w:rsidR="002C1807" w:rsidRPr="0060101E">
        <w:rPr>
          <w:b/>
          <w:i/>
          <w:sz w:val="20"/>
          <w:szCs w:val="20"/>
          <w:lang w:val="fr-CA"/>
        </w:rPr>
        <w:t xml:space="preserve">Sun Indalex Finance, LLC c. Métallurgistes unis, Keith Carruthers, Leon Kozierok, Richard Benson, John Faveri, Ken Waldron, John (Jack) W. Rooney, Bertram McBride, Max Degen, Eugene D’Iorio, Neil Fraser, Richard Smith, Robert Leckie et Fred Granville </w:t>
      </w:r>
      <w:r w:rsidR="002C1807" w:rsidRPr="0060101E">
        <w:rPr>
          <w:b/>
          <w:i/>
          <w:sz w:val="20"/>
          <w:szCs w:val="20"/>
          <w:lang w:val="fr-CA"/>
        </w:rPr>
        <w:noBreakHyphen/>
        <w:t xml:space="preserve"> et entre </w:t>
      </w:r>
      <w:r w:rsidR="002C1807" w:rsidRPr="0060101E">
        <w:rPr>
          <w:b/>
          <w:i/>
          <w:sz w:val="20"/>
          <w:szCs w:val="20"/>
          <w:lang w:val="fr-CA"/>
        </w:rPr>
        <w:noBreakHyphen/>
        <w:t xml:space="preserve"> George L. Miller, The Chapter 7 Trustee of the Bankruptcy Estates of the US Indalex Debtors c. Métallurgistes unis, Keith Carruthers, Leon Kozierok, Richard Benson, John Faveri, Ken Waldron, John (Jack) W. Rooney, Bertram McBride, Max Degen, Eugene D’Iorio, Neil Fraser, Richard Smith, Robert Leckie et Fred Granville </w:t>
      </w:r>
      <w:r w:rsidR="002C1807" w:rsidRPr="0060101E">
        <w:rPr>
          <w:b/>
          <w:i/>
          <w:sz w:val="20"/>
          <w:szCs w:val="20"/>
          <w:lang w:val="fr-CA"/>
        </w:rPr>
        <w:noBreakHyphen/>
        <w:t xml:space="preserve"> et entre </w:t>
      </w:r>
      <w:r w:rsidR="002C1807" w:rsidRPr="0060101E">
        <w:rPr>
          <w:b/>
          <w:i/>
          <w:sz w:val="20"/>
          <w:szCs w:val="20"/>
          <w:lang w:val="fr-CA"/>
        </w:rPr>
        <w:noBreakHyphen/>
        <w:t xml:space="preserve"> FTI Consulting Canada ULC, en sa qualité de contrôleur judiciaire d’Indalex Limited, au nom d’Indalex Limited c. Keith Carruthers, Leon Kozierok, Richard Benson, John Faveri, Ken Waldron, John (Jack) W. Rooney, Bertram McBride, Max Degen, Eugene D’Iorio, Neil Fraser, Richard Smith, Robert Leckie et Fred Granville, Métallurgistes unis </w:t>
      </w:r>
      <w:r w:rsidR="002C1807" w:rsidRPr="0060101E">
        <w:rPr>
          <w:b/>
          <w:i/>
          <w:sz w:val="20"/>
          <w:szCs w:val="20"/>
          <w:lang w:val="fr-CA"/>
        </w:rPr>
        <w:noBreakHyphen/>
        <w:t xml:space="preserve"> et entre </w:t>
      </w:r>
      <w:r w:rsidR="002C1807" w:rsidRPr="0060101E">
        <w:rPr>
          <w:b/>
          <w:i/>
          <w:sz w:val="20"/>
          <w:szCs w:val="20"/>
          <w:lang w:val="fr-CA"/>
        </w:rPr>
        <w:noBreakHyphen/>
        <w:t xml:space="preserve"> Métallurgistes unis c. Morneau Shepell Ltd. (anciennement connue sous la dénomination Morneau Sobeco Limited Partnership), surintendant des services financiers</w:t>
      </w:r>
    </w:p>
    <w:p w:rsidR="002C1807" w:rsidRDefault="002C1807" w:rsidP="002C1807">
      <w:pPr>
        <w:widowControl w:val="0"/>
        <w:ind w:left="1440" w:hanging="1440"/>
        <w:jc w:val="both"/>
        <w:rPr>
          <w:sz w:val="20"/>
          <w:szCs w:val="20"/>
          <w:lang w:val="fr-CA"/>
        </w:rPr>
      </w:pPr>
    </w:p>
    <w:p w:rsidR="002C1807" w:rsidRDefault="002C1807" w:rsidP="002C1807">
      <w:pPr>
        <w:widowControl w:val="0"/>
        <w:jc w:val="both"/>
        <w:rPr>
          <w:sz w:val="20"/>
          <w:szCs w:val="20"/>
          <w:lang w:val="fr-CA"/>
        </w:rPr>
      </w:pPr>
      <w:r w:rsidRPr="0060101E">
        <w:rPr>
          <w:sz w:val="20"/>
          <w:szCs w:val="20"/>
          <w:lang w:val="fr-CA"/>
        </w:rPr>
        <w:t xml:space="preserve">Pensions </w:t>
      </w:r>
      <w:r w:rsidRPr="0060101E">
        <w:rPr>
          <w:sz w:val="20"/>
          <w:szCs w:val="20"/>
          <w:lang w:val="fr-CA"/>
        </w:rPr>
        <w:noBreakHyphen/>
        <w:t xml:space="preserve"> Dispositions de la fiducie présumée </w:t>
      </w:r>
      <w:r w:rsidRPr="0060101E">
        <w:rPr>
          <w:sz w:val="20"/>
          <w:szCs w:val="20"/>
          <w:lang w:val="fr-CA"/>
        </w:rPr>
        <w:noBreakHyphen/>
        <w:t xml:space="preserve"> Faillite et insolvabilité </w:t>
      </w:r>
      <w:r w:rsidRPr="0060101E">
        <w:rPr>
          <w:sz w:val="20"/>
          <w:szCs w:val="20"/>
          <w:lang w:val="fr-CA"/>
        </w:rPr>
        <w:noBreakHyphen/>
        <w:t xml:space="preserve"> Priorités </w:t>
      </w:r>
      <w:r w:rsidRPr="0060101E">
        <w:rPr>
          <w:sz w:val="20"/>
          <w:szCs w:val="20"/>
          <w:lang w:val="fr-CA"/>
        </w:rPr>
        <w:noBreakHyphen/>
        <w:t xml:space="preserve"> Prépondérance </w:t>
      </w:r>
      <w:r w:rsidRPr="0060101E">
        <w:rPr>
          <w:sz w:val="20"/>
          <w:szCs w:val="20"/>
          <w:lang w:val="fr-CA"/>
        </w:rPr>
        <w:noBreakHyphen/>
        <w:t xml:space="preserve"> Obligation fiduciaire </w:t>
      </w:r>
      <w:r w:rsidRPr="0060101E">
        <w:rPr>
          <w:sz w:val="20"/>
          <w:szCs w:val="20"/>
          <w:lang w:val="fr-CA"/>
        </w:rPr>
        <w:noBreakHyphen/>
        <w:t xml:space="preserve"> Administrateurs de régimes de retraite </w:t>
      </w:r>
      <w:r w:rsidRPr="0060101E">
        <w:rPr>
          <w:sz w:val="20"/>
          <w:szCs w:val="20"/>
          <w:lang w:val="fr-CA"/>
        </w:rPr>
        <w:noBreakHyphen/>
        <w:t xml:space="preserve"> Législation </w:t>
      </w:r>
      <w:r w:rsidRPr="0060101E">
        <w:rPr>
          <w:sz w:val="20"/>
          <w:szCs w:val="20"/>
          <w:lang w:val="fr-CA"/>
        </w:rPr>
        <w:noBreakHyphen/>
        <w:t xml:space="preserve"> Interprétation </w:t>
      </w:r>
      <w:r w:rsidRPr="0060101E">
        <w:rPr>
          <w:sz w:val="20"/>
          <w:szCs w:val="20"/>
          <w:lang w:val="fr-CA"/>
        </w:rPr>
        <w:noBreakHyphen/>
        <w:t xml:space="preserve"> Le par. 57(4) de la</w:t>
      </w:r>
      <w:r w:rsidRPr="0060101E">
        <w:rPr>
          <w:i/>
          <w:sz w:val="20"/>
          <w:szCs w:val="20"/>
          <w:lang w:val="fr-CA"/>
        </w:rPr>
        <w:t xml:space="preserve"> Loi sur les régimes de retraite</w:t>
      </w:r>
      <w:r w:rsidRPr="0060101E">
        <w:rPr>
          <w:sz w:val="20"/>
          <w:szCs w:val="20"/>
          <w:lang w:val="fr-CA"/>
        </w:rPr>
        <w:t xml:space="preserve"> crée</w:t>
      </w:r>
      <w:r w:rsidRPr="0060101E">
        <w:rPr>
          <w:sz w:val="20"/>
          <w:szCs w:val="20"/>
          <w:lang w:val="fr-CA"/>
        </w:rPr>
        <w:noBreakHyphen/>
        <w:t>t</w:t>
      </w:r>
      <w:r w:rsidRPr="0060101E">
        <w:rPr>
          <w:sz w:val="20"/>
          <w:szCs w:val="20"/>
          <w:lang w:val="fr-CA"/>
        </w:rPr>
        <w:noBreakHyphen/>
        <w:t xml:space="preserve">il une fiducie présumée à l’égard des insuffisances de l’actif à la liquidation? </w:t>
      </w:r>
      <w:r w:rsidRPr="0060101E">
        <w:rPr>
          <w:sz w:val="20"/>
          <w:szCs w:val="20"/>
          <w:lang w:val="fr-CA"/>
        </w:rPr>
        <w:noBreakHyphen/>
        <w:t xml:space="preserve"> Un débiteur sous le régime de la</w:t>
      </w:r>
      <w:r w:rsidRPr="0060101E">
        <w:rPr>
          <w:i/>
          <w:sz w:val="20"/>
          <w:szCs w:val="20"/>
          <w:lang w:val="fr-CA"/>
        </w:rPr>
        <w:t xml:space="preserve"> Loi sur les arrangements avec les créanciers des compagnies</w:t>
      </w:r>
      <w:r w:rsidRPr="0060101E">
        <w:rPr>
          <w:sz w:val="20"/>
          <w:szCs w:val="20"/>
          <w:lang w:val="fr-CA"/>
        </w:rPr>
        <w:t>, L.R.C. 1985, ch. C-36 (« </w:t>
      </w:r>
      <w:r w:rsidRPr="0060101E">
        <w:rPr>
          <w:i/>
          <w:sz w:val="20"/>
          <w:szCs w:val="20"/>
          <w:lang w:val="fr-CA"/>
        </w:rPr>
        <w:t>LACC </w:t>
      </w:r>
      <w:r w:rsidRPr="0060101E">
        <w:rPr>
          <w:sz w:val="20"/>
          <w:szCs w:val="20"/>
          <w:lang w:val="fr-CA"/>
        </w:rPr>
        <w:t>») est</w:t>
      </w:r>
      <w:r w:rsidRPr="0060101E">
        <w:rPr>
          <w:sz w:val="20"/>
          <w:szCs w:val="20"/>
          <w:lang w:val="fr-CA"/>
        </w:rPr>
        <w:noBreakHyphen/>
        <w:t>il un fiduciaire des pensionnés lorsqu’il prend des décisions d’emprunter de l’argent à titre de « débiteur demeuré en possession » et de vendre son actif, et une fiducie constructoire ayant rang super</w:t>
      </w:r>
      <w:r w:rsidRPr="0060101E">
        <w:rPr>
          <w:sz w:val="20"/>
          <w:szCs w:val="20"/>
          <w:lang w:val="fr-CA"/>
        </w:rPr>
        <w:noBreakHyphen/>
        <w:t>prioritaire peut</w:t>
      </w:r>
      <w:r w:rsidRPr="0060101E">
        <w:rPr>
          <w:sz w:val="20"/>
          <w:szCs w:val="20"/>
          <w:lang w:val="fr-CA"/>
        </w:rPr>
        <w:noBreakHyphen/>
        <w:t xml:space="preserve">elle être accordée comme réparation pour des violations présumées d’obligation fiduciaire? </w:t>
      </w:r>
      <w:r w:rsidRPr="0060101E">
        <w:rPr>
          <w:sz w:val="20"/>
          <w:szCs w:val="20"/>
          <w:lang w:val="fr-CA"/>
        </w:rPr>
        <w:noBreakHyphen/>
        <w:t xml:space="preserve"> La Cour d’appel a</w:t>
      </w:r>
      <w:r w:rsidRPr="0060101E">
        <w:rPr>
          <w:sz w:val="20"/>
          <w:szCs w:val="20"/>
          <w:lang w:val="fr-CA"/>
        </w:rPr>
        <w:noBreakHyphen/>
        <w:t>t</w:t>
      </w:r>
      <w:r w:rsidRPr="0060101E">
        <w:rPr>
          <w:sz w:val="20"/>
          <w:szCs w:val="20"/>
          <w:lang w:val="fr-CA"/>
        </w:rPr>
        <w:noBreakHyphen/>
        <w:t xml:space="preserve">elle eu tort de ne pas suivre les arrêts </w:t>
      </w:r>
      <w:r w:rsidRPr="0060101E">
        <w:rPr>
          <w:i/>
          <w:sz w:val="20"/>
          <w:szCs w:val="20"/>
          <w:lang w:val="fr-CA"/>
        </w:rPr>
        <w:t>Century Services Inc</w:t>
      </w:r>
      <w:r w:rsidRPr="0060101E">
        <w:rPr>
          <w:b/>
          <w:bCs/>
          <w:i/>
          <w:sz w:val="20"/>
          <w:szCs w:val="20"/>
          <w:lang w:val="fr-CA"/>
        </w:rPr>
        <w:t>.</w:t>
      </w:r>
      <w:r w:rsidRPr="0060101E">
        <w:rPr>
          <w:i/>
          <w:sz w:val="20"/>
          <w:szCs w:val="20"/>
          <w:lang w:val="fr-CA"/>
        </w:rPr>
        <w:t xml:space="preserve"> </w:t>
      </w:r>
      <w:r w:rsidRPr="0060101E">
        <w:rPr>
          <w:i/>
          <w:iCs/>
          <w:sz w:val="20"/>
          <w:szCs w:val="20"/>
          <w:lang w:val="fr-CA"/>
        </w:rPr>
        <w:t xml:space="preserve">c. </w:t>
      </w:r>
      <w:r w:rsidRPr="0060101E">
        <w:rPr>
          <w:i/>
          <w:sz w:val="20"/>
          <w:szCs w:val="20"/>
          <w:lang w:val="fr-CA"/>
        </w:rPr>
        <w:t>Canada (Procureur général)</w:t>
      </w:r>
      <w:r w:rsidRPr="0060101E">
        <w:rPr>
          <w:sz w:val="20"/>
          <w:szCs w:val="20"/>
          <w:lang w:val="fr-CA"/>
        </w:rPr>
        <w:t xml:space="preserve">, 2010 CSC 60, [2010] 3 R.C.S. 379, et </w:t>
      </w:r>
      <w:r w:rsidRPr="0060101E">
        <w:rPr>
          <w:i/>
          <w:sz w:val="20"/>
          <w:szCs w:val="20"/>
          <w:lang w:val="fr-CA"/>
        </w:rPr>
        <w:t>Ivaco Inc., Re</w:t>
      </w:r>
      <w:r w:rsidRPr="0060101E">
        <w:rPr>
          <w:sz w:val="20"/>
          <w:szCs w:val="20"/>
          <w:lang w:val="fr-CA"/>
        </w:rPr>
        <w:t xml:space="preserve"> (2006), 83 O.R. (3d) 108 (C.A.), dans lesquels il a été statué que les priorités au terme d’une instance de liquidation sous le régime de la </w:t>
      </w:r>
      <w:r w:rsidRPr="0060101E">
        <w:rPr>
          <w:i/>
          <w:sz w:val="20"/>
          <w:szCs w:val="20"/>
          <w:lang w:val="fr-CA"/>
        </w:rPr>
        <w:t>LAAC</w:t>
      </w:r>
      <w:r w:rsidRPr="0060101E">
        <w:rPr>
          <w:sz w:val="20"/>
          <w:szCs w:val="20"/>
          <w:lang w:val="fr-CA"/>
        </w:rPr>
        <w:t xml:space="preserve"> sont déterminées en vertu du régime fédéral de priorités établi en vertu de la </w:t>
      </w:r>
      <w:r w:rsidRPr="0060101E">
        <w:rPr>
          <w:i/>
          <w:sz w:val="20"/>
          <w:szCs w:val="20"/>
          <w:lang w:val="fr-CA"/>
        </w:rPr>
        <w:t>Loi sur la faillite et l’insolvabilité</w:t>
      </w:r>
      <w:r w:rsidRPr="0060101E">
        <w:rPr>
          <w:sz w:val="20"/>
          <w:szCs w:val="20"/>
          <w:lang w:val="fr-CA"/>
        </w:rPr>
        <w:t xml:space="preserve">? </w:t>
      </w:r>
      <w:r w:rsidRPr="0060101E">
        <w:rPr>
          <w:sz w:val="20"/>
          <w:szCs w:val="20"/>
          <w:lang w:val="fr-CA"/>
        </w:rPr>
        <w:noBreakHyphen/>
        <w:t xml:space="preserve"> Une charge super</w:t>
      </w:r>
      <w:r w:rsidRPr="0060101E">
        <w:rPr>
          <w:sz w:val="20"/>
          <w:szCs w:val="20"/>
          <w:lang w:val="fr-CA"/>
        </w:rPr>
        <w:noBreakHyphen/>
        <w:t xml:space="preserve">prioritaire, constituée par un juge surveillant sous le régime de la </w:t>
      </w:r>
      <w:r w:rsidRPr="0060101E">
        <w:rPr>
          <w:i/>
          <w:sz w:val="20"/>
          <w:szCs w:val="20"/>
          <w:lang w:val="fr-CA"/>
        </w:rPr>
        <w:t>LACC</w:t>
      </w:r>
      <w:r w:rsidRPr="0060101E">
        <w:rPr>
          <w:sz w:val="20"/>
          <w:szCs w:val="20"/>
          <w:lang w:val="fr-CA"/>
        </w:rPr>
        <w:t xml:space="preserve"> dans une ordonnance qui n’a pas fait l’objet d’un appel, peut</w:t>
      </w:r>
      <w:r w:rsidRPr="0060101E">
        <w:rPr>
          <w:sz w:val="20"/>
          <w:szCs w:val="20"/>
          <w:lang w:val="fr-CA"/>
        </w:rPr>
        <w:noBreakHyphen/>
        <w:t>elle être rétroactivement révoquée sur une motion subséquente au détriment de parties qui ont agi en s’appuyant sur cette charge?</w:t>
      </w:r>
    </w:p>
    <w:p w:rsidR="002C1807" w:rsidRPr="0060101E" w:rsidRDefault="002C1807" w:rsidP="002C1807">
      <w:pPr>
        <w:widowControl w:val="0"/>
        <w:ind w:left="1440" w:hanging="1440"/>
        <w:jc w:val="both"/>
        <w:rPr>
          <w:sz w:val="20"/>
          <w:szCs w:val="20"/>
          <w:lang w:val="fr-CA"/>
        </w:rPr>
      </w:pPr>
    </w:p>
    <w:p w:rsidR="002C1807" w:rsidRPr="0060101E" w:rsidRDefault="002C1807" w:rsidP="002C1807">
      <w:pPr>
        <w:widowControl w:val="0"/>
        <w:jc w:val="both"/>
        <w:rPr>
          <w:sz w:val="20"/>
          <w:szCs w:val="20"/>
          <w:lang w:val="fr-CA"/>
        </w:rPr>
      </w:pPr>
      <w:r w:rsidRPr="0060101E">
        <w:rPr>
          <w:sz w:val="20"/>
          <w:szCs w:val="20"/>
          <w:lang w:val="fr-CA"/>
        </w:rPr>
        <w:t xml:space="preserve">Procédure civile </w:t>
      </w:r>
      <w:r w:rsidRPr="0060101E">
        <w:rPr>
          <w:sz w:val="20"/>
          <w:szCs w:val="20"/>
          <w:lang w:val="fr-CA"/>
        </w:rPr>
        <w:noBreakHyphen/>
        <w:t xml:space="preserve"> Dépens </w:t>
      </w:r>
      <w:r w:rsidRPr="0060101E">
        <w:rPr>
          <w:sz w:val="20"/>
          <w:szCs w:val="20"/>
          <w:lang w:val="fr-CA"/>
        </w:rPr>
        <w:noBreakHyphen/>
        <w:t xml:space="preserve"> L’agent négociateur pour des participants syndiqués à un régime de retraite a</w:t>
      </w:r>
      <w:r w:rsidRPr="0060101E">
        <w:rPr>
          <w:sz w:val="20"/>
          <w:szCs w:val="20"/>
          <w:lang w:val="fr-CA"/>
        </w:rPr>
        <w:noBreakHyphen/>
        <w:t>t</w:t>
      </w:r>
      <w:r w:rsidRPr="0060101E">
        <w:rPr>
          <w:sz w:val="20"/>
          <w:szCs w:val="20"/>
          <w:lang w:val="fr-CA"/>
        </w:rPr>
        <w:noBreakHyphen/>
        <w:t xml:space="preserve">il le droit d’obtenir le paiement des dépens à partir d’une caisse de retraite en fiducie au nom de ses participants ou bénéficiaires du régime syndiqués? </w:t>
      </w:r>
      <w:r w:rsidRPr="0060101E">
        <w:rPr>
          <w:sz w:val="20"/>
          <w:szCs w:val="20"/>
          <w:lang w:val="fr-CA"/>
        </w:rPr>
        <w:noBreakHyphen/>
        <w:t xml:space="preserve"> Le consentement des bénéficiaires du régime de retraite est</w:t>
      </w:r>
      <w:r w:rsidRPr="0060101E">
        <w:rPr>
          <w:sz w:val="20"/>
          <w:szCs w:val="20"/>
          <w:lang w:val="fr-CA"/>
        </w:rPr>
        <w:noBreakHyphen/>
        <w:t xml:space="preserve">il nécessaire comme condition préalable à une ordonnance de paiement des dépens à partir d’une caisse de retraite en fiducie lorsqu’il s’agit d’une instance non contentieuse entre des bénéficiaires du régime de retraite, initiée pour exécuter la bonne administration de la fiducie et à l’avantage de tous les bénéficiaires du régime de retraite?  </w:t>
      </w:r>
      <w:r w:rsidRPr="0060101E">
        <w:rPr>
          <w:sz w:val="20"/>
          <w:szCs w:val="20"/>
          <w:lang w:val="fr-CA"/>
        </w:rPr>
        <w:noBreakHyphen/>
        <w:t xml:space="preserve"> La Cour d’appel a</w:t>
      </w:r>
      <w:r w:rsidRPr="0060101E">
        <w:rPr>
          <w:sz w:val="20"/>
          <w:szCs w:val="20"/>
          <w:lang w:val="fr-CA"/>
        </w:rPr>
        <w:noBreakHyphen/>
        <w:t>t</w:t>
      </w:r>
      <w:r w:rsidRPr="0060101E">
        <w:rPr>
          <w:sz w:val="20"/>
          <w:szCs w:val="20"/>
          <w:lang w:val="fr-CA"/>
        </w:rPr>
        <w:noBreakHyphen/>
        <w:t>elle eu raison de considérer l’état de capitalisation du régime de retraite comme condition préalable à une ordonnance de paiement des dépens à partir d’une caisse de retraite en fiducie lorsqu’il s’agit d’une instance non contentieuse entre des bénéficiaires du régime de retraite, initiée pour exécuter la bonne administration de la fiducie et à l’avantage de tous les bénéficiaires du régime de retraite?</w:t>
      </w:r>
    </w:p>
    <w:p w:rsidR="002C1807" w:rsidRPr="0060101E" w:rsidRDefault="002C1807" w:rsidP="002C1807">
      <w:pPr>
        <w:widowControl w:val="0"/>
        <w:jc w:val="both"/>
        <w:rPr>
          <w:sz w:val="20"/>
          <w:szCs w:val="20"/>
          <w:lang w:val="fr-CA"/>
        </w:rPr>
      </w:pPr>
    </w:p>
    <w:p w:rsidR="002C1807" w:rsidRPr="0060101E" w:rsidRDefault="002C1807" w:rsidP="002C1807">
      <w:pPr>
        <w:widowControl w:val="0"/>
        <w:jc w:val="both"/>
        <w:rPr>
          <w:sz w:val="20"/>
          <w:szCs w:val="20"/>
          <w:lang w:val="fr-CA"/>
        </w:rPr>
      </w:pPr>
      <w:r w:rsidRPr="0060101E">
        <w:rPr>
          <w:sz w:val="20"/>
          <w:szCs w:val="20"/>
          <w:lang w:val="fr-CA"/>
        </w:rPr>
        <w:t xml:space="preserve">Indalex Limited, Indalex Holdings (B.C.) Ltd., 6326765 Canada Inc. et Novar Inc. (collectivement appelées « Indalex ») ont obtenu la protection sous le régime de la </w:t>
      </w:r>
      <w:r w:rsidRPr="0060101E">
        <w:rPr>
          <w:i/>
          <w:sz w:val="20"/>
          <w:szCs w:val="20"/>
          <w:lang w:val="fr-CA"/>
        </w:rPr>
        <w:t>LACC</w:t>
      </w:r>
      <w:r w:rsidRPr="0060101E">
        <w:rPr>
          <w:sz w:val="20"/>
          <w:szCs w:val="20"/>
          <w:lang w:val="fr-CA"/>
        </w:rPr>
        <w:t>.  À l’époque, ses deux régimes de retraite étaient sous</w:t>
      </w:r>
      <w:r w:rsidRPr="0060101E">
        <w:rPr>
          <w:sz w:val="20"/>
          <w:szCs w:val="20"/>
          <w:lang w:val="fr-CA"/>
        </w:rPr>
        <w:noBreakHyphen/>
        <w:t>capitalisés et l’un d’entre eux était en voie d’être liquidé.  FTI Consulting Canada ULC a été nommée contrôleur.  Par ordonnance de la cour, Indalex a été autorisée à emprunter des fonds en vertu d’un accord de crédit à titre de débiteur demeuré en possession, et les prêteurs se sont vu accorder une charge « super</w:t>
      </w:r>
      <w:r w:rsidRPr="0060101E">
        <w:rPr>
          <w:sz w:val="20"/>
          <w:szCs w:val="20"/>
          <w:lang w:val="fr-CA"/>
        </w:rPr>
        <w:noBreakHyphen/>
        <w:t>prioritaire ».  L’obligation de payer le prêteur du débiteur demeuré en possession était garantie par la société mère d’Indalex et ses affiliés (« Indalex U.S. »).  La cour a homologué la vente de l’actif d’Indalex dans une perspective de continuité de l’exploitation, mais les Métallurgistes unis (« MU ») et les représentants des anciens cadres d’Indalex (les « retraités ») ont contesté la distribution du produit de la vente aux prêteurs du débiteur demeuré en possession.  Ils ont présenté des motions en vue d’obtenir un jugement déclarant qu’il existait des fiducies présumées en faveur des bénéficiaires du régime de retraite dans la mesure de l’insuffisance de l’actif du régime et en vue d’obtenir des ordonnances de mainlevée et de paiement de ces montants.  Entre</w:t>
      </w:r>
      <w:r w:rsidRPr="0060101E">
        <w:rPr>
          <w:sz w:val="20"/>
          <w:szCs w:val="20"/>
          <w:lang w:val="fr-CA"/>
        </w:rPr>
        <w:noBreakHyphen/>
        <w:t xml:space="preserve">temps, Indalex a présenté une motion pour lever le sursis prononcé en vertu de la </w:t>
      </w:r>
      <w:r w:rsidRPr="0060101E">
        <w:rPr>
          <w:i/>
          <w:sz w:val="20"/>
          <w:szCs w:val="20"/>
          <w:lang w:val="fr-CA"/>
        </w:rPr>
        <w:t>LACC</w:t>
      </w:r>
      <w:r w:rsidRPr="0060101E">
        <w:rPr>
          <w:sz w:val="20"/>
          <w:szCs w:val="20"/>
          <w:lang w:val="fr-CA"/>
        </w:rPr>
        <w:t xml:space="preserve"> et pour faire cession de faillite.</w:t>
      </w:r>
    </w:p>
    <w:p w:rsidR="002C1807" w:rsidRPr="0060101E" w:rsidRDefault="002C1807" w:rsidP="002C1807">
      <w:pPr>
        <w:widowControl w:val="0"/>
        <w:jc w:val="both"/>
        <w:rPr>
          <w:sz w:val="20"/>
          <w:szCs w:val="20"/>
          <w:lang w:val="fr-CA"/>
        </w:rPr>
      </w:pPr>
    </w:p>
    <w:p w:rsidR="002C1807" w:rsidRPr="0060101E" w:rsidRDefault="002C1807" w:rsidP="002C1807">
      <w:pPr>
        <w:widowControl w:val="0"/>
        <w:jc w:val="both"/>
        <w:rPr>
          <w:sz w:val="20"/>
          <w:szCs w:val="20"/>
          <w:lang w:val="fr-CA"/>
        </w:rPr>
      </w:pPr>
      <w:r w:rsidRPr="0060101E">
        <w:rPr>
          <w:sz w:val="20"/>
          <w:szCs w:val="20"/>
          <w:lang w:val="fr-CA"/>
        </w:rPr>
        <w:t xml:space="preserve">La Cour supérieure de justice de l’Ontario a rejeté les motions des MU, des retraités et d’Indalex, concluant qu’il n’y avait eu aucune fiducie présumée en faveur des régimes de retraite au moment de la vente de l’actif d’Indalex.  La Cour a rejeté la motion d’Indalex comme inutile.  La Cour d’appel de l’Ontario a accueilli l’appel.  La Cour a déclaré qu’il y avait une fiducie présumée en faveur d’un des régimes de retraite et qu’il y avait eu des violations d’obligations </w:t>
      </w:r>
      <w:r w:rsidRPr="0060101E">
        <w:rPr>
          <w:sz w:val="20"/>
          <w:szCs w:val="20"/>
          <w:lang w:val="fr-CA"/>
        </w:rPr>
        <w:lastRenderedPageBreak/>
        <w:t xml:space="preserve">fiduciaires de common law et prévues par la loi qui ont donné lieu à une fiducie constructoire en faveur de l’autre régime de retraite.  La Cour a déclaré que les régimes avaient priorité et que les insuffisances de l’actif devaient être comblées à partir du fonds de réserve.  </w:t>
      </w:r>
    </w:p>
    <w:p w:rsidR="002C1807" w:rsidRPr="0060101E" w:rsidRDefault="002C1807" w:rsidP="002C1807">
      <w:pPr>
        <w:widowControl w:val="0"/>
        <w:jc w:val="both"/>
        <w:rPr>
          <w:sz w:val="20"/>
          <w:szCs w:val="20"/>
          <w:lang w:val="fr-CA"/>
        </w:rPr>
      </w:pPr>
    </w:p>
    <w:p w:rsidR="002C1807" w:rsidRPr="0060101E" w:rsidRDefault="002C1807" w:rsidP="002C1807">
      <w:pPr>
        <w:widowControl w:val="0"/>
        <w:jc w:val="both"/>
        <w:rPr>
          <w:sz w:val="20"/>
          <w:szCs w:val="20"/>
          <w:lang w:val="fr-CA"/>
        </w:rPr>
      </w:pPr>
      <w:r w:rsidRPr="0060101E">
        <w:rPr>
          <w:sz w:val="20"/>
          <w:szCs w:val="20"/>
          <w:lang w:val="fr-CA"/>
        </w:rPr>
        <w:t>Dans un jugement distinct quant aux dépens, la cour d’appel a homologué une entente entre les retraités, Morneau Sobeco Limited Partnership (maintenant Morneau Shepell Ltd.) à titre d’administrateur du régime et le surintendant des services financiers de l’Ontario et a ordonné notamment que : i) les frais de justice et les débours des retraités soient payés jusqu’à concurrence de leur indemnisation intégrale à partir de la caisse de retraite attribuable aux prestations de retraite accumulées de chacun des 14 retraités (mais non assumés par les trois autres participants au régime qui n’étaient pas intimés); et que ii) les dépens accordés aux retraités soient versés dans la caisse et partagés entre les 14 retraités en fonction de leur droit à pension.  La Cour d’appel n’a pas voulu rendre une ordonnance semblable relativement aux dépens engagés par les MU, concluant que le syndicat se trouvait dans une situation substantiellement différente.  La Cour a noté que les bénéficiaires non syndiqués de ce régime n’avaient pas consenti à l’arrangement, que les MU n’étaient pas des bénéficiaires et que la caisse était sous capitalisée.</w:t>
      </w:r>
    </w:p>
    <w:p w:rsidR="002C1807" w:rsidRPr="0060101E" w:rsidRDefault="002C1807" w:rsidP="002C1807">
      <w:pPr>
        <w:widowControl w:val="0"/>
        <w:jc w:val="both"/>
        <w:rPr>
          <w:sz w:val="20"/>
          <w:szCs w:val="20"/>
          <w:lang w:val="fr-CA"/>
        </w:rPr>
      </w:pPr>
    </w:p>
    <w:p w:rsidR="002C1807" w:rsidRPr="0060101E" w:rsidRDefault="002C1807" w:rsidP="002C1807">
      <w:pPr>
        <w:widowControl w:val="0"/>
        <w:jc w:val="both"/>
        <w:rPr>
          <w:sz w:val="20"/>
          <w:szCs w:val="20"/>
          <w:lang w:val="fr-CA"/>
        </w:rPr>
      </w:pPr>
    </w:p>
    <w:p w:rsidR="002C1807" w:rsidRPr="0060101E" w:rsidRDefault="002C1807" w:rsidP="002C1807">
      <w:pPr>
        <w:widowControl w:val="0"/>
        <w:ind w:left="2880" w:hanging="2880"/>
        <w:jc w:val="both"/>
        <w:rPr>
          <w:sz w:val="20"/>
          <w:szCs w:val="20"/>
          <w:lang w:val="fr-CA"/>
        </w:rPr>
      </w:pPr>
      <w:r w:rsidRPr="0060101E">
        <w:rPr>
          <w:sz w:val="20"/>
          <w:szCs w:val="20"/>
          <w:lang w:val="fr-CA"/>
        </w:rPr>
        <w:t>Origine :</w:t>
      </w:r>
      <w:r w:rsidRPr="0060101E">
        <w:rPr>
          <w:sz w:val="20"/>
          <w:szCs w:val="20"/>
          <w:lang w:val="fr-CA"/>
        </w:rPr>
        <w:tab/>
        <w:t>Ontario</w:t>
      </w:r>
    </w:p>
    <w:p w:rsidR="002C1807" w:rsidRPr="0060101E" w:rsidRDefault="002C1807" w:rsidP="002C1807">
      <w:pPr>
        <w:widowControl w:val="0"/>
        <w:ind w:left="2880" w:hanging="2880"/>
        <w:jc w:val="both"/>
        <w:rPr>
          <w:sz w:val="20"/>
          <w:szCs w:val="20"/>
          <w:lang w:val="fr-CA"/>
        </w:rPr>
      </w:pPr>
    </w:p>
    <w:p w:rsidR="002C1807" w:rsidRPr="0060101E" w:rsidRDefault="002C1807" w:rsidP="002C1807">
      <w:pPr>
        <w:widowControl w:val="0"/>
        <w:ind w:left="2880" w:hanging="2880"/>
        <w:jc w:val="both"/>
        <w:rPr>
          <w:sz w:val="20"/>
          <w:szCs w:val="20"/>
          <w:lang w:val="fr-CA"/>
        </w:rPr>
      </w:pPr>
      <w:r w:rsidRPr="0060101E">
        <w:rPr>
          <w:sz w:val="20"/>
          <w:szCs w:val="20"/>
          <w:lang w:val="fr-CA"/>
        </w:rPr>
        <w:t>N</w:t>
      </w:r>
      <w:r w:rsidRPr="0060101E">
        <w:rPr>
          <w:sz w:val="20"/>
          <w:szCs w:val="20"/>
          <w:vertAlign w:val="superscript"/>
          <w:lang w:val="fr-CA"/>
        </w:rPr>
        <w:t>o</w:t>
      </w:r>
      <w:r w:rsidRPr="0060101E">
        <w:rPr>
          <w:sz w:val="20"/>
          <w:szCs w:val="20"/>
          <w:lang w:val="fr-CA"/>
        </w:rPr>
        <w:t xml:space="preserve"> du greffe :</w:t>
      </w:r>
      <w:r w:rsidRPr="0060101E">
        <w:rPr>
          <w:sz w:val="20"/>
          <w:szCs w:val="20"/>
          <w:lang w:val="fr-CA"/>
        </w:rPr>
        <w:tab/>
        <w:t>34308</w:t>
      </w:r>
    </w:p>
    <w:p w:rsidR="002C1807" w:rsidRPr="0060101E" w:rsidRDefault="002C1807" w:rsidP="002C1807">
      <w:pPr>
        <w:widowControl w:val="0"/>
        <w:ind w:left="2880" w:hanging="2880"/>
        <w:jc w:val="both"/>
        <w:rPr>
          <w:sz w:val="20"/>
          <w:szCs w:val="20"/>
          <w:lang w:val="fr-CA"/>
        </w:rPr>
      </w:pPr>
    </w:p>
    <w:p w:rsidR="002C1807" w:rsidRPr="0060101E" w:rsidRDefault="002C1807" w:rsidP="002C1807">
      <w:pPr>
        <w:widowControl w:val="0"/>
        <w:ind w:left="2880" w:hanging="2880"/>
        <w:jc w:val="both"/>
        <w:rPr>
          <w:sz w:val="20"/>
          <w:szCs w:val="20"/>
          <w:lang w:val="fr-CA"/>
        </w:rPr>
      </w:pPr>
      <w:r w:rsidRPr="0060101E">
        <w:rPr>
          <w:sz w:val="20"/>
          <w:szCs w:val="20"/>
          <w:lang w:val="fr-CA"/>
        </w:rPr>
        <w:t>Arrêts de la Cour d’appel :</w:t>
      </w:r>
      <w:r w:rsidRPr="0060101E">
        <w:rPr>
          <w:sz w:val="20"/>
          <w:szCs w:val="20"/>
          <w:lang w:val="fr-CA"/>
        </w:rPr>
        <w:tab/>
        <w:t>le 7 avril 2011; le 7 septembre 2011</w:t>
      </w:r>
    </w:p>
    <w:p w:rsidR="002C1807" w:rsidRPr="0060101E" w:rsidRDefault="002C1807" w:rsidP="002C1807">
      <w:pPr>
        <w:widowControl w:val="0"/>
        <w:ind w:left="2880" w:hanging="2880"/>
        <w:jc w:val="both"/>
        <w:rPr>
          <w:sz w:val="20"/>
          <w:szCs w:val="20"/>
          <w:lang w:val="fr-CA"/>
        </w:rPr>
      </w:pPr>
    </w:p>
    <w:p w:rsidR="002C1807" w:rsidRPr="0060101E" w:rsidRDefault="002C1807" w:rsidP="002C1807">
      <w:pPr>
        <w:widowControl w:val="0"/>
        <w:ind w:left="2880" w:hanging="2880"/>
        <w:jc w:val="both"/>
        <w:rPr>
          <w:sz w:val="20"/>
          <w:szCs w:val="20"/>
          <w:lang w:val="fr-CA"/>
        </w:rPr>
      </w:pPr>
      <w:r w:rsidRPr="0060101E">
        <w:rPr>
          <w:sz w:val="20"/>
          <w:szCs w:val="20"/>
          <w:lang w:val="fr-CA"/>
        </w:rPr>
        <w:t>Avocats :</w:t>
      </w:r>
      <w:r w:rsidRPr="0060101E">
        <w:rPr>
          <w:sz w:val="20"/>
          <w:szCs w:val="20"/>
          <w:lang w:val="fr-CA"/>
        </w:rPr>
        <w:tab/>
        <w:t xml:space="preserve">Benjamin Zarnett, Fred Myers, Brian Empey et Peter </w:t>
      </w:r>
      <w:r w:rsidRPr="0060101E">
        <w:rPr>
          <w:sz w:val="20"/>
          <w:szCs w:val="20"/>
          <w:lang w:val="fr-CA"/>
        </w:rPr>
        <w:tab/>
      </w:r>
      <w:r>
        <w:rPr>
          <w:sz w:val="20"/>
          <w:szCs w:val="20"/>
          <w:lang w:val="fr-CA"/>
        </w:rPr>
        <w:t>K</w:t>
      </w:r>
      <w:r w:rsidRPr="0060101E">
        <w:rPr>
          <w:sz w:val="20"/>
          <w:szCs w:val="20"/>
          <w:lang w:val="fr-CA"/>
        </w:rPr>
        <w:t>olla pour l’appelante Sun Indalex Finance, LLC</w:t>
      </w:r>
    </w:p>
    <w:p w:rsidR="002C1807" w:rsidRPr="0060101E" w:rsidRDefault="002C1807" w:rsidP="002C1807">
      <w:pPr>
        <w:widowControl w:val="0"/>
        <w:ind w:left="2880" w:hanging="2880"/>
        <w:jc w:val="both"/>
        <w:rPr>
          <w:sz w:val="20"/>
          <w:szCs w:val="20"/>
          <w:lang w:val="fr-CA"/>
        </w:rPr>
      </w:pPr>
      <w:r w:rsidRPr="0060101E">
        <w:rPr>
          <w:sz w:val="20"/>
          <w:szCs w:val="20"/>
          <w:lang w:val="fr-CA"/>
        </w:rPr>
        <w:tab/>
        <w:t xml:space="preserve">David R. Byers, Ashley John Taylor, Nicholas McHaffie et Lesley Mercer pour l’appelante FTI Consulting Canada </w:t>
      </w:r>
      <w:r w:rsidRPr="0060101E">
        <w:rPr>
          <w:sz w:val="20"/>
          <w:szCs w:val="20"/>
          <w:lang w:val="fr-CA"/>
        </w:rPr>
        <w:tab/>
        <w:t>ULC</w:t>
      </w:r>
    </w:p>
    <w:p w:rsidR="002C1807" w:rsidRPr="0060101E" w:rsidRDefault="002C1807" w:rsidP="002C1807">
      <w:pPr>
        <w:widowControl w:val="0"/>
        <w:ind w:left="2880" w:hanging="2880"/>
        <w:jc w:val="both"/>
        <w:rPr>
          <w:sz w:val="20"/>
          <w:szCs w:val="20"/>
          <w:lang w:val="fr-CA"/>
        </w:rPr>
      </w:pPr>
      <w:r w:rsidRPr="0060101E">
        <w:rPr>
          <w:sz w:val="20"/>
          <w:szCs w:val="20"/>
          <w:lang w:val="fr-CA"/>
        </w:rPr>
        <w:tab/>
        <w:t>Harvey G. Chaiton et George Benchetrit pour l’appelant George L. Miller</w:t>
      </w:r>
    </w:p>
    <w:p w:rsidR="002C1807" w:rsidRPr="0060101E" w:rsidRDefault="002C1807" w:rsidP="002C1807">
      <w:pPr>
        <w:widowControl w:val="0"/>
        <w:ind w:left="2880" w:hanging="2880"/>
        <w:jc w:val="both"/>
        <w:rPr>
          <w:sz w:val="20"/>
          <w:szCs w:val="20"/>
          <w:lang w:val="fr-CA"/>
        </w:rPr>
      </w:pPr>
      <w:r w:rsidRPr="0060101E">
        <w:rPr>
          <w:sz w:val="20"/>
          <w:szCs w:val="20"/>
          <w:lang w:val="fr-CA"/>
        </w:rPr>
        <w:tab/>
        <w:t>Darrell L. Brown pour l’appelant/intimé Métallurgistes Unis</w:t>
      </w:r>
    </w:p>
    <w:p w:rsidR="002C1807" w:rsidRPr="0060101E" w:rsidRDefault="002C1807" w:rsidP="002C1807">
      <w:pPr>
        <w:widowControl w:val="0"/>
        <w:ind w:left="2880" w:hanging="2880"/>
        <w:jc w:val="both"/>
        <w:rPr>
          <w:sz w:val="20"/>
          <w:szCs w:val="20"/>
          <w:lang w:val="fr-CA"/>
        </w:rPr>
      </w:pPr>
      <w:r w:rsidRPr="0060101E">
        <w:rPr>
          <w:sz w:val="20"/>
          <w:szCs w:val="20"/>
          <w:lang w:val="fr-CA"/>
        </w:rPr>
        <w:tab/>
        <w:t xml:space="preserve">Andrew J. </w:t>
      </w:r>
      <w:proofErr w:type="spellStart"/>
      <w:r w:rsidRPr="0060101E">
        <w:rPr>
          <w:sz w:val="20"/>
          <w:szCs w:val="20"/>
          <w:lang w:val="fr-CA"/>
        </w:rPr>
        <w:t>Hatnay</w:t>
      </w:r>
      <w:proofErr w:type="spellEnd"/>
      <w:r w:rsidRPr="0060101E">
        <w:rPr>
          <w:sz w:val="20"/>
          <w:szCs w:val="20"/>
          <w:lang w:val="fr-CA"/>
        </w:rPr>
        <w:t xml:space="preserve"> et </w:t>
      </w:r>
      <w:proofErr w:type="spellStart"/>
      <w:r w:rsidRPr="0060101E">
        <w:rPr>
          <w:sz w:val="20"/>
          <w:szCs w:val="20"/>
          <w:lang w:val="fr-CA"/>
        </w:rPr>
        <w:t>Demetrios</w:t>
      </w:r>
      <w:proofErr w:type="spellEnd"/>
      <w:r w:rsidRPr="0060101E">
        <w:rPr>
          <w:sz w:val="20"/>
          <w:szCs w:val="20"/>
          <w:lang w:val="fr-CA"/>
        </w:rPr>
        <w:t xml:space="preserve"> </w:t>
      </w:r>
      <w:proofErr w:type="spellStart"/>
      <w:r w:rsidRPr="0060101E">
        <w:rPr>
          <w:sz w:val="20"/>
          <w:szCs w:val="20"/>
          <w:lang w:val="fr-CA"/>
        </w:rPr>
        <w:t>Yiokaria</w:t>
      </w:r>
      <w:proofErr w:type="spellEnd"/>
      <w:r w:rsidRPr="0060101E">
        <w:rPr>
          <w:sz w:val="20"/>
          <w:szCs w:val="20"/>
          <w:lang w:val="fr-CA"/>
        </w:rPr>
        <w:t xml:space="preserve"> pour les retraités</w:t>
      </w:r>
      <w:r w:rsidR="00672192">
        <w:rPr>
          <w:sz w:val="20"/>
          <w:szCs w:val="20"/>
          <w:lang w:val="fr-CA"/>
        </w:rPr>
        <w:t xml:space="preserve"> </w:t>
      </w:r>
      <w:r w:rsidRPr="0060101E">
        <w:rPr>
          <w:sz w:val="20"/>
          <w:szCs w:val="20"/>
          <w:lang w:val="fr-CA"/>
        </w:rPr>
        <w:t>intimés</w:t>
      </w:r>
    </w:p>
    <w:p w:rsidR="002C1807" w:rsidRPr="0060101E" w:rsidRDefault="002C1807" w:rsidP="002C1807">
      <w:pPr>
        <w:widowControl w:val="0"/>
        <w:ind w:left="2880" w:hanging="2880"/>
        <w:jc w:val="both"/>
        <w:rPr>
          <w:sz w:val="20"/>
          <w:szCs w:val="20"/>
          <w:lang w:val="fr-CA"/>
        </w:rPr>
      </w:pPr>
      <w:r w:rsidRPr="0060101E">
        <w:rPr>
          <w:sz w:val="20"/>
          <w:szCs w:val="20"/>
          <w:lang w:val="fr-CA"/>
        </w:rPr>
        <w:tab/>
        <w:t>Hugh O’Reilly et Amanda Darrach pour l’intimée</w:t>
      </w:r>
      <w:r>
        <w:rPr>
          <w:sz w:val="20"/>
          <w:szCs w:val="20"/>
          <w:lang w:val="fr-CA"/>
        </w:rPr>
        <w:t xml:space="preserve"> </w:t>
      </w:r>
      <w:r w:rsidRPr="0060101E">
        <w:rPr>
          <w:sz w:val="20"/>
          <w:szCs w:val="20"/>
          <w:lang w:val="fr-CA"/>
        </w:rPr>
        <w:t>Morneau Shepell Ltd.</w:t>
      </w:r>
    </w:p>
    <w:p w:rsidR="00DA4855" w:rsidRPr="00DD0B49" w:rsidRDefault="00DA4855" w:rsidP="00DA4855">
      <w:pPr>
        <w:tabs>
          <w:tab w:val="left" w:pos="-1440"/>
          <w:tab w:val="left" w:pos="-720"/>
        </w:tabs>
        <w:jc w:val="both"/>
        <w:rPr>
          <w:sz w:val="20"/>
          <w:szCs w:val="20"/>
          <w:lang w:val="fr-CA"/>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098"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rsidP="000B3C9A">
      <w:pPr>
        <w:tabs>
          <w:tab w:val="left" w:pos="-1440"/>
          <w:tab w:val="left" w:pos="-720"/>
        </w:tabs>
        <w:jc w:val="both"/>
        <w:rPr>
          <w:sz w:val="20"/>
          <w:szCs w:val="20"/>
          <w:lang w:val="fr-CA"/>
        </w:rPr>
      </w:pPr>
    </w:p>
    <w:p w:rsidR="00DA4855" w:rsidRDefault="00DA4855" w:rsidP="000B3C9A">
      <w:pPr>
        <w:tabs>
          <w:tab w:val="left" w:pos="-1440"/>
          <w:tab w:val="left" w:pos="-720"/>
        </w:tabs>
        <w:jc w:val="both"/>
        <w:rPr>
          <w:sz w:val="20"/>
          <w:szCs w:val="20"/>
          <w:lang w:val="fr-CA"/>
        </w:rPr>
      </w:pPr>
    </w:p>
    <w:p w:rsidR="00DA4855" w:rsidRDefault="00DA4855">
      <w:pPr>
        <w:rPr>
          <w:sz w:val="20"/>
          <w:szCs w:val="20"/>
          <w:lang w:val="fr-CA"/>
        </w:rPr>
      </w:pPr>
      <w:r>
        <w:rPr>
          <w:sz w:val="20"/>
          <w:szCs w:val="20"/>
          <w:lang w:val="fr-CA"/>
        </w:rPr>
        <w:br w:type="page"/>
      </w:r>
    </w:p>
    <w:p w:rsidR="00D933E5" w:rsidRPr="00333668" w:rsidRDefault="003B0427" w:rsidP="00D933E5">
      <w:pPr>
        <w:widowControl w:val="0"/>
        <w:ind w:left="720" w:hanging="720"/>
        <w:jc w:val="both"/>
        <w:rPr>
          <w:sz w:val="20"/>
          <w:szCs w:val="20"/>
        </w:rPr>
      </w:pPr>
      <w:r w:rsidRPr="00333668">
        <w:rPr>
          <w:b/>
          <w:sz w:val="20"/>
          <w:szCs w:val="20"/>
        </w:rPr>
        <w:lastRenderedPageBreak/>
        <w:fldChar w:fldCharType="begin"/>
      </w:r>
      <w:r w:rsidR="00D933E5" w:rsidRPr="00333668">
        <w:rPr>
          <w:b/>
          <w:sz w:val="20"/>
          <w:szCs w:val="20"/>
        </w:rPr>
        <w:instrText xml:space="preserve"> SEQ CHAPTER \h \r 1</w:instrText>
      </w:r>
      <w:r w:rsidRPr="00333668">
        <w:rPr>
          <w:b/>
          <w:sz w:val="20"/>
          <w:szCs w:val="20"/>
        </w:rPr>
        <w:fldChar w:fldCharType="end"/>
      </w:r>
      <w:r w:rsidR="00D933E5" w:rsidRPr="00333668">
        <w:rPr>
          <w:b/>
          <w:sz w:val="20"/>
          <w:szCs w:val="20"/>
        </w:rPr>
        <w:t>34582</w:t>
      </w:r>
      <w:r w:rsidR="00D933E5" w:rsidRPr="00333668">
        <w:rPr>
          <w:sz w:val="20"/>
          <w:szCs w:val="20"/>
        </w:rPr>
        <w:tab/>
      </w:r>
      <w:r w:rsidR="00D933E5" w:rsidRPr="00333668">
        <w:rPr>
          <w:b/>
          <w:i/>
          <w:sz w:val="20"/>
          <w:szCs w:val="20"/>
        </w:rPr>
        <w:t>Donald Boudreault v. Her Majesty the Queen</w:t>
      </w:r>
    </w:p>
    <w:p w:rsidR="00D933E5" w:rsidRPr="00333668" w:rsidRDefault="00D933E5" w:rsidP="00D933E5">
      <w:pPr>
        <w:widowControl w:val="0"/>
        <w:jc w:val="both"/>
        <w:rPr>
          <w:sz w:val="20"/>
          <w:szCs w:val="20"/>
        </w:rPr>
      </w:pPr>
    </w:p>
    <w:p w:rsidR="00D933E5" w:rsidRPr="00333668" w:rsidRDefault="00D933E5" w:rsidP="00D933E5">
      <w:pPr>
        <w:widowControl w:val="0"/>
        <w:jc w:val="both"/>
        <w:rPr>
          <w:sz w:val="20"/>
          <w:szCs w:val="20"/>
        </w:rPr>
      </w:pPr>
      <w:r w:rsidRPr="00333668">
        <w:rPr>
          <w:sz w:val="20"/>
          <w:szCs w:val="20"/>
        </w:rPr>
        <w:t xml:space="preserve">Criminal law </w:t>
      </w:r>
      <w:r w:rsidRPr="00333668">
        <w:rPr>
          <w:sz w:val="20"/>
          <w:szCs w:val="20"/>
        </w:rPr>
        <w:noBreakHyphen/>
        <w:t xml:space="preserve"> Offences </w:t>
      </w:r>
      <w:r w:rsidRPr="00333668">
        <w:rPr>
          <w:sz w:val="20"/>
          <w:szCs w:val="20"/>
        </w:rPr>
        <w:noBreakHyphen/>
        <w:t xml:space="preserve"> Elements of offence </w:t>
      </w:r>
      <w:r w:rsidRPr="00333668">
        <w:rPr>
          <w:sz w:val="20"/>
          <w:szCs w:val="20"/>
        </w:rPr>
        <w:noBreakHyphen/>
        <w:t xml:space="preserve"> Impaired driving and driving over “80” </w:t>
      </w:r>
      <w:r w:rsidRPr="00333668">
        <w:rPr>
          <w:sz w:val="20"/>
          <w:szCs w:val="20"/>
        </w:rPr>
        <w:noBreakHyphen/>
        <w:t xml:space="preserve"> Proof of intent to drive </w:t>
      </w:r>
      <w:r w:rsidRPr="00333668">
        <w:rPr>
          <w:sz w:val="20"/>
          <w:szCs w:val="20"/>
        </w:rPr>
        <w:noBreakHyphen/>
        <w:t xml:space="preserve"> Defences </w:t>
      </w:r>
      <w:r w:rsidRPr="00333668">
        <w:rPr>
          <w:sz w:val="20"/>
          <w:szCs w:val="20"/>
        </w:rPr>
        <w:noBreakHyphen/>
        <w:t xml:space="preserve"> Whether Court of Appeal erred in identifying elements of offence of having care or control of motor vehicle for purposes of s. 253(1)(</w:t>
      </w:r>
      <w:r w:rsidRPr="00333668">
        <w:rPr>
          <w:i/>
          <w:sz w:val="20"/>
          <w:szCs w:val="20"/>
        </w:rPr>
        <w:t>a</w:t>
      </w:r>
      <w:r w:rsidRPr="00333668">
        <w:rPr>
          <w:sz w:val="20"/>
          <w:szCs w:val="20"/>
        </w:rPr>
        <w:t>) and (</w:t>
      </w:r>
      <w:r w:rsidRPr="00333668">
        <w:rPr>
          <w:i/>
          <w:sz w:val="20"/>
          <w:szCs w:val="20"/>
        </w:rPr>
        <w:t>b</w:t>
      </w:r>
      <w:r w:rsidRPr="00333668">
        <w:rPr>
          <w:sz w:val="20"/>
          <w:szCs w:val="20"/>
        </w:rPr>
        <w:t xml:space="preserve">) of </w:t>
      </w:r>
      <w:r w:rsidRPr="00333668">
        <w:rPr>
          <w:i/>
          <w:sz w:val="20"/>
          <w:szCs w:val="20"/>
        </w:rPr>
        <w:t xml:space="preserve">Criminal Code </w:t>
      </w:r>
      <w:r w:rsidRPr="00333668">
        <w:rPr>
          <w:sz w:val="20"/>
          <w:szCs w:val="20"/>
        </w:rPr>
        <w:noBreakHyphen/>
        <w:t xml:space="preserve"> Whether Court of Appeal erred in not considering “alternate plan” defence in relation to lack of intent to drive </w:t>
      </w:r>
      <w:r w:rsidRPr="00333668">
        <w:rPr>
          <w:sz w:val="20"/>
          <w:szCs w:val="20"/>
        </w:rPr>
        <w:noBreakHyphen/>
        <w:t xml:space="preserve"> Whether Court of Appeal erred in law in rejecting “alternate plan” as defence to charge of care and control of motor vehicle </w:t>
      </w:r>
      <w:r w:rsidRPr="00333668">
        <w:rPr>
          <w:sz w:val="20"/>
          <w:szCs w:val="20"/>
        </w:rPr>
        <w:noBreakHyphen/>
        <w:t xml:space="preserve"> Whether Court of Appeal erred in holding that risk that appellant might start driving motor vehicle is question of law.</w:t>
      </w:r>
    </w:p>
    <w:p w:rsidR="00D933E5" w:rsidRPr="00333668" w:rsidRDefault="00D933E5" w:rsidP="00D933E5">
      <w:pPr>
        <w:widowControl w:val="0"/>
        <w:jc w:val="both"/>
        <w:rPr>
          <w:sz w:val="20"/>
          <w:szCs w:val="20"/>
        </w:rPr>
      </w:pPr>
    </w:p>
    <w:p w:rsidR="00D933E5" w:rsidRPr="00333668" w:rsidRDefault="00D933E5" w:rsidP="00D933E5">
      <w:pPr>
        <w:widowControl w:val="0"/>
        <w:jc w:val="both"/>
        <w:rPr>
          <w:sz w:val="20"/>
          <w:szCs w:val="20"/>
        </w:rPr>
      </w:pPr>
      <w:r w:rsidRPr="00333668">
        <w:rPr>
          <w:sz w:val="20"/>
          <w:szCs w:val="20"/>
        </w:rPr>
        <w:t>After drinking a large quantity of alcohol, the appellant decided not to drive his automobile but to call a “designated driver” service.  He decided to wait for them in his vehicle, sitting in the driver’s seat with the motor running, and then fell asleep.  He was in this state when arrested by the police.  Having rebutted the presumption provided for in s. 258(1)(</w:t>
      </w:r>
      <w:r w:rsidRPr="00333668">
        <w:rPr>
          <w:i/>
          <w:sz w:val="20"/>
          <w:szCs w:val="20"/>
        </w:rPr>
        <w:t>a</w:t>
      </w:r>
      <w:r w:rsidRPr="00333668">
        <w:rPr>
          <w:sz w:val="20"/>
          <w:szCs w:val="20"/>
        </w:rPr>
        <w:t xml:space="preserve">) of the </w:t>
      </w:r>
      <w:r w:rsidRPr="00333668">
        <w:rPr>
          <w:i/>
          <w:sz w:val="20"/>
          <w:szCs w:val="20"/>
        </w:rPr>
        <w:t>Criminal Code</w:t>
      </w:r>
      <w:r w:rsidRPr="00333668">
        <w:rPr>
          <w:sz w:val="20"/>
          <w:szCs w:val="20"/>
        </w:rPr>
        <w:t>, the appellant was acquitted of the offences provided for in s. 253(1)(</w:t>
      </w:r>
      <w:r w:rsidRPr="00333668">
        <w:rPr>
          <w:i/>
          <w:sz w:val="20"/>
          <w:szCs w:val="20"/>
        </w:rPr>
        <w:t>a</w:t>
      </w:r>
      <w:r w:rsidRPr="00333668">
        <w:rPr>
          <w:sz w:val="20"/>
          <w:szCs w:val="20"/>
        </w:rPr>
        <w:t>) and (</w:t>
      </w:r>
      <w:r w:rsidRPr="00333668">
        <w:rPr>
          <w:i/>
          <w:sz w:val="20"/>
          <w:szCs w:val="20"/>
        </w:rPr>
        <w:t>b</w:t>
      </w:r>
      <w:r w:rsidRPr="00333668">
        <w:rPr>
          <w:sz w:val="20"/>
          <w:szCs w:val="20"/>
        </w:rPr>
        <w:t xml:space="preserve">).  The judge held that the Crown had failed to prove the </w:t>
      </w:r>
      <w:r w:rsidRPr="00333668">
        <w:rPr>
          <w:i/>
          <w:sz w:val="20"/>
          <w:szCs w:val="20"/>
        </w:rPr>
        <w:t>actus reus</w:t>
      </w:r>
      <w:r w:rsidRPr="00333668">
        <w:rPr>
          <w:sz w:val="20"/>
          <w:szCs w:val="20"/>
        </w:rPr>
        <w:t xml:space="preserve">, as there was no risk of the appellant driving the vehicle.  The Court of Appeal allowed the Crown’s appeal and found the appellant guilty on both counts.  Citing </w:t>
      </w:r>
      <w:r w:rsidRPr="00333668">
        <w:rPr>
          <w:i/>
          <w:sz w:val="20"/>
          <w:szCs w:val="20"/>
        </w:rPr>
        <w:t>Sergerie v. R.</w:t>
      </w:r>
      <w:r w:rsidRPr="00333668">
        <w:rPr>
          <w:sz w:val="20"/>
          <w:szCs w:val="20"/>
        </w:rPr>
        <w:t xml:space="preserve">, 2005 QCCA 1227, it explained that intent to drive is not an essential element of the offences. </w:t>
      </w:r>
    </w:p>
    <w:p w:rsidR="00D933E5" w:rsidRPr="00333668" w:rsidRDefault="00D933E5" w:rsidP="00D933E5">
      <w:pPr>
        <w:widowControl w:val="0"/>
        <w:jc w:val="both"/>
        <w:rPr>
          <w:sz w:val="20"/>
          <w:szCs w:val="20"/>
        </w:rPr>
      </w:pPr>
    </w:p>
    <w:p w:rsidR="00D933E5" w:rsidRPr="00333668" w:rsidRDefault="00D933E5" w:rsidP="00D933E5">
      <w:pPr>
        <w:widowControl w:val="0"/>
        <w:jc w:val="both"/>
        <w:rPr>
          <w:sz w:val="20"/>
          <w:szCs w:val="20"/>
        </w:rPr>
      </w:pPr>
    </w:p>
    <w:p w:rsidR="00D933E5" w:rsidRPr="00333668" w:rsidRDefault="00D933E5" w:rsidP="00D933E5">
      <w:pPr>
        <w:widowControl w:val="0"/>
        <w:ind w:left="2880" w:hanging="2880"/>
        <w:jc w:val="both"/>
        <w:rPr>
          <w:sz w:val="20"/>
          <w:szCs w:val="20"/>
        </w:rPr>
      </w:pPr>
      <w:r w:rsidRPr="00333668">
        <w:rPr>
          <w:sz w:val="20"/>
          <w:szCs w:val="20"/>
        </w:rPr>
        <w:t>Origin of the case:</w:t>
      </w:r>
      <w:r w:rsidRPr="00333668">
        <w:rPr>
          <w:sz w:val="20"/>
          <w:szCs w:val="20"/>
        </w:rPr>
        <w:tab/>
        <w:t>Quebec</w:t>
      </w:r>
    </w:p>
    <w:p w:rsidR="00D933E5" w:rsidRPr="00333668" w:rsidRDefault="00D933E5" w:rsidP="00D933E5">
      <w:pPr>
        <w:widowControl w:val="0"/>
        <w:ind w:left="2880" w:hanging="2880"/>
        <w:jc w:val="both"/>
        <w:rPr>
          <w:sz w:val="20"/>
          <w:szCs w:val="20"/>
        </w:rPr>
      </w:pPr>
    </w:p>
    <w:p w:rsidR="00D933E5" w:rsidRPr="00333668" w:rsidRDefault="00D933E5" w:rsidP="00D933E5">
      <w:pPr>
        <w:widowControl w:val="0"/>
        <w:ind w:left="2880" w:hanging="2880"/>
        <w:jc w:val="both"/>
        <w:rPr>
          <w:sz w:val="20"/>
          <w:szCs w:val="20"/>
        </w:rPr>
      </w:pPr>
      <w:r w:rsidRPr="00333668">
        <w:rPr>
          <w:sz w:val="20"/>
          <w:szCs w:val="20"/>
        </w:rPr>
        <w:t>File No.:</w:t>
      </w:r>
      <w:r w:rsidRPr="00333668">
        <w:rPr>
          <w:sz w:val="20"/>
          <w:szCs w:val="20"/>
        </w:rPr>
        <w:tab/>
        <w:t>34582</w:t>
      </w:r>
    </w:p>
    <w:p w:rsidR="00D933E5" w:rsidRPr="00333668" w:rsidRDefault="00D933E5" w:rsidP="00D933E5">
      <w:pPr>
        <w:widowControl w:val="0"/>
        <w:ind w:left="2880" w:hanging="2880"/>
        <w:jc w:val="both"/>
        <w:rPr>
          <w:sz w:val="20"/>
          <w:szCs w:val="20"/>
        </w:rPr>
      </w:pPr>
    </w:p>
    <w:p w:rsidR="00D933E5" w:rsidRPr="00333668" w:rsidRDefault="00D933E5" w:rsidP="00D933E5">
      <w:pPr>
        <w:widowControl w:val="0"/>
        <w:ind w:left="2880" w:hanging="2880"/>
        <w:jc w:val="both"/>
        <w:rPr>
          <w:sz w:val="20"/>
          <w:szCs w:val="20"/>
        </w:rPr>
      </w:pPr>
      <w:r w:rsidRPr="00333668">
        <w:rPr>
          <w:sz w:val="20"/>
          <w:szCs w:val="20"/>
        </w:rPr>
        <w:t>Judgment of the Court of Appeal:</w:t>
      </w:r>
      <w:r w:rsidRPr="00333668">
        <w:rPr>
          <w:sz w:val="20"/>
          <w:szCs w:val="20"/>
        </w:rPr>
        <w:tab/>
        <w:t>November 11, 2011</w:t>
      </w:r>
    </w:p>
    <w:p w:rsidR="00D933E5" w:rsidRPr="00333668" w:rsidRDefault="00D933E5" w:rsidP="00D933E5">
      <w:pPr>
        <w:widowControl w:val="0"/>
        <w:ind w:left="2880" w:hanging="2880"/>
        <w:jc w:val="both"/>
        <w:rPr>
          <w:sz w:val="20"/>
          <w:szCs w:val="20"/>
        </w:rPr>
      </w:pPr>
    </w:p>
    <w:p w:rsidR="00D933E5" w:rsidRPr="00333668" w:rsidRDefault="00D933E5" w:rsidP="00D933E5">
      <w:pPr>
        <w:widowControl w:val="0"/>
        <w:ind w:left="2880" w:hanging="2880"/>
        <w:jc w:val="both"/>
        <w:rPr>
          <w:sz w:val="20"/>
          <w:szCs w:val="20"/>
        </w:rPr>
      </w:pPr>
      <w:r w:rsidRPr="00333668">
        <w:rPr>
          <w:sz w:val="20"/>
          <w:szCs w:val="20"/>
        </w:rPr>
        <w:t>Counsel:</w:t>
      </w:r>
      <w:r w:rsidRPr="00333668">
        <w:rPr>
          <w:sz w:val="20"/>
          <w:szCs w:val="20"/>
        </w:rPr>
        <w:tab/>
        <w:t>Jean</w:t>
      </w:r>
      <w:r w:rsidRPr="00333668">
        <w:rPr>
          <w:sz w:val="20"/>
          <w:szCs w:val="20"/>
        </w:rPr>
        <w:noBreakHyphen/>
        <w:t>Marc Fradette for the appellant</w:t>
      </w:r>
    </w:p>
    <w:p w:rsidR="00D933E5" w:rsidRPr="00333668" w:rsidRDefault="00D933E5" w:rsidP="00D933E5">
      <w:pPr>
        <w:widowControl w:val="0"/>
        <w:ind w:left="2880" w:hanging="2880"/>
        <w:jc w:val="both"/>
        <w:rPr>
          <w:sz w:val="20"/>
          <w:szCs w:val="20"/>
        </w:rPr>
      </w:pPr>
      <w:r w:rsidRPr="00333668">
        <w:rPr>
          <w:sz w:val="20"/>
          <w:szCs w:val="20"/>
        </w:rPr>
        <w:tab/>
        <w:t>Michaël Bourget for the respondent</w:t>
      </w:r>
    </w:p>
    <w:p w:rsidR="00DA4855" w:rsidRPr="00D933E5" w:rsidRDefault="00DA4855" w:rsidP="00DA4855">
      <w:pPr>
        <w:tabs>
          <w:tab w:val="left" w:pos="-1440"/>
          <w:tab w:val="left" w:pos="-720"/>
        </w:tabs>
        <w:jc w:val="both"/>
        <w:rPr>
          <w:sz w:val="20"/>
          <w:szCs w:val="20"/>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099"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rsidP="000B3C9A">
      <w:pPr>
        <w:tabs>
          <w:tab w:val="left" w:pos="-1440"/>
          <w:tab w:val="left" w:pos="-720"/>
        </w:tabs>
        <w:jc w:val="both"/>
        <w:rPr>
          <w:sz w:val="20"/>
          <w:szCs w:val="20"/>
          <w:lang w:val="fr-CA"/>
        </w:rPr>
      </w:pPr>
    </w:p>
    <w:p w:rsidR="00DA4855" w:rsidRDefault="00DA4855" w:rsidP="000B3C9A">
      <w:pPr>
        <w:tabs>
          <w:tab w:val="left" w:pos="-1440"/>
          <w:tab w:val="left" w:pos="-720"/>
        </w:tabs>
        <w:jc w:val="both"/>
        <w:rPr>
          <w:sz w:val="20"/>
          <w:szCs w:val="20"/>
          <w:lang w:val="fr-CA"/>
        </w:rPr>
      </w:pPr>
    </w:p>
    <w:p w:rsidR="00DA4855" w:rsidRDefault="00DA4855">
      <w:pPr>
        <w:rPr>
          <w:sz w:val="20"/>
          <w:szCs w:val="20"/>
          <w:lang w:val="fr-CA"/>
        </w:rPr>
      </w:pPr>
      <w:r>
        <w:rPr>
          <w:sz w:val="20"/>
          <w:szCs w:val="20"/>
          <w:lang w:val="fr-CA"/>
        </w:rPr>
        <w:br w:type="page"/>
      </w:r>
    </w:p>
    <w:p w:rsidR="00917604" w:rsidRPr="008848F2" w:rsidRDefault="003B0427" w:rsidP="00917604">
      <w:pPr>
        <w:widowControl w:val="0"/>
        <w:ind w:left="720" w:hanging="720"/>
        <w:jc w:val="both"/>
        <w:rPr>
          <w:sz w:val="20"/>
          <w:szCs w:val="20"/>
          <w:lang w:val="fr-CA"/>
        </w:rPr>
      </w:pPr>
      <w:r w:rsidRPr="003B0427">
        <w:rPr>
          <w:b/>
          <w:sz w:val="20"/>
          <w:szCs w:val="20"/>
          <w:lang w:val="fr-CA"/>
        </w:rPr>
        <w:lastRenderedPageBreak/>
        <w:fldChar w:fldCharType="begin"/>
      </w:r>
      <w:r w:rsidR="00917604" w:rsidRPr="008848F2">
        <w:rPr>
          <w:b/>
          <w:sz w:val="20"/>
          <w:szCs w:val="20"/>
          <w:lang w:val="fr-CA"/>
        </w:rPr>
        <w:instrText xml:space="preserve"> SEQ CHAPTER \h \r 1</w:instrText>
      </w:r>
      <w:r w:rsidRPr="008848F2">
        <w:rPr>
          <w:b/>
          <w:sz w:val="20"/>
          <w:szCs w:val="20"/>
        </w:rPr>
        <w:fldChar w:fldCharType="end"/>
      </w:r>
      <w:r w:rsidR="00917604" w:rsidRPr="008848F2">
        <w:rPr>
          <w:b/>
          <w:sz w:val="20"/>
          <w:szCs w:val="20"/>
          <w:lang w:val="fr-CA"/>
        </w:rPr>
        <w:t>34582</w:t>
      </w:r>
      <w:r w:rsidR="00917604" w:rsidRPr="008848F2">
        <w:rPr>
          <w:sz w:val="20"/>
          <w:szCs w:val="20"/>
          <w:lang w:val="fr-CA"/>
        </w:rPr>
        <w:tab/>
      </w:r>
      <w:r w:rsidR="00917604" w:rsidRPr="008848F2">
        <w:rPr>
          <w:b/>
          <w:i/>
          <w:sz w:val="20"/>
          <w:szCs w:val="20"/>
          <w:lang w:val="fr-CA"/>
        </w:rPr>
        <w:t>Donald Boudreault c. Sa Majesté la Reine</w:t>
      </w:r>
    </w:p>
    <w:p w:rsidR="00917604" w:rsidRPr="008848F2" w:rsidRDefault="00917604" w:rsidP="00917604">
      <w:pPr>
        <w:widowControl w:val="0"/>
        <w:jc w:val="both"/>
        <w:rPr>
          <w:sz w:val="20"/>
          <w:szCs w:val="20"/>
          <w:lang w:val="fr-CA"/>
        </w:rPr>
      </w:pPr>
    </w:p>
    <w:p w:rsidR="00917604" w:rsidRPr="008848F2" w:rsidRDefault="00917604" w:rsidP="00917604">
      <w:pPr>
        <w:widowControl w:val="0"/>
        <w:jc w:val="both"/>
        <w:rPr>
          <w:sz w:val="20"/>
          <w:szCs w:val="20"/>
          <w:lang w:val="fr-CA"/>
        </w:rPr>
      </w:pPr>
      <w:r w:rsidRPr="008848F2">
        <w:rPr>
          <w:sz w:val="20"/>
          <w:szCs w:val="20"/>
          <w:lang w:val="fr-CA"/>
        </w:rPr>
        <w:t xml:space="preserve">Droit criminel </w:t>
      </w:r>
      <w:r w:rsidRPr="008848F2">
        <w:rPr>
          <w:sz w:val="20"/>
          <w:szCs w:val="20"/>
          <w:lang w:val="fr-CA"/>
        </w:rPr>
        <w:noBreakHyphen/>
        <w:t xml:space="preserve"> Infractions </w:t>
      </w:r>
      <w:r w:rsidRPr="008848F2">
        <w:rPr>
          <w:sz w:val="20"/>
          <w:szCs w:val="20"/>
          <w:lang w:val="fr-CA"/>
        </w:rPr>
        <w:noBreakHyphen/>
        <w:t xml:space="preserve"> Éléments de l’infraction </w:t>
      </w:r>
      <w:r w:rsidRPr="008848F2">
        <w:rPr>
          <w:sz w:val="20"/>
          <w:szCs w:val="20"/>
          <w:lang w:val="fr-CA"/>
        </w:rPr>
        <w:noBreakHyphen/>
        <w:t xml:space="preserve"> Conduite avec facultés affaiblies et conduite avec une alcoolémie supérieure à « 0,08 » </w:t>
      </w:r>
      <w:r w:rsidRPr="008848F2">
        <w:rPr>
          <w:sz w:val="20"/>
          <w:szCs w:val="20"/>
          <w:lang w:val="fr-CA"/>
        </w:rPr>
        <w:noBreakHyphen/>
        <w:t xml:space="preserve"> Preuve d’intention de conduire </w:t>
      </w:r>
      <w:r w:rsidRPr="008848F2">
        <w:rPr>
          <w:sz w:val="20"/>
          <w:szCs w:val="20"/>
          <w:lang w:val="fr-CA"/>
        </w:rPr>
        <w:noBreakHyphen/>
        <w:t xml:space="preserve"> Moyens de défense </w:t>
      </w:r>
      <w:r w:rsidRPr="008848F2">
        <w:rPr>
          <w:sz w:val="20"/>
          <w:szCs w:val="20"/>
          <w:lang w:val="fr-CA"/>
        </w:rPr>
        <w:noBreakHyphen/>
        <w:t xml:space="preserve"> La Cour d’appel a</w:t>
      </w:r>
      <w:r w:rsidRPr="008848F2">
        <w:rPr>
          <w:sz w:val="20"/>
          <w:szCs w:val="20"/>
          <w:lang w:val="fr-CA"/>
        </w:rPr>
        <w:noBreakHyphen/>
        <w:t>t</w:t>
      </w:r>
      <w:r w:rsidRPr="008848F2">
        <w:rPr>
          <w:sz w:val="20"/>
          <w:szCs w:val="20"/>
          <w:lang w:val="fr-CA"/>
        </w:rPr>
        <w:noBreakHyphen/>
        <w:t xml:space="preserve">elle erré dans la détermination des éléments constitutifs de l’infraction d’avoir pris la garde ou le contrôle d’un véhicule à moteur en vertu des al. 253(1)a) et b) du </w:t>
      </w:r>
      <w:r w:rsidRPr="008848F2">
        <w:rPr>
          <w:i/>
          <w:sz w:val="20"/>
          <w:szCs w:val="20"/>
          <w:lang w:val="fr-CA"/>
        </w:rPr>
        <w:t>Code criminel</w:t>
      </w:r>
      <w:r w:rsidRPr="008848F2">
        <w:rPr>
          <w:sz w:val="20"/>
          <w:szCs w:val="20"/>
          <w:lang w:val="fr-CA"/>
        </w:rPr>
        <w:t xml:space="preserve">? </w:t>
      </w:r>
      <w:r w:rsidRPr="008848F2">
        <w:rPr>
          <w:sz w:val="20"/>
          <w:szCs w:val="20"/>
          <w:lang w:val="fr-CA"/>
        </w:rPr>
        <w:noBreakHyphen/>
        <w:t xml:space="preserve"> La Cour d’appel a</w:t>
      </w:r>
      <w:r w:rsidRPr="008848F2">
        <w:rPr>
          <w:sz w:val="20"/>
          <w:szCs w:val="20"/>
          <w:lang w:val="fr-CA"/>
        </w:rPr>
        <w:noBreakHyphen/>
        <w:t>t</w:t>
      </w:r>
      <w:r w:rsidRPr="008848F2">
        <w:rPr>
          <w:sz w:val="20"/>
          <w:szCs w:val="20"/>
          <w:lang w:val="fr-CA"/>
        </w:rPr>
        <w:noBreakHyphen/>
        <w:t xml:space="preserve">elle erré en omettant de considérer la défense de « plan alternatif » en corrélation avec l’absence d’intention de conduire? </w:t>
      </w:r>
      <w:r w:rsidRPr="008848F2">
        <w:rPr>
          <w:sz w:val="20"/>
          <w:szCs w:val="20"/>
          <w:lang w:val="fr-CA"/>
        </w:rPr>
        <w:noBreakHyphen/>
        <w:t xml:space="preserve"> La Cour d’appel a</w:t>
      </w:r>
      <w:r w:rsidRPr="008848F2">
        <w:rPr>
          <w:sz w:val="20"/>
          <w:szCs w:val="20"/>
          <w:lang w:val="fr-CA"/>
        </w:rPr>
        <w:noBreakHyphen/>
        <w:t>t</w:t>
      </w:r>
      <w:r w:rsidRPr="008848F2">
        <w:rPr>
          <w:sz w:val="20"/>
          <w:szCs w:val="20"/>
          <w:lang w:val="fr-CA"/>
        </w:rPr>
        <w:noBreakHyphen/>
        <w:t xml:space="preserve">elle erré en droit en rejetant la défense de « plan alternatif » comme étant une défense recevable de l’accusation de garde et contrôle d’un véhicule à moteur? </w:t>
      </w:r>
      <w:r w:rsidRPr="008848F2">
        <w:rPr>
          <w:sz w:val="20"/>
          <w:szCs w:val="20"/>
          <w:lang w:val="fr-CA"/>
        </w:rPr>
        <w:noBreakHyphen/>
        <w:t xml:space="preserve"> La Cour d’appel a</w:t>
      </w:r>
      <w:r w:rsidRPr="008848F2">
        <w:rPr>
          <w:sz w:val="20"/>
          <w:szCs w:val="20"/>
          <w:lang w:val="fr-CA"/>
        </w:rPr>
        <w:noBreakHyphen/>
        <w:t>t</w:t>
      </w:r>
      <w:r w:rsidRPr="008848F2">
        <w:rPr>
          <w:sz w:val="20"/>
          <w:szCs w:val="20"/>
          <w:lang w:val="fr-CA"/>
        </w:rPr>
        <w:noBreakHyphen/>
        <w:t>elle erré en concluant que le risque que l’appelant mette le véhicule à moteur en marche est une question de droit?</w:t>
      </w:r>
    </w:p>
    <w:p w:rsidR="00917604" w:rsidRPr="008848F2" w:rsidRDefault="00917604" w:rsidP="00917604">
      <w:pPr>
        <w:widowControl w:val="0"/>
        <w:jc w:val="both"/>
        <w:rPr>
          <w:sz w:val="20"/>
          <w:szCs w:val="20"/>
          <w:lang w:val="fr-CA"/>
        </w:rPr>
      </w:pPr>
    </w:p>
    <w:p w:rsidR="00917604" w:rsidRPr="008848F2" w:rsidRDefault="00917604" w:rsidP="00917604">
      <w:pPr>
        <w:widowControl w:val="0"/>
        <w:jc w:val="both"/>
        <w:rPr>
          <w:sz w:val="20"/>
          <w:szCs w:val="20"/>
          <w:lang w:val="fr-CA"/>
        </w:rPr>
      </w:pPr>
      <w:r w:rsidRPr="008848F2">
        <w:rPr>
          <w:sz w:val="20"/>
          <w:szCs w:val="20"/>
          <w:lang w:val="fr-CA"/>
        </w:rPr>
        <w:t>Après avoir consommé une grande quantité d’alcool, l’appelant décide de ne pas conduire son automobile et d’appeler un service de raccompagnement.  Il décide d’attendre celui</w:t>
      </w:r>
      <w:r w:rsidRPr="008848F2">
        <w:rPr>
          <w:sz w:val="20"/>
          <w:szCs w:val="20"/>
          <w:lang w:val="fr-CA"/>
        </w:rPr>
        <w:noBreakHyphen/>
        <w:t>ci dans son automobile, assis à l’endroit réservé au conducteur, le moteur en marche.  L’appelant s’endort.  C’est dans ce contexte que les policiers l’arrêtent.  Ayant réussi à repousser la présomption de l’al. 258(1)</w:t>
      </w:r>
      <w:r w:rsidRPr="008848F2">
        <w:rPr>
          <w:i/>
          <w:sz w:val="20"/>
          <w:szCs w:val="20"/>
          <w:lang w:val="fr-CA"/>
        </w:rPr>
        <w:t>a</w:t>
      </w:r>
      <w:r w:rsidRPr="008848F2">
        <w:rPr>
          <w:sz w:val="20"/>
          <w:szCs w:val="20"/>
          <w:lang w:val="fr-CA"/>
        </w:rPr>
        <w:t xml:space="preserve">) du </w:t>
      </w:r>
      <w:r w:rsidRPr="008848F2">
        <w:rPr>
          <w:i/>
          <w:sz w:val="20"/>
          <w:szCs w:val="20"/>
          <w:lang w:val="fr-CA"/>
        </w:rPr>
        <w:t>Code criminel</w:t>
      </w:r>
      <w:r w:rsidRPr="008848F2">
        <w:rPr>
          <w:sz w:val="20"/>
          <w:szCs w:val="20"/>
          <w:lang w:val="fr-CA"/>
        </w:rPr>
        <w:t>, l’appelant est acquitté des infractions prévues aux al. 253(1)</w:t>
      </w:r>
      <w:r w:rsidRPr="008848F2">
        <w:rPr>
          <w:i/>
          <w:sz w:val="20"/>
          <w:szCs w:val="20"/>
          <w:lang w:val="fr-CA"/>
        </w:rPr>
        <w:t>a</w:t>
      </w:r>
      <w:r w:rsidRPr="008848F2">
        <w:rPr>
          <w:sz w:val="20"/>
          <w:szCs w:val="20"/>
          <w:lang w:val="fr-CA"/>
        </w:rPr>
        <w:t xml:space="preserve">) et </w:t>
      </w:r>
      <w:r w:rsidRPr="008848F2">
        <w:rPr>
          <w:i/>
          <w:sz w:val="20"/>
          <w:szCs w:val="20"/>
          <w:lang w:val="fr-CA"/>
        </w:rPr>
        <w:t>b</w:t>
      </w:r>
      <w:r w:rsidRPr="008848F2">
        <w:rPr>
          <w:sz w:val="20"/>
          <w:szCs w:val="20"/>
          <w:lang w:val="fr-CA"/>
        </w:rPr>
        <w:t>).  Le juge conclut que le ministère public n’a pas réussi à prouver l’</w:t>
      </w:r>
      <w:r w:rsidRPr="008848F2">
        <w:rPr>
          <w:i/>
          <w:sz w:val="20"/>
          <w:szCs w:val="20"/>
          <w:lang w:val="fr-CA"/>
        </w:rPr>
        <w:t xml:space="preserve">actus réus </w:t>
      </w:r>
      <w:r w:rsidRPr="008848F2">
        <w:rPr>
          <w:sz w:val="20"/>
          <w:szCs w:val="20"/>
          <w:lang w:val="fr-CA"/>
        </w:rPr>
        <w:t xml:space="preserve">puisqu’il n’y avait aucun risque que l’appelant mette en marche son véhicule.  La Cour d’appel accueille l’appel du ministère public et déclare l’appelant coupable des deux chefs d’accusation.  En citant l’affaire </w:t>
      </w:r>
      <w:r w:rsidRPr="008848F2">
        <w:rPr>
          <w:i/>
          <w:sz w:val="20"/>
          <w:szCs w:val="20"/>
          <w:lang w:val="fr-CA"/>
        </w:rPr>
        <w:t>Sergerie c. R.</w:t>
      </w:r>
      <w:r w:rsidRPr="008848F2">
        <w:rPr>
          <w:sz w:val="20"/>
          <w:szCs w:val="20"/>
          <w:lang w:val="fr-CA"/>
        </w:rPr>
        <w:t xml:space="preserve">, 2005 QCCA 1227, elle explique que la preuve d’intention de conduire n’est pas un élément essentiel des infractions. </w:t>
      </w:r>
    </w:p>
    <w:p w:rsidR="00917604" w:rsidRPr="008848F2" w:rsidRDefault="00917604" w:rsidP="00917604">
      <w:pPr>
        <w:widowControl w:val="0"/>
        <w:jc w:val="both"/>
        <w:rPr>
          <w:sz w:val="20"/>
          <w:szCs w:val="20"/>
          <w:lang w:val="fr-CA"/>
        </w:rPr>
      </w:pPr>
    </w:p>
    <w:p w:rsidR="00917604" w:rsidRPr="008848F2" w:rsidRDefault="00917604" w:rsidP="00917604">
      <w:pPr>
        <w:widowControl w:val="0"/>
        <w:jc w:val="both"/>
        <w:rPr>
          <w:sz w:val="20"/>
          <w:szCs w:val="20"/>
          <w:lang w:val="fr-CA"/>
        </w:rPr>
      </w:pPr>
    </w:p>
    <w:p w:rsidR="00917604" w:rsidRPr="008848F2" w:rsidRDefault="00917604" w:rsidP="00917604">
      <w:pPr>
        <w:widowControl w:val="0"/>
        <w:ind w:left="2880" w:hanging="2880"/>
        <w:jc w:val="both"/>
        <w:rPr>
          <w:sz w:val="20"/>
          <w:szCs w:val="20"/>
          <w:lang w:val="fr-CA"/>
        </w:rPr>
      </w:pPr>
      <w:r w:rsidRPr="008848F2">
        <w:rPr>
          <w:sz w:val="20"/>
          <w:szCs w:val="20"/>
          <w:lang w:val="fr-CA"/>
        </w:rPr>
        <w:t>Origine :</w:t>
      </w:r>
      <w:r w:rsidRPr="008848F2">
        <w:rPr>
          <w:sz w:val="20"/>
          <w:szCs w:val="20"/>
          <w:lang w:val="fr-CA"/>
        </w:rPr>
        <w:tab/>
        <w:t>Québec</w:t>
      </w:r>
    </w:p>
    <w:p w:rsidR="00917604" w:rsidRPr="008848F2" w:rsidRDefault="00917604" w:rsidP="00917604">
      <w:pPr>
        <w:widowControl w:val="0"/>
        <w:ind w:left="2880" w:hanging="2880"/>
        <w:jc w:val="both"/>
        <w:rPr>
          <w:sz w:val="20"/>
          <w:szCs w:val="20"/>
          <w:lang w:val="fr-CA"/>
        </w:rPr>
      </w:pPr>
    </w:p>
    <w:p w:rsidR="00917604" w:rsidRPr="008848F2" w:rsidRDefault="00917604" w:rsidP="00917604">
      <w:pPr>
        <w:widowControl w:val="0"/>
        <w:ind w:left="2880" w:hanging="2880"/>
        <w:jc w:val="both"/>
        <w:rPr>
          <w:sz w:val="20"/>
          <w:szCs w:val="20"/>
          <w:lang w:val="fr-CA"/>
        </w:rPr>
      </w:pPr>
      <w:r w:rsidRPr="008848F2">
        <w:rPr>
          <w:sz w:val="20"/>
          <w:szCs w:val="20"/>
          <w:lang w:val="fr-CA"/>
        </w:rPr>
        <w:t>N</w:t>
      </w:r>
      <w:r w:rsidRPr="008848F2">
        <w:rPr>
          <w:sz w:val="20"/>
          <w:szCs w:val="20"/>
          <w:vertAlign w:val="superscript"/>
          <w:lang w:val="fr-CA"/>
        </w:rPr>
        <w:t>o</w:t>
      </w:r>
      <w:r w:rsidRPr="008848F2">
        <w:rPr>
          <w:sz w:val="20"/>
          <w:szCs w:val="20"/>
          <w:lang w:val="fr-CA"/>
        </w:rPr>
        <w:t xml:space="preserve"> du greffe :</w:t>
      </w:r>
      <w:r w:rsidRPr="008848F2">
        <w:rPr>
          <w:sz w:val="20"/>
          <w:szCs w:val="20"/>
          <w:lang w:val="fr-CA"/>
        </w:rPr>
        <w:tab/>
        <w:t>34582</w:t>
      </w:r>
    </w:p>
    <w:p w:rsidR="00917604" w:rsidRPr="008848F2" w:rsidRDefault="00917604" w:rsidP="00917604">
      <w:pPr>
        <w:widowControl w:val="0"/>
        <w:ind w:left="2880" w:hanging="2880"/>
        <w:jc w:val="both"/>
        <w:rPr>
          <w:sz w:val="20"/>
          <w:szCs w:val="20"/>
          <w:lang w:val="fr-CA"/>
        </w:rPr>
      </w:pPr>
    </w:p>
    <w:p w:rsidR="00917604" w:rsidRPr="008848F2" w:rsidRDefault="00917604" w:rsidP="00917604">
      <w:pPr>
        <w:widowControl w:val="0"/>
        <w:ind w:left="2880" w:hanging="2880"/>
        <w:jc w:val="both"/>
        <w:rPr>
          <w:sz w:val="20"/>
          <w:szCs w:val="20"/>
          <w:lang w:val="fr-CA"/>
        </w:rPr>
      </w:pPr>
      <w:r w:rsidRPr="008848F2">
        <w:rPr>
          <w:sz w:val="20"/>
          <w:szCs w:val="20"/>
          <w:lang w:val="fr-CA"/>
        </w:rPr>
        <w:t>Arrêt de la Cour d’appel :</w:t>
      </w:r>
      <w:r w:rsidRPr="008848F2">
        <w:rPr>
          <w:sz w:val="20"/>
          <w:szCs w:val="20"/>
          <w:lang w:val="fr-CA"/>
        </w:rPr>
        <w:tab/>
        <w:t>Le 11 novembre 2011</w:t>
      </w:r>
    </w:p>
    <w:p w:rsidR="00917604" w:rsidRPr="008848F2" w:rsidRDefault="00917604" w:rsidP="00917604">
      <w:pPr>
        <w:widowControl w:val="0"/>
        <w:ind w:left="2880" w:hanging="2880"/>
        <w:jc w:val="both"/>
        <w:rPr>
          <w:sz w:val="20"/>
          <w:szCs w:val="20"/>
          <w:lang w:val="fr-CA"/>
        </w:rPr>
      </w:pPr>
    </w:p>
    <w:p w:rsidR="00917604" w:rsidRPr="008848F2" w:rsidRDefault="00917604" w:rsidP="00917604">
      <w:pPr>
        <w:widowControl w:val="0"/>
        <w:ind w:left="2880" w:hanging="2880"/>
        <w:jc w:val="both"/>
        <w:rPr>
          <w:sz w:val="20"/>
          <w:szCs w:val="20"/>
          <w:lang w:val="fr-CA"/>
        </w:rPr>
      </w:pPr>
      <w:r w:rsidRPr="008848F2">
        <w:rPr>
          <w:sz w:val="20"/>
          <w:szCs w:val="20"/>
          <w:lang w:val="fr-CA"/>
        </w:rPr>
        <w:t>Avocats :</w:t>
      </w:r>
      <w:r w:rsidRPr="008848F2">
        <w:rPr>
          <w:sz w:val="20"/>
          <w:szCs w:val="20"/>
          <w:lang w:val="fr-CA"/>
        </w:rPr>
        <w:tab/>
        <w:t>Jean</w:t>
      </w:r>
      <w:r w:rsidRPr="008848F2">
        <w:rPr>
          <w:sz w:val="20"/>
          <w:szCs w:val="20"/>
          <w:lang w:val="fr-CA"/>
        </w:rPr>
        <w:noBreakHyphen/>
        <w:t>Marc Fradette pour l’appelant</w:t>
      </w:r>
    </w:p>
    <w:p w:rsidR="00917604" w:rsidRPr="008848F2" w:rsidRDefault="00917604" w:rsidP="00917604">
      <w:pPr>
        <w:widowControl w:val="0"/>
        <w:ind w:left="2880" w:hanging="2880"/>
        <w:jc w:val="both"/>
        <w:rPr>
          <w:sz w:val="20"/>
          <w:szCs w:val="20"/>
          <w:lang w:val="fr-CA"/>
        </w:rPr>
      </w:pPr>
      <w:r w:rsidRPr="008848F2">
        <w:rPr>
          <w:sz w:val="20"/>
          <w:szCs w:val="20"/>
          <w:lang w:val="fr-CA"/>
        </w:rPr>
        <w:tab/>
        <w:t>Michaël Bourget pour l’intimée</w:t>
      </w:r>
    </w:p>
    <w:p w:rsidR="00DA4855" w:rsidRPr="00DD0B49" w:rsidRDefault="00DA4855" w:rsidP="00DA4855">
      <w:pPr>
        <w:tabs>
          <w:tab w:val="left" w:pos="-1440"/>
          <w:tab w:val="left" w:pos="-720"/>
        </w:tabs>
        <w:jc w:val="both"/>
        <w:rPr>
          <w:sz w:val="20"/>
          <w:szCs w:val="20"/>
          <w:lang w:val="fr-CA"/>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100"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pPr>
        <w:rPr>
          <w:sz w:val="20"/>
          <w:szCs w:val="20"/>
          <w:lang w:val="fr-CA"/>
        </w:rPr>
      </w:pPr>
    </w:p>
    <w:p w:rsidR="00DA4855" w:rsidRDefault="00DA4855">
      <w:pPr>
        <w:rPr>
          <w:sz w:val="20"/>
          <w:szCs w:val="20"/>
          <w:lang w:val="fr-CA"/>
        </w:rPr>
      </w:pPr>
    </w:p>
    <w:p w:rsidR="00DA4855" w:rsidRDefault="00DA4855">
      <w:pPr>
        <w:rPr>
          <w:sz w:val="20"/>
          <w:szCs w:val="20"/>
          <w:lang w:val="fr-CA"/>
        </w:rPr>
      </w:pPr>
      <w:r>
        <w:rPr>
          <w:sz w:val="20"/>
          <w:szCs w:val="20"/>
          <w:lang w:val="fr-CA"/>
        </w:rPr>
        <w:br w:type="page"/>
      </w:r>
    </w:p>
    <w:p w:rsidR="000C4A96" w:rsidRPr="00B33000" w:rsidRDefault="003B0427" w:rsidP="000C4A96">
      <w:pPr>
        <w:widowControl w:val="0"/>
        <w:ind w:left="720" w:hanging="720"/>
        <w:jc w:val="both"/>
        <w:rPr>
          <w:sz w:val="20"/>
          <w:szCs w:val="20"/>
        </w:rPr>
      </w:pPr>
      <w:r w:rsidRPr="00B33000">
        <w:rPr>
          <w:b/>
          <w:sz w:val="20"/>
          <w:szCs w:val="20"/>
        </w:rPr>
        <w:lastRenderedPageBreak/>
        <w:fldChar w:fldCharType="begin"/>
      </w:r>
      <w:r w:rsidR="000C4A96" w:rsidRPr="00B33000">
        <w:rPr>
          <w:b/>
          <w:sz w:val="20"/>
          <w:szCs w:val="20"/>
        </w:rPr>
        <w:instrText xml:space="preserve"> SEQ CHAPTER \h \r 1</w:instrText>
      </w:r>
      <w:r w:rsidRPr="00B33000">
        <w:rPr>
          <w:b/>
          <w:sz w:val="20"/>
          <w:szCs w:val="20"/>
        </w:rPr>
        <w:fldChar w:fldCharType="end"/>
      </w:r>
      <w:r w:rsidR="000C4A96" w:rsidRPr="00B33000">
        <w:rPr>
          <w:b/>
          <w:sz w:val="20"/>
          <w:szCs w:val="20"/>
        </w:rPr>
        <w:t>34009</w:t>
      </w:r>
      <w:r w:rsidR="000C4A96" w:rsidRPr="00B33000">
        <w:rPr>
          <w:sz w:val="20"/>
          <w:szCs w:val="20"/>
        </w:rPr>
        <w:tab/>
      </w:r>
      <w:r w:rsidR="000C4A96" w:rsidRPr="00B33000">
        <w:rPr>
          <w:b/>
          <w:i/>
          <w:sz w:val="20"/>
          <w:szCs w:val="20"/>
        </w:rPr>
        <w:t>Suresh Sriskandarajah v. United States of America, Minister of Justice and Attorney General of Canada</w:t>
      </w:r>
    </w:p>
    <w:p w:rsidR="000C4A96" w:rsidRPr="00B33000" w:rsidRDefault="000C4A96" w:rsidP="000C4A96">
      <w:pPr>
        <w:widowControl w:val="0"/>
        <w:jc w:val="both"/>
        <w:rPr>
          <w:sz w:val="20"/>
          <w:szCs w:val="20"/>
        </w:rPr>
      </w:pPr>
    </w:p>
    <w:p w:rsidR="000C4A96" w:rsidRPr="00B33000" w:rsidRDefault="000C4A96" w:rsidP="000C4A96">
      <w:pPr>
        <w:widowControl w:val="0"/>
        <w:jc w:val="both"/>
        <w:rPr>
          <w:sz w:val="20"/>
          <w:szCs w:val="20"/>
        </w:rPr>
      </w:pPr>
      <w:r w:rsidRPr="00B33000">
        <w:rPr>
          <w:i/>
          <w:sz w:val="20"/>
          <w:szCs w:val="20"/>
        </w:rPr>
        <w:t>Canadian Charter of Rights and Freedoms</w:t>
      </w:r>
      <w:r w:rsidRPr="00B33000">
        <w:rPr>
          <w:sz w:val="20"/>
          <w:szCs w:val="20"/>
        </w:rPr>
        <w:t xml:space="preserve"> </w:t>
      </w:r>
      <w:r w:rsidRPr="00B33000">
        <w:rPr>
          <w:sz w:val="20"/>
          <w:szCs w:val="20"/>
        </w:rPr>
        <w:noBreakHyphen/>
        <w:t xml:space="preserve"> Extradition </w:t>
      </w:r>
      <w:r w:rsidRPr="00B33000">
        <w:rPr>
          <w:sz w:val="20"/>
          <w:szCs w:val="20"/>
        </w:rPr>
        <w:noBreakHyphen/>
        <w:t xml:space="preserve"> Appeal from committal </w:t>
      </w:r>
      <w:r w:rsidRPr="00B33000">
        <w:rPr>
          <w:sz w:val="20"/>
          <w:szCs w:val="20"/>
        </w:rPr>
        <w:noBreakHyphen/>
        <w:t xml:space="preserve"> Judicial Review of Surrender Order </w:t>
      </w:r>
      <w:r w:rsidRPr="00B33000">
        <w:rPr>
          <w:sz w:val="20"/>
          <w:szCs w:val="20"/>
        </w:rPr>
        <w:noBreakHyphen/>
        <w:t xml:space="preserve"> Whether ss. 83.03, 83.18 or 83.21 of the </w:t>
      </w:r>
      <w:r w:rsidRPr="00B33000">
        <w:rPr>
          <w:i/>
          <w:sz w:val="20"/>
          <w:szCs w:val="20"/>
        </w:rPr>
        <w:t>Criminal Code</w:t>
      </w:r>
      <w:r w:rsidRPr="00B33000">
        <w:rPr>
          <w:sz w:val="20"/>
          <w:szCs w:val="20"/>
        </w:rPr>
        <w:t xml:space="preserve">, which incorporate the definition of “terrorist activity” in s. 83.01(1) of the </w:t>
      </w:r>
      <w:r w:rsidRPr="00B33000">
        <w:rPr>
          <w:i/>
          <w:sz w:val="20"/>
          <w:szCs w:val="20"/>
        </w:rPr>
        <w:t>Criminal Code</w:t>
      </w:r>
      <w:r w:rsidRPr="00B33000">
        <w:rPr>
          <w:sz w:val="20"/>
          <w:szCs w:val="20"/>
        </w:rPr>
        <w:t xml:space="preserve">, infringe s. 2(b) of the </w:t>
      </w:r>
      <w:r w:rsidRPr="00B33000">
        <w:rPr>
          <w:i/>
          <w:sz w:val="20"/>
          <w:szCs w:val="20"/>
        </w:rPr>
        <w:t xml:space="preserve">Charter </w:t>
      </w:r>
      <w:r w:rsidRPr="00B33000">
        <w:rPr>
          <w:sz w:val="20"/>
          <w:szCs w:val="20"/>
        </w:rPr>
        <w:noBreakHyphen/>
        <w:t xml:space="preserve"> If so, whether the infringement is a reasonable limit prescribed by law that can be demonstrably justified in a free and democratic society under s. 1 of the </w:t>
      </w:r>
      <w:r w:rsidRPr="00B33000">
        <w:rPr>
          <w:i/>
          <w:sz w:val="20"/>
          <w:szCs w:val="20"/>
        </w:rPr>
        <w:t xml:space="preserve">Charter </w:t>
      </w:r>
      <w:r w:rsidRPr="00B33000">
        <w:rPr>
          <w:sz w:val="20"/>
          <w:szCs w:val="20"/>
        </w:rPr>
        <w:noBreakHyphen/>
        <w:t xml:space="preserve"> Whether s. 83.18 of the </w:t>
      </w:r>
      <w:r w:rsidRPr="00B33000">
        <w:rPr>
          <w:i/>
          <w:sz w:val="20"/>
          <w:szCs w:val="20"/>
        </w:rPr>
        <w:t>Criminal Code</w:t>
      </w:r>
      <w:r w:rsidRPr="00B33000">
        <w:rPr>
          <w:sz w:val="20"/>
          <w:szCs w:val="20"/>
        </w:rPr>
        <w:t xml:space="preserve">, which incorporates the definition of “terrorist activity” in s. 83.01(1) of the </w:t>
      </w:r>
      <w:r w:rsidRPr="00B33000">
        <w:rPr>
          <w:i/>
          <w:sz w:val="20"/>
          <w:szCs w:val="20"/>
        </w:rPr>
        <w:t>Criminal Code</w:t>
      </w:r>
      <w:r w:rsidRPr="00B33000">
        <w:rPr>
          <w:sz w:val="20"/>
          <w:szCs w:val="20"/>
        </w:rPr>
        <w:t xml:space="preserve">, infringes s. 7 of the </w:t>
      </w:r>
      <w:r w:rsidRPr="00B33000">
        <w:rPr>
          <w:i/>
          <w:sz w:val="20"/>
          <w:szCs w:val="20"/>
        </w:rPr>
        <w:t>Charter</w:t>
      </w:r>
      <w:r w:rsidRPr="00B33000">
        <w:rPr>
          <w:sz w:val="20"/>
          <w:szCs w:val="20"/>
        </w:rPr>
        <w:t xml:space="preserve"> </w:t>
      </w:r>
      <w:r w:rsidRPr="00B33000">
        <w:rPr>
          <w:sz w:val="20"/>
          <w:szCs w:val="20"/>
        </w:rPr>
        <w:noBreakHyphen/>
        <w:t xml:space="preserve"> If so, whether the infringement is a reasonable limit prescribed by law that can be demonstrably justified in a free and democratic society under s. 1 of the </w:t>
      </w:r>
      <w:r w:rsidRPr="00B33000">
        <w:rPr>
          <w:i/>
          <w:sz w:val="20"/>
          <w:szCs w:val="20"/>
        </w:rPr>
        <w:t>Charter</w:t>
      </w:r>
      <w:r w:rsidRPr="00B33000">
        <w:rPr>
          <w:sz w:val="20"/>
          <w:szCs w:val="20"/>
        </w:rPr>
        <w:t xml:space="preserve"> </w:t>
      </w:r>
      <w:r w:rsidRPr="00B33000">
        <w:rPr>
          <w:sz w:val="20"/>
          <w:szCs w:val="20"/>
        </w:rPr>
        <w:noBreakHyphen/>
        <w:t xml:space="preserve"> Whether the Court of Appeal erred in failing to find that the Minister denied the appellant procedural fairness </w:t>
      </w:r>
      <w:r w:rsidRPr="00B33000">
        <w:rPr>
          <w:sz w:val="20"/>
          <w:szCs w:val="20"/>
        </w:rPr>
        <w:noBreakHyphen/>
        <w:t xml:space="preserve"> Whether the Court of Appeal erred in concluding that the Minister’s decision that surrender would not unjustifiably limit the appellant’s s. 6(1) </w:t>
      </w:r>
      <w:r w:rsidRPr="00B33000">
        <w:rPr>
          <w:i/>
          <w:sz w:val="20"/>
          <w:szCs w:val="20"/>
        </w:rPr>
        <w:t>Charter</w:t>
      </w:r>
      <w:r w:rsidRPr="00B33000">
        <w:rPr>
          <w:sz w:val="20"/>
          <w:szCs w:val="20"/>
        </w:rPr>
        <w:t xml:space="preserve"> rights was reasonable </w:t>
      </w:r>
      <w:r w:rsidRPr="00B33000">
        <w:rPr>
          <w:sz w:val="20"/>
          <w:szCs w:val="20"/>
        </w:rPr>
        <w:noBreakHyphen/>
        <w:t xml:space="preserve">  </w:t>
      </w:r>
      <w:r w:rsidRPr="00B33000">
        <w:rPr>
          <w:i/>
          <w:sz w:val="20"/>
          <w:szCs w:val="20"/>
        </w:rPr>
        <w:t>Criminal Code</w:t>
      </w:r>
      <w:r w:rsidRPr="00B33000">
        <w:rPr>
          <w:sz w:val="20"/>
          <w:szCs w:val="20"/>
        </w:rPr>
        <w:t>, R.S.C. 1985, c. C</w:t>
      </w:r>
      <w:r w:rsidRPr="00B33000">
        <w:rPr>
          <w:sz w:val="20"/>
          <w:szCs w:val="20"/>
        </w:rPr>
        <w:noBreakHyphen/>
        <w:t xml:space="preserve">46, ss. 83.01(1), 83.03, 83.18 and 83.21 </w:t>
      </w:r>
      <w:r w:rsidRPr="00B33000">
        <w:rPr>
          <w:sz w:val="20"/>
          <w:szCs w:val="20"/>
        </w:rPr>
        <w:noBreakHyphen/>
        <w:t xml:space="preserve"> </w:t>
      </w:r>
      <w:r w:rsidRPr="00B33000">
        <w:rPr>
          <w:i/>
          <w:sz w:val="20"/>
          <w:szCs w:val="20"/>
        </w:rPr>
        <w:t>Canadian Charter of Rights and Freedoms</w:t>
      </w:r>
      <w:r w:rsidRPr="00B33000">
        <w:rPr>
          <w:sz w:val="20"/>
          <w:szCs w:val="20"/>
        </w:rPr>
        <w:t>, ss. 1, 2(b), 6(1) and 7.</w:t>
      </w:r>
    </w:p>
    <w:p w:rsidR="000C4A96" w:rsidRPr="00B33000" w:rsidRDefault="000C4A96" w:rsidP="000C4A96">
      <w:pPr>
        <w:widowControl w:val="0"/>
        <w:jc w:val="both"/>
        <w:rPr>
          <w:sz w:val="20"/>
          <w:szCs w:val="20"/>
        </w:rPr>
      </w:pPr>
    </w:p>
    <w:p w:rsidR="000C4A96" w:rsidRPr="00B33000" w:rsidRDefault="000C4A96" w:rsidP="000C4A96">
      <w:pPr>
        <w:jc w:val="both"/>
        <w:rPr>
          <w:sz w:val="20"/>
          <w:szCs w:val="20"/>
        </w:rPr>
      </w:pPr>
      <w:r w:rsidRPr="00B33000">
        <w:rPr>
          <w:sz w:val="20"/>
          <w:szCs w:val="20"/>
        </w:rPr>
        <w:t xml:space="preserve">The U.S. seeks the appellant’s extradition to stand trial on terrorism charges for alleged assistance of the Liberation Tigers of the Tamil Eelam (“LTTE”).  It is alleged that the appellant acquired aviation equipment, other communications equipment, and submarine and warship design software for the LTTE, that he laundered money for the LTTE, and that he counselled individuals on methods of smuggling goods to the LTTE.  At the committal hearing, the appellant sought a declaration that the definition of “terrorist activity” in s. 83.01(1)(b) of the </w:t>
      </w:r>
      <w:r w:rsidRPr="00B33000">
        <w:rPr>
          <w:i/>
          <w:sz w:val="20"/>
          <w:szCs w:val="20"/>
        </w:rPr>
        <w:t>Criminal Code</w:t>
      </w:r>
      <w:r w:rsidRPr="00B33000">
        <w:rPr>
          <w:sz w:val="20"/>
          <w:szCs w:val="20"/>
        </w:rPr>
        <w:t xml:space="preserve"> and the terrorist offence provisions of the </w:t>
      </w:r>
      <w:r w:rsidRPr="00B33000">
        <w:rPr>
          <w:i/>
          <w:sz w:val="20"/>
          <w:szCs w:val="20"/>
        </w:rPr>
        <w:t>Criminal Code</w:t>
      </w:r>
      <w:r w:rsidRPr="00B33000">
        <w:rPr>
          <w:sz w:val="20"/>
          <w:szCs w:val="20"/>
        </w:rPr>
        <w:t xml:space="preserve"> which incorporate this definition, namely ss. 88.03 (providing, making available, etc., property or services for terrorist purposes), 83.18 (participation in activity of terrorist group) and 83.21 (instructing to carry out activity for terrorist group), are unconstitutional as they infringe ss. 2(b) and (d) and 7 of the</w:t>
      </w:r>
      <w:r w:rsidRPr="00B33000">
        <w:rPr>
          <w:i/>
          <w:sz w:val="20"/>
          <w:szCs w:val="20"/>
        </w:rPr>
        <w:t xml:space="preserve"> Charter</w:t>
      </w:r>
      <w:r w:rsidRPr="00B33000">
        <w:rPr>
          <w:sz w:val="20"/>
          <w:szCs w:val="20"/>
        </w:rPr>
        <w:t xml:space="preserve">.  Before the Minister, the appellant submitted that his surrender would breach s. 6 of the </w:t>
      </w:r>
      <w:r w:rsidRPr="00B33000">
        <w:rPr>
          <w:i/>
          <w:sz w:val="20"/>
          <w:szCs w:val="20"/>
        </w:rPr>
        <w:t>Charter</w:t>
      </w:r>
      <w:r w:rsidRPr="00B33000">
        <w:rPr>
          <w:sz w:val="20"/>
          <w:szCs w:val="20"/>
        </w:rPr>
        <w:t xml:space="preserve">.  The committal judge ordered the appellant committed for extradition.  The Minister ordered his surrender.  The Court of Appeal dismissed the appeal from the committal order and the application for judicial review of the Minister’s decision to surrender the appellant. </w:t>
      </w:r>
    </w:p>
    <w:p w:rsidR="000C4A96" w:rsidRPr="00B33000" w:rsidRDefault="000C4A96" w:rsidP="000C4A96">
      <w:pPr>
        <w:widowControl w:val="0"/>
        <w:jc w:val="both"/>
        <w:rPr>
          <w:sz w:val="20"/>
          <w:szCs w:val="20"/>
        </w:rPr>
      </w:pPr>
    </w:p>
    <w:p w:rsidR="000C4A96" w:rsidRPr="00B33000" w:rsidRDefault="000C4A96" w:rsidP="000C4A96">
      <w:pPr>
        <w:widowControl w:val="0"/>
        <w:jc w:val="both"/>
        <w:rPr>
          <w:sz w:val="20"/>
          <w:szCs w:val="20"/>
        </w:rPr>
      </w:pPr>
    </w:p>
    <w:p w:rsidR="000C4A96" w:rsidRPr="00B33000" w:rsidRDefault="000C4A96" w:rsidP="000C4A96">
      <w:pPr>
        <w:widowControl w:val="0"/>
        <w:ind w:left="2880" w:hanging="2880"/>
        <w:jc w:val="both"/>
        <w:rPr>
          <w:sz w:val="20"/>
          <w:szCs w:val="20"/>
        </w:rPr>
      </w:pPr>
      <w:r w:rsidRPr="00B33000">
        <w:rPr>
          <w:sz w:val="20"/>
          <w:szCs w:val="20"/>
        </w:rPr>
        <w:t>Origin of the case:</w:t>
      </w:r>
      <w:r w:rsidRPr="00B33000">
        <w:rPr>
          <w:sz w:val="20"/>
          <w:szCs w:val="20"/>
        </w:rPr>
        <w:tab/>
        <w:t>Ontario</w:t>
      </w:r>
    </w:p>
    <w:p w:rsidR="000C4A96" w:rsidRPr="00B33000" w:rsidRDefault="000C4A96" w:rsidP="000C4A96">
      <w:pPr>
        <w:widowControl w:val="0"/>
        <w:ind w:left="2880" w:hanging="2880"/>
        <w:jc w:val="both"/>
        <w:rPr>
          <w:sz w:val="20"/>
          <w:szCs w:val="20"/>
        </w:rPr>
      </w:pPr>
    </w:p>
    <w:p w:rsidR="000C4A96" w:rsidRPr="00B33000" w:rsidRDefault="000C4A96" w:rsidP="000C4A96">
      <w:pPr>
        <w:widowControl w:val="0"/>
        <w:ind w:left="2880" w:hanging="2880"/>
        <w:jc w:val="both"/>
        <w:rPr>
          <w:sz w:val="20"/>
          <w:szCs w:val="20"/>
        </w:rPr>
      </w:pPr>
      <w:r w:rsidRPr="00B33000">
        <w:rPr>
          <w:sz w:val="20"/>
          <w:szCs w:val="20"/>
        </w:rPr>
        <w:t>File No.:</w:t>
      </w:r>
      <w:r w:rsidRPr="00B33000">
        <w:rPr>
          <w:sz w:val="20"/>
          <w:szCs w:val="20"/>
        </w:rPr>
        <w:tab/>
        <w:t>34009</w:t>
      </w:r>
    </w:p>
    <w:p w:rsidR="000C4A96" w:rsidRPr="00B33000" w:rsidRDefault="000C4A96" w:rsidP="000C4A96">
      <w:pPr>
        <w:widowControl w:val="0"/>
        <w:ind w:left="2880" w:hanging="2880"/>
        <w:jc w:val="both"/>
        <w:rPr>
          <w:sz w:val="20"/>
          <w:szCs w:val="20"/>
        </w:rPr>
      </w:pPr>
    </w:p>
    <w:p w:rsidR="000C4A96" w:rsidRPr="00B33000" w:rsidRDefault="000C4A96" w:rsidP="000C4A96">
      <w:pPr>
        <w:widowControl w:val="0"/>
        <w:ind w:left="2880" w:hanging="2880"/>
        <w:jc w:val="both"/>
        <w:rPr>
          <w:sz w:val="20"/>
          <w:szCs w:val="20"/>
        </w:rPr>
      </w:pPr>
      <w:r w:rsidRPr="00B33000">
        <w:rPr>
          <w:sz w:val="20"/>
          <w:szCs w:val="20"/>
        </w:rPr>
        <w:t>Judgment of the Court of Appeal:</w:t>
      </w:r>
      <w:r w:rsidRPr="00B33000">
        <w:rPr>
          <w:sz w:val="20"/>
          <w:szCs w:val="20"/>
        </w:rPr>
        <w:tab/>
        <w:t>December 17, 2010</w:t>
      </w:r>
    </w:p>
    <w:p w:rsidR="000C4A96" w:rsidRPr="00B33000" w:rsidRDefault="000C4A96" w:rsidP="000C4A96">
      <w:pPr>
        <w:widowControl w:val="0"/>
        <w:ind w:left="2880" w:hanging="2880"/>
        <w:jc w:val="both"/>
        <w:rPr>
          <w:sz w:val="20"/>
          <w:szCs w:val="20"/>
        </w:rPr>
      </w:pPr>
    </w:p>
    <w:p w:rsidR="000C4A96" w:rsidRPr="00B33000" w:rsidRDefault="000C4A96" w:rsidP="000C4A96">
      <w:pPr>
        <w:widowControl w:val="0"/>
        <w:ind w:left="2880" w:hanging="2880"/>
        <w:jc w:val="both"/>
        <w:rPr>
          <w:sz w:val="20"/>
          <w:szCs w:val="20"/>
        </w:rPr>
      </w:pPr>
      <w:r w:rsidRPr="00B33000">
        <w:rPr>
          <w:sz w:val="20"/>
          <w:szCs w:val="20"/>
        </w:rPr>
        <w:t>Counsel:</w:t>
      </w:r>
      <w:r w:rsidRPr="00B33000">
        <w:rPr>
          <w:sz w:val="20"/>
          <w:szCs w:val="20"/>
        </w:rPr>
        <w:tab/>
        <w:t>John Norris and Brydie Bethell for the appellant</w:t>
      </w:r>
    </w:p>
    <w:p w:rsidR="000C4A96" w:rsidRPr="00B33000" w:rsidRDefault="000C4A96" w:rsidP="000C4A96">
      <w:pPr>
        <w:widowControl w:val="0"/>
        <w:ind w:left="2880" w:hanging="2880"/>
        <w:jc w:val="both"/>
        <w:rPr>
          <w:sz w:val="20"/>
          <w:szCs w:val="20"/>
        </w:rPr>
      </w:pPr>
      <w:r w:rsidRPr="00B33000">
        <w:rPr>
          <w:sz w:val="20"/>
          <w:szCs w:val="20"/>
        </w:rPr>
        <w:tab/>
        <w:t>Nancy Dennison and Croft Michaelson for the respondents</w:t>
      </w:r>
    </w:p>
    <w:p w:rsidR="00DA4855" w:rsidRPr="000C4A96" w:rsidRDefault="00DA4855" w:rsidP="00DA4855">
      <w:pPr>
        <w:tabs>
          <w:tab w:val="left" w:pos="-1440"/>
          <w:tab w:val="left" w:pos="-720"/>
        </w:tabs>
        <w:jc w:val="both"/>
        <w:rPr>
          <w:sz w:val="20"/>
          <w:szCs w:val="20"/>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101"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pPr>
        <w:rPr>
          <w:sz w:val="20"/>
          <w:szCs w:val="20"/>
          <w:lang w:val="fr-CA"/>
        </w:rPr>
      </w:pPr>
    </w:p>
    <w:p w:rsidR="00DA4855" w:rsidRDefault="00DA4855">
      <w:pPr>
        <w:rPr>
          <w:sz w:val="20"/>
          <w:szCs w:val="20"/>
          <w:lang w:val="fr-CA"/>
        </w:rPr>
      </w:pPr>
    </w:p>
    <w:p w:rsidR="00DA4855" w:rsidRDefault="00DA4855">
      <w:pPr>
        <w:rPr>
          <w:sz w:val="20"/>
          <w:szCs w:val="20"/>
          <w:lang w:val="fr-CA"/>
        </w:rPr>
      </w:pPr>
      <w:r>
        <w:rPr>
          <w:sz w:val="20"/>
          <w:szCs w:val="20"/>
          <w:lang w:val="fr-CA"/>
        </w:rPr>
        <w:br w:type="page"/>
      </w:r>
    </w:p>
    <w:p w:rsidR="0006530B" w:rsidRPr="00D15F15" w:rsidRDefault="003B0427" w:rsidP="0006530B">
      <w:pPr>
        <w:widowControl w:val="0"/>
        <w:ind w:left="720" w:hanging="720"/>
        <w:jc w:val="both"/>
        <w:rPr>
          <w:sz w:val="20"/>
          <w:szCs w:val="20"/>
          <w:lang w:val="fr-CA"/>
        </w:rPr>
      </w:pPr>
      <w:r w:rsidRPr="00D15F15">
        <w:rPr>
          <w:b/>
          <w:sz w:val="20"/>
          <w:szCs w:val="20"/>
          <w:lang w:val="fr-CA"/>
        </w:rPr>
        <w:lastRenderedPageBreak/>
        <w:fldChar w:fldCharType="begin"/>
      </w:r>
      <w:r w:rsidR="0006530B" w:rsidRPr="00D15F15">
        <w:rPr>
          <w:b/>
          <w:sz w:val="20"/>
          <w:szCs w:val="20"/>
          <w:lang w:val="fr-CA"/>
        </w:rPr>
        <w:instrText xml:space="preserve"> SEQ CHAPTER \h \r 1</w:instrText>
      </w:r>
      <w:r w:rsidRPr="00D15F15">
        <w:rPr>
          <w:b/>
          <w:sz w:val="20"/>
          <w:szCs w:val="20"/>
          <w:lang w:val="fr-CA"/>
        </w:rPr>
        <w:fldChar w:fldCharType="end"/>
      </w:r>
      <w:r w:rsidR="0006530B" w:rsidRPr="00D15F15">
        <w:rPr>
          <w:b/>
          <w:sz w:val="20"/>
          <w:szCs w:val="20"/>
          <w:lang w:val="fr-CA"/>
        </w:rPr>
        <w:t>34009</w:t>
      </w:r>
      <w:r w:rsidR="0006530B" w:rsidRPr="00D15F15">
        <w:rPr>
          <w:sz w:val="20"/>
          <w:szCs w:val="20"/>
          <w:lang w:val="fr-CA"/>
        </w:rPr>
        <w:tab/>
      </w:r>
      <w:r w:rsidR="0006530B" w:rsidRPr="00D15F15">
        <w:rPr>
          <w:b/>
          <w:i/>
          <w:sz w:val="20"/>
          <w:szCs w:val="20"/>
          <w:lang w:val="fr-CA"/>
        </w:rPr>
        <w:t>Suresh Sriskandarajah c. États</w:t>
      </w:r>
      <w:r w:rsidR="0006530B" w:rsidRPr="00D15F15">
        <w:rPr>
          <w:b/>
          <w:i/>
          <w:sz w:val="20"/>
          <w:szCs w:val="20"/>
          <w:lang w:val="fr-CA"/>
        </w:rPr>
        <w:noBreakHyphen/>
        <w:t>Unis d’Amérique, ministre de la Justice et procureur général du Canada</w:t>
      </w:r>
    </w:p>
    <w:p w:rsidR="0006530B" w:rsidRPr="00D15F15" w:rsidRDefault="0006530B" w:rsidP="0006530B">
      <w:pPr>
        <w:widowControl w:val="0"/>
        <w:jc w:val="both"/>
        <w:rPr>
          <w:sz w:val="20"/>
          <w:szCs w:val="20"/>
          <w:lang w:val="fr-CA"/>
        </w:rPr>
      </w:pPr>
    </w:p>
    <w:p w:rsidR="0006530B" w:rsidRPr="00D15F15" w:rsidRDefault="0006530B" w:rsidP="0006530B">
      <w:pPr>
        <w:widowControl w:val="0"/>
        <w:jc w:val="both"/>
        <w:rPr>
          <w:sz w:val="20"/>
          <w:szCs w:val="20"/>
          <w:lang w:val="fr-CA"/>
        </w:rPr>
      </w:pPr>
      <w:r w:rsidRPr="00D15F15">
        <w:rPr>
          <w:i/>
          <w:sz w:val="20"/>
          <w:szCs w:val="20"/>
          <w:lang w:val="fr-CA"/>
        </w:rPr>
        <w:t xml:space="preserve">Charte canadienne des droits et libertés </w:t>
      </w:r>
      <w:r w:rsidRPr="00D15F15">
        <w:rPr>
          <w:sz w:val="20"/>
          <w:szCs w:val="20"/>
          <w:lang w:val="fr-CA"/>
        </w:rPr>
        <w:noBreakHyphen/>
        <w:t xml:space="preserve"> Extradition </w:t>
      </w:r>
      <w:r w:rsidRPr="00D15F15">
        <w:rPr>
          <w:sz w:val="20"/>
          <w:szCs w:val="20"/>
          <w:lang w:val="fr-CA"/>
        </w:rPr>
        <w:noBreakHyphen/>
        <w:t xml:space="preserve"> Appel de l’incarcération </w:t>
      </w:r>
      <w:r w:rsidRPr="00D15F15">
        <w:rPr>
          <w:sz w:val="20"/>
          <w:szCs w:val="20"/>
          <w:lang w:val="fr-CA"/>
        </w:rPr>
        <w:noBreakHyphen/>
        <w:t xml:space="preserve"> Contrôle judiciaire de l’arrêté d’extradition </w:t>
      </w:r>
      <w:r w:rsidRPr="00D15F15">
        <w:rPr>
          <w:sz w:val="20"/>
          <w:szCs w:val="20"/>
          <w:lang w:val="fr-CA"/>
        </w:rPr>
        <w:noBreakHyphen/>
        <w:t xml:space="preserve"> Les art. 83.03, 83.18 ou 83.21 du </w:t>
      </w:r>
      <w:r w:rsidRPr="00D15F15">
        <w:rPr>
          <w:i/>
          <w:sz w:val="20"/>
          <w:szCs w:val="20"/>
          <w:lang w:val="fr-CA"/>
        </w:rPr>
        <w:t>Code criminel</w:t>
      </w:r>
      <w:r w:rsidRPr="00D15F15">
        <w:rPr>
          <w:sz w:val="20"/>
          <w:szCs w:val="20"/>
          <w:lang w:val="fr-CA"/>
        </w:rPr>
        <w:t xml:space="preserve">, qui incorporent la définition d’« activité terroriste » dans le par. 83.01(1) du </w:t>
      </w:r>
      <w:r w:rsidRPr="00D15F15">
        <w:rPr>
          <w:i/>
          <w:sz w:val="20"/>
          <w:szCs w:val="20"/>
          <w:lang w:val="fr-CA"/>
        </w:rPr>
        <w:t>Code criminel</w:t>
      </w:r>
      <w:r w:rsidRPr="00D15F15">
        <w:rPr>
          <w:sz w:val="20"/>
          <w:szCs w:val="20"/>
          <w:lang w:val="fr-CA"/>
        </w:rPr>
        <w:t>, portent</w:t>
      </w:r>
      <w:r w:rsidRPr="00D15F15">
        <w:rPr>
          <w:sz w:val="20"/>
          <w:szCs w:val="20"/>
          <w:lang w:val="fr-CA"/>
        </w:rPr>
        <w:noBreakHyphen/>
        <w:t>ils atteinte à l’al. 2</w:t>
      </w:r>
      <w:r w:rsidRPr="00D15F15">
        <w:rPr>
          <w:i/>
          <w:sz w:val="20"/>
          <w:szCs w:val="20"/>
          <w:lang w:val="fr-CA"/>
        </w:rPr>
        <w:t>b</w:t>
      </w:r>
      <w:r w:rsidRPr="00D15F15">
        <w:rPr>
          <w:sz w:val="20"/>
          <w:szCs w:val="20"/>
          <w:lang w:val="fr-CA"/>
        </w:rPr>
        <w:t xml:space="preserve">) de la </w:t>
      </w:r>
      <w:r w:rsidRPr="00D15F15">
        <w:rPr>
          <w:i/>
          <w:sz w:val="20"/>
          <w:szCs w:val="20"/>
          <w:lang w:val="fr-CA"/>
        </w:rPr>
        <w:t>Charte</w:t>
      </w:r>
      <w:r w:rsidRPr="00D15F15">
        <w:rPr>
          <w:sz w:val="20"/>
          <w:szCs w:val="20"/>
          <w:lang w:val="fr-CA"/>
        </w:rPr>
        <w:t xml:space="preserve">? </w:t>
      </w:r>
      <w:r w:rsidRPr="00D15F15">
        <w:rPr>
          <w:sz w:val="20"/>
          <w:szCs w:val="20"/>
          <w:lang w:val="fr-CA"/>
        </w:rPr>
        <w:noBreakHyphen/>
        <w:t xml:space="preserve"> Dans l’affirmative, l’atteinte constitue</w:t>
      </w:r>
      <w:r w:rsidRPr="00D15F15">
        <w:rPr>
          <w:sz w:val="20"/>
          <w:szCs w:val="20"/>
          <w:lang w:val="fr-CA"/>
        </w:rPr>
        <w:noBreakHyphen/>
        <w:t>t</w:t>
      </w:r>
      <w:r w:rsidRPr="00D15F15">
        <w:rPr>
          <w:sz w:val="20"/>
          <w:szCs w:val="20"/>
          <w:lang w:val="fr-CA"/>
        </w:rPr>
        <w:noBreakHyphen/>
        <w:t xml:space="preserve">elle une limite raisonnable dont la justification peut se démontrer dans le cadre d’une société libre et démocratique au sens de l’article premier de la </w:t>
      </w:r>
      <w:r w:rsidRPr="00D15F15">
        <w:rPr>
          <w:i/>
          <w:sz w:val="20"/>
          <w:szCs w:val="20"/>
          <w:lang w:val="fr-CA"/>
        </w:rPr>
        <w:t>Charte</w:t>
      </w:r>
      <w:r w:rsidRPr="00D15F15">
        <w:rPr>
          <w:sz w:val="20"/>
          <w:szCs w:val="20"/>
          <w:lang w:val="fr-CA"/>
        </w:rPr>
        <w:t xml:space="preserve">? </w:t>
      </w:r>
      <w:r w:rsidRPr="00D15F15">
        <w:rPr>
          <w:sz w:val="20"/>
          <w:szCs w:val="20"/>
          <w:lang w:val="fr-CA"/>
        </w:rPr>
        <w:noBreakHyphen/>
        <w:t xml:space="preserve"> L’art. 83.18 du </w:t>
      </w:r>
      <w:r w:rsidRPr="00D15F15">
        <w:rPr>
          <w:i/>
          <w:sz w:val="20"/>
          <w:szCs w:val="20"/>
          <w:lang w:val="fr-CA"/>
        </w:rPr>
        <w:t>Code criminel</w:t>
      </w:r>
      <w:r w:rsidRPr="00D15F15">
        <w:rPr>
          <w:sz w:val="20"/>
          <w:szCs w:val="20"/>
          <w:lang w:val="fr-CA"/>
        </w:rPr>
        <w:t xml:space="preserve">, qui incorpore la définition d’« activité terroriste » dans le par. 83.01(1) du </w:t>
      </w:r>
      <w:r w:rsidRPr="00D15F15">
        <w:rPr>
          <w:i/>
          <w:sz w:val="20"/>
          <w:szCs w:val="20"/>
          <w:lang w:val="fr-CA"/>
        </w:rPr>
        <w:t>Code criminel</w:t>
      </w:r>
      <w:r w:rsidRPr="00D15F15">
        <w:rPr>
          <w:sz w:val="20"/>
          <w:szCs w:val="20"/>
          <w:lang w:val="fr-CA"/>
        </w:rPr>
        <w:t xml:space="preserve"> porte</w:t>
      </w:r>
      <w:r w:rsidRPr="00D15F15">
        <w:rPr>
          <w:sz w:val="20"/>
          <w:szCs w:val="20"/>
          <w:lang w:val="fr-CA"/>
        </w:rPr>
        <w:noBreakHyphen/>
        <w:t>t</w:t>
      </w:r>
      <w:r w:rsidRPr="00D15F15">
        <w:rPr>
          <w:sz w:val="20"/>
          <w:szCs w:val="20"/>
          <w:lang w:val="fr-CA"/>
        </w:rPr>
        <w:noBreakHyphen/>
        <w:t xml:space="preserve">il atteinte à l’art. 7 de la </w:t>
      </w:r>
      <w:r w:rsidRPr="00D15F15">
        <w:rPr>
          <w:i/>
          <w:sz w:val="20"/>
          <w:szCs w:val="20"/>
          <w:lang w:val="fr-CA"/>
        </w:rPr>
        <w:t>Charte</w:t>
      </w:r>
      <w:r w:rsidRPr="00D15F15">
        <w:rPr>
          <w:sz w:val="20"/>
          <w:szCs w:val="20"/>
          <w:lang w:val="fr-CA"/>
        </w:rPr>
        <w:t xml:space="preserve">? </w:t>
      </w:r>
      <w:r w:rsidRPr="00D15F15">
        <w:rPr>
          <w:sz w:val="20"/>
          <w:szCs w:val="20"/>
          <w:lang w:val="fr-CA"/>
        </w:rPr>
        <w:noBreakHyphen/>
        <w:t xml:space="preserve"> Dans l’affirmative, l’atteinte constitue</w:t>
      </w:r>
      <w:r w:rsidRPr="00D15F15">
        <w:rPr>
          <w:sz w:val="20"/>
          <w:szCs w:val="20"/>
          <w:lang w:val="fr-CA"/>
        </w:rPr>
        <w:noBreakHyphen/>
        <w:t>t</w:t>
      </w:r>
      <w:r w:rsidRPr="00D15F15">
        <w:rPr>
          <w:sz w:val="20"/>
          <w:szCs w:val="20"/>
          <w:lang w:val="fr-CA"/>
        </w:rPr>
        <w:noBreakHyphen/>
        <w:t xml:space="preserve">elle une limite raisonnable dont la justification peut se démontrer dans le cadre d’une société libre et démocratique  au sens de l’article premier de la </w:t>
      </w:r>
      <w:r w:rsidRPr="00D15F15">
        <w:rPr>
          <w:i/>
          <w:sz w:val="20"/>
          <w:szCs w:val="20"/>
          <w:lang w:val="fr-CA"/>
        </w:rPr>
        <w:t>Charte</w:t>
      </w:r>
      <w:r w:rsidRPr="00D15F15">
        <w:rPr>
          <w:sz w:val="20"/>
          <w:szCs w:val="20"/>
          <w:lang w:val="fr-CA"/>
        </w:rPr>
        <w:t xml:space="preserve">? </w:t>
      </w:r>
      <w:r w:rsidRPr="00D15F15">
        <w:rPr>
          <w:sz w:val="20"/>
          <w:szCs w:val="20"/>
          <w:lang w:val="fr-CA"/>
        </w:rPr>
        <w:noBreakHyphen/>
        <w:t xml:space="preserve"> La Cour d’appel a</w:t>
      </w:r>
      <w:r w:rsidRPr="00D15F15">
        <w:rPr>
          <w:sz w:val="20"/>
          <w:szCs w:val="20"/>
          <w:lang w:val="fr-CA"/>
        </w:rPr>
        <w:noBreakHyphen/>
        <w:t>t</w:t>
      </w:r>
      <w:r w:rsidRPr="00D15F15">
        <w:rPr>
          <w:sz w:val="20"/>
          <w:szCs w:val="20"/>
          <w:lang w:val="fr-CA"/>
        </w:rPr>
        <w:noBreakHyphen/>
        <w:t xml:space="preserve">elle eu tort de conclure que le ministre avait manqué à son obligation d’équité procédurale envers l’appelant? </w:t>
      </w:r>
      <w:r w:rsidRPr="00D15F15">
        <w:rPr>
          <w:sz w:val="20"/>
          <w:szCs w:val="20"/>
          <w:lang w:val="fr-CA"/>
        </w:rPr>
        <w:noBreakHyphen/>
        <w:t xml:space="preserve"> La Cour d’appel a</w:t>
      </w:r>
      <w:r w:rsidRPr="00D15F15">
        <w:rPr>
          <w:sz w:val="20"/>
          <w:szCs w:val="20"/>
          <w:lang w:val="fr-CA"/>
        </w:rPr>
        <w:noBreakHyphen/>
        <w:t>t</w:t>
      </w:r>
      <w:r w:rsidRPr="00D15F15">
        <w:rPr>
          <w:sz w:val="20"/>
          <w:szCs w:val="20"/>
          <w:lang w:val="fr-CA"/>
        </w:rPr>
        <w:noBreakHyphen/>
        <w:t xml:space="preserve">elle eu tort de conclure que la décision du ministre selon laquelle l’extradition ne restreindrait pas de manière injustifiée les droits de l’appelant garantis par le par. 6(1) de la </w:t>
      </w:r>
      <w:r w:rsidRPr="00D15F15">
        <w:rPr>
          <w:i/>
          <w:sz w:val="20"/>
          <w:szCs w:val="20"/>
          <w:lang w:val="fr-CA"/>
        </w:rPr>
        <w:t>Charte</w:t>
      </w:r>
      <w:r w:rsidRPr="00D15F15">
        <w:rPr>
          <w:sz w:val="20"/>
          <w:szCs w:val="20"/>
          <w:lang w:val="fr-CA"/>
        </w:rPr>
        <w:t xml:space="preserve"> était raisonnable? </w:t>
      </w:r>
      <w:r w:rsidRPr="00D15F15">
        <w:rPr>
          <w:sz w:val="20"/>
          <w:szCs w:val="20"/>
          <w:lang w:val="fr-CA"/>
        </w:rPr>
        <w:noBreakHyphen/>
      </w:r>
      <w:r w:rsidRPr="00D15F15">
        <w:rPr>
          <w:i/>
          <w:sz w:val="20"/>
          <w:szCs w:val="20"/>
          <w:lang w:val="fr-CA"/>
        </w:rPr>
        <w:t xml:space="preserve"> Code criminel</w:t>
      </w:r>
      <w:r w:rsidRPr="00D15F15">
        <w:rPr>
          <w:sz w:val="20"/>
          <w:szCs w:val="20"/>
          <w:lang w:val="fr-CA"/>
        </w:rPr>
        <w:t>, L.R.C. 1985, ch. C</w:t>
      </w:r>
      <w:r w:rsidRPr="00D15F15">
        <w:rPr>
          <w:sz w:val="20"/>
          <w:szCs w:val="20"/>
          <w:lang w:val="fr-CA"/>
        </w:rPr>
        <w:noBreakHyphen/>
        <w:t>46, arts</w:t>
      </w:r>
      <w:r w:rsidR="00964A38">
        <w:rPr>
          <w:sz w:val="20"/>
          <w:szCs w:val="20"/>
          <w:lang w:val="fr-CA"/>
        </w:rPr>
        <w:t>. </w:t>
      </w:r>
      <w:r w:rsidRPr="00D15F15">
        <w:rPr>
          <w:sz w:val="20"/>
          <w:szCs w:val="20"/>
          <w:lang w:val="fr-CA"/>
        </w:rPr>
        <w:t xml:space="preserve">83.01(1), 83.03, 83.18 et 83.21 </w:t>
      </w:r>
      <w:r w:rsidRPr="00D15F15">
        <w:rPr>
          <w:sz w:val="20"/>
          <w:szCs w:val="20"/>
          <w:lang w:val="fr-CA"/>
        </w:rPr>
        <w:noBreakHyphen/>
      </w:r>
      <w:r w:rsidRPr="00D15F15">
        <w:rPr>
          <w:i/>
          <w:sz w:val="20"/>
          <w:szCs w:val="20"/>
          <w:lang w:val="fr-CA"/>
        </w:rPr>
        <w:t xml:space="preserve"> Charte canadienne des droits et libertés</w:t>
      </w:r>
      <w:r w:rsidRPr="00D15F15">
        <w:rPr>
          <w:sz w:val="20"/>
          <w:szCs w:val="20"/>
          <w:lang w:val="fr-CA"/>
        </w:rPr>
        <w:t>, art. 1, 2(b), 6(1) et 7.</w:t>
      </w:r>
    </w:p>
    <w:p w:rsidR="0006530B" w:rsidRPr="00D15F15" w:rsidRDefault="0006530B" w:rsidP="0006530B">
      <w:pPr>
        <w:widowControl w:val="0"/>
        <w:jc w:val="both"/>
        <w:rPr>
          <w:sz w:val="20"/>
          <w:szCs w:val="20"/>
          <w:lang w:val="fr-CA"/>
        </w:rPr>
      </w:pPr>
    </w:p>
    <w:p w:rsidR="0006530B" w:rsidRPr="00D15F15" w:rsidRDefault="0006530B" w:rsidP="0006530B">
      <w:pPr>
        <w:jc w:val="both"/>
        <w:rPr>
          <w:sz w:val="20"/>
          <w:szCs w:val="20"/>
          <w:lang w:val="fr-CA"/>
        </w:rPr>
      </w:pPr>
      <w:r w:rsidRPr="00D15F15">
        <w:rPr>
          <w:sz w:val="20"/>
          <w:szCs w:val="20"/>
          <w:lang w:val="fr-CA"/>
        </w:rPr>
        <w:t>Les États</w:t>
      </w:r>
      <w:r w:rsidRPr="00D15F15">
        <w:rPr>
          <w:sz w:val="20"/>
          <w:szCs w:val="20"/>
          <w:lang w:val="fr-CA"/>
        </w:rPr>
        <w:noBreakHyphen/>
        <w:t>Unis sollicitent l’extradition de l’appelant pour qu’il subisse son procès pour infractions de terrorisme.  Il est accusé d’avoir aidé les Tigres de libération de l’Eelam tamoul (TLET).  Il aurait, au nom des TLET, acheté de l’équipement aéronautique et de communication ainsi que des logiciels de conception de sous</w:t>
      </w:r>
      <w:r w:rsidRPr="00D15F15">
        <w:rPr>
          <w:sz w:val="20"/>
          <w:szCs w:val="20"/>
          <w:lang w:val="fr-CA"/>
        </w:rPr>
        <w:noBreakHyphen/>
        <w:t>marins et de navires de guerre, blanchi des fonds et conseillé d’autres personnes sur les moyens de passer clandestinement des biens aux TLET.  À son audience d’incarcération, l’appelant a sollicité un jugement déclarant l’inconstitutionnalité de la définition d’« activité terroriste » à l’al. 83.01(1)</w:t>
      </w:r>
      <w:r w:rsidRPr="00D15F15">
        <w:rPr>
          <w:i/>
          <w:sz w:val="20"/>
          <w:szCs w:val="20"/>
          <w:lang w:val="fr-CA"/>
        </w:rPr>
        <w:t>b</w:t>
      </w:r>
      <w:r w:rsidRPr="00D15F15">
        <w:rPr>
          <w:sz w:val="20"/>
          <w:szCs w:val="20"/>
          <w:lang w:val="fr-CA"/>
        </w:rPr>
        <w:t xml:space="preserve">) du </w:t>
      </w:r>
      <w:r w:rsidRPr="00D15F15">
        <w:rPr>
          <w:i/>
          <w:sz w:val="20"/>
          <w:szCs w:val="20"/>
          <w:lang w:val="fr-CA"/>
        </w:rPr>
        <w:t>Code criminel</w:t>
      </w:r>
      <w:r w:rsidRPr="00D15F15">
        <w:rPr>
          <w:sz w:val="20"/>
          <w:szCs w:val="20"/>
          <w:lang w:val="fr-CA"/>
        </w:rPr>
        <w:t xml:space="preserve"> et des dispositions sur le terrorisme du </w:t>
      </w:r>
      <w:r w:rsidRPr="00D15F15">
        <w:rPr>
          <w:i/>
          <w:sz w:val="20"/>
          <w:szCs w:val="20"/>
          <w:lang w:val="fr-CA"/>
        </w:rPr>
        <w:t>Code criminel</w:t>
      </w:r>
      <w:r w:rsidRPr="00D15F15">
        <w:rPr>
          <w:sz w:val="20"/>
          <w:szCs w:val="20"/>
          <w:lang w:val="fr-CA"/>
        </w:rPr>
        <w:t xml:space="preserve"> qui incorporent cette définition, à savoir l’art. 83.03 (fournir, rendre disponibles, etc. des biens ou services à des fins terroristes), 83.18 (participation à une activité d’un groupe terroriste) et 83.21 (charger une personne de se livrer à une activité pour un groupe terroriste), puisqu’elles portent atteinte aux al. 2</w:t>
      </w:r>
      <w:r w:rsidRPr="00D15F15">
        <w:rPr>
          <w:i/>
          <w:sz w:val="20"/>
          <w:szCs w:val="20"/>
          <w:lang w:val="fr-CA"/>
        </w:rPr>
        <w:t>b</w:t>
      </w:r>
      <w:r w:rsidRPr="00D15F15">
        <w:rPr>
          <w:sz w:val="20"/>
          <w:szCs w:val="20"/>
          <w:lang w:val="fr-CA"/>
        </w:rPr>
        <w:t xml:space="preserve">) et </w:t>
      </w:r>
      <w:r w:rsidRPr="00D15F15">
        <w:rPr>
          <w:i/>
          <w:sz w:val="20"/>
          <w:szCs w:val="20"/>
          <w:lang w:val="fr-CA"/>
        </w:rPr>
        <w:t>d</w:t>
      </w:r>
      <w:r w:rsidRPr="00D15F15">
        <w:rPr>
          <w:sz w:val="20"/>
          <w:szCs w:val="20"/>
          <w:lang w:val="fr-CA"/>
        </w:rPr>
        <w:t xml:space="preserve">) et à l’art. 7 de la </w:t>
      </w:r>
      <w:r w:rsidRPr="00D15F15">
        <w:rPr>
          <w:i/>
          <w:sz w:val="20"/>
          <w:szCs w:val="20"/>
          <w:lang w:val="fr-CA"/>
        </w:rPr>
        <w:t>Charte</w:t>
      </w:r>
      <w:r w:rsidRPr="00D15F15">
        <w:rPr>
          <w:sz w:val="20"/>
          <w:szCs w:val="20"/>
          <w:lang w:val="fr-CA"/>
        </w:rPr>
        <w:t xml:space="preserve">.  Devant le ministre, l’appelant a fait valoir que son extradition violerait le droit que lui garantit l’art. 6 de la </w:t>
      </w:r>
      <w:r w:rsidRPr="00D15F15">
        <w:rPr>
          <w:i/>
          <w:sz w:val="20"/>
          <w:szCs w:val="20"/>
          <w:lang w:val="fr-CA"/>
        </w:rPr>
        <w:t>Charte</w:t>
      </w:r>
      <w:r w:rsidRPr="00D15F15">
        <w:rPr>
          <w:sz w:val="20"/>
          <w:szCs w:val="20"/>
          <w:lang w:val="fr-CA"/>
        </w:rPr>
        <w:t xml:space="preserve">.  Le juge siégeant à l’audience d’incarcération a ordonné l’incarcération de l’appelant en vue de son extradition.  Le ministre a pris l’arrêté d’extradition.  La Cour d’appel a rejeté l’appel de l’ordonnance d’incarcération et la demande de contrôle judiciaire de la décision du ministre d’extrader l’appelant. </w:t>
      </w:r>
    </w:p>
    <w:p w:rsidR="0006530B" w:rsidRPr="00D15F15" w:rsidRDefault="0006530B" w:rsidP="0006530B">
      <w:pPr>
        <w:widowControl w:val="0"/>
        <w:jc w:val="both"/>
        <w:rPr>
          <w:sz w:val="20"/>
          <w:szCs w:val="20"/>
          <w:lang w:val="fr-CA"/>
        </w:rPr>
      </w:pPr>
    </w:p>
    <w:p w:rsidR="0006530B" w:rsidRPr="00D15F15" w:rsidRDefault="0006530B" w:rsidP="0006530B">
      <w:pPr>
        <w:widowControl w:val="0"/>
        <w:jc w:val="both"/>
        <w:rPr>
          <w:sz w:val="20"/>
          <w:szCs w:val="20"/>
          <w:lang w:val="fr-CA"/>
        </w:rPr>
      </w:pPr>
    </w:p>
    <w:p w:rsidR="0006530B" w:rsidRPr="00D15F15" w:rsidRDefault="0006530B" w:rsidP="0006530B">
      <w:pPr>
        <w:widowControl w:val="0"/>
        <w:ind w:left="2880" w:hanging="2880"/>
        <w:jc w:val="both"/>
        <w:rPr>
          <w:sz w:val="20"/>
          <w:szCs w:val="20"/>
          <w:lang w:val="fr-CA"/>
        </w:rPr>
      </w:pPr>
      <w:r w:rsidRPr="00D15F15">
        <w:rPr>
          <w:sz w:val="20"/>
          <w:szCs w:val="20"/>
          <w:lang w:val="fr-CA"/>
        </w:rPr>
        <w:t>Origine :</w:t>
      </w:r>
      <w:r w:rsidRPr="00D15F15">
        <w:rPr>
          <w:sz w:val="20"/>
          <w:szCs w:val="20"/>
          <w:lang w:val="fr-CA"/>
        </w:rPr>
        <w:tab/>
        <w:t>Ontario</w:t>
      </w:r>
    </w:p>
    <w:p w:rsidR="0006530B" w:rsidRPr="00D15F15" w:rsidRDefault="0006530B" w:rsidP="0006530B">
      <w:pPr>
        <w:widowControl w:val="0"/>
        <w:ind w:left="2880" w:hanging="2880"/>
        <w:jc w:val="both"/>
        <w:rPr>
          <w:sz w:val="20"/>
          <w:szCs w:val="20"/>
          <w:lang w:val="fr-CA"/>
        </w:rPr>
      </w:pPr>
    </w:p>
    <w:p w:rsidR="0006530B" w:rsidRPr="00D15F15" w:rsidRDefault="0006530B" w:rsidP="0006530B">
      <w:pPr>
        <w:widowControl w:val="0"/>
        <w:ind w:left="2880" w:hanging="2880"/>
        <w:jc w:val="both"/>
        <w:rPr>
          <w:sz w:val="20"/>
          <w:szCs w:val="20"/>
          <w:lang w:val="fr-CA"/>
        </w:rPr>
      </w:pPr>
      <w:r w:rsidRPr="00D15F15">
        <w:rPr>
          <w:sz w:val="20"/>
          <w:szCs w:val="20"/>
          <w:lang w:val="fr-CA"/>
        </w:rPr>
        <w:t>N</w:t>
      </w:r>
      <w:r w:rsidRPr="00D15F15">
        <w:rPr>
          <w:sz w:val="20"/>
          <w:szCs w:val="20"/>
          <w:vertAlign w:val="superscript"/>
          <w:lang w:val="fr-CA"/>
        </w:rPr>
        <w:t>o</w:t>
      </w:r>
      <w:r w:rsidRPr="00D15F15">
        <w:rPr>
          <w:sz w:val="20"/>
          <w:szCs w:val="20"/>
          <w:lang w:val="fr-CA"/>
        </w:rPr>
        <w:t xml:space="preserve"> du greffe :</w:t>
      </w:r>
      <w:r w:rsidRPr="00D15F15">
        <w:rPr>
          <w:sz w:val="20"/>
          <w:szCs w:val="20"/>
          <w:lang w:val="fr-CA"/>
        </w:rPr>
        <w:tab/>
        <w:t>34009</w:t>
      </w:r>
    </w:p>
    <w:p w:rsidR="0006530B" w:rsidRPr="00D15F15" w:rsidRDefault="0006530B" w:rsidP="0006530B">
      <w:pPr>
        <w:widowControl w:val="0"/>
        <w:ind w:left="2880" w:hanging="2880"/>
        <w:jc w:val="both"/>
        <w:rPr>
          <w:sz w:val="20"/>
          <w:szCs w:val="20"/>
          <w:lang w:val="fr-CA"/>
        </w:rPr>
      </w:pPr>
    </w:p>
    <w:p w:rsidR="0006530B" w:rsidRPr="00D15F15" w:rsidRDefault="0006530B" w:rsidP="0006530B">
      <w:pPr>
        <w:widowControl w:val="0"/>
        <w:ind w:left="2880" w:hanging="2880"/>
        <w:jc w:val="both"/>
        <w:rPr>
          <w:sz w:val="20"/>
          <w:szCs w:val="20"/>
          <w:lang w:val="fr-CA"/>
        </w:rPr>
      </w:pPr>
      <w:r w:rsidRPr="00D15F15">
        <w:rPr>
          <w:sz w:val="20"/>
          <w:szCs w:val="20"/>
          <w:lang w:val="fr-CA"/>
        </w:rPr>
        <w:t>Arrêt de la Cour d’appel :</w:t>
      </w:r>
      <w:r w:rsidRPr="00D15F15">
        <w:rPr>
          <w:sz w:val="20"/>
          <w:szCs w:val="20"/>
          <w:lang w:val="fr-CA"/>
        </w:rPr>
        <w:tab/>
        <w:t>le 17 décembre 2010</w:t>
      </w:r>
    </w:p>
    <w:p w:rsidR="0006530B" w:rsidRPr="00D15F15" w:rsidRDefault="0006530B" w:rsidP="0006530B">
      <w:pPr>
        <w:widowControl w:val="0"/>
        <w:ind w:left="2880" w:hanging="2880"/>
        <w:jc w:val="both"/>
        <w:rPr>
          <w:sz w:val="20"/>
          <w:szCs w:val="20"/>
          <w:lang w:val="fr-CA"/>
        </w:rPr>
      </w:pPr>
    </w:p>
    <w:p w:rsidR="0006530B" w:rsidRPr="00D15F15" w:rsidRDefault="0006530B" w:rsidP="0006530B">
      <w:pPr>
        <w:widowControl w:val="0"/>
        <w:ind w:left="2880" w:hanging="2880"/>
        <w:jc w:val="both"/>
        <w:rPr>
          <w:sz w:val="20"/>
          <w:szCs w:val="20"/>
          <w:lang w:val="fr-CA"/>
        </w:rPr>
      </w:pPr>
      <w:r w:rsidRPr="00D15F15">
        <w:rPr>
          <w:sz w:val="20"/>
          <w:szCs w:val="20"/>
          <w:lang w:val="fr-CA"/>
        </w:rPr>
        <w:t>Avocats :</w:t>
      </w:r>
      <w:r w:rsidRPr="00D15F15">
        <w:rPr>
          <w:sz w:val="20"/>
          <w:szCs w:val="20"/>
          <w:lang w:val="fr-CA"/>
        </w:rPr>
        <w:tab/>
        <w:t>John Norris et Brydie Bethell pour l’appelant</w:t>
      </w:r>
    </w:p>
    <w:p w:rsidR="0006530B" w:rsidRPr="00D15F15" w:rsidRDefault="0006530B" w:rsidP="0006530B">
      <w:pPr>
        <w:widowControl w:val="0"/>
        <w:ind w:left="2880" w:hanging="2880"/>
        <w:jc w:val="both"/>
        <w:rPr>
          <w:sz w:val="20"/>
          <w:szCs w:val="20"/>
          <w:lang w:val="fr-CA"/>
        </w:rPr>
      </w:pPr>
      <w:r w:rsidRPr="00D15F15">
        <w:rPr>
          <w:sz w:val="20"/>
          <w:szCs w:val="20"/>
          <w:lang w:val="fr-CA"/>
        </w:rPr>
        <w:tab/>
        <w:t>Nancy Dennison et Croft Michaelson pour les intimés</w:t>
      </w:r>
    </w:p>
    <w:p w:rsidR="00DA4855" w:rsidRPr="00DD0B49" w:rsidRDefault="00DA4855" w:rsidP="00DA4855">
      <w:pPr>
        <w:tabs>
          <w:tab w:val="left" w:pos="-1440"/>
          <w:tab w:val="left" w:pos="-720"/>
        </w:tabs>
        <w:jc w:val="both"/>
        <w:rPr>
          <w:sz w:val="20"/>
          <w:szCs w:val="20"/>
          <w:lang w:val="fr-CA"/>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102"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pPr>
        <w:rPr>
          <w:sz w:val="20"/>
          <w:szCs w:val="20"/>
          <w:lang w:val="fr-CA"/>
        </w:rPr>
      </w:pPr>
      <w:r>
        <w:rPr>
          <w:sz w:val="20"/>
          <w:szCs w:val="20"/>
          <w:lang w:val="fr-CA"/>
        </w:rPr>
        <w:br w:type="page"/>
      </w:r>
    </w:p>
    <w:p w:rsidR="000C7683" w:rsidRPr="00996D1E" w:rsidRDefault="003B0427" w:rsidP="000C7683">
      <w:pPr>
        <w:widowControl w:val="0"/>
        <w:ind w:left="720" w:hanging="720"/>
        <w:jc w:val="both"/>
        <w:rPr>
          <w:sz w:val="20"/>
          <w:szCs w:val="20"/>
        </w:rPr>
      </w:pPr>
      <w:r w:rsidRPr="00996D1E">
        <w:rPr>
          <w:b/>
          <w:sz w:val="20"/>
          <w:szCs w:val="20"/>
        </w:rPr>
        <w:lastRenderedPageBreak/>
        <w:fldChar w:fldCharType="begin"/>
      </w:r>
      <w:r w:rsidR="000C7683" w:rsidRPr="00996D1E">
        <w:rPr>
          <w:b/>
          <w:sz w:val="20"/>
          <w:szCs w:val="20"/>
        </w:rPr>
        <w:instrText xml:space="preserve"> SEQ CHAPTER \h \r 1</w:instrText>
      </w:r>
      <w:r w:rsidRPr="00996D1E">
        <w:rPr>
          <w:b/>
          <w:sz w:val="20"/>
          <w:szCs w:val="20"/>
        </w:rPr>
        <w:fldChar w:fldCharType="end"/>
      </w:r>
      <w:r w:rsidR="000C7683" w:rsidRPr="00996D1E">
        <w:rPr>
          <w:b/>
          <w:sz w:val="20"/>
          <w:szCs w:val="20"/>
        </w:rPr>
        <w:t>34013</w:t>
      </w:r>
      <w:r w:rsidR="000C7683" w:rsidRPr="00996D1E">
        <w:rPr>
          <w:sz w:val="20"/>
          <w:szCs w:val="20"/>
        </w:rPr>
        <w:tab/>
      </w:r>
      <w:r w:rsidR="000C7683" w:rsidRPr="00996D1E">
        <w:rPr>
          <w:b/>
          <w:i/>
          <w:sz w:val="20"/>
          <w:szCs w:val="20"/>
        </w:rPr>
        <w:t>Piratheepan Nadarajah v. United States of America, Minister of Justice and Attorney General of Canada</w:t>
      </w:r>
    </w:p>
    <w:p w:rsidR="000C7683" w:rsidRPr="00996D1E" w:rsidRDefault="000C7683" w:rsidP="000C7683">
      <w:pPr>
        <w:widowControl w:val="0"/>
        <w:jc w:val="both"/>
        <w:rPr>
          <w:sz w:val="20"/>
          <w:szCs w:val="20"/>
        </w:rPr>
      </w:pPr>
    </w:p>
    <w:p w:rsidR="000C7683" w:rsidRPr="00996D1E" w:rsidRDefault="000C7683" w:rsidP="000C7683">
      <w:pPr>
        <w:widowControl w:val="0"/>
        <w:jc w:val="both"/>
        <w:rPr>
          <w:sz w:val="20"/>
          <w:szCs w:val="20"/>
        </w:rPr>
      </w:pPr>
      <w:r w:rsidRPr="00996D1E">
        <w:rPr>
          <w:i/>
          <w:sz w:val="20"/>
          <w:szCs w:val="20"/>
        </w:rPr>
        <w:t>Canadian Charter of Rights and Freedoms</w:t>
      </w:r>
      <w:r w:rsidRPr="00996D1E">
        <w:rPr>
          <w:sz w:val="20"/>
          <w:szCs w:val="20"/>
        </w:rPr>
        <w:t xml:space="preserve"> </w:t>
      </w:r>
      <w:r w:rsidRPr="00996D1E">
        <w:rPr>
          <w:sz w:val="20"/>
          <w:szCs w:val="20"/>
        </w:rPr>
        <w:noBreakHyphen/>
        <w:t xml:space="preserve"> Extradition </w:t>
      </w:r>
      <w:r w:rsidRPr="00996D1E">
        <w:rPr>
          <w:sz w:val="20"/>
          <w:szCs w:val="20"/>
        </w:rPr>
        <w:noBreakHyphen/>
        <w:t xml:space="preserve"> Appeal from committal </w:t>
      </w:r>
      <w:r w:rsidRPr="00996D1E">
        <w:rPr>
          <w:sz w:val="20"/>
          <w:szCs w:val="20"/>
        </w:rPr>
        <w:noBreakHyphen/>
        <w:t xml:space="preserve"> Judicial Review of Surrender Order </w:t>
      </w:r>
      <w:r w:rsidRPr="00996D1E">
        <w:rPr>
          <w:sz w:val="20"/>
          <w:szCs w:val="20"/>
        </w:rPr>
        <w:noBreakHyphen/>
        <w:t xml:space="preserve"> Whether ss. 83.03, 83.18 or 83.21 of the </w:t>
      </w:r>
      <w:r w:rsidRPr="00996D1E">
        <w:rPr>
          <w:i/>
          <w:sz w:val="20"/>
          <w:szCs w:val="20"/>
        </w:rPr>
        <w:t>Criminal Code</w:t>
      </w:r>
      <w:r w:rsidRPr="00996D1E">
        <w:rPr>
          <w:sz w:val="20"/>
          <w:szCs w:val="20"/>
        </w:rPr>
        <w:t xml:space="preserve">, which incorporate the definition of “terrorist activity” in s. 83.01(1) of the </w:t>
      </w:r>
      <w:r w:rsidRPr="00996D1E">
        <w:rPr>
          <w:i/>
          <w:sz w:val="20"/>
          <w:szCs w:val="20"/>
        </w:rPr>
        <w:t>Criminal Code</w:t>
      </w:r>
      <w:r w:rsidRPr="00996D1E">
        <w:rPr>
          <w:sz w:val="20"/>
          <w:szCs w:val="20"/>
        </w:rPr>
        <w:t xml:space="preserve">, infringe s. 2(b) of the </w:t>
      </w:r>
      <w:r w:rsidRPr="00996D1E">
        <w:rPr>
          <w:i/>
          <w:sz w:val="20"/>
          <w:szCs w:val="20"/>
        </w:rPr>
        <w:t xml:space="preserve">Charter </w:t>
      </w:r>
      <w:r w:rsidRPr="00996D1E">
        <w:rPr>
          <w:sz w:val="20"/>
          <w:szCs w:val="20"/>
        </w:rPr>
        <w:noBreakHyphen/>
        <w:t xml:space="preserve"> If so, whether the infringement is a reasonable limit prescribed by law that can be demonstrably justified in a free and democratic society under s. 1 of the </w:t>
      </w:r>
      <w:r w:rsidRPr="00996D1E">
        <w:rPr>
          <w:i/>
          <w:sz w:val="20"/>
          <w:szCs w:val="20"/>
        </w:rPr>
        <w:t xml:space="preserve">Charter </w:t>
      </w:r>
      <w:r w:rsidRPr="00996D1E">
        <w:rPr>
          <w:sz w:val="20"/>
          <w:szCs w:val="20"/>
        </w:rPr>
        <w:noBreakHyphen/>
        <w:t xml:space="preserve"> Whether s. 83.18 of the </w:t>
      </w:r>
      <w:r w:rsidRPr="00996D1E">
        <w:rPr>
          <w:i/>
          <w:sz w:val="20"/>
          <w:szCs w:val="20"/>
        </w:rPr>
        <w:t>Criminal Code</w:t>
      </w:r>
      <w:r w:rsidRPr="00996D1E">
        <w:rPr>
          <w:sz w:val="20"/>
          <w:szCs w:val="20"/>
        </w:rPr>
        <w:t xml:space="preserve">, which incorporates the definition of “terrorist activity” in s. 83.01(1) of the </w:t>
      </w:r>
      <w:r w:rsidRPr="00996D1E">
        <w:rPr>
          <w:i/>
          <w:sz w:val="20"/>
          <w:szCs w:val="20"/>
        </w:rPr>
        <w:t>Criminal Code</w:t>
      </w:r>
      <w:r w:rsidRPr="00996D1E">
        <w:rPr>
          <w:sz w:val="20"/>
          <w:szCs w:val="20"/>
        </w:rPr>
        <w:t xml:space="preserve">, infringes s. 7 of the </w:t>
      </w:r>
      <w:r w:rsidRPr="00996D1E">
        <w:rPr>
          <w:i/>
          <w:sz w:val="20"/>
          <w:szCs w:val="20"/>
        </w:rPr>
        <w:t>Charter</w:t>
      </w:r>
      <w:r w:rsidRPr="00996D1E">
        <w:rPr>
          <w:sz w:val="20"/>
          <w:szCs w:val="20"/>
        </w:rPr>
        <w:t xml:space="preserve"> </w:t>
      </w:r>
      <w:r w:rsidRPr="00996D1E">
        <w:rPr>
          <w:sz w:val="20"/>
          <w:szCs w:val="20"/>
        </w:rPr>
        <w:noBreakHyphen/>
        <w:t xml:space="preserve"> If so, whether the infringement is a reasonable limit prescribed by law that can be demonstrably justified in a free and democratic society under s. 1 of the </w:t>
      </w:r>
      <w:r w:rsidRPr="00996D1E">
        <w:rPr>
          <w:i/>
          <w:sz w:val="20"/>
          <w:szCs w:val="20"/>
        </w:rPr>
        <w:t>Charter</w:t>
      </w:r>
      <w:r w:rsidRPr="00996D1E">
        <w:rPr>
          <w:sz w:val="20"/>
          <w:szCs w:val="20"/>
        </w:rPr>
        <w:t xml:space="preserve"> </w:t>
      </w:r>
      <w:r w:rsidRPr="00996D1E">
        <w:rPr>
          <w:sz w:val="20"/>
          <w:szCs w:val="20"/>
        </w:rPr>
        <w:noBreakHyphen/>
        <w:t xml:space="preserve"> Whether the Court of Appeal erred in failing to find that the Minister denied the appellant procedural fairness </w:t>
      </w:r>
      <w:r w:rsidRPr="00996D1E">
        <w:rPr>
          <w:sz w:val="20"/>
          <w:szCs w:val="20"/>
        </w:rPr>
        <w:noBreakHyphen/>
        <w:t xml:space="preserve"> Whether the Court of Appeal erred in concluding that the Minister’s decision that surrender would not unjustifiably limit the appellant’s s. 6(1) </w:t>
      </w:r>
      <w:r w:rsidRPr="00996D1E">
        <w:rPr>
          <w:i/>
          <w:sz w:val="20"/>
          <w:szCs w:val="20"/>
        </w:rPr>
        <w:t>Charter</w:t>
      </w:r>
      <w:r w:rsidRPr="00996D1E">
        <w:rPr>
          <w:sz w:val="20"/>
          <w:szCs w:val="20"/>
        </w:rPr>
        <w:t xml:space="preserve"> rights was reasonable </w:t>
      </w:r>
      <w:r w:rsidRPr="00996D1E">
        <w:rPr>
          <w:sz w:val="20"/>
          <w:szCs w:val="20"/>
        </w:rPr>
        <w:noBreakHyphen/>
        <w:t xml:space="preserve"> </w:t>
      </w:r>
      <w:r w:rsidRPr="00996D1E">
        <w:rPr>
          <w:i/>
          <w:sz w:val="20"/>
          <w:szCs w:val="20"/>
        </w:rPr>
        <w:t>Criminal Code</w:t>
      </w:r>
      <w:r w:rsidRPr="00996D1E">
        <w:rPr>
          <w:sz w:val="20"/>
          <w:szCs w:val="20"/>
        </w:rPr>
        <w:t>, R.S.C. 1985, c. C</w:t>
      </w:r>
      <w:r w:rsidRPr="00996D1E">
        <w:rPr>
          <w:sz w:val="20"/>
          <w:szCs w:val="20"/>
        </w:rPr>
        <w:noBreakHyphen/>
        <w:t xml:space="preserve">46, ss. 83.01(1), 83.03, 83.18 and 83.21 </w:t>
      </w:r>
      <w:r w:rsidRPr="00996D1E">
        <w:rPr>
          <w:sz w:val="20"/>
          <w:szCs w:val="20"/>
        </w:rPr>
        <w:noBreakHyphen/>
        <w:t xml:space="preserve"> </w:t>
      </w:r>
      <w:r w:rsidRPr="00996D1E">
        <w:rPr>
          <w:i/>
          <w:sz w:val="20"/>
          <w:szCs w:val="20"/>
        </w:rPr>
        <w:t>Canadian Charter of Rights and Freedoms</w:t>
      </w:r>
      <w:r w:rsidRPr="00996D1E">
        <w:rPr>
          <w:sz w:val="20"/>
          <w:szCs w:val="20"/>
        </w:rPr>
        <w:t>, ss. 1, 2(b), 6(1) and 7.</w:t>
      </w:r>
    </w:p>
    <w:p w:rsidR="000C7683" w:rsidRPr="00996D1E" w:rsidRDefault="000C7683" w:rsidP="000C7683">
      <w:pPr>
        <w:widowControl w:val="0"/>
        <w:jc w:val="both"/>
        <w:rPr>
          <w:sz w:val="20"/>
          <w:szCs w:val="20"/>
        </w:rPr>
      </w:pPr>
    </w:p>
    <w:p w:rsidR="000C7683" w:rsidRPr="00996D1E" w:rsidRDefault="000C7683" w:rsidP="000C7683">
      <w:pPr>
        <w:jc w:val="both"/>
        <w:rPr>
          <w:sz w:val="20"/>
          <w:szCs w:val="20"/>
        </w:rPr>
      </w:pPr>
      <w:r w:rsidRPr="00996D1E">
        <w:rPr>
          <w:sz w:val="20"/>
          <w:szCs w:val="20"/>
        </w:rPr>
        <w:t>The U.S. seeks the appellant’s extradition to stand trial on terrorism charges for alleged involvement with and assistance of the Liberation Tigers of Tamil Eelam (the “LTTE”).  It is alleged that the appellant was part of a group of individuals who attempted to purchase surface</w:t>
      </w:r>
      <w:r w:rsidRPr="00996D1E">
        <w:rPr>
          <w:sz w:val="20"/>
          <w:szCs w:val="20"/>
        </w:rPr>
        <w:noBreakHyphen/>
        <w:t>to</w:t>
      </w:r>
      <w:r w:rsidRPr="00996D1E">
        <w:rPr>
          <w:sz w:val="20"/>
          <w:szCs w:val="20"/>
        </w:rPr>
        <w:noBreakHyphen/>
        <w:t>air missiles and AK</w:t>
      </w:r>
      <w:r w:rsidRPr="00996D1E">
        <w:rPr>
          <w:sz w:val="20"/>
          <w:szCs w:val="20"/>
        </w:rPr>
        <w:noBreakHyphen/>
        <w:t xml:space="preserve">47s in the U.S. on behalf of the LTTE from an undercover officer posing as a black market arms dealer.  At the committal hearing, the appellant sought a declaration that the definition of “terrorist activity” in s. 83.01(1)(b) of the </w:t>
      </w:r>
      <w:r w:rsidRPr="00996D1E">
        <w:rPr>
          <w:i/>
          <w:sz w:val="20"/>
          <w:szCs w:val="20"/>
        </w:rPr>
        <w:t>Criminal Code</w:t>
      </w:r>
      <w:r w:rsidRPr="00996D1E">
        <w:rPr>
          <w:sz w:val="20"/>
          <w:szCs w:val="20"/>
        </w:rPr>
        <w:t xml:space="preserve"> and the terrorist offence provisions of the </w:t>
      </w:r>
      <w:r w:rsidRPr="00996D1E">
        <w:rPr>
          <w:i/>
          <w:sz w:val="20"/>
          <w:szCs w:val="20"/>
        </w:rPr>
        <w:t>Criminal Code</w:t>
      </w:r>
      <w:r w:rsidRPr="00996D1E">
        <w:rPr>
          <w:sz w:val="20"/>
          <w:szCs w:val="20"/>
        </w:rPr>
        <w:t xml:space="preserve"> which incorporate this definition, namely ss. 88.03 (providing, making available, etc., property or services for terrorist purposes), 83.18 (participation in activity of terrorist group) and 83.21 (instructing to carry out activity for terrorist group), are unconstitutional as they infringe ss. 2(b) and (d) and 7 of the</w:t>
      </w:r>
      <w:r w:rsidRPr="00996D1E">
        <w:rPr>
          <w:i/>
          <w:sz w:val="20"/>
          <w:szCs w:val="20"/>
        </w:rPr>
        <w:t xml:space="preserve"> Charter</w:t>
      </w:r>
      <w:r w:rsidRPr="00996D1E">
        <w:rPr>
          <w:sz w:val="20"/>
          <w:szCs w:val="20"/>
        </w:rPr>
        <w:t xml:space="preserve">.  Before the Minister, the appellant submitted that his surrender would breach s. 6 of the </w:t>
      </w:r>
      <w:r w:rsidRPr="00996D1E">
        <w:rPr>
          <w:i/>
          <w:sz w:val="20"/>
          <w:szCs w:val="20"/>
        </w:rPr>
        <w:t>Charter</w:t>
      </w:r>
      <w:r w:rsidRPr="00996D1E">
        <w:rPr>
          <w:sz w:val="20"/>
          <w:szCs w:val="20"/>
        </w:rPr>
        <w:t xml:space="preserve">.  The committal judge ordered the appellant committed for extradition.  The Minister ordered his surrender.  The Court of Appeal dismissed the appeal from the committal order and the application for judicial review of the Minister’s decision to surrender the appellant. </w:t>
      </w:r>
    </w:p>
    <w:p w:rsidR="000C7683" w:rsidRPr="00996D1E" w:rsidRDefault="000C7683" w:rsidP="000C7683">
      <w:pPr>
        <w:widowControl w:val="0"/>
        <w:jc w:val="both"/>
        <w:rPr>
          <w:sz w:val="20"/>
          <w:szCs w:val="20"/>
        </w:rPr>
      </w:pPr>
    </w:p>
    <w:p w:rsidR="000C7683" w:rsidRPr="00996D1E" w:rsidRDefault="000C7683" w:rsidP="000C7683">
      <w:pPr>
        <w:widowControl w:val="0"/>
        <w:jc w:val="both"/>
        <w:rPr>
          <w:sz w:val="20"/>
          <w:szCs w:val="20"/>
        </w:rPr>
      </w:pPr>
    </w:p>
    <w:p w:rsidR="000C7683" w:rsidRDefault="000C7683" w:rsidP="000C7683">
      <w:pPr>
        <w:widowControl w:val="0"/>
        <w:ind w:left="2880" w:hanging="2880"/>
        <w:jc w:val="both"/>
        <w:rPr>
          <w:sz w:val="20"/>
          <w:szCs w:val="20"/>
        </w:rPr>
      </w:pPr>
      <w:r w:rsidRPr="00996D1E">
        <w:rPr>
          <w:sz w:val="20"/>
          <w:szCs w:val="20"/>
        </w:rPr>
        <w:t>Origin of the case:</w:t>
      </w:r>
      <w:r w:rsidRPr="00996D1E">
        <w:rPr>
          <w:sz w:val="20"/>
          <w:szCs w:val="20"/>
        </w:rPr>
        <w:tab/>
        <w:t>Ontario</w:t>
      </w:r>
    </w:p>
    <w:p w:rsidR="000C7683" w:rsidRPr="00996D1E" w:rsidRDefault="000C7683" w:rsidP="000C7683">
      <w:pPr>
        <w:widowControl w:val="0"/>
        <w:ind w:left="2880" w:hanging="2880"/>
        <w:jc w:val="both"/>
        <w:rPr>
          <w:sz w:val="20"/>
          <w:szCs w:val="20"/>
        </w:rPr>
      </w:pPr>
    </w:p>
    <w:p w:rsidR="000C7683" w:rsidRPr="00996D1E" w:rsidRDefault="000C7683" w:rsidP="000C7683">
      <w:pPr>
        <w:widowControl w:val="0"/>
        <w:ind w:left="2880" w:hanging="2880"/>
        <w:jc w:val="both"/>
        <w:rPr>
          <w:sz w:val="20"/>
          <w:szCs w:val="20"/>
        </w:rPr>
      </w:pPr>
      <w:r w:rsidRPr="00996D1E">
        <w:rPr>
          <w:sz w:val="20"/>
          <w:szCs w:val="20"/>
        </w:rPr>
        <w:t>File No.:</w:t>
      </w:r>
      <w:r w:rsidRPr="00996D1E">
        <w:rPr>
          <w:sz w:val="20"/>
          <w:szCs w:val="20"/>
        </w:rPr>
        <w:tab/>
        <w:t>34013</w:t>
      </w:r>
    </w:p>
    <w:p w:rsidR="000C7683" w:rsidRPr="00996D1E" w:rsidRDefault="000C7683" w:rsidP="000C7683">
      <w:pPr>
        <w:widowControl w:val="0"/>
        <w:ind w:left="2880" w:hanging="2880"/>
        <w:jc w:val="both"/>
        <w:rPr>
          <w:sz w:val="20"/>
          <w:szCs w:val="20"/>
        </w:rPr>
      </w:pPr>
    </w:p>
    <w:p w:rsidR="000C7683" w:rsidRPr="00996D1E" w:rsidRDefault="000C7683" w:rsidP="000C7683">
      <w:pPr>
        <w:widowControl w:val="0"/>
        <w:ind w:left="2880" w:hanging="2880"/>
        <w:jc w:val="both"/>
        <w:rPr>
          <w:sz w:val="20"/>
          <w:szCs w:val="20"/>
        </w:rPr>
      </w:pPr>
      <w:r w:rsidRPr="00996D1E">
        <w:rPr>
          <w:sz w:val="20"/>
          <w:szCs w:val="20"/>
        </w:rPr>
        <w:t>Judgment of the Court of Appeal:</w:t>
      </w:r>
      <w:r w:rsidRPr="00996D1E">
        <w:rPr>
          <w:sz w:val="20"/>
          <w:szCs w:val="20"/>
        </w:rPr>
        <w:tab/>
        <w:t>December 17, 2010</w:t>
      </w:r>
    </w:p>
    <w:p w:rsidR="000C7683" w:rsidRPr="00996D1E" w:rsidRDefault="000C7683" w:rsidP="000C7683">
      <w:pPr>
        <w:widowControl w:val="0"/>
        <w:ind w:left="2880" w:hanging="2880"/>
        <w:jc w:val="both"/>
        <w:rPr>
          <w:sz w:val="20"/>
          <w:szCs w:val="20"/>
        </w:rPr>
      </w:pPr>
    </w:p>
    <w:p w:rsidR="000C7683" w:rsidRPr="00996D1E" w:rsidRDefault="000C7683" w:rsidP="000C7683">
      <w:pPr>
        <w:widowControl w:val="0"/>
        <w:ind w:left="2880" w:hanging="2880"/>
        <w:jc w:val="both"/>
        <w:rPr>
          <w:sz w:val="20"/>
          <w:szCs w:val="20"/>
        </w:rPr>
      </w:pPr>
      <w:r w:rsidRPr="00996D1E">
        <w:rPr>
          <w:sz w:val="20"/>
          <w:szCs w:val="20"/>
        </w:rPr>
        <w:t>Counsel:</w:t>
      </w:r>
      <w:r w:rsidRPr="00996D1E">
        <w:rPr>
          <w:sz w:val="20"/>
          <w:szCs w:val="20"/>
        </w:rPr>
        <w:tab/>
        <w:t>Breese Davies and Erin Dann for the appellant</w:t>
      </w:r>
    </w:p>
    <w:p w:rsidR="000C7683" w:rsidRPr="00996D1E" w:rsidRDefault="000C7683" w:rsidP="000C7683">
      <w:pPr>
        <w:widowControl w:val="0"/>
        <w:ind w:left="2880" w:hanging="2880"/>
        <w:jc w:val="both"/>
        <w:rPr>
          <w:sz w:val="20"/>
          <w:szCs w:val="20"/>
        </w:rPr>
      </w:pPr>
      <w:r w:rsidRPr="00996D1E">
        <w:rPr>
          <w:sz w:val="20"/>
          <w:szCs w:val="20"/>
        </w:rPr>
        <w:tab/>
        <w:t>Croft Michaelson and Sean Gaudet for the respondents</w:t>
      </w:r>
    </w:p>
    <w:p w:rsidR="00DA4855" w:rsidRPr="000C7683" w:rsidRDefault="00DA4855" w:rsidP="00DA4855">
      <w:pPr>
        <w:tabs>
          <w:tab w:val="left" w:pos="-1440"/>
          <w:tab w:val="left" w:pos="-720"/>
        </w:tabs>
        <w:jc w:val="both"/>
        <w:rPr>
          <w:sz w:val="20"/>
          <w:szCs w:val="20"/>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103"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pPr>
        <w:rPr>
          <w:sz w:val="20"/>
          <w:szCs w:val="20"/>
          <w:lang w:val="fr-CA"/>
        </w:rPr>
      </w:pPr>
      <w:r>
        <w:rPr>
          <w:sz w:val="20"/>
          <w:szCs w:val="20"/>
          <w:lang w:val="fr-CA"/>
        </w:rPr>
        <w:br w:type="page"/>
      </w:r>
    </w:p>
    <w:p w:rsidR="004147BE" w:rsidRPr="005571BB" w:rsidRDefault="003B0427" w:rsidP="004147BE">
      <w:pPr>
        <w:widowControl w:val="0"/>
        <w:ind w:left="720" w:hanging="720"/>
        <w:jc w:val="both"/>
        <w:rPr>
          <w:sz w:val="20"/>
          <w:szCs w:val="20"/>
          <w:lang w:val="fr-CA"/>
        </w:rPr>
      </w:pPr>
      <w:r w:rsidRPr="005571BB">
        <w:rPr>
          <w:b/>
          <w:sz w:val="20"/>
          <w:szCs w:val="20"/>
          <w:lang w:val="fr-CA"/>
        </w:rPr>
        <w:lastRenderedPageBreak/>
        <w:fldChar w:fldCharType="begin"/>
      </w:r>
      <w:r w:rsidR="004147BE" w:rsidRPr="005571BB">
        <w:rPr>
          <w:b/>
          <w:sz w:val="20"/>
          <w:szCs w:val="20"/>
          <w:lang w:val="fr-CA"/>
        </w:rPr>
        <w:instrText xml:space="preserve"> SEQ CHAPTER \h \r 1</w:instrText>
      </w:r>
      <w:r w:rsidRPr="005571BB">
        <w:rPr>
          <w:b/>
          <w:sz w:val="20"/>
          <w:szCs w:val="20"/>
          <w:lang w:val="fr-CA"/>
        </w:rPr>
        <w:fldChar w:fldCharType="end"/>
      </w:r>
      <w:r w:rsidR="004147BE" w:rsidRPr="005571BB">
        <w:rPr>
          <w:b/>
          <w:sz w:val="20"/>
          <w:szCs w:val="20"/>
          <w:lang w:val="fr-CA"/>
        </w:rPr>
        <w:t>34013</w:t>
      </w:r>
      <w:r w:rsidR="004147BE" w:rsidRPr="005571BB">
        <w:rPr>
          <w:sz w:val="20"/>
          <w:szCs w:val="20"/>
          <w:lang w:val="fr-CA"/>
        </w:rPr>
        <w:tab/>
      </w:r>
      <w:r w:rsidR="004147BE" w:rsidRPr="005571BB">
        <w:rPr>
          <w:b/>
          <w:i/>
          <w:sz w:val="20"/>
          <w:szCs w:val="20"/>
          <w:lang w:val="fr-CA"/>
        </w:rPr>
        <w:t>Piratheepan Nadarajah c. États</w:t>
      </w:r>
      <w:r w:rsidR="004147BE" w:rsidRPr="005571BB">
        <w:rPr>
          <w:b/>
          <w:i/>
          <w:sz w:val="20"/>
          <w:szCs w:val="20"/>
          <w:lang w:val="fr-CA"/>
        </w:rPr>
        <w:noBreakHyphen/>
        <w:t>Unis d’Amérique, ministre de la Justice et procureur général du Canada</w:t>
      </w:r>
    </w:p>
    <w:p w:rsidR="004147BE" w:rsidRPr="005571BB" w:rsidRDefault="004147BE" w:rsidP="004147BE">
      <w:pPr>
        <w:widowControl w:val="0"/>
        <w:jc w:val="both"/>
        <w:rPr>
          <w:sz w:val="20"/>
          <w:szCs w:val="20"/>
          <w:lang w:val="fr-CA"/>
        </w:rPr>
      </w:pPr>
    </w:p>
    <w:p w:rsidR="004147BE" w:rsidRPr="005571BB" w:rsidRDefault="004147BE" w:rsidP="004147BE">
      <w:pPr>
        <w:widowControl w:val="0"/>
        <w:jc w:val="both"/>
        <w:rPr>
          <w:sz w:val="20"/>
          <w:szCs w:val="20"/>
          <w:lang w:val="fr-CA"/>
        </w:rPr>
      </w:pPr>
      <w:r w:rsidRPr="005571BB">
        <w:rPr>
          <w:i/>
          <w:sz w:val="20"/>
          <w:szCs w:val="20"/>
          <w:lang w:val="fr-CA"/>
        </w:rPr>
        <w:t xml:space="preserve">Charte canadienne des droits et libertés </w:t>
      </w:r>
      <w:r w:rsidRPr="005571BB">
        <w:rPr>
          <w:sz w:val="20"/>
          <w:szCs w:val="20"/>
          <w:lang w:val="fr-CA"/>
        </w:rPr>
        <w:noBreakHyphen/>
        <w:t xml:space="preserve"> Extradition </w:t>
      </w:r>
      <w:r w:rsidRPr="005571BB">
        <w:rPr>
          <w:sz w:val="20"/>
          <w:szCs w:val="20"/>
          <w:lang w:val="fr-CA"/>
        </w:rPr>
        <w:noBreakHyphen/>
        <w:t xml:space="preserve"> Appel de l’incarcération </w:t>
      </w:r>
      <w:r w:rsidRPr="005571BB">
        <w:rPr>
          <w:sz w:val="20"/>
          <w:szCs w:val="20"/>
          <w:lang w:val="fr-CA"/>
        </w:rPr>
        <w:noBreakHyphen/>
        <w:t xml:space="preserve"> Contrôle judiciaire de l’arrêté d’extradition </w:t>
      </w:r>
      <w:r w:rsidRPr="005571BB">
        <w:rPr>
          <w:sz w:val="20"/>
          <w:szCs w:val="20"/>
          <w:lang w:val="fr-CA"/>
        </w:rPr>
        <w:noBreakHyphen/>
        <w:t xml:space="preserve"> Les art. 83.03, 83.18 ou 83.21 du </w:t>
      </w:r>
      <w:r w:rsidRPr="005571BB">
        <w:rPr>
          <w:i/>
          <w:sz w:val="20"/>
          <w:szCs w:val="20"/>
          <w:lang w:val="fr-CA"/>
        </w:rPr>
        <w:t>Code criminel</w:t>
      </w:r>
      <w:r w:rsidRPr="005571BB">
        <w:rPr>
          <w:sz w:val="20"/>
          <w:szCs w:val="20"/>
          <w:lang w:val="fr-CA"/>
        </w:rPr>
        <w:t xml:space="preserve">, qui incorporent la définition d’« activité terroriste » dans le par. 83.01(1) du </w:t>
      </w:r>
      <w:r w:rsidRPr="005571BB">
        <w:rPr>
          <w:i/>
          <w:sz w:val="20"/>
          <w:szCs w:val="20"/>
          <w:lang w:val="fr-CA"/>
        </w:rPr>
        <w:t>Code criminel</w:t>
      </w:r>
      <w:r w:rsidRPr="005571BB">
        <w:rPr>
          <w:sz w:val="20"/>
          <w:szCs w:val="20"/>
          <w:lang w:val="fr-CA"/>
        </w:rPr>
        <w:t>, portent</w:t>
      </w:r>
      <w:r w:rsidRPr="005571BB">
        <w:rPr>
          <w:sz w:val="20"/>
          <w:szCs w:val="20"/>
          <w:lang w:val="fr-CA"/>
        </w:rPr>
        <w:noBreakHyphen/>
        <w:t>ils atteinte à l’al. 2</w:t>
      </w:r>
      <w:r w:rsidRPr="005571BB">
        <w:rPr>
          <w:i/>
          <w:sz w:val="20"/>
          <w:szCs w:val="20"/>
          <w:lang w:val="fr-CA"/>
        </w:rPr>
        <w:t>b</w:t>
      </w:r>
      <w:r w:rsidRPr="005571BB">
        <w:rPr>
          <w:sz w:val="20"/>
          <w:szCs w:val="20"/>
          <w:lang w:val="fr-CA"/>
        </w:rPr>
        <w:t xml:space="preserve">) de la </w:t>
      </w:r>
      <w:r w:rsidRPr="005571BB">
        <w:rPr>
          <w:i/>
          <w:sz w:val="20"/>
          <w:szCs w:val="20"/>
          <w:lang w:val="fr-CA"/>
        </w:rPr>
        <w:t>Charte</w:t>
      </w:r>
      <w:r w:rsidRPr="005571BB">
        <w:rPr>
          <w:sz w:val="20"/>
          <w:szCs w:val="20"/>
          <w:lang w:val="fr-CA"/>
        </w:rPr>
        <w:t xml:space="preserve">? </w:t>
      </w:r>
      <w:r w:rsidRPr="005571BB">
        <w:rPr>
          <w:sz w:val="20"/>
          <w:szCs w:val="20"/>
          <w:lang w:val="fr-CA"/>
        </w:rPr>
        <w:noBreakHyphen/>
        <w:t xml:space="preserve"> Dans l’affirmative, l’atteinte constitue</w:t>
      </w:r>
      <w:r w:rsidRPr="005571BB">
        <w:rPr>
          <w:sz w:val="20"/>
          <w:szCs w:val="20"/>
          <w:lang w:val="fr-CA"/>
        </w:rPr>
        <w:noBreakHyphen/>
        <w:t>t</w:t>
      </w:r>
      <w:r w:rsidRPr="005571BB">
        <w:rPr>
          <w:sz w:val="20"/>
          <w:szCs w:val="20"/>
          <w:lang w:val="fr-CA"/>
        </w:rPr>
        <w:noBreakHyphen/>
        <w:t xml:space="preserve">elle une limite raisonnable dont la justification peut se démontrer dans le cadre d’une société libre et démocratique au sens de l’article premier de la </w:t>
      </w:r>
      <w:r w:rsidRPr="005571BB">
        <w:rPr>
          <w:i/>
          <w:sz w:val="20"/>
          <w:szCs w:val="20"/>
          <w:lang w:val="fr-CA"/>
        </w:rPr>
        <w:t>Charte</w:t>
      </w:r>
      <w:r w:rsidRPr="005571BB">
        <w:rPr>
          <w:sz w:val="20"/>
          <w:szCs w:val="20"/>
          <w:lang w:val="fr-CA"/>
        </w:rPr>
        <w:t xml:space="preserve">? </w:t>
      </w:r>
      <w:r w:rsidRPr="005571BB">
        <w:rPr>
          <w:sz w:val="20"/>
          <w:szCs w:val="20"/>
          <w:lang w:val="fr-CA"/>
        </w:rPr>
        <w:noBreakHyphen/>
        <w:t xml:space="preserve"> L’art. 83.18 du </w:t>
      </w:r>
      <w:r w:rsidRPr="005571BB">
        <w:rPr>
          <w:i/>
          <w:sz w:val="20"/>
          <w:szCs w:val="20"/>
          <w:lang w:val="fr-CA"/>
        </w:rPr>
        <w:t>Code criminel</w:t>
      </w:r>
      <w:r w:rsidRPr="005571BB">
        <w:rPr>
          <w:sz w:val="20"/>
          <w:szCs w:val="20"/>
          <w:lang w:val="fr-CA"/>
        </w:rPr>
        <w:t xml:space="preserve">, qui incorpore la définition d’« activité terroriste » dans le par. 83.01(1) du </w:t>
      </w:r>
      <w:r w:rsidRPr="005571BB">
        <w:rPr>
          <w:i/>
          <w:sz w:val="20"/>
          <w:szCs w:val="20"/>
          <w:lang w:val="fr-CA"/>
        </w:rPr>
        <w:t>Code criminel</w:t>
      </w:r>
      <w:r w:rsidRPr="005571BB">
        <w:rPr>
          <w:sz w:val="20"/>
          <w:szCs w:val="20"/>
          <w:lang w:val="fr-CA"/>
        </w:rPr>
        <w:t xml:space="preserve"> porte</w:t>
      </w:r>
      <w:r w:rsidRPr="005571BB">
        <w:rPr>
          <w:sz w:val="20"/>
          <w:szCs w:val="20"/>
          <w:lang w:val="fr-CA"/>
        </w:rPr>
        <w:noBreakHyphen/>
        <w:t>t</w:t>
      </w:r>
      <w:r w:rsidRPr="005571BB">
        <w:rPr>
          <w:sz w:val="20"/>
          <w:szCs w:val="20"/>
          <w:lang w:val="fr-CA"/>
        </w:rPr>
        <w:noBreakHyphen/>
        <w:t xml:space="preserve">il atteinte à l’art. 7 de la </w:t>
      </w:r>
      <w:r w:rsidRPr="005571BB">
        <w:rPr>
          <w:i/>
          <w:sz w:val="20"/>
          <w:szCs w:val="20"/>
          <w:lang w:val="fr-CA"/>
        </w:rPr>
        <w:t>Charte</w:t>
      </w:r>
      <w:r w:rsidRPr="005571BB">
        <w:rPr>
          <w:sz w:val="20"/>
          <w:szCs w:val="20"/>
          <w:lang w:val="fr-CA"/>
        </w:rPr>
        <w:t xml:space="preserve">? </w:t>
      </w:r>
      <w:r w:rsidRPr="005571BB">
        <w:rPr>
          <w:sz w:val="20"/>
          <w:szCs w:val="20"/>
          <w:lang w:val="fr-CA"/>
        </w:rPr>
        <w:noBreakHyphen/>
        <w:t xml:space="preserve"> Dans l’affirmative, l’atteinte constitue</w:t>
      </w:r>
      <w:r w:rsidRPr="005571BB">
        <w:rPr>
          <w:sz w:val="20"/>
          <w:szCs w:val="20"/>
          <w:lang w:val="fr-CA"/>
        </w:rPr>
        <w:noBreakHyphen/>
        <w:t>t</w:t>
      </w:r>
      <w:r w:rsidRPr="005571BB">
        <w:rPr>
          <w:sz w:val="20"/>
          <w:szCs w:val="20"/>
          <w:lang w:val="fr-CA"/>
        </w:rPr>
        <w:noBreakHyphen/>
        <w:t xml:space="preserve">elle une limite raisonnable dont la justification peut se démontrer dans le cadre d’une société libre et démocratique  au sens de l’article premier de la </w:t>
      </w:r>
      <w:r w:rsidRPr="005571BB">
        <w:rPr>
          <w:i/>
          <w:sz w:val="20"/>
          <w:szCs w:val="20"/>
          <w:lang w:val="fr-CA"/>
        </w:rPr>
        <w:t>Charte</w:t>
      </w:r>
      <w:r w:rsidRPr="005571BB">
        <w:rPr>
          <w:sz w:val="20"/>
          <w:szCs w:val="20"/>
          <w:lang w:val="fr-CA"/>
        </w:rPr>
        <w:t xml:space="preserve">? </w:t>
      </w:r>
      <w:r w:rsidRPr="005571BB">
        <w:rPr>
          <w:sz w:val="20"/>
          <w:szCs w:val="20"/>
          <w:lang w:val="fr-CA"/>
        </w:rPr>
        <w:noBreakHyphen/>
        <w:t xml:space="preserve"> La Cour d’appel a</w:t>
      </w:r>
      <w:r w:rsidRPr="005571BB">
        <w:rPr>
          <w:sz w:val="20"/>
          <w:szCs w:val="20"/>
          <w:lang w:val="fr-CA"/>
        </w:rPr>
        <w:noBreakHyphen/>
        <w:t>t</w:t>
      </w:r>
      <w:r w:rsidRPr="005571BB">
        <w:rPr>
          <w:sz w:val="20"/>
          <w:szCs w:val="20"/>
          <w:lang w:val="fr-CA"/>
        </w:rPr>
        <w:noBreakHyphen/>
        <w:t xml:space="preserve">elle eu tort de conclure que le ministre avait manqué à son obligation d’équité procédurale envers l’appelant? </w:t>
      </w:r>
      <w:r w:rsidRPr="005571BB">
        <w:rPr>
          <w:sz w:val="20"/>
          <w:szCs w:val="20"/>
          <w:lang w:val="fr-CA"/>
        </w:rPr>
        <w:noBreakHyphen/>
        <w:t xml:space="preserve"> La Cour d’appel a</w:t>
      </w:r>
      <w:r w:rsidRPr="005571BB">
        <w:rPr>
          <w:sz w:val="20"/>
          <w:szCs w:val="20"/>
          <w:lang w:val="fr-CA"/>
        </w:rPr>
        <w:noBreakHyphen/>
        <w:t>t</w:t>
      </w:r>
      <w:r w:rsidRPr="005571BB">
        <w:rPr>
          <w:sz w:val="20"/>
          <w:szCs w:val="20"/>
          <w:lang w:val="fr-CA"/>
        </w:rPr>
        <w:noBreakHyphen/>
        <w:t xml:space="preserve">elle eu tort de conclure que la décision du ministre selon laquelle l’extradition ne restreindrait pas de manière injustifiée les droits de l’appelant garantis par le par. 6(1) de la </w:t>
      </w:r>
      <w:r w:rsidRPr="005571BB">
        <w:rPr>
          <w:i/>
          <w:sz w:val="20"/>
          <w:szCs w:val="20"/>
          <w:lang w:val="fr-CA"/>
        </w:rPr>
        <w:t>Charte</w:t>
      </w:r>
      <w:r w:rsidRPr="005571BB">
        <w:rPr>
          <w:sz w:val="20"/>
          <w:szCs w:val="20"/>
          <w:lang w:val="fr-CA"/>
        </w:rPr>
        <w:t xml:space="preserve"> était raisonnable? </w:t>
      </w:r>
      <w:r w:rsidRPr="005571BB">
        <w:rPr>
          <w:sz w:val="20"/>
          <w:szCs w:val="20"/>
          <w:lang w:val="fr-CA"/>
        </w:rPr>
        <w:noBreakHyphen/>
      </w:r>
      <w:r w:rsidRPr="005571BB">
        <w:rPr>
          <w:i/>
          <w:sz w:val="20"/>
          <w:szCs w:val="20"/>
          <w:lang w:val="fr-CA"/>
        </w:rPr>
        <w:t xml:space="preserve"> Code criminel</w:t>
      </w:r>
      <w:r w:rsidRPr="005571BB">
        <w:rPr>
          <w:sz w:val="20"/>
          <w:szCs w:val="20"/>
          <w:lang w:val="fr-CA"/>
        </w:rPr>
        <w:t>, L.R.C. 1985, ch. C</w:t>
      </w:r>
      <w:r w:rsidRPr="005571BB">
        <w:rPr>
          <w:sz w:val="20"/>
          <w:szCs w:val="20"/>
          <w:lang w:val="fr-CA"/>
        </w:rPr>
        <w:noBreakHyphen/>
        <w:t xml:space="preserve">46, arts. 83.01(1), 83.03, 83.18 et 83.21 </w:t>
      </w:r>
      <w:r w:rsidRPr="005571BB">
        <w:rPr>
          <w:sz w:val="20"/>
          <w:szCs w:val="20"/>
          <w:lang w:val="fr-CA"/>
        </w:rPr>
        <w:noBreakHyphen/>
      </w:r>
      <w:r w:rsidRPr="005571BB">
        <w:rPr>
          <w:i/>
          <w:sz w:val="20"/>
          <w:szCs w:val="20"/>
          <w:lang w:val="fr-CA"/>
        </w:rPr>
        <w:t xml:space="preserve"> Charte canadienne des droits et libertés</w:t>
      </w:r>
      <w:r w:rsidRPr="005571BB">
        <w:rPr>
          <w:sz w:val="20"/>
          <w:szCs w:val="20"/>
          <w:lang w:val="fr-CA"/>
        </w:rPr>
        <w:t>, art. 1, 2(b), 6(1) et 7.</w:t>
      </w:r>
    </w:p>
    <w:p w:rsidR="004147BE" w:rsidRPr="005571BB" w:rsidRDefault="004147BE" w:rsidP="004147BE">
      <w:pPr>
        <w:widowControl w:val="0"/>
        <w:jc w:val="both"/>
        <w:rPr>
          <w:sz w:val="20"/>
          <w:szCs w:val="20"/>
          <w:lang w:val="fr-CA"/>
        </w:rPr>
      </w:pPr>
    </w:p>
    <w:p w:rsidR="004147BE" w:rsidRPr="005571BB" w:rsidRDefault="004147BE" w:rsidP="004147BE">
      <w:pPr>
        <w:jc w:val="both"/>
        <w:rPr>
          <w:sz w:val="20"/>
          <w:szCs w:val="20"/>
          <w:lang w:val="fr-CA"/>
        </w:rPr>
      </w:pPr>
      <w:r w:rsidRPr="005571BB">
        <w:rPr>
          <w:sz w:val="20"/>
          <w:szCs w:val="20"/>
          <w:lang w:val="fr-CA"/>
        </w:rPr>
        <w:t>Les États</w:t>
      </w:r>
      <w:r w:rsidRPr="005571BB">
        <w:rPr>
          <w:sz w:val="20"/>
          <w:szCs w:val="20"/>
          <w:lang w:val="fr-CA"/>
        </w:rPr>
        <w:noBreakHyphen/>
        <w:t>Unis sollicitent l’extradition de l’appelant pour qu’il subisse son procès pour infractions de terrorisme.  Il est accusé d’être impliqué avec les Tigres de libération de l’Eelam tamoul (TLET) et d’avoir aidé ce groupe.  Il aurait appartenu à un groupe qui aurait tenté d’acheter des missiles sol</w:t>
      </w:r>
      <w:r w:rsidRPr="005571BB">
        <w:rPr>
          <w:sz w:val="20"/>
          <w:szCs w:val="20"/>
          <w:lang w:val="fr-CA"/>
        </w:rPr>
        <w:noBreakHyphen/>
        <w:t>air et des AK</w:t>
      </w:r>
      <w:r w:rsidRPr="005571BB">
        <w:rPr>
          <w:sz w:val="20"/>
          <w:szCs w:val="20"/>
          <w:lang w:val="fr-CA"/>
        </w:rPr>
        <w:noBreakHyphen/>
        <w:t>47 aux États</w:t>
      </w:r>
      <w:r w:rsidRPr="005571BB">
        <w:rPr>
          <w:sz w:val="20"/>
          <w:szCs w:val="20"/>
          <w:lang w:val="fr-CA"/>
        </w:rPr>
        <w:noBreakHyphen/>
        <w:t>Unis au nom des TLET d’un agent d’infiltration qui se faisait passer pour un marchand d’armes du marché noir.  À l’audience d’incarcération, l’appelant a sollicité un jugement déclarant l’inconstitutionnalité de la définition d’« activité terroriste » à l’al. 83.01(1)</w:t>
      </w:r>
      <w:r w:rsidRPr="005571BB">
        <w:rPr>
          <w:i/>
          <w:sz w:val="20"/>
          <w:szCs w:val="20"/>
          <w:lang w:val="fr-CA"/>
        </w:rPr>
        <w:t>b</w:t>
      </w:r>
      <w:r w:rsidRPr="005571BB">
        <w:rPr>
          <w:sz w:val="20"/>
          <w:szCs w:val="20"/>
          <w:lang w:val="fr-CA"/>
        </w:rPr>
        <w:t xml:space="preserve">) du </w:t>
      </w:r>
      <w:r w:rsidRPr="005571BB">
        <w:rPr>
          <w:i/>
          <w:sz w:val="20"/>
          <w:szCs w:val="20"/>
          <w:lang w:val="fr-CA"/>
        </w:rPr>
        <w:t>Code criminel</w:t>
      </w:r>
      <w:r w:rsidRPr="005571BB">
        <w:rPr>
          <w:sz w:val="20"/>
          <w:szCs w:val="20"/>
          <w:lang w:val="fr-CA"/>
        </w:rPr>
        <w:t xml:space="preserve"> et des dispositions sur le terrorisme du </w:t>
      </w:r>
      <w:r w:rsidRPr="005571BB">
        <w:rPr>
          <w:i/>
          <w:sz w:val="20"/>
          <w:szCs w:val="20"/>
          <w:lang w:val="fr-CA"/>
        </w:rPr>
        <w:t>Code criminel</w:t>
      </w:r>
      <w:r w:rsidRPr="005571BB">
        <w:rPr>
          <w:sz w:val="20"/>
          <w:szCs w:val="20"/>
          <w:lang w:val="fr-CA"/>
        </w:rPr>
        <w:t xml:space="preserve"> qui incorporent cette définition, à savoir l’art. 83.03 (fournir, rendre disponibles, etc. des biens ou services à des fins terroristes), 83.18 (participation à une activité d’un groupe terroriste) et 83.21 (charger une personne de se livrer à une activité pour un groupe terroriste), puisqu’elles portent atteinte aux al. 2</w:t>
      </w:r>
      <w:r w:rsidRPr="005571BB">
        <w:rPr>
          <w:i/>
          <w:sz w:val="20"/>
          <w:szCs w:val="20"/>
          <w:lang w:val="fr-CA"/>
        </w:rPr>
        <w:t>b</w:t>
      </w:r>
      <w:r w:rsidRPr="005571BB">
        <w:rPr>
          <w:sz w:val="20"/>
          <w:szCs w:val="20"/>
          <w:lang w:val="fr-CA"/>
        </w:rPr>
        <w:t xml:space="preserve">) et </w:t>
      </w:r>
      <w:r w:rsidRPr="005571BB">
        <w:rPr>
          <w:i/>
          <w:sz w:val="20"/>
          <w:szCs w:val="20"/>
          <w:lang w:val="fr-CA"/>
        </w:rPr>
        <w:t>d</w:t>
      </w:r>
      <w:r w:rsidRPr="005571BB">
        <w:rPr>
          <w:sz w:val="20"/>
          <w:szCs w:val="20"/>
          <w:lang w:val="fr-CA"/>
        </w:rPr>
        <w:t xml:space="preserve">) et à l’art. 7 de la </w:t>
      </w:r>
      <w:r w:rsidRPr="005571BB">
        <w:rPr>
          <w:i/>
          <w:sz w:val="20"/>
          <w:szCs w:val="20"/>
          <w:lang w:val="fr-CA"/>
        </w:rPr>
        <w:t>Charte</w:t>
      </w:r>
      <w:r w:rsidRPr="005571BB">
        <w:rPr>
          <w:sz w:val="20"/>
          <w:szCs w:val="20"/>
          <w:lang w:val="fr-CA"/>
        </w:rPr>
        <w:t xml:space="preserve">.  Devant le ministre, l’appelant a fait valoir que son extradition violerait le droit que lui garantit l’art. 6 de la </w:t>
      </w:r>
      <w:r w:rsidRPr="005571BB">
        <w:rPr>
          <w:i/>
          <w:sz w:val="20"/>
          <w:szCs w:val="20"/>
          <w:lang w:val="fr-CA"/>
        </w:rPr>
        <w:t>Charte</w:t>
      </w:r>
      <w:r w:rsidRPr="005571BB">
        <w:rPr>
          <w:sz w:val="20"/>
          <w:szCs w:val="20"/>
          <w:lang w:val="fr-CA"/>
        </w:rPr>
        <w:t xml:space="preserve">.  Le juge siégeant à l’audience d’incarcération a ordonné l’incarcération de l’appelant en vue de son extradition.  Le ministre a pris l’arrêté d’extradition.  La Cour d’appel a rejeté l’appel de l’ordonnance d’incarcération et la demande de contrôle judiciaire de la décision du ministre d’extrader l’appelant. </w:t>
      </w:r>
    </w:p>
    <w:p w:rsidR="004147BE" w:rsidRPr="005571BB" w:rsidRDefault="004147BE" w:rsidP="004147BE">
      <w:pPr>
        <w:widowControl w:val="0"/>
        <w:jc w:val="both"/>
        <w:rPr>
          <w:sz w:val="20"/>
          <w:szCs w:val="20"/>
          <w:lang w:val="fr-CA"/>
        </w:rPr>
      </w:pPr>
    </w:p>
    <w:p w:rsidR="004147BE" w:rsidRPr="005571BB" w:rsidRDefault="004147BE" w:rsidP="004147BE">
      <w:pPr>
        <w:widowControl w:val="0"/>
        <w:jc w:val="both"/>
        <w:rPr>
          <w:sz w:val="20"/>
          <w:szCs w:val="20"/>
          <w:lang w:val="fr-CA"/>
        </w:rPr>
      </w:pPr>
    </w:p>
    <w:p w:rsidR="004147BE" w:rsidRPr="005571BB" w:rsidRDefault="004147BE" w:rsidP="004147BE">
      <w:pPr>
        <w:widowControl w:val="0"/>
        <w:ind w:left="2880" w:hanging="2880"/>
        <w:jc w:val="both"/>
        <w:rPr>
          <w:sz w:val="20"/>
          <w:szCs w:val="20"/>
          <w:lang w:val="fr-CA"/>
        </w:rPr>
      </w:pPr>
      <w:r w:rsidRPr="005571BB">
        <w:rPr>
          <w:sz w:val="20"/>
          <w:szCs w:val="20"/>
          <w:lang w:val="fr-CA"/>
        </w:rPr>
        <w:t>Origine :</w:t>
      </w:r>
      <w:r w:rsidRPr="005571BB">
        <w:rPr>
          <w:sz w:val="20"/>
          <w:szCs w:val="20"/>
          <w:lang w:val="fr-CA"/>
        </w:rPr>
        <w:tab/>
        <w:t>Ontario</w:t>
      </w:r>
    </w:p>
    <w:p w:rsidR="004147BE" w:rsidRPr="005571BB" w:rsidRDefault="004147BE" w:rsidP="004147BE">
      <w:pPr>
        <w:widowControl w:val="0"/>
        <w:ind w:left="2880" w:hanging="2880"/>
        <w:jc w:val="both"/>
        <w:rPr>
          <w:sz w:val="20"/>
          <w:szCs w:val="20"/>
          <w:lang w:val="fr-CA"/>
        </w:rPr>
      </w:pPr>
    </w:p>
    <w:p w:rsidR="004147BE" w:rsidRPr="005571BB" w:rsidRDefault="004147BE" w:rsidP="004147BE">
      <w:pPr>
        <w:widowControl w:val="0"/>
        <w:ind w:left="2880" w:hanging="2880"/>
        <w:jc w:val="both"/>
        <w:rPr>
          <w:sz w:val="20"/>
          <w:szCs w:val="20"/>
          <w:lang w:val="fr-CA"/>
        </w:rPr>
      </w:pPr>
      <w:r w:rsidRPr="005571BB">
        <w:rPr>
          <w:sz w:val="20"/>
          <w:szCs w:val="20"/>
          <w:lang w:val="fr-CA"/>
        </w:rPr>
        <w:t>N</w:t>
      </w:r>
      <w:r w:rsidRPr="005571BB">
        <w:rPr>
          <w:sz w:val="20"/>
          <w:szCs w:val="20"/>
          <w:vertAlign w:val="superscript"/>
          <w:lang w:val="fr-CA"/>
        </w:rPr>
        <w:t>o</w:t>
      </w:r>
      <w:r w:rsidRPr="005571BB">
        <w:rPr>
          <w:sz w:val="20"/>
          <w:szCs w:val="20"/>
          <w:lang w:val="fr-CA"/>
        </w:rPr>
        <w:t xml:space="preserve"> du greffe :</w:t>
      </w:r>
      <w:r w:rsidRPr="005571BB">
        <w:rPr>
          <w:sz w:val="20"/>
          <w:szCs w:val="20"/>
          <w:lang w:val="fr-CA"/>
        </w:rPr>
        <w:tab/>
        <w:t>34013</w:t>
      </w:r>
    </w:p>
    <w:p w:rsidR="004147BE" w:rsidRPr="005571BB" w:rsidRDefault="004147BE" w:rsidP="004147BE">
      <w:pPr>
        <w:widowControl w:val="0"/>
        <w:ind w:left="2880" w:hanging="2880"/>
        <w:jc w:val="both"/>
        <w:rPr>
          <w:sz w:val="20"/>
          <w:szCs w:val="20"/>
          <w:lang w:val="fr-CA"/>
        </w:rPr>
      </w:pPr>
    </w:p>
    <w:p w:rsidR="004147BE" w:rsidRPr="005571BB" w:rsidRDefault="004147BE" w:rsidP="004147BE">
      <w:pPr>
        <w:widowControl w:val="0"/>
        <w:ind w:left="2880" w:hanging="2880"/>
        <w:jc w:val="both"/>
        <w:rPr>
          <w:sz w:val="20"/>
          <w:szCs w:val="20"/>
          <w:lang w:val="fr-CA"/>
        </w:rPr>
      </w:pPr>
      <w:r w:rsidRPr="005571BB">
        <w:rPr>
          <w:sz w:val="20"/>
          <w:szCs w:val="20"/>
          <w:lang w:val="fr-CA"/>
        </w:rPr>
        <w:t>Arrêt de la Cour d’appel :</w:t>
      </w:r>
      <w:r w:rsidRPr="005571BB">
        <w:rPr>
          <w:sz w:val="20"/>
          <w:szCs w:val="20"/>
          <w:lang w:val="fr-CA"/>
        </w:rPr>
        <w:tab/>
        <w:t>le 17 décembre 2010</w:t>
      </w:r>
    </w:p>
    <w:p w:rsidR="004147BE" w:rsidRPr="005571BB" w:rsidRDefault="004147BE" w:rsidP="004147BE">
      <w:pPr>
        <w:widowControl w:val="0"/>
        <w:ind w:left="2880" w:hanging="2880"/>
        <w:jc w:val="both"/>
        <w:rPr>
          <w:sz w:val="20"/>
          <w:szCs w:val="20"/>
          <w:lang w:val="fr-CA"/>
        </w:rPr>
      </w:pPr>
    </w:p>
    <w:p w:rsidR="004147BE" w:rsidRPr="005571BB" w:rsidRDefault="004147BE" w:rsidP="004147BE">
      <w:pPr>
        <w:widowControl w:val="0"/>
        <w:ind w:left="2880" w:hanging="2880"/>
        <w:jc w:val="both"/>
        <w:rPr>
          <w:sz w:val="20"/>
          <w:szCs w:val="20"/>
          <w:lang w:val="fr-CA"/>
        </w:rPr>
      </w:pPr>
      <w:r w:rsidRPr="005571BB">
        <w:rPr>
          <w:sz w:val="20"/>
          <w:szCs w:val="20"/>
          <w:lang w:val="fr-CA"/>
        </w:rPr>
        <w:t>Avocats :</w:t>
      </w:r>
      <w:r w:rsidRPr="005571BB">
        <w:rPr>
          <w:sz w:val="20"/>
          <w:szCs w:val="20"/>
          <w:lang w:val="fr-CA"/>
        </w:rPr>
        <w:tab/>
        <w:t>Breese Davies et Erin Dann pour l’appelant</w:t>
      </w:r>
    </w:p>
    <w:p w:rsidR="004147BE" w:rsidRPr="005571BB" w:rsidRDefault="004147BE" w:rsidP="004147BE">
      <w:pPr>
        <w:widowControl w:val="0"/>
        <w:ind w:left="2880" w:hanging="2880"/>
        <w:jc w:val="both"/>
        <w:rPr>
          <w:sz w:val="20"/>
          <w:szCs w:val="20"/>
          <w:lang w:val="fr-CA"/>
        </w:rPr>
      </w:pPr>
      <w:r w:rsidRPr="005571BB">
        <w:rPr>
          <w:sz w:val="20"/>
          <w:szCs w:val="20"/>
          <w:lang w:val="fr-CA"/>
        </w:rPr>
        <w:tab/>
        <w:t>Croft Michaelson et Sean Gaudet pour les intimés</w:t>
      </w:r>
    </w:p>
    <w:p w:rsidR="00DA4855" w:rsidRPr="00DD0B49" w:rsidRDefault="00DA4855" w:rsidP="00DA4855">
      <w:pPr>
        <w:tabs>
          <w:tab w:val="left" w:pos="-1440"/>
          <w:tab w:val="left" w:pos="-720"/>
        </w:tabs>
        <w:jc w:val="both"/>
        <w:rPr>
          <w:sz w:val="20"/>
          <w:szCs w:val="20"/>
          <w:lang w:val="fr-CA"/>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104"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pPr>
        <w:rPr>
          <w:sz w:val="20"/>
          <w:szCs w:val="20"/>
          <w:lang w:val="fr-CA"/>
        </w:rPr>
      </w:pPr>
      <w:r>
        <w:rPr>
          <w:sz w:val="20"/>
          <w:szCs w:val="20"/>
          <w:lang w:val="fr-CA"/>
        </w:rPr>
        <w:br w:type="page"/>
      </w:r>
    </w:p>
    <w:p w:rsidR="00F81F7B" w:rsidRPr="009A6AC9" w:rsidRDefault="003B0427" w:rsidP="00F81F7B">
      <w:pPr>
        <w:widowControl w:val="0"/>
        <w:ind w:left="720" w:hanging="720"/>
        <w:jc w:val="both"/>
        <w:rPr>
          <w:sz w:val="20"/>
          <w:szCs w:val="20"/>
        </w:rPr>
      </w:pPr>
      <w:r w:rsidRPr="009A6AC9">
        <w:rPr>
          <w:b/>
          <w:sz w:val="20"/>
          <w:szCs w:val="20"/>
        </w:rPr>
        <w:lastRenderedPageBreak/>
        <w:fldChar w:fldCharType="begin"/>
      </w:r>
      <w:r w:rsidR="00F81F7B" w:rsidRPr="009A6AC9">
        <w:rPr>
          <w:b/>
          <w:sz w:val="20"/>
          <w:szCs w:val="20"/>
        </w:rPr>
        <w:instrText xml:space="preserve"> SEQ CHAPTER \h \r 1</w:instrText>
      </w:r>
      <w:r w:rsidRPr="009A6AC9">
        <w:rPr>
          <w:b/>
          <w:sz w:val="20"/>
          <w:szCs w:val="20"/>
        </w:rPr>
        <w:fldChar w:fldCharType="end"/>
      </w:r>
      <w:r w:rsidR="00F81F7B" w:rsidRPr="009A6AC9">
        <w:rPr>
          <w:b/>
          <w:sz w:val="20"/>
          <w:szCs w:val="20"/>
        </w:rPr>
        <w:t>34103</w:t>
      </w:r>
      <w:r w:rsidR="00F81F7B" w:rsidRPr="009A6AC9">
        <w:rPr>
          <w:sz w:val="20"/>
          <w:szCs w:val="20"/>
        </w:rPr>
        <w:tab/>
      </w:r>
      <w:r w:rsidR="00F81F7B" w:rsidRPr="009A6AC9">
        <w:rPr>
          <w:b/>
          <w:i/>
          <w:sz w:val="20"/>
          <w:szCs w:val="20"/>
        </w:rPr>
        <w:t>Mohammad Momin Khawaja v. Her Majesty the Queen</w:t>
      </w:r>
    </w:p>
    <w:p w:rsidR="00F81F7B" w:rsidRPr="009A6AC9" w:rsidRDefault="00F81F7B" w:rsidP="00F81F7B">
      <w:pPr>
        <w:widowControl w:val="0"/>
        <w:jc w:val="both"/>
        <w:rPr>
          <w:sz w:val="20"/>
          <w:szCs w:val="20"/>
        </w:rPr>
      </w:pPr>
    </w:p>
    <w:p w:rsidR="00F81F7B" w:rsidRPr="009A6AC9" w:rsidRDefault="00F81F7B" w:rsidP="00F81F7B">
      <w:pPr>
        <w:jc w:val="both"/>
        <w:rPr>
          <w:sz w:val="20"/>
          <w:szCs w:val="20"/>
        </w:rPr>
      </w:pPr>
      <w:r w:rsidRPr="009A6AC9">
        <w:rPr>
          <w:i/>
          <w:sz w:val="20"/>
          <w:szCs w:val="20"/>
        </w:rPr>
        <w:t>Canadian Charter of Rights and Freedoms</w:t>
      </w:r>
      <w:r w:rsidRPr="009A6AC9">
        <w:rPr>
          <w:sz w:val="20"/>
          <w:szCs w:val="20"/>
        </w:rPr>
        <w:t xml:space="preserve"> </w:t>
      </w:r>
      <w:r w:rsidRPr="009A6AC9">
        <w:rPr>
          <w:sz w:val="20"/>
          <w:szCs w:val="20"/>
        </w:rPr>
        <w:noBreakHyphen/>
        <w:t xml:space="preserve"> Criminal Law </w:t>
      </w:r>
      <w:r w:rsidRPr="009A6AC9">
        <w:rPr>
          <w:sz w:val="20"/>
          <w:szCs w:val="20"/>
        </w:rPr>
        <w:noBreakHyphen/>
        <w:t xml:space="preserve"> Terrorism offences </w:t>
      </w:r>
      <w:r w:rsidRPr="009A6AC9">
        <w:rPr>
          <w:sz w:val="20"/>
          <w:szCs w:val="20"/>
        </w:rPr>
        <w:noBreakHyphen/>
        <w:t xml:space="preserve"> Elements of offence </w:t>
      </w:r>
      <w:r w:rsidRPr="009A6AC9">
        <w:rPr>
          <w:sz w:val="20"/>
          <w:szCs w:val="20"/>
        </w:rPr>
        <w:noBreakHyphen/>
        <w:t xml:space="preserve"> Whether ss. 83.03, 83.18, 83.19 or 83.21 of the </w:t>
      </w:r>
      <w:r w:rsidRPr="009A6AC9">
        <w:rPr>
          <w:i/>
          <w:sz w:val="20"/>
          <w:szCs w:val="20"/>
        </w:rPr>
        <w:t>Criminal Code</w:t>
      </w:r>
      <w:r w:rsidRPr="009A6AC9">
        <w:rPr>
          <w:sz w:val="20"/>
          <w:szCs w:val="20"/>
        </w:rPr>
        <w:t xml:space="preserve">, which incorporate the definition of “terrorist activity” in s. 83.01(1) of the </w:t>
      </w:r>
      <w:r w:rsidRPr="009A6AC9">
        <w:rPr>
          <w:i/>
          <w:sz w:val="20"/>
          <w:szCs w:val="20"/>
        </w:rPr>
        <w:t>Criminal Code</w:t>
      </w:r>
      <w:r w:rsidRPr="009A6AC9">
        <w:rPr>
          <w:sz w:val="20"/>
          <w:szCs w:val="20"/>
        </w:rPr>
        <w:t xml:space="preserve">, infringe s. 2(a), 2(b) or 2(d) of the </w:t>
      </w:r>
      <w:r w:rsidRPr="009A6AC9">
        <w:rPr>
          <w:i/>
          <w:sz w:val="20"/>
          <w:szCs w:val="20"/>
        </w:rPr>
        <w:t xml:space="preserve">Charter </w:t>
      </w:r>
      <w:r w:rsidRPr="009A6AC9">
        <w:rPr>
          <w:sz w:val="20"/>
          <w:szCs w:val="20"/>
        </w:rPr>
        <w:noBreakHyphen/>
        <w:t xml:space="preserve"> If so, whether the infringement is a reasonable limit prescribed by law that can be demonstrably justified in a free and democratic society under s. 1 of the </w:t>
      </w:r>
      <w:r w:rsidRPr="009A6AC9">
        <w:rPr>
          <w:i/>
          <w:sz w:val="20"/>
          <w:szCs w:val="20"/>
        </w:rPr>
        <w:t xml:space="preserve">Charter </w:t>
      </w:r>
      <w:r w:rsidRPr="009A6AC9">
        <w:rPr>
          <w:sz w:val="20"/>
          <w:szCs w:val="20"/>
        </w:rPr>
        <w:noBreakHyphen/>
        <w:t xml:space="preserve"> Whether the Court of Appeal erred in overturning the trial judge’s finding that s. 83.01(1)(b)(i)(A) of the </w:t>
      </w:r>
      <w:r w:rsidRPr="009A6AC9">
        <w:rPr>
          <w:i/>
          <w:sz w:val="20"/>
          <w:szCs w:val="20"/>
        </w:rPr>
        <w:t>Criminal Code</w:t>
      </w:r>
      <w:r w:rsidRPr="009A6AC9">
        <w:rPr>
          <w:sz w:val="20"/>
          <w:szCs w:val="20"/>
        </w:rPr>
        <w:t xml:space="preserve"> infringes ss. 2(a), (b) and (d) of the </w:t>
      </w:r>
      <w:r w:rsidRPr="009A6AC9">
        <w:rPr>
          <w:i/>
          <w:sz w:val="20"/>
          <w:szCs w:val="20"/>
        </w:rPr>
        <w:t>Charter</w:t>
      </w:r>
      <w:r w:rsidRPr="009A6AC9">
        <w:rPr>
          <w:sz w:val="20"/>
          <w:szCs w:val="20"/>
        </w:rPr>
        <w:t xml:space="preserve"> </w:t>
      </w:r>
      <w:r w:rsidRPr="009A6AC9">
        <w:rPr>
          <w:sz w:val="20"/>
          <w:szCs w:val="20"/>
        </w:rPr>
        <w:noBreakHyphen/>
        <w:t xml:space="preserve"> Whether, in the alternative, the Court of Appeal erred in allowing the appellant to stand convicted of more robust offences than those he had faced at trial </w:t>
      </w:r>
      <w:r w:rsidRPr="009A6AC9">
        <w:rPr>
          <w:sz w:val="20"/>
          <w:szCs w:val="20"/>
        </w:rPr>
        <w:noBreakHyphen/>
        <w:t xml:space="preserve"> Whether the Court of Appeal erred in its interpretation of the “armed conflict exception” to the definition of “terrorist activity” in the </w:t>
      </w:r>
      <w:r w:rsidRPr="009A6AC9">
        <w:rPr>
          <w:i/>
          <w:sz w:val="20"/>
          <w:szCs w:val="20"/>
        </w:rPr>
        <w:t>Criminal Code</w:t>
      </w:r>
      <w:r w:rsidRPr="009A6AC9">
        <w:rPr>
          <w:sz w:val="20"/>
          <w:szCs w:val="20"/>
        </w:rPr>
        <w:t xml:space="preserve"> </w:t>
      </w:r>
      <w:r w:rsidRPr="009A6AC9">
        <w:rPr>
          <w:sz w:val="20"/>
          <w:szCs w:val="20"/>
        </w:rPr>
        <w:noBreakHyphen/>
        <w:t xml:space="preserve"> Whether the Court of Appeal erred in permitting broad judicial notice to be taken of the “facts” surrounding the armed conflict in Afghanistan </w:t>
      </w:r>
      <w:r w:rsidRPr="009A6AC9">
        <w:rPr>
          <w:sz w:val="20"/>
          <w:szCs w:val="20"/>
        </w:rPr>
        <w:noBreakHyphen/>
        <w:t xml:space="preserve"> Whether, assuming the appellant’s acts in furtherance in the armed conflict in Afghanistan were not proven to amount, in law, to “terrorist activity”, the convictions were unreasonable </w:t>
      </w:r>
      <w:r w:rsidRPr="009A6AC9">
        <w:rPr>
          <w:sz w:val="20"/>
          <w:szCs w:val="20"/>
        </w:rPr>
        <w:noBreakHyphen/>
        <w:t xml:space="preserve"> Whether the Court of Appeal erred with respect to each of the three errors on the part of the trial judge that it identified with respect to sentencing </w:t>
      </w:r>
      <w:r w:rsidRPr="009A6AC9">
        <w:rPr>
          <w:sz w:val="20"/>
          <w:szCs w:val="20"/>
        </w:rPr>
        <w:noBreakHyphen/>
        <w:t xml:space="preserve"> Whether the Court of Appeal and the trial judge sentenced the appellant based on aggravating factors which, on the trial judge’s unchallenged findings of fact, were inapplicable and/or had not been proven beyond a reasonable doubt </w:t>
      </w:r>
      <w:r w:rsidRPr="009A6AC9">
        <w:rPr>
          <w:sz w:val="20"/>
          <w:szCs w:val="20"/>
        </w:rPr>
        <w:noBreakHyphen/>
        <w:t xml:space="preserve"> Whether the trial judge erred in his treatment of pre</w:t>
      </w:r>
      <w:r w:rsidRPr="009A6AC9">
        <w:rPr>
          <w:sz w:val="20"/>
          <w:szCs w:val="20"/>
        </w:rPr>
        <w:noBreakHyphen/>
        <w:t xml:space="preserve">sentence custody </w:t>
      </w:r>
      <w:r w:rsidRPr="009A6AC9">
        <w:rPr>
          <w:sz w:val="20"/>
          <w:szCs w:val="20"/>
        </w:rPr>
        <w:noBreakHyphen/>
        <w:t xml:space="preserve"> </w:t>
      </w:r>
      <w:r w:rsidRPr="009A6AC9">
        <w:rPr>
          <w:i/>
          <w:sz w:val="20"/>
          <w:szCs w:val="20"/>
        </w:rPr>
        <w:t>Criminal Code</w:t>
      </w:r>
      <w:r w:rsidRPr="009A6AC9">
        <w:rPr>
          <w:sz w:val="20"/>
          <w:szCs w:val="20"/>
        </w:rPr>
        <w:t>, R.S.C. 1985, c. C</w:t>
      </w:r>
      <w:r w:rsidRPr="009A6AC9">
        <w:rPr>
          <w:sz w:val="20"/>
          <w:szCs w:val="20"/>
        </w:rPr>
        <w:noBreakHyphen/>
        <w:t xml:space="preserve">46, ss. 83.01(1), 83.03, 83.18, 83.19 and 83.21 </w:t>
      </w:r>
      <w:r w:rsidRPr="009A6AC9">
        <w:rPr>
          <w:sz w:val="20"/>
          <w:szCs w:val="20"/>
        </w:rPr>
        <w:noBreakHyphen/>
        <w:t xml:space="preserve"> </w:t>
      </w:r>
      <w:r w:rsidRPr="009A6AC9">
        <w:rPr>
          <w:i/>
          <w:sz w:val="20"/>
          <w:szCs w:val="20"/>
        </w:rPr>
        <w:t>Canadian Charter of Rights and Freedoms</w:t>
      </w:r>
      <w:r w:rsidRPr="009A6AC9">
        <w:rPr>
          <w:sz w:val="20"/>
          <w:szCs w:val="20"/>
        </w:rPr>
        <w:t>, ss. 1, 2(a), 2(b) and 2(d).</w:t>
      </w:r>
    </w:p>
    <w:p w:rsidR="00F81F7B" w:rsidRPr="009A6AC9" w:rsidRDefault="00F81F7B" w:rsidP="00F81F7B">
      <w:pPr>
        <w:widowControl w:val="0"/>
        <w:jc w:val="both"/>
        <w:rPr>
          <w:sz w:val="20"/>
          <w:szCs w:val="20"/>
        </w:rPr>
      </w:pPr>
    </w:p>
    <w:p w:rsidR="00F81F7B" w:rsidRPr="009A6AC9" w:rsidRDefault="00F81F7B" w:rsidP="00F81F7B">
      <w:pPr>
        <w:jc w:val="both"/>
        <w:rPr>
          <w:sz w:val="20"/>
          <w:szCs w:val="20"/>
        </w:rPr>
      </w:pPr>
      <w:r w:rsidRPr="009A6AC9">
        <w:rPr>
          <w:sz w:val="20"/>
          <w:szCs w:val="20"/>
        </w:rPr>
        <w:t>The appellant, a Canadian citizen and resident, was convicted of building a detonator to cause a deadly explosion (a lesser included offence of wanting to cause an explosion at the behest of a terrorist group), keeping a deadly explosive substance (a lesser included offence of possessing an explosive substance with the intent of enabling a terrorist group to endanger others), participating in a terrorist group (a group based in London, England that plotted to bomb targets in Europe and the United Kingdom), instructing a person to finance terrorism, making available property to terrorists, contributing to a terrorist group and facilitating terrorism.  In pre</w:t>
      </w:r>
      <w:r w:rsidRPr="009A6AC9">
        <w:rPr>
          <w:sz w:val="20"/>
          <w:szCs w:val="20"/>
        </w:rPr>
        <w:noBreakHyphen/>
        <w:t xml:space="preserve">trial proceedings, the trial judge held that s. 83.01(1)(b)(i)(A) of the </w:t>
      </w:r>
      <w:r w:rsidRPr="009A6AC9">
        <w:rPr>
          <w:i/>
          <w:sz w:val="20"/>
          <w:szCs w:val="20"/>
        </w:rPr>
        <w:t>Criminal Code</w:t>
      </w:r>
      <w:r w:rsidRPr="009A6AC9">
        <w:rPr>
          <w:sz w:val="20"/>
          <w:szCs w:val="20"/>
        </w:rPr>
        <w:t xml:space="preserve"> was unconstitutional and he severed it from the balance of s. 83.01, but he otherwise dismissed constitutional challenges to terrorism provisions of the </w:t>
      </w:r>
      <w:r w:rsidRPr="009A6AC9">
        <w:rPr>
          <w:i/>
          <w:sz w:val="20"/>
          <w:szCs w:val="20"/>
        </w:rPr>
        <w:t>Criminal Code</w:t>
      </w:r>
      <w:r w:rsidRPr="009A6AC9">
        <w:rPr>
          <w:sz w:val="20"/>
          <w:szCs w:val="20"/>
        </w:rPr>
        <w:t>.  The Court of Appeal disagreed with the declaration of unconstitutionality, held that the convictions were reasonable and allowed the Crown’s appeal in respect of the sentence, imposing a longer sentence.</w:t>
      </w:r>
    </w:p>
    <w:p w:rsidR="00F81F7B" w:rsidRPr="009A6AC9" w:rsidRDefault="00F81F7B" w:rsidP="00F81F7B">
      <w:pPr>
        <w:jc w:val="both"/>
        <w:rPr>
          <w:sz w:val="20"/>
          <w:szCs w:val="20"/>
        </w:rPr>
      </w:pPr>
    </w:p>
    <w:p w:rsidR="00F81F7B" w:rsidRPr="009A6AC9" w:rsidRDefault="00F81F7B" w:rsidP="00F81F7B">
      <w:pPr>
        <w:widowControl w:val="0"/>
        <w:jc w:val="both"/>
        <w:rPr>
          <w:sz w:val="20"/>
          <w:szCs w:val="20"/>
        </w:rPr>
      </w:pPr>
    </w:p>
    <w:p w:rsidR="00F81F7B" w:rsidRDefault="00F81F7B" w:rsidP="00F81F7B">
      <w:pPr>
        <w:widowControl w:val="0"/>
        <w:ind w:left="2880" w:hanging="2880"/>
        <w:jc w:val="both"/>
        <w:rPr>
          <w:sz w:val="20"/>
          <w:szCs w:val="20"/>
        </w:rPr>
      </w:pPr>
      <w:r w:rsidRPr="009A6AC9">
        <w:rPr>
          <w:sz w:val="20"/>
          <w:szCs w:val="20"/>
        </w:rPr>
        <w:t>Origin of the case:</w:t>
      </w:r>
      <w:r w:rsidRPr="009A6AC9">
        <w:rPr>
          <w:sz w:val="20"/>
          <w:szCs w:val="20"/>
        </w:rPr>
        <w:tab/>
        <w:t>Ontario</w:t>
      </w:r>
    </w:p>
    <w:p w:rsidR="00F81F7B" w:rsidRPr="009A6AC9" w:rsidRDefault="00F81F7B" w:rsidP="00F81F7B">
      <w:pPr>
        <w:widowControl w:val="0"/>
        <w:ind w:left="2880" w:hanging="2880"/>
        <w:jc w:val="both"/>
        <w:rPr>
          <w:sz w:val="20"/>
          <w:szCs w:val="20"/>
        </w:rPr>
      </w:pPr>
    </w:p>
    <w:p w:rsidR="00F81F7B" w:rsidRPr="009A6AC9" w:rsidRDefault="00F81F7B" w:rsidP="00F81F7B">
      <w:pPr>
        <w:widowControl w:val="0"/>
        <w:ind w:left="2880" w:hanging="2880"/>
        <w:jc w:val="both"/>
        <w:rPr>
          <w:sz w:val="20"/>
          <w:szCs w:val="20"/>
        </w:rPr>
      </w:pPr>
      <w:r w:rsidRPr="009A6AC9">
        <w:rPr>
          <w:sz w:val="20"/>
          <w:szCs w:val="20"/>
        </w:rPr>
        <w:t>File No.:</w:t>
      </w:r>
      <w:r w:rsidRPr="009A6AC9">
        <w:rPr>
          <w:sz w:val="20"/>
          <w:szCs w:val="20"/>
        </w:rPr>
        <w:tab/>
        <w:t>34103</w:t>
      </w:r>
    </w:p>
    <w:p w:rsidR="00F81F7B" w:rsidRPr="009A6AC9" w:rsidRDefault="00F81F7B" w:rsidP="00F81F7B">
      <w:pPr>
        <w:widowControl w:val="0"/>
        <w:ind w:left="2880" w:hanging="2880"/>
        <w:jc w:val="both"/>
        <w:rPr>
          <w:sz w:val="20"/>
          <w:szCs w:val="20"/>
        </w:rPr>
      </w:pPr>
    </w:p>
    <w:p w:rsidR="00F81F7B" w:rsidRPr="009A6AC9" w:rsidRDefault="00F81F7B" w:rsidP="00F81F7B">
      <w:pPr>
        <w:widowControl w:val="0"/>
        <w:ind w:left="2880" w:hanging="2880"/>
        <w:jc w:val="both"/>
        <w:rPr>
          <w:sz w:val="20"/>
          <w:szCs w:val="20"/>
        </w:rPr>
      </w:pPr>
      <w:r w:rsidRPr="009A6AC9">
        <w:rPr>
          <w:sz w:val="20"/>
          <w:szCs w:val="20"/>
        </w:rPr>
        <w:t>Judgment of the Court of Appeal:</w:t>
      </w:r>
      <w:r w:rsidRPr="009A6AC9">
        <w:rPr>
          <w:sz w:val="20"/>
          <w:szCs w:val="20"/>
        </w:rPr>
        <w:tab/>
        <w:t>December 17, 2010</w:t>
      </w:r>
    </w:p>
    <w:p w:rsidR="00F81F7B" w:rsidRPr="009A6AC9" w:rsidRDefault="00F81F7B" w:rsidP="00F81F7B">
      <w:pPr>
        <w:widowControl w:val="0"/>
        <w:ind w:left="2880" w:hanging="2880"/>
        <w:jc w:val="both"/>
        <w:rPr>
          <w:sz w:val="20"/>
          <w:szCs w:val="20"/>
        </w:rPr>
      </w:pPr>
    </w:p>
    <w:p w:rsidR="00F81F7B" w:rsidRPr="009A6AC9" w:rsidRDefault="00F81F7B" w:rsidP="00F81F7B">
      <w:pPr>
        <w:widowControl w:val="0"/>
        <w:ind w:left="2880" w:hanging="2880"/>
        <w:jc w:val="both"/>
        <w:rPr>
          <w:sz w:val="20"/>
          <w:szCs w:val="20"/>
        </w:rPr>
      </w:pPr>
      <w:r w:rsidRPr="009A6AC9">
        <w:rPr>
          <w:sz w:val="20"/>
          <w:szCs w:val="20"/>
        </w:rPr>
        <w:t>Counsel:</w:t>
      </w:r>
      <w:r w:rsidRPr="009A6AC9">
        <w:rPr>
          <w:sz w:val="20"/>
          <w:szCs w:val="20"/>
        </w:rPr>
        <w:tab/>
        <w:t>Lawrence Greenspon for the appellant</w:t>
      </w:r>
    </w:p>
    <w:p w:rsidR="00F81F7B" w:rsidRPr="009A6AC9" w:rsidRDefault="00F81F7B" w:rsidP="00F81F7B">
      <w:pPr>
        <w:widowControl w:val="0"/>
        <w:ind w:left="2880" w:hanging="2880"/>
        <w:jc w:val="both"/>
        <w:rPr>
          <w:sz w:val="20"/>
          <w:szCs w:val="20"/>
        </w:rPr>
      </w:pPr>
      <w:r>
        <w:rPr>
          <w:sz w:val="20"/>
          <w:szCs w:val="20"/>
        </w:rPr>
        <w:tab/>
      </w:r>
      <w:r w:rsidRPr="009A6AC9">
        <w:rPr>
          <w:sz w:val="20"/>
          <w:szCs w:val="20"/>
        </w:rPr>
        <w:t>Croft Michaelson, Nick Devlin and Ian Bell for the respondent</w:t>
      </w:r>
    </w:p>
    <w:p w:rsidR="00DA4855" w:rsidRPr="00F81F7B" w:rsidRDefault="00DA4855" w:rsidP="00DA4855">
      <w:pPr>
        <w:tabs>
          <w:tab w:val="left" w:pos="-1440"/>
          <w:tab w:val="left" w:pos="-720"/>
        </w:tabs>
        <w:jc w:val="both"/>
        <w:rPr>
          <w:sz w:val="20"/>
          <w:szCs w:val="20"/>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105"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pPr>
        <w:rPr>
          <w:sz w:val="20"/>
          <w:szCs w:val="20"/>
          <w:lang w:val="fr-CA"/>
        </w:rPr>
      </w:pPr>
      <w:r>
        <w:rPr>
          <w:sz w:val="20"/>
          <w:szCs w:val="20"/>
          <w:lang w:val="fr-CA"/>
        </w:rPr>
        <w:br w:type="page"/>
      </w:r>
    </w:p>
    <w:p w:rsidR="008903CE" w:rsidRPr="00667238" w:rsidRDefault="003B0427" w:rsidP="008903CE">
      <w:pPr>
        <w:widowControl w:val="0"/>
        <w:ind w:left="720" w:hanging="720"/>
        <w:jc w:val="both"/>
        <w:rPr>
          <w:sz w:val="20"/>
          <w:szCs w:val="20"/>
          <w:lang w:val="fr-CA"/>
        </w:rPr>
      </w:pPr>
      <w:r w:rsidRPr="00667238">
        <w:rPr>
          <w:b/>
          <w:sz w:val="20"/>
          <w:szCs w:val="20"/>
          <w:lang w:val="fr-CA"/>
        </w:rPr>
        <w:lastRenderedPageBreak/>
        <w:fldChar w:fldCharType="begin"/>
      </w:r>
      <w:r w:rsidR="008903CE" w:rsidRPr="00667238">
        <w:rPr>
          <w:b/>
          <w:sz w:val="20"/>
          <w:szCs w:val="20"/>
          <w:lang w:val="fr-CA"/>
        </w:rPr>
        <w:instrText xml:space="preserve"> SEQ CHAPTER \h \r 1</w:instrText>
      </w:r>
      <w:r w:rsidRPr="00667238">
        <w:rPr>
          <w:b/>
          <w:sz w:val="20"/>
          <w:szCs w:val="20"/>
          <w:lang w:val="fr-CA"/>
        </w:rPr>
        <w:fldChar w:fldCharType="end"/>
      </w:r>
      <w:r w:rsidR="008903CE" w:rsidRPr="00667238">
        <w:rPr>
          <w:b/>
          <w:sz w:val="20"/>
          <w:szCs w:val="20"/>
          <w:lang w:val="fr-CA"/>
        </w:rPr>
        <w:t>34103</w:t>
      </w:r>
      <w:r w:rsidR="008903CE" w:rsidRPr="00667238">
        <w:rPr>
          <w:sz w:val="20"/>
          <w:szCs w:val="20"/>
          <w:lang w:val="fr-CA"/>
        </w:rPr>
        <w:tab/>
      </w:r>
      <w:r w:rsidR="008903CE" w:rsidRPr="00667238">
        <w:rPr>
          <w:b/>
          <w:i/>
          <w:sz w:val="20"/>
          <w:szCs w:val="20"/>
          <w:lang w:val="fr-CA"/>
        </w:rPr>
        <w:t>Mohammad Momin Khawaja c. Sa Majesté la Reine</w:t>
      </w:r>
    </w:p>
    <w:p w:rsidR="008903CE" w:rsidRPr="00667238" w:rsidRDefault="008903CE" w:rsidP="008903CE">
      <w:pPr>
        <w:widowControl w:val="0"/>
        <w:jc w:val="both"/>
        <w:rPr>
          <w:sz w:val="20"/>
          <w:szCs w:val="20"/>
          <w:lang w:val="fr-CA"/>
        </w:rPr>
      </w:pPr>
    </w:p>
    <w:p w:rsidR="008903CE" w:rsidRPr="00667238" w:rsidRDefault="008903CE" w:rsidP="008903CE">
      <w:pPr>
        <w:jc w:val="both"/>
        <w:rPr>
          <w:sz w:val="20"/>
          <w:szCs w:val="20"/>
          <w:lang w:val="fr-CA"/>
        </w:rPr>
      </w:pPr>
      <w:r w:rsidRPr="00667238">
        <w:rPr>
          <w:i/>
          <w:sz w:val="20"/>
          <w:szCs w:val="20"/>
          <w:lang w:val="fr-CA"/>
        </w:rPr>
        <w:t xml:space="preserve">Charte canadienne des droits et libertés </w:t>
      </w:r>
      <w:r w:rsidRPr="00667238">
        <w:rPr>
          <w:sz w:val="20"/>
          <w:szCs w:val="20"/>
          <w:lang w:val="fr-CA"/>
        </w:rPr>
        <w:noBreakHyphen/>
        <w:t xml:space="preserve"> Droit criminel </w:t>
      </w:r>
      <w:r w:rsidRPr="00667238">
        <w:rPr>
          <w:sz w:val="20"/>
          <w:szCs w:val="20"/>
          <w:lang w:val="fr-CA"/>
        </w:rPr>
        <w:noBreakHyphen/>
        <w:t xml:space="preserve"> Infractions de terrorisme </w:t>
      </w:r>
      <w:r w:rsidRPr="00667238">
        <w:rPr>
          <w:sz w:val="20"/>
          <w:szCs w:val="20"/>
          <w:lang w:val="fr-CA"/>
        </w:rPr>
        <w:noBreakHyphen/>
        <w:t xml:space="preserve"> Éléments de l’infraction </w:t>
      </w:r>
      <w:r w:rsidRPr="00667238">
        <w:rPr>
          <w:sz w:val="20"/>
          <w:szCs w:val="20"/>
          <w:lang w:val="fr-CA"/>
        </w:rPr>
        <w:noBreakHyphen/>
        <w:t xml:space="preserve"> Les art. 83.03, 83.18, 83.19 et 83.21 du</w:t>
      </w:r>
      <w:r w:rsidRPr="00667238">
        <w:rPr>
          <w:i/>
          <w:sz w:val="20"/>
          <w:szCs w:val="20"/>
          <w:lang w:val="fr-CA"/>
        </w:rPr>
        <w:t xml:space="preserve"> Code criminel</w:t>
      </w:r>
      <w:r w:rsidRPr="00667238">
        <w:rPr>
          <w:sz w:val="20"/>
          <w:szCs w:val="20"/>
          <w:lang w:val="fr-CA"/>
        </w:rPr>
        <w:t xml:space="preserve">, qui incorporent la définition d’« activité terroriste » dans le par. 83.01(1) du </w:t>
      </w:r>
      <w:r w:rsidRPr="00667238">
        <w:rPr>
          <w:i/>
          <w:sz w:val="20"/>
          <w:szCs w:val="20"/>
          <w:lang w:val="fr-CA"/>
        </w:rPr>
        <w:t>Code criminel</w:t>
      </w:r>
      <w:r w:rsidRPr="00667238">
        <w:rPr>
          <w:sz w:val="20"/>
          <w:szCs w:val="20"/>
          <w:lang w:val="fr-CA"/>
        </w:rPr>
        <w:t xml:space="preserve"> portent</w:t>
      </w:r>
      <w:r w:rsidRPr="00667238">
        <w:rPr>
          <w:sz w:val="20"/>
          <w:szCs w:val="20"/>
          <w:lang w:val="fr-CA"/>
        </w:rPr>
        <w:noBreakHyphen/>
        <w:t>ils atteinte aux al. 2</w:t>
      </w:r>
      <w:r w:rsidRPr="00667238">
        <w:rPr>
          <w:i/>
          <w:sz w:val="20"/>
          <w:szCs w:val="20"/>
          <w:lang w:val="fr-CA"/>
        </w:rPr>
        <w:t>a</w:t>
      </w:r>
      <w:r w:rsidRPr="00667238">
        <w:rPr>
          <w:sz w:val="20"/>
          <w:szCs w:val="20"/>
          <w:lang w:val="fr-CA"/>
        </w:rPr>
        <w:t>), 2</w:t>
      </w:r>
      <w:r w:rsidRPr="00667238">
        <w:rPr>
          <w:i/>
          <w:sz w:val="20"/>
          <w:szCs w:val="20"/>
          <w:lang w:val="fr-CA"/>
        </w:rPr>
        <w:t>b</w:t>
      </w:r>
      <w:r w:rsidRPr="00667238">
        <w:rPr>
          <w:sz w:val="20"/>
          <w:szCs w:val="20"/>
          <w:lang w:val="fr-CA"/>
        </w:rPr>
        <w:t>) ou 2</w:t>
      </w:r>
      <w:r w:rsidRPr="00667238">
        <w:rPr>
          <w:i/>
          <w:sz w:val="20"/>
          <w:szCs w:val="20"/>
          <w:lang w:val="fr-CA"/>
        </w:rPr>
        <w:t>d</w:t>
      </w:r>
      <w:r w:rsidRPr="00667238">
        <w:rPr>
          <w:sz w:val="20"/>
          <w:szCs w:val="20"/>
          <w:lang w:val="fr-CA"/>
        </w:rPr>
        <w:t xml:space="preserve">) de la </w:t>
      </w:r>
      <w:r w:rsidRPr="00667238">
        <w:rPr>
          <w:i/>
          <w:sz w:val="20"/>
          <w:szCs w:val="20"/>
          <w:lang w:val="fr-CA"/>
        </w:rPr>
        <w:t>Charte</w:t>
      </w:r>
      <w:r w:rsidRPr="00667238">
        <w:rPr>
          <w:sz w:val="20"/>
          <w:szCs w:val="20"/>
          <w:lang w:val="fr-CA"/>
        </w:rPr>
        <w:t xml:space="preserve">? </w:t>
      </w:r>
      <w:r w:rsidRPr="00667238">
        <w:rPr>
          <w:sz w:val="20"/>
          <w:szCs w:val="20"/>
          <w:lang w:val="fr-CA"/>
        </w:rPr>
        <w:noBreakHyphen/>
        <w:t xml:space="preserve"> Dans l’affirmative, l’atteinte constitue</w:t>
      </w:r>
      <w:r w:rsidRPr="00667238">
        <w:rPr>
          <w:sz w:val="20"/>
          <w:szCs w:val="20"/>
          <w:lang w:val="fr-CA"/>
        </w:rPr>
        <w:noBreakHyphen/>
        <w:t>t</w:t>
      </w:r>
      <w:r w:rsidRPr="00667238">
        <w:rPr>
          <w:sz w:val="20"/>
          <w:szCs w:val="20"/>
          <w:lang w:val="fr-CA"/>
        </w:rPr>
        <w:noBreakHyphen/>
        <w:t xml:space="preserve">elle une limite raisonnable dont la justification peut se démontrer dans le cadre d’une société libre et démocratique au sens de l’article premier de la </w:t>
      </w:r>
      <w:r w:rsidRPr="00667238">
        <w:rPr>
          <w:i/>
          <w:sz w:val="20"/>
          <w:szCs w:val="20"/>
          <w:lang w:val="fr-CA"/>
        </w:rPr>
        <w:t>Charte</w:t>
      </w:r>
      <w:r w:rsidRPr="00667238">
        <w:rPr>
          <w:sz w:val="20"/>
          <w:szCs w:val="20"/>
          <w:lang w:val="fr-CA"/>
        </w:rPr>
        <w:t xml:space="preserve">? </w:t>
      </w:r>
      <w:r w:rsidRPr="00667238">
        <w:rPr>
          <w:sz w:val="20"/>
          <w:szCs w:val="20"/>
          <w:lang w:val="fr-CA"/>
        </w:rPr>
        <w:noBreakHyphen/>
        <w:t xml:space="preserve"> La Cour d’appel a</w:t>
      </w:r>
      <w:r w:rsidRPr="00667238">
        <w:rPr>
          <w:sz w:val="20"/>
          <w:szCs w:val="20"/>
          <w:lang w:val="fr-CA"/>
        </w:rPr>
        <w:noBreakHyphen/>
        <w:t>t</w:t>
      </w:r>
      <w:r w:rsidRPr="00667238">
        <w:rPr>
          <w:sz w:val="20"/>
          <w:szCs w:val="20"/>
          <w:lang w:val="fr-CA"/>
        </w:rPr>
        <w:noBreakHyphen/>
        <w:t>elle eu tort d’infirmer la conclusion du juge du procès selon laquelle la division 83.01(1)</w:t>
      </w:r>
      <w:r w:rsidRPr="00667238">
        <w:rPr>
          <w:i/>
          <w:sz w:val="20"/>
          <w:szCs w:val="20"/>
          <w:lang w:val="fr-CA"/>
        </w:rPr>
        <w:t>b</w:t>
      </w:r>
      <w:r w:rsidRPr="00667238">
        <w:rPr>
          <w:sz w:val="20"/>
          <w:szCs w:val="20"/>
          <w:lang w:val="fr-CA"/>
        </w:rPr>
        <w:t xml:space="preserve">)(i)(A) du </w:t>
      </w:r>
      <w:r w:rsidRPr="00667238">
        <w:rPr>
          <w:i/>
          <w:sz w:val="20"/>
          <w:szCs w:val="20"/>
          <w:lang w:val="fr-CA"/>
        </w:rPr>
        <w:t>Code criminel</w:t>
      </w:r>
      <w:r w:rsidRPr="00667238">
        <w:rPr>
          <w:sz w:val="20"/>
          <w:szCs w:val="20"/>
          <w:lang w:val="fr-CA"/>
        </w:rPr>
        <w:t xml:space="preserve"> porte atteinte aux al. 2</w:t>
      </w:r>
      <w:r w:rsidRPr="00667238">
        <w:rPr>
          <w:i/>
          <w:sz w:val="20"/>
          <w:szCs w:val="20"/>
          <w:lang w:val="fr-CA"/>
        </w:rPr>
        <w:t>a</w:t>
      </w:r>
      <w:r w:rsidRPr="00667238">
        <w:rPr>
          <w:sz w:val="20"/>
          <w:szCs w:val="20"/>
          <w:lang w:val="fr-CA"/>
        </w:rPr>
        <w:t>), 2</w:t>
      </w:r>
      <w:r w:rsidRPr="00667238">
        <w:rPr>
          <w:i/>
          <w:sz w:val="20"/>
          <w:szCs w:val="20"/>
          <w:lang w:val="fr-CA"/>
        </w:rPr>
        <w:t>b</w:t>
      </w:r>
      <w:r w:rsidRPr="00667238">
        <w:rPr>
          <w:sz w:val="20"/>
          <w:szCs w:val="20"/>
          <w:lang w:val="fr-CA"/>
        </w:rPr>
        <w:t>) ou 2</w:t>
      </w:r>
      <w:r w:rsidRPr="00667238">
        <w:rPr>
          <w:i/>
          <w:sz w:val="20"/>
          <w:szCs w:val="20"/>
          <w:lang w:val="fr-CA"/>
        </w:rPr>
        <w:t>d</w:t>
      </w:r>
      <w:r w:rsidRPr="00667238">
        <w:rPr>
          <w:sz w:val="20"/>
          <w:szCs w:val="20"/>
          <w:lang w:val="fr-CA"/>
        </w:rPr>
        <w:t xml:space="preserve">) de la </w:t>
      </w:r>
      <w:r w:rsidRPr="00667238">
        <w:rPr>
          <w:i/>
          <w:sz w:val="20"/>
          <w:szCs w:val="20"/>
          <w:lang w:val="fr-CA"/>
        </w:rPr>
        <w:t>Charte</w:t>
      </w:r>
      <w:r w:rsidRPr="00667238">
        <w:rPr>
          <w:sz w:val="20"/>
          <w:szCs w:val="20"/>
          <w:lang w:val="fr-CA"/>
        </w:rPr>
        <w:t xml:space="preserve">? </w:t>
      </w:r>
      <w:r w:rsidRPr="00667238">
        <w:rPr>
          <w:sz w:val="20"/>
          <w:szCs w:val="20"/>
          <w:lang w:val="fr-CA"/>
        </w:rPr>
        <w:noBreakHyphen/>
        <w:t xml:space="preserve"> À titre subsidiaire, la Cour d’appel a</w:t>
      </w:r>
      <w:r w:rsidRPr="00667238">
        <w:rPr>
          <w:sz w:val="20"/>
          <w:szCs w:val="20"/>
          <w:lang w:val="fr-CA"/>
        </w:rPr>
        <w:noBreakHyphen/>
        <w:t>t</w:t>
      </w:r>
      <w:r w:rsidRPr="00667238">
        <w:rPr>
          <w:sz w:val="20"/>
          <w:szCs w:val="20"/>
          <w:lang w:val="fr-CA"/>
        </w:rPr>
        <w:noBreakHyphen/>
        <w:t xml:space="preserve">elle eu tort de permettre que l’appelant soit déclaré coupable d’infractions plus graves que celles dont il était accusé à son procès? </w:t>
      </w:r>
      <w:r w:rsidRPr="00667238">
        <w:rPr>
          <w:sz w:val="20"/>
          <w:szCs w:val="20"/>
          <w:lang w:val="fr-CA"/>
        </w:rPr>
        <w:noBreakHyphen/>
        <w:t xml:space="preserve"> La Cour d’appel a</w:t>
      </w:r>
      <w:r w:rsidRPr="00667238">
        <w:rPr>
          <w:sz w:val="20"/>
          <w:szCs w:val="20"/>
          <w:lang w:val="fr-CA"/>
        </w:rPr>
        <w:noBreakHyphen/>
        <w:t>t</w:t>
      </w:r>
      <w:r w:rsidRPr="00667238">
        <w:rPr>
          <w:sz w:val="20"/>
          <w:szCs w:val="20"/>
          <w:lang w:val="fr-CA"/>
        </w:rPr>
        <w:noBreakHyphen/>
        <w:t>elle commis une erreur dans son interprétation de l’« exception du conflit armé » à la définition d’« activité terroriste » dans le</w:t>
      </w:r>
      <w:r w:rsidRPr="00667238">
        <w:rPr>
          <w:i/>
          <w:sz w:val="20"/>
          <w:szCs w:val="20"/>
          <w:lang w:val="fr-CA"/>
        </w:rPr>
        <w:t xml:space="preserve"> Code criminel</w:t>
      </w:r>
      <w:r w:rsidRPr="00667238">
        <w:rPr>
          <w:sz w:val="20"/>
          <w:szCs w:val="20"/>
          <w:lang w:val="fr-CA"/>
        </w:rPr>
        <w:t>?</w:t>
      </w:r>
      <w:r w:rsidRPr="00667238">
        <w:rPr>
          <w:i/>
          <w:sz w:val="20"/>
          <w:szCs w:val="20"/>
          <w:lang w:val="fr-CA"/>
        </w:rPr>
        <w:t xml:space="preserve"> </w:t>
      </w:r>
      <w:r w:rsidRPr="00667238">
        <w:rPr>
          <w:sz w:val="20"/>
          <w:szCs w:val="20"/>
          <w:lang w:val="fr-CA"/>
        </w:rPr>
        <w:noBreakHyphen/>
        <w:t xml:space="preserve"> La Cour d’appel a</w:t>
      </w:r>
      <w:r w:rsidRPr="00667238">
        <w:rPr>
          <w:sz w:val="20"/>
          <w:szCs w:val="20"/>
          <w:lang w:val="fr-CA"/>
        </w:rPr>
        <w:noBreakHyphen/>
        <w:t>t</w:t>
      </w:r>
      <w:r w:rsidRPr="00667238">
        <w:rPr>
          <w:sz w:val="20"/>
          <w:szCs w:val="20"/>
          <w:lang w:val="fr-CA"/>
        </w:rPr>
        <w:noBreakHyphen/>
        <w:t xml:space="preserve">elle eu tort de permettre une connaissance d’office large de « faits » relatifs au conflit armé en Afghanistan? </w:t>
      </w:r>
      <w:r w:rsidRPr="00667238">
        <w:rPr>
          <w:sz w:val="20"/>
          <w:szCs w:val="20"/>
          <w:lang w:val="fr-CA"/>
        </w:rPr>
        <w:noBreakHyphen/>
        <w:t xml:space="preserve"> En présumant que les actes commis par l’appelant au cours d’un conflit armé n’équivalaient pas, eu égard à la preuve et au droit, à une « activité terroriste », les déclarations de culpabilité était</w:t>
      </w:r>
      <w:r w:rsidRPr="00667238">
        <w:rPr>
          <w:sz w:val="20"/>
          <w:szCs w:val="20"/>
          <w:lang w:val="fr-CA"/>
        </w:rPr>
        <w:noBreakHyphen/>
        <w:t xml:space="preserve">elle déraisonnables? </w:t>
      </w:r>
      <w:r w:rsidRPr="00667238">
        <w:rPr>
          <w:sz w:val="20"/>
          <w:szCs w:val="20"/>
          <w:lang w:val="fr-CA"/>
        </w:rPr>
        <w:noBreakHyphen/>
        <w:t xml:space="preserve"> La Cour d’appel s’est</w:t>
      </w:r>
      <w:r w:rsidRPr="00667238">
        <w:rPr>
          <w:sz w:val="20"/>
          <w:szCs w:val="20"/>
          <w:lang w:val="fr-CA"/>
        </w:rPr>
        <w:noBreakHyphen/>
        <w:t xml:space="preserve">elle trompée à l’égard de chacune des trois erreurs qu’aurait commises selon elle le juge du procès relativement à la détermination de la peine? </w:t>
      </w:r>
      <w:r w:rsidRPr="00667238">
        <w:rPr>
          <w:sz w:val="20"/>
          <w:szCs w:val="20"/>
          <w:lang w:val="fr-CA"/>
        </w:rPr>
        <w:noBreakHyphen/>
        <w:t xml:space="preserve"> La Cour d’appel et le juge du procès ont</w:t>
      </w:r>
      <w:r w:rsidRPr="00667238">
        <w:rPr>
          <w:sz w:val="20"/>
          <w:szCs w:val="20"/>
          <w:lang w:val="fr-CA"/>
        </w:rPr>
        <w:noBreakHyphen/>
        <w:t xml:space="preserve">ils condamné l’appelant en s’appuyant sur des facteurs aggravants qui, eu égard aux conclusions de fait incontestés du juge du procès, étaient inapplicables ou n’avaient pas été prouvés hors de tout doute raisonnable? </w:t>
      </w:r>
      <w:r w:rsidRPr="00667238">
        <w:rPr>
          <w:sz w:val="20"/>
          <w:szCs w:val="20"/>
          <w:lang w:val="fr-CA"/>
        </w:rPr>
        <w:noBreakHyphen/>
        <w:t xml:space="preserve"> Le juge du procès s’est</w:t>
      </w:r>
      <w:r w:rsidRPr="00667238">
        <w:rPr>
          <w:sz w:val="20"/>
          <w:szCs w:val="20"/>
          <w:lang w:val="fr-CA"/>
        </w:rPr>
        <w:noBreakHyphen/>
        <w:t xml:space="preserve">il trompé dans son traitement de la détention provisoire? </w:t>
      </w:r>
      <w:r w:rsidRPr="00667238">
        <w:rPr>
          <w:sz w:val="20"/>
          <w:szCs w:val="20"/>
          <w:lang w:val="fr-CA"/>
        </w:rPr>
        <w:noBreakHyphen/>
      </w:r>
      <w:r w:rsidRPr="00667238">
        <w:rPr>
          <w:i/>
          <w:sz w:val="20"/>
          <w:szCs w:val="20"/>
          <w:lang w:val="fr-CA"/>
        </w:rPr>
        <w:t xml:space="preserve"> Code criminel</w:t>
      </w:r>
      <w:r w:rsidRPr="00667238">
        <w:rPr>
          <w:sz w:val="20"/>
          <w:szCs w:val="20"/>
          <w:lang w:val="fr-CA"/>
        </w:rPr>
        <w:t>, L.R.C. 1985, ch. C</w:t>
      </w:r>
      <w:r w:rsidRPr="00667238">
        <w:rPr>
          <w:sz w:val="20"/>
          <w:szCs w:val="20"/>
          <w:lang w:val="fr-CA"/>
        </w:rPr>
        <w:noBreakHyphen/>
        <w:t xml:space="preserve">46, art. 83.01(1), 83.03, 83.18, 83.19 et 83.21 </w:t>
      </w:r>
      <w:r w:rsidRPr="00667238">
        <w:rPr>
          <w:sz w:val="20"/>
          <w:szCs w:val="20"/>
          <w:lang w:val="fr-CA"/>
        </w:rPr>
        <w:noBreakHyphen/>
      </w:r>
      <w:r w:rsidRPr="00667238">
        <w:rPr>
          <w:i/>
          <w:sz w:val="20"/>
          <w:szCs w:val="20"/>
          <w:lang w:val="fr-CA"/>
        </w:rPr>
        <w:t xml:space="preserve"> Charte canadienne des droits et libertés</w:t>
      </w:r>
      <w:r w:rsidRPr="00667238">
        <w:rPr>
          <w:sz w:val="20"/>
          <w:szCs w:val="20"/>
          <w:lang w:val="fr-CA"/>
        </w:rPr>
        <w:t>, art. 1, 2</w:t>
      </w:r>
      <w:r w:rsidRPr="00667238">
        <w:rPr>
          <w:i/>
          <w:sz w:val="20"/>
          <w:szCs w:val="20"/>
          <w:lang w:val="fr-CA"/>
        </w:rPr>
        <w:t>a</w:t>
      </w:r>
      <w:r w:rsidRPr="00667238">
        <w:rPr>
          <w:sz w:val="20"/>
          <w:szCs w:val="20"/>
          <w:lang w:val="fr-CA"/>
        </w:rPr>
        <w:t>), 2</w:t>
      </w:r>
      <w:r w:rsidRPr="00667238">
        <w:rPr>
          <w:i/>
          <w:sz w:val="20"/>
          <w:szCs w:val="20"/>
          <w:lang w:val="fr-CA"/>
        </w:rPr>
        <w:t>b</w:t>
      </w:r>
      <w:r w:rsidRPr="00667238">
        <w:rPr>
          <w:sz w:val="20"/>
          <w:szCs w:val="20"/>
          <w:lang w:val="fr-CA"/>
        </w:rPr>
        <w:t>) et 2</w:t>
      </w:r>
      <w:r w:rsidRPr="00667238">
        <w:rPr>
          <w:i/>
          <w:sz w:val="20"/>
          <w:szCs w:val="20"/>
          <w:lang w:val="fr-CA"/>
        </w:rPr>
        <w:t>d</w:t>
      </w:r>
      <w:r w:rsidRPr="00667238">
        <w:rPr>
          <w:sz w:val="20"/>
          <w:szCs w:val="20"/>
          <w:lang w:val="fr-CA"/>
        </w:rPr>
        <w:t>).</w:t>
      </w:r>
    </w:p>
    <w:p w:rsidR="008903CE" w:rsidRPr="00667238" w:rsidRDefault="008903CE" w:rsidP="008903CE">
      <w:pPr>
        <w:widowControl w:val="0"/>
        <w:jc w:val="both"/>
        <w:rPr>
          <w:sz w:val="20"/>
          <w:szCs w:val="20"/>
          <w:lang w:val="fr-CA"/>
        </w:rPr>
      </w:pPr>
    </w:p>
    <w:p w:rsidR="008903CE" w:rsidRPr="00667238" w:rsidRDefault="008903CE" w:rsidP="008903CE">
      <w:pPr>
        <w:jc w:val="both"/>
        <w:rPr>
          <w:sz w:val="20"/>
          <w:szCs w:val="20"/>
          <w:lang w:val="fr-CA"/>
        </w:rPr>
      </w:pPr>
      <w:r w:rsidRPr="00667238">
        <w:rPr>
          <w:sz w:val="20"/>
          <w:szCs w:val="20"/>
          <w:lang w:val="fr-CA"/>
        </w:rPr>
        <w:t>L’appelant, un citoyen et résident canadien, a été déclaré coupable d’avoir fabriqué un détonateur en vue de causer une explosion susceptible de causer la mort (une infraction moindre incluse dans celle d’intention de causer une explosion à la demande d’un groupe terroriste), d’avoir détenu une substance explosive susceptible de causer la mort (une infraction moindre incluse dans celle de possession d’une substance explosive en vue d’aider un groupe terroriste à mettre la vie d’autrui en danger), de participation à une activité d’un groupe terroriste (un groupe opérant depuis Londres, en Angleterre, qui complotait de faire sauter des cibles en Europe, dont au Royaume</w:t>
      </w:r>
      <w:r w:rsidRPr="00667238">
        <w:rPr>
          <w:sz w:val="20"/>
          <w:szCs w:val="20"/>
          <w:lang w:val="fr-CA"/>
        </w:rPr>
        <w:noBreakHyphen/>
        <w:t>Uni), d’avoir invité une autre personne à financer des activités terroristes, d’avoir rendu des biens disponibles à des fins terroristes, d’avoir contribué à une activité d’un groupe terroriste et d’avoir facilité une activité terroriste.  Dans une procédure préalable au procès, le juge du procès a déclaré la div. 83.01(1)</w:t>
      </w:r>
      <w:r w:rsidRPr="00667238">
        <w:rPr>
          <w:i/>
          <w:sz w:val="20"/>
          <w:szCs w:val="20"/>
          <w:lang w:val="fr-CA"/>
        </w:rPr>
        <w:t>b</w:t>
      </w:r>
      <w:r w:rsidRPr="00667238">
        <w:rPr>
          <w:sz w:val="20"/>
          <w:szCs w:val="20"/>
          <w:lang w:val="fr-CA"/>
        </w:rPr>
        <w:t xml:space="preserve">)(i)(A) du </w:t>
      </w:r>
      <w:r w:rsidRPr="00667238">
        <w:rPr>
          <w:i/>
          <w:sz w:val="20"/>
          <w:szCs w:val="20"/>
          <w:lang w:val="fr-CA"/>
        </w:rPr>
        <w:t>Code criminel</w:t>
      </w:r>
      <w:r w:rsidRPr="00667238">
        <w:rPr>
          <w:sz w:val="20"/>
          <w:szCs w:val="20"/>
          <w:lang w:val="fr-CA"/>
        </w:rPr>
        <w:t xml:space="preserve"> inconstitutionnelle et l’a retranchée du reste de l’art. 83.01.  Il a rejeté les autres contestations constitutionnelles portant sur les dispositions sur le terrorisme prévues au </w:t>
      </w:r>
      <w:r w:rsidRPr="00667238">
        <w:rPr>
          <w:i/>
          <w:sz w:val="20"/>
          <w:szCs w:val="20"/>
          <w:lang w:val="fr-CA"/>
        </w:rPr>
        <w:t>Code</w:t>
      </w:r>
      <w:r w:rsidRPr="00667238">
        <w:rPr>
          <w:sz w:val="20"/>
          <w:szCs w:val="20"/>
          <w:lang w:val="fr-CA"/>
        </w:rPr>
        <w:t>.  La Cour d’appel n’était pas d’accord avec la déclaration d’inconstitutionnalité, elle a statué que les déclarations de culpabilité étaient raisonnables et elle a accueilli l’appel du ministère public relativement à la peine, imposant une peine plus longue.</w:t>
      </w:r>
    </w:p>
    <w:p w:rsidR="008903CE" w:rsidRPr="00667238" w:rsidRDefault="008903CE" w:rsidP="008903CE">
      <w:pPr>
        <w:jc w:val="both"/>
        <w:rPr>
          <w:sz w:val="20"/>
          <w:szCs w:val="20"/>
          <w:lang w:val="fr-CA"/>
        </w:rPr>
      </w:pPr>
    </w:p>
    <w:p w:rsidR="008903CE" w:rsidRPr="00667238" w:rsidRDefault="008903CE" w:rsidP="008903CE">
      <w:pPr>
        <w:widowControl w:val="0"/>
        <w:jc w:val="both"/>
        <w:rPr>
          <w:sz w:val="20"/>
          <w:szCs w:val="20"/>
          <w:lang w:val="fr-CA"/>
        </w:rPr>
      </w:pPr>
    </w:p>
    <w:p w:rsidR="008903CE" w:rsidRPr="00667238" w:rsidRDefault="008903CE" w:rsidP="008903CE">
      <w:pPr>
        <w:widowControl w:val="0"/>
        <w:ind w:left="2880" w:hanging="2880"/>
        <w:jc w:val="both"/>
        <w:rPr>
          <w:sz w:val="20"/>
          <w:szCs w:val="20"/>
          <w:lang w:val="fr-CA"/>
        </w:rPr>
      </w:pPr>
      <w:r w:rsidRPr="00667238">
        <w:rPr>
          <w:sz w:val="20"/>
          <w:szCs w:val="20"/>
          <w:lang w:val="fr-CA"/>
        </w:rPr>
        <w:t>Origine :</w:t>
      </w:r>
      <w:r w:rsidRPr="00667238">
        <w:rPr>
          <w:sz w:val="20"/>
          <w:szCs w:val="20"/>
          <w:lang w:val="fr-CA"/>
        </w:rPr>
        <w:tab/>
        <w:t>Ontario</w:t>
      </w:r>
    </w:p>
    <w:p w:rsidR="008903CE" w:rsidRPr="00667238" w:rsidRDefault="008903CE" w:rsidP="008903CE">
      <w:pPr>
        <w:widowControl w:val="0"/>
        <w:ind w:left="2880" w:hanging="2880"/>
        <w:jc w:val="both"/>
        <w:rPr>
          <w:sz w:val="20"/>
          <w:szCs w:val="20"/>
          <w:lang w:val="fr-CA"/>
        </w:rPr>
      </w:pPr>
    </w:p>
    <w:p w:rsidR="008903CE" w:rsidRPr="00667238" w:rsidRDefault="008903CE" w:rsidP="008903CE">
      <w:pPr>
        <w:widowControl w:val="0"/>
        <w:ind w:left="2880" w:hanging="2880"/>
        <w:jc w:val="both"/>
        <w:rPr>
          <w:sz w:val="20"/>
          <w:szCs w:val="20"/>
          <w:lang w:val="fr-CA"/>
        </w:rPr>
      </w:pPr>
      <w:r w:rsidRPr="00667238">
        <w:rPr>
          <w:sz w:val="20"/>
          <w:szCs w:val="20"/>
          <w:lang w:val="fr-CA"/>
        </w:rPr>
        <w:t>N</w:t>
      </w:r>
      <w:r w:rsidRPr="00667238">
        <w:rPr>
          <w:sz w:val="20"/>
          <w:szCs w:val="20"/>
          <w:vertAlign w:val="superscript"/>
          <w:lang w:val="fr-CA"/>
        </w:rPr>
        <w:t>o</w:t>
      </w:r>
      <w:r w:rsidRPr="00667238">
        <w:rPr>
          <w:sz w:val="20"/>
          <w:szCs w:val="20"/>
          <w:lang w:val="fr-CA"/>
        </w:rPr>
        <w:t xml:space="preserve"> du greffe :</w:t>
      </w:r>
      <w:r w:rsidRPr="00667238">
        <w:rPr>
          <w:sz w:val="20"/>
          <w:szCs w:val="20"/>
          <w:lang w:val="fr-CA"/>
        </w:rPr>
        <w:tab/>
        <w:t>34103</w:t>
      </w:r>
    </w:p>
    <w:p w:rsidR="008903CE" w:rsidRPr="00667238" w:rsidRDefault="008903CE" w:rsidP="008903CE">
      <w:pPr>
        <w:widowControl w:val="0"/>
        <w:ind w:left="2880" w:hanging="2880"/>
        <w:jc w:val="both"/>
        <w:rPr>
          <w:sz w:val="20"/>
          <w:szCs w:val="20"/>
          <w:lang w:val="fr-CA"/>
        </w:rPr>
      </w:pPr>
    </w:p>
    <w:p w:rsidR="008903CE" w:rsidRPr="00667238" w:rsidRDefault="008903CE" w:rsidP="008903CE">
      <w:pPr>
        <w:widowControl w:val="0"/>
        <w:ind w:left="2880" w:hanging="2880"/>
        <w:jc w:val="both"/>
        <w:rPr>
          <w:sz w:val="20"/>
          <w:szCs w:val="20"/>
          <w:lang w:val="fr-CA"/>
        </w:rPr>
      </w:pPr>
      <w:r w:rsidRPr="00667238">
        <w:rPr>
          <w:sz w:val="20"/>
          <w:szCs w:val="20"/>
          <w:lang w:val="fr-CA"/>
        </w:rPr>
        <w:t>Arrêt de la Cour d’appel :</w:t>
      </w:r>
      <w:r w:rsidRPr="00667238">
        <w:rPr>
          <w:sz w:val="20"/>
          <w:szCs w:val="20"/>
          <w:lang w:val="fr-CA"/>
        </w:rPr>
        <w:tab/>
        <w:t>le 17 décembre 2010</w:t>
      </w:r>
    </w:p>
    <w:p w:rsidR="008903CE" w:rsidRPr="00667238" w:rsidRDefault="008903CE" w:rsidP="008903CE">
      <w:pPr>
        <w:widowControl w:val="0"/>
        <w:ind w:left="2880" w:hanging="2880"/>
        <w:jc w:val="both"/>
        <w:rPr>
          <w:sz w:val="20"/>
          <w:szCs w:val="20"/>
          <w:lang w:val="fr-CA"/>
        </w:rPr>
      </w:pPr>
    </w:p>
    <w:p w:rsidR="008903CE" w:rsidRPr="00667238" w:rsidRDefault="008903CE" w:rsidP="008903CE">
      <w:pPr>
        <w:widowControl w:val="0"/>
        <w:ind w:left="2880" w:hanging="2880"/>
        <w:jc w:val="both"/>
        <w:rPr>
          <w:sz w:val="20"/>
          <w:szCs w:val="20"/>
          <w:lang w:val="fr-CA"/>
        </w:rPr>
      </w:pPr>
      <w:r w:rsidRPr="00667238">
        <w:rPr>
          <w:sz w:val="20"/>
          <w:szCs w:val="20"/>
          <w:lang w:val="fr-CA"/>
        </w:rPr>
        <w:t>Avocats :</w:t>
      </w:r>
      <w:r w:rsidRPr="00667238">
        <w:rPr>
          <w:sz w:val="20"/>
          <w:szCs w:val="20"/>
          <w:lang w:val="fr-CA"/>
        </w:rPr>
        <w:tab/>
        <w:t>Lawrence Greenspon pour appelant</w:t>
      </w:r>
    </w:p>
    <w:p w:rsidR="008903CE" w:rsidRPr="00667238" w:rsidRDefault="008903CE" w:rsidP="008903CE">
      <w:pPr>
        <w:widowControl w:val="0"/>
        <w:ind w:left="2880" w:hanging="2880"/>
        <w:jc w:val="both"/>
        <w:rPr>
          <w:sz w:val="20"/>
          <w:szCs w:val="20"/>
          <w:lang w:val="fr-CA"/>
        </w:rPr>
      </w:pPr>
      <w:r>
        <w:rPr>
          <w:sz w:val="20"/>
          <w:szCs w:val="20"/>
          <w:lang w:val="fr-CA"/>
        </w:rPr>
        <w:tab/>
      </w:r>
      <w:r w:rsidRPr="00667238">
        <w:rPr>
          <w:sz w:val="20"/>
          <w:szCs w:val="20"/>
          <w:lang w:val="fr-CA"/>
        </w:rPr>
        <w:t>Croft Michaelson, Nick Devlin et Ian Bell pour l’intimée</w:t>
      </w:r>
    </w:p>
    <w:p w:rsidR="00DA4855" w:rsidRPr="00DD0B49" w:rsidRDefault="00DA4855" w:rsidP="00DA4855">
      <w:pPr>
        <w:tabs>
          <w:tab w:val="left" w:pos="-1440"/>
          <w:tab w:val="left" w:pos="-720"/>
        </w:tabs>
        <w:jc w:val="both"/>
        <w:rPr>
          <w:sz w:val="20"/>
          <w:szCs w:val="20"/>
          <w:lang w:val="fr-CA"/>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106"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pPr>
        <w:rPr>
          <w:sz w:val="20"/>
          <w:szCs w:val="20"/>
          <w:lang w:val="fr-CA"/>
        </w:rPr>
      </w:pPr>
      <w:r>
        <w:rPr>
          <w:sz w:val="20"/>
          <w:szCs w:val="20"/>
          <w:lang w:val="fr-CA"/>
        </w:rPr>
        <w:br w:type="page"/>
      </w:r>
    </w:p>
    <w:p w:rsidR="007C5504" w:rsidRPr="00B7304C" w:rsidRDefault="003B0427" w:rsidP="007C5504">
      <w:pPr>
        <w:widowControl w:val="0"/>
        <w:ind w:left="720" w:hanging="720"/>
        <w:jc w:val="both"/>
        <w:rPr>
          <w:sz w:val="20"/>
          <w:szCs w:val="20"/>
        </w:rPr>
      </w:pPr>
      <w:r w:rsidRPr="00B7304C">
        <w:rPr>
          <w:b/>
          <w:sz w:val="20"/>
          <w:szCs w:val="20"/>
        </w:rPr>
        <w:lastRenderedPageBreak/>
        <w:fldChar w:fldCharType="begin"/>
      </w:r>
      <w:r w:rsidR="007C5504" w:rsidRPr="00B7304C">
        <w:rPr>
          <w:b/>
          <w:sz w:val="20"/>
          <w:szCs w:val="20"/>
        </w:rPr>
        <w:instrText xml:space="preserve"> SEQ CHAPTER \h \r 1</w:instrText>
      </w:r>
      <w:r w:rsidRPr="00B7304C">
        <w:rPr>
          <w:b/>
          <w:sz w:val="20"/>
          <w:szCs w:val="20"/>
        </w:rPr>
        <w:fldChar w:fldCharType="end"/>
      </w:r>
      <w:r w:rsidR="007C5504" w:rsidRPr="00B7304C">
        <w:rPr>
          <w:b/>
          <w:sz w:val="20"/>
          <w:szCs w:val="20"/>
        </w:rPr>
        <w:t>34272</w:t>
      </w:r>
      <w:r w:rsidR="007C5504" w:rsidRPr="00B7304C">
        <w:rPr>
          <w:sz w:val="20"/>
          <w:szCs w:val="20"/>
        </w:rPr>
        <w:tab/>
      </w:r>
      <w:r w:rsidR="007C5504" w:rsidRPr="00B7304C">
        <w:rPr>
          <w:b/>
          <w:i/>
          <w:sz w:val="20"/>
          <w:szCs w:val="20"/>
        </w:rPr>
        <w:t>Her Majesty the queen v. Nicole Patricia Ryan</w:t>
      </w:r>
    </w:p>
    <w:p w:rsidR="007C5504" w:rsidRPr="00B7304C" w:rsidRDefault="007C5504" w:rsidP="007C5504">
      <w:pPr>
        <w:widowControl w:val="0"/>
        <w:jc w:val="both"/>
        <w:rPr>
          <w:sz w:val="20"/>
          <w:szCs w:val="20"/>
        </w:rPr>
      </w:pPr>
    </w:p>
    <w:p w:rsidR="007C5504" w:rsidRPr="00B7304C" w:rsidRDefault="007C5504" w:rsidP="007C5504">
      <w:pPr>
        <w:widowControl w:val="0"/>
        <w:jc w:val="both"/>
        <w:rPr>
          <w:smallCaps/>
          <w:sz w:val="20"/>
          <w:szCs w:val="20"/>
        </w:rPr>
      </w:pPr>
      <w:r w:rsidRPr="00B7304C">
        <w:rPr>
          <w:smallCaps/>
          <w:sz w:val="20"/>
          <w:szCs w:val="20"/>
        </w:rPr>
        <w:t xml:space="preserve">(Publication </w:t>
      </w:r>
      <w:r>
        <w:rPr>
          <w:smallCaps/>
          <w:sz w:val="20"/>
          <w:szCs w:val="20"/>
        </w:rPr>
        <w:t>B</w:t>
      </w:r>
      <w:r w:rsidRPr="00B7304C">
        <w:rPr>
          <w:smallCaps/>
          <w:sz w:val="20"/>
          <w:szCs w:val="20"/>
        </w:rPr>
        <w:t xml:space="preserve">an in </w:t>
      </w:r>
      <w:r>
        <w:rPr>
          <w:smallCaps/>
          <w:sz w:val="20"/>
          <w:szCs w:val="20"/>
        </w:rPr>
        <w:t>C</w:t>
      </w:r>
      <w:r w:rsidRPr="00B7304C">
        <w:rPr>
          <w:smallCaps/>
          <w:sz w:val="20"/>
          <w:szCs w:val="20"/>
        </w:rPr>
        <w:t xml:space="preserve">ase) (Sealing </w:t>
      </w:r>
      <w:r>
        <w:rPr>
          <w:smallCaps/>
          <w:sz w:val="20"/>
          <w:szCs w:val="20"/>
        </w:rPr>
        <w:t>O</w:t>
      </w:r>
      <w:r w:rsidRPr="00B7304C">
        <w:rPr>
          <w:smallCaps/>
          <w:sz w:val="20"/>
          <w:szCs w:val="20"/>
        </w:rPr>
        <w:t>rder)</w:t>
      </w:r>
    </w:p>
    <w:p w:rsidR="007C5504" w:rsidRPr="00B7304C" w:rsidRDefault="007C5504" w:rsidP="007C5504">
      <w:pPr>
        <w:widowControl w:val="0"/>
        <w:jc w:val="both"/>
        <w:rPr>
          <w:sz w:val="20"/>
          <w:szCs w:val="20"/>
        </w:rPr>
      </w:pPr>
    </w:p>
    <w:p w:rsidR="007C5504" w:rsidRPr="00B7304C" w:rsidRDefault="007C5504" w:rsidP="007C5504">
      <w:pPr>
        <w:widowControl w:val="0"/>
        <w:jc w:val="both"/>
        <w:rPr>
          <w:sz w:val="20"/>
          <w:szCs w:val="20"/>
        </w:rPr>
      </w:pPr>
      <w:r w:rsidRPr="00B7304C">
        <w:rPr>
          <w:sz w:val="20"/>
          <w:szCs w:val="20"/>
        </w:rPr>
        <w:t xml:space="preserve">Criminal law </w:t>
      </w:r>
      <w:r w:rsidRPr="00B7304C">
        <w:rPr>
          <w:sz w:val="20"/>
          <w:szCs w:val="20"/>
        </w:rPr>
        <w:noBreakHyphen/>
        <w:t xml:space="preserve"> Counselling to commit murder </w:t>
      </w:r>
      <w:r w:rsidRPr="00B7304C">
        <w:rPr>
          <w:sz w:val="20"/>
          <w:szCs w:val="20"/>
        </w:rPr>
        <w:noBreakHyphen/>
        <w:t xml:space="preserve"> Defences </w:t>
      </w:r>
      <w:r w:rsidRPr="00B7304C">
        <w:rPr>
          <w:sz w:val="20"/>
          <w:szCs w:val="20"/>
        </w:rPr>
        <w:noBreakHyphen/>
        <w:t xml:space="preserve"> Duress </w:t>
      </w:r>
      <w:r w:rsidRPr="00B7304C">
        <w:rPr>
          <w:sz w:val="20"/>
          <w:szCs w:val="20"/>
        </w:rPr>
        <w:noBreakHyphen/>
        <w:t xml:space="preserve"> Whether the Court of Appeal erred in holding that the defence of duress was conceptually available in the circumstances </w:t>
      </w:r>
      <w:r w:rsidRPr="00B7304C">
        <w:rPr>
          <w:sz w:val="20"/>
          <w:szCs w:val="20"/>
        </w:rPr>
        <w:noBreakHyphen/>
        <w:t xml:space="preserve"> Whether the Court of Appeal erred in approving a deficient legal test for the defence of duress </w:t>
      </w:r>
      <w:r w:rsidRPr="00B7304C">
        <w:rPr>
          <w:sz w:val="20"/>
          <w:szCs w:val="20"/>
        </w:rPr>
        <w:noBreakHyphen/>
        <w:t xml:space="preserve"> Whether the Court of Appeal erred in its consideration of whether there was evidence to support the defence of duress which could meet the air of reality test </w:t>
      </w:r>
      <w:r w:rsidRPr="00B7304C">
        <w:rPr>
          <w:sz w:val="20"/>
          <w:szCs w:val="20"/>
        </w:rPr>
        <w:noBreakHyphen/>
        <w:t xml:space="preserve"> Whether the Court of Appeal erred by applying the common law defence of duress, while the defence had previously been limited to a party to an offence pursuant to s. 21 of the </w:t>
      </w:r>
      <w:r w:rsidRPr="00B7304C">
        <w:rPr>
          <w:i/>
          <w:sz w:val="20"/>
          <w:szCs w:val="20"/>
        </w:rPr>
        <w:t>Criminal Code</w:t>
      </w:r>
      <w:r w:rsidRPr="00B7304C">
        <w:rPr>
          <w:sz w:val="20"/>
          <w:szCs w:val="20"/>
        </w:rPr>
        <w:t xml:space="preserve"> </w:t>
      </w:r>
      <w:r w:rsidRPr="00B7304C">
        <w:rPr>
          <w:sz w:val="20"/>
          <w:szCs w:val="20"/>
        </w:rPr>
        <w:noBreakHyphen/>
        <w:t xml:space="preserve"> Whether the Court of Appeal erred in applying the common law defence of duress, since that defence is unavailable in a homicide case </w:t>
      </w:r>
      <w:r w:rsidRPr="00B7304C">
        <w:rPr>
          <w:sz w:val="20"/>
          <w:szCs w:val="20"/>
        </w:rPr>
        <w:noBreakHyphen/>
        <w:t xml:space="preserve"> Whether the Court of Appeal’s reliance on s. 17 of the </w:t>
      </w:r>
      <w:r w:rsidRPr="00B7304C">
        <w:rPr>
          <w:i/>
          <w:sz w:val="20"/>
          <w:szCs w:val="20"/>
        </w:rPr>
        <w:t>Criminal Code</w:t>
      </w:r>
      <w:r w:rsidRPr="00B7304C">
        <w:rPr>
          <w:sz w:val="20"/>
          <w:szCs w:val="20"/>
        </w:rPr>
        <w:t xml:space="preserve"> in the circumstances raises a question with respect to the fairness of the appellate process.</w:t>
      </w:r>
    </w:p>
    <w:p w:rsidR="007C5504" w:rsidRPr="00B7304C" w:rsidRDefault="007C5504" w:rsidP="007C5504">
      <w:pPr>
        <w:widowControl w:val="0"/>
        <w:jc w:val="both"/>
        <w:rPr>
          <w:sz w:val="20"/>
          <w:szCs w:val="20"/>
        </w:rPr>
      </w:pPr>
    </w:p>
    <w:p w:rsidR="007C5504" w:rsidRPr="00B7304C" w:rsidRDefault="007C5504" w:rsidP="007C5504">
      <w:pPr>
        <w:widowControl w:val="0"/>
        <w:jc w:val="both"/>
        <w:rPr>
          <w:sz w:val="20"/>
          <w:szCs w:val="20"/>
        </w:rPr>
      </w:pPr>
      <w:r w:rsidRPr="00B7304C">
        <w:rPr>
          <w:sz w:val="20"/>
          <w:szCs w:val="20"/>
        </w:rPr>
        <w:t>Nicole Ryan tried to take a contract out on her estranged husband’s life, but the man she approached to commit the crime turned out to be an undercover R.C.M.P. officer.  She was charged with counselling to commit murder.  At trial, Ms. Ryan admitted the accusations but claimed that she was acting under duress.  Essentially, she asserted that she was the victim of years of abuse at the hands of her husband who threatened to kill her and their child.  She believed that he would act on those threats and that the police, having been contacted on numerous occasions, would be unable to prevent it.  This, she felt, left her essentially with no other reasonable option.  The trial judge accepted her defence and entered an acquittal.  The appeal was dismissed.</w:t>
      </w:r>
    </w:p>
    <w:p w:rsidR="007C5504" w:rsidRPr="00B7304C" w:rsidRDefault="007C5504" w:rsidP="007C5504">
      <w:pPr>
        <w:widowControl w:val="0"/>
        <w:jc w:val="both"/>
        <w:rPr>
          <w:sz w:val="20"/>
          <w:szCs w:val="20"/>
        </w:rPr>
      </w:pPr>
    </w:p>
    <w:p w:rsidR="007C5504" w:rsidRPr="00B7304C" w:rsidRDefault="007C5504" w:rsidP="007C5504">
      <w:pPr>
        <w:widowControl w:val="0"/>
        <w:jc w:val="both"/>
        <w:rPr>
          <w:sz w:val="20"/>
          <w:szCs w:val="20"/>
        </w:rPr>
      </w:pPr>
    </w:p>
    <w:p w:rsidR="007C5504" w:rsidRPr="00B7304C" w:rsidRDefault="007C5504" w:rsidP="007C5504">
      <w:pPr>
        <w:widowControl w:val="0"/>
        <w:ind w:left="2880" w:hanging="2880"/>
        <w:jc w:val="both"/>
        <w:rPr>
          <w:sz w:val="20"/>
          <w:szCs w:val="20"/>
        </w:rPr>
      </w:pPr>
      <w:r w:rsidRPr="00B7304C">
        <w:rPr>
          <w:sz w:val="20"/>
          <w:szCs w:val="20"/>
        </w:rPr>
        <w:t>Origin of the case:</w:t>
      </w:r>
      <w:r w:rsidRPr="00B7304C">
        <w:rPr>
          <w:sz w:val="20"/>
          <w:szCs w:val="20"/>
        </w:rPr>
        <w:tab/>
        <w:t>Nova Scotia</w:t>
      </w:r>
    </w:p>
    <w:p w:rsidR="007C5504" w:rsidRPr="00B7304C" w:rsidRDefault="007C5504" w:rsidP="007C5504">
      <w:pPr>
        <w:widowControl w:val="0"/>
        <w:ind w:left="2880" w:hanging="2880"/>
        <w:jc w:val="both"/>
        <w:rPr>
          <w:sz w:val="20"/>
          <w:szCs w:val="20"/>
        </w:rPr>
      </w:pPr>
    </w:p>
    <w:p w:rsidR="007C5504" w:rsidRPr="00B7304C" w:rsidRDefault="007C5504" w:rsidP="007C5504">
      <w:pPr>
        <w:widowControl w:val="0"/>
        <w:ind w:left="2880" w:hanging="2880"/>
        <w:jc w:val="both"/>
        <w:rPr>
          <w:sz w:val="20"/>
          <w:szCs w:val="20"/>
        </w:rPr>
      </w:pPr>
      <w:r w:rsidRPr="00B7304C">
        <w:rPr>
          <w:sz w:val="20"/>
          <w:szCs w:val="20"/>
        </w:rPr>
        <w:t>File No.:</w:t>
      </w:r>
      <w:r w:rsidRPr="00B7304C">
        <w:rPr>
          <w:sz w:val="20"/>
          <w:szCs w:val="20"/>
        </w:rPr>
        <w:tab/>
        <w:t>34272</w:t>
      </w:r>
    </w:p>
    <w:p w:rsidR="007C5504" w:rsidRPr="00B7304C" w:rsidRDefault="007C5504" w:rsidP="007C5504">
      <w:pPr>
        <w:widowControl w:val="0"/>
        <w:ind w:left="2880" w:hanging="2880"/>
        <w:jc w:val="both"/>
        <w:rPr>
          <w:sz w:val="20"/>
          <w:szCs w:val="20"/>
        </w:rPr>
      </w:pPr>
    </w:p>
    <w:p w:rsidR="007C5504" w:rsidRPr="00B7304C" w:rsidRDefault="007C5504" w:rsidP="007C5504">
      <w:pPr>
        <w:widowControl w:val="0"/>
        <w:ind w:left="2880" w:hanging="2880"/>
        <w:jc w:val="both"/>
        <w:rPr>
          <w:sz w:val="20"/>
          <w:szCs w:val="20"/>
        </w:rPr>
      </w:pPr>
      <w:r w:rsidRPr="00B7304C">
        <w:rPr>
          <w:sz w:val="20"/>
          <w:szCs w:val="20"/>
        </w:rPr>
        <w:t>Judgment of the Court of Appeal:</w:t>
      </w:r>
      <w:r w:rsidRPr="00B7304C">
        <w:rPr>
          <w:sz w:val="20"/>
          <w:szCs w:val="20"/>
        </w:rPr>
        <w:tab/>
        <w:t>March 29, 2011</w:t>
      </w:r>
    </w:p>
    <w:p w:rsidR="007C5504" w:rsidRPr="00B7304C" w:rsidRDefault="007C5504" w:rsidP="007C5504">
      <w:pPr>
        <w:widowControl w:val="0"/>
        <w:ind w:left="2880" w:hanging="2880"/>
        <w:jc w:val="both"/>
        <w:rPr>
          <w:sz w:val="20"/>
          <w:szCs w:val="20"/>
        </w:rPr>
      </w:pPr>
    </w:p>
    <w:p w:rsidR="007C5504" w:rsidRPr="00B7304C" w:rsidRDefault="007C5504" w:rsidP="007C5504">
      <w:pPr>
        <w:widowControl w:val="0"/>
        <w:ind w:left="2880" w:hanging="2880"/>
        <w:jc w:val="both"/>
        <w:rPr>
          <w:sz w:val="20"/>
          <w:szCs w:val="20"/>
        </w:rPr>
      </w:pPr>
      <w:r w:rsidRPr="00B7304C">
        <w:rPr>
          <w:sz w:val="20"/>
          <w:szCs w:val="20"/>
        </w:rPr>
        <w:t>Counsel:</w:t>
      </w:r>
      <w:r w:rsidRPr="00B7304C">
        <w:rPr>
          <w:sz w:val="20"/>
          <w:szCs w:val="20"/>
        </w:rPr>
        <w:tab/>
        <w:t>William D. Delaney, Q.C. for the appellant</w:t>
      </w:r>
    </w:p>
    <w:p w:rsidR="007C5504" w:rsidRPr="00B7304C" w:rsidRDefault="007C5504" w:rsidP="007C5504">
      <w:pPr>
        <w:widowControl w:val="0"/>
        <w:ind w:left="2880" w:hanging="2880"/>
        <w:jc w:val="both"/>
        <w:rPr>
          <w:sz w:val="20"/>
          <w:szCs w:val="20"/>
        </w:rPr>
      </w:pPr>
      <w:r w:rsidRPr="00B7304C">
        <w:rPr>
          <w:sz w:val="20"/>
          <w:szCs w:val="20"/>
        </w:rPr>
        <w:tab/>
        <w:t>Brian H. Greenspan and Joel E. Pink, Q.C. for</w:t>
      </w:r>
      <w:r w:rsidR="007D6394">
        <w:rPr>
          <w:sz w:val="20"/>
          <w:szCs w:val="20"/>
        </w:rPr>
        <w:t xml:space="preserve"> t</w:t>
      </w:r>
      <w:r w:rsidRPr="00B7304C">
        <w:rPr>
          <w:sz w:val="20"/>
          <w:szCs w:val="20"/>
        </w:rPr>
        <w:t>he</w:t>
      </w:r>
      <w:r w:rsidR="007D6394">
        <w:rPr>
          <w:sz w:val="20"/>
          <w:szCs w:val="20"/>
        </w:rPr>
        <w:t xml:space="preserve"> </w:t>
      </w:r>
      <w:r w:rsidRPr="00B7304C">
        <w:rPr>
          <w:sz w:val="20"/>
          <w:szCs w:val="20"/>
        </w:rPr>
        <w:t>respondent</w:t>
      </w:r>
    </w:p>
    <w:p w:rsidR="00DA4855" w:rsidRPr="007C5504" w:rsidRDefault="00DA4855" w:rsidP="00DA4855">
      <w:pPr>
        <w:tabs>
          <w:tab w:val="left" w:pos="-1440"/>
          <w:tab w:val="left" w:pos="-720"/>
        </w:tabs>
        <w:jc w:val="both"/>
        <w:rPr>
          <w:sz w:val="20"/>
          <w:szCs w:val="20"/>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107"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pPr>
        <w:rPr>
          <w:sz w:val="20"/>
          <w:szCs w:val="20"/>
          <w:lang w:val="fr-CA"/>
        </w:rPr>
      </w:pPr>
      <w:r>
        <w:rPr>
          <w:sz w:val="20"/>
          <w:szCs w:val="20"/>
          <w:lang w:val="fr-CA"/>
        </w:rPr>
        <w:br w:type="page"/>
      </w:r>
    </w:p>
    <w:p w:rsidR="0070524E" w:rsidRPr="00665BA9" w:rsidRDefault="003B0427" w:rsidP="0070524E">
      <w:pPr>
        <w:widowControl w:val="0"/>
        <w:ind w:left="720" w:hanging="720"/>
        <w:jc w:val="both"/>
        <w:rPr>
          <w:sz w:val="20"/>
          <w:szCs w:val="20"/>
          <w:lang w:val="fr-CA"/>
        </w:rPr>
      </w:pPr>
      <w:r w:rsidRPr="00665BA9">
        <w:rPr>
          <w:b/>
          <w:sz w:val="20"/>
          <w:szCs w:val="20"/>
          <w:lang w:val="fr-CA"/>
        </w:rPr>
        <w:lastRenderedPageBreak/>
        <w:fldChar w:fldCharType="begin"/>
      </w:r>
      <w:r w:rsidR="0070524E" w:rsidRPr="00665BA9">
        <w:rPr>
          <w:b/>
          <w:sz w:val="20"/>
          <w:szCs w:val="20"/>
          <w:lang w:val="fr-CA"/>
        </w:rPr>
        <w:instrText xml:space="preserve"> SEQ CHAPTER \h \r 1</w:instrText>
      </w:r>
      <w:r w:rsidRPr="00665BA9">
        <w:rPr>
          <w:b/>
          <w:sz w:val="20"/>
          <w:szCs w:val="20"/>
          <w:lang w:val="fr-CA"/>
        </w:rPr>
        <w:fldChar w:fldCharType="end"/>
      </w:r>
      <w:r w:rsidR="0070524E" w:rsidRPr="00665BA9">
        <w:rPr>
          <w:b/>
          <w:sz w:val="20"/>
          <w:szCs w:val="20"/>
          <w:lang w:val="fr-CA"/>
        </w:rPr>
        <w:t>34272</w:t>
      </w:r>
      <w:r w:rsidR="0070524E" w:rsidRPr="00665BA9">
        <w:rPr>
          <w:sz w:val="20"/>
          <w:szCs w:val="20"/>
          <w:lang w:val="fr-CA"/>
        </w:rPr>
        <w:tab/>
      </w:r>
      <w:r w:rsidR="0070524E" w:rsidRPr="00665BA9">
        <w:rPr>
          <w:b/>
          <w:i/>
          <w:sz w:val="20"/>
          <w:szCs w:val="20"/>
          <w:lang w:val="fr-CA"/>
        </w:rPr>
        <w:t>Sa Majesté la Reine c. Nicole Patricia Ryan</w:t>
      </w:r>
    </w:p>
    <w:p w:rsidR="0070524E" w:rsidRPr="00665BA9" w:rsidRDefault="0070524E" w:rsidP="0070524E">
      <w:pPr>
        <w:widowControl w:val="0"/>
        <w:jc w:val="both"/>
        <w:rPr>
          <w:sz w:val="20"/>
          <w:szCs w:val="20"/>
          <w:lang w:val="fr-CA"/>
        </w:rPr>
      </w:pPr>
    </w:p>
    <w:p w:rsidR="0070524E" w:rsidRPr="00665BA9" w:rsidRDefault="0070524E" w:rsidP="0070524E">
      <w:pPr>
        <w:widowControl w:val="0"/>
        <w:jc w:val="both"/>
        <w:rPr>
          <w:smallCaps/>
          <w:sz w:val="20"/>
          <w:szCs w:val="20"/>
          <w:lang w:val="fr-CA"/>
        </w:rPr>
      </w:pPr>
      <w:r w:rsidRPr="00665BA9">
        <w:rPr>
          <w:smallCaps/>
          <w:sz w:val="20"/>
          <w:szCs w:val="20"/>
          <w:lang w:val="fr-CA"/>
        </w:rPr>
        <w:t>(Ordonnance de non</w:t>
      </w:r>
      <w:r w:rsidRPr="00665BA9">
        <w:rPr>
          <w:smallCaps/>
          <w:sz w:val="20"/>
          <w:szCs w:val="20"/>
          <w:lang w:val="fr-CA"/>
        </w:rPr>
        <w:noBreakHyphen/>
        <w:t>publication dans le dossier) (</w:t>
      </w:r>
      <w:r>
        <w:rPr>
          <w:smallCaps/>
          <w:sz w:val="20"/>
          <w:szCs w:val="20"/>
          <w:lang w:val="fr-CA"/>
        </w:rPr>
        <w:t>O</w:t>
      </w:r>
      <w:r w:rsidRPr="00665BA9">
        <w:rPr>
          <w:smallCaps/>
          <w:sz w:val="20"/>
          <w:szCs w:val="20"/>
          <w:lang w:val="fr-CA"/>
        </w:rPr>
        <w:t>rdonnance de mise sous scellés)</w:t>
      </w:r>
    </w:p>
    <w:p w:rsidR="0070524E" w:rsidRPr="00665BA9" w:rsidRDefault="0070524E" w:rsidP="0070524E">
      <w:pPr>
        <w:widowControl w:val="0"/>
        <w:jc w:val="both"/>
        <w:rPr>
          <w:sz w:val="20"/>
          <w:szCs w:val="20"/>
          <w:lang w:val="fr-CA"/>
        </w:rPr>
      </w:pPr>
    </w:p>
    <w:p w:rsidR="0070524E" w:rsidRPr="00665BA9" w:rsidRDefault="0070524E" w:rsidP="0070524E">
      <w:pPr>
        <w:widowControl w:val="0"/>
        <w:jc w:val="both"/>
        <w:rPr>
          <w:sz w:val="20"/>
          <w:szCs w:val="20"/>
          <w:lang w:val="fr-CA"/>
        </w:rPr>
      </w:pPr>
      <w:r w:rsidRPr="00665BA9">
        <w:rPr>
          <w:sz w:val="20"/>
          <w:szCs w:val="20"/>
          <w:lang w:val="fr-CA"/>
        </w:rPr>
        <w:t xml:space="preserve">Droit criminel </w:t>
      </w:r>
      <w:r w:rsidRPr="00665BA9">
        <w:rPr>
          <w:sz w:val="20"/>
          <w:szCs w:val="20"/>
          <w:lang w:val="fr-CA"/>
        </w:rPr>
        <w:noBreakHyphen/>
        <w:t xml:space="preserve"> Conseiller la perpétration d’un meurtre </w:t>
      </w:r>
      <w:r w:rsidRPr="00665BA9">
        <w:rPr>
          <w:sz w:val="20"/>
          <w:szCs w:val="20"/>
          <w:lang w:val="fr-CA"/>
        </w:rPr>
        <w:noBreakHyphen/>
        <w:t xml:space="preserve"> Moyens de défense </w:t>
      </w:r>
      <w:r w:rsidRPr="00665BA9">
        <w:rPr>
          <w:sz w:val="20"/>
          <w:szCs w:val="20"/>
          <w:lang w:val="fr-CA"/>
        </w:rPr>
        <w:noBreakHyphen/>
        <w:t xml:space="preserve"> Contrainte </w:t>
      </w:r>
      <w:r w:rsidRPr="00665BA9">
        <w:rPr>
          <w:sz w:val="20"/>
          <w:szCs w:val="20"/>
          <w:lang w:val="fr-CA"/>
        </w:rPr>
        <w:noBreakHyphen/>
        <w:t xml:space="preserve"> La Cour d’appel a</w:t>
      </w:r>
      <w:r w:rsidRPr="00665BA9">
        <w:rPr>
          <w:sz w:val="20"/>
          <w:szCs w:val="20"/>
          <w:lang w:val="fr-CA"/>
        </w:rPr>
        <w:noBreakHyphen/>
        <w:t>t</w:t>
      </w:r>
      <w:r w:rsidRPr="00665BA9">
        <w:rPr>
          <w:sz w:val="20"/>
          <w:szCs w:val="20"/>
          <w:lang w:val="fr-CA"/>
        </w:rPr>
        <w:noBreakHyphen/>
        <w:t xml:space="preserve">elle eu tort de conclure que, sur le plan conceptuel, le moyen de défense fondé sur la contrainte pouvait être invoqué en l’espèce? </w:t>
      </w:r>
      <w:r w:rsidRPr="00665BA9">
        <w:rPr>
          <w:sz w:val="20"/>
          <w:szCs w:val="20"/>
          <w:lang w:val="fr-CA"/>
        </w:rPr>
        <w:noBreakHyphen/>
        <w:t xml:space="preserve"> La Cour d’appel a</w:t>
      </w:r>
      <w:r w:rsidRPr="00665BA9">
        <w:rPr>
          <w:sz w:val="20"/>
          <w:szCs w:val="20"/>
          <w:lang w:val="fr-CA"/>
        </w:rPr>
        <w:noBreakHyphen/>
        <w:t>t</w:t>
      </w:r>
      <w:r w:rsidRPr="00665BA9">
        <w:rPr>
          <w:sz w:val="20"/>
          <w:szCs w:val="20"/>
          <w:lang w:val="fr-CA"/>
        </w:rPr>
        <w:noBreakHyphen/>
        <w:t xml:space="preserve">elle eu tort d’approuver un critère juridique déficient relativement au moyen de défense fondé sur la contrainte? </w:t>
      </w:r>
      <w:r w:rsidRPr="00665BA9">
        <w:rPr>
          <w:sz w:val="20"/>
          <w:szCs w:val="20"/>
          <w:lang w:val="fr-CA"/>
        </w:rPr>
        <w:noBreakHyphen/>
        <w:t xml:space="preserve"> La Cour d’appel s’est</w:t>
      </w:r>
      <w:r w:rsidRPr="00665BA9">
        <w:rPr>
          <w:sz w:val="20"/>
          <w:szCs w:val="20"/>
          <w:lang w:val="fr-CA"/>
        </w:rPr>
        <w:noBreakHyphen/>
        <w:t xml:space="preserve">elle trompée dans sa considération de la question de savoir s’il y avait des éléments de preuve susceptibles de répondre au critère de l’apparence de vraisemblance? </w:t>
      </w:r>
      <w:r w:rsidRPr="00665BA9">
        <w:rPr>
          <w:sz w:val="20"/>
          <w:szCs w:val="20"/>
          <w:lang w:val="fr-CA"/>
        </w:rPr>
        <w:noBreakHyphen/>
        <w:t xml:space="preserve"> La Cour d’appel a</w:t>
      </w:r>
      <w:r w:rsidRPr="00665BA9">
        <w:rPr>
          <w:sz w:val="20"/>
          <w:szCs w:val="20"/>
          <w:lang w:val="fr-CA"/>
        </w:rPr>
        <w:noBreakHyphen/>
        <w:t>t</w:t>
      </w:r>
      <w:r w:rsidRPr="00665BA9">
        <w:rPr>
          <w:sz w:val="20"/>
          <w:szCs w:val="20"/>
          <w:lang w:val="fr-CA"/>
        </w:rPr>
        <w:noBreakHyphen/>
        <w:t xml:space="preserve">elle eu tort d’appliquer le moyen de défense de common law fondé sur la contrainte, alors que par la passé, ce moyen de défense se limitait à un participant à une infraction aux termes de l’art. 21 du </w:t>
      </w:r>
      <w:r w:rsidRPr="00665BA9">
        <w:rPr>
          <w:i/>
          <w:sz w:val="20"/>
          <w:szCs w:val="20"/>
          <w:lang w:val="fr-CA"/>
        </w:rPr>
        <w:t>Code criminel</w:t>
      </w:r>
      <w:r w:rsidRPr="00665BA9">
        <w:rPr>
          <w:sz w:val="20"/>
          <w:szCs w:val="20"/>
          <w:lang w:val="fr-CA"/>
        </w:rPr>
        <w:t xml:space="preserve">? </w:t>
      </w:r>
      <w:r w:rsidRPr="00665BA9">
        <w:rPr>
          <w:sz w:val="20"/>
          <w:szCs w:val="20"/>
          <w:lang w:val="fr-CA"/>
        </w:rPr>
        <w:noBreakHyphen/>
        <w:t xml:space="preserve"> La Cour d’appel a</w:t>
      </w:r>
      <w:r w:rsidRPr="00665BA9">
        <w:rPr>
          <w:sz w:val="20"/>
          <w:szCs w:val="20"/>
          <w:lang w:val="fr-CA"/>
        </w:rPr>
        <w:noBreakHyphen/>
        <w:t>t</w:t>
      </w:r>
      <w:r w:rsidRPr="00665BA9">
        <w:rPr>
          <w:sz w:val="20"/>
          <w:szCs w:val="20"/>
          <w:lang w:val="fr-CA"/>
        </w:rPr>
        <w:noBreakHyphen/>
        <w:t xml:space="preserve">elle eu tort d’appliquer le moyen de défense de common law fondé sur la contrainte, puisque ce moyen de défense ne peut être invoqué dans une affaire d’homicide? </w:t>
      </w:r>
      <w:r w:rsidRPr="00665BA9">
        <w:rPr>
          <w:sz w:val="20"/>
          <w:szCs w:val="20"/>
          <w:lang w:val="fr-CA"/>
        </w:rPr>
        <w:noBreakHyphen/>
        <w:t xml:space="preserve"> Le fait que la Cour d’appel se soit appuyée sur l’art. 17 du </w:t>
      </w:r>
      <w:r w:rsidRPr="00665BA9">
        <w:rPr>
          <w:i/>
          <w:sz w:val="20"/>
          <w:szCs w:val="20"/>
          <w:lang w:val="fr-CA"/>
        </w:rPr>
        <w:t>Code criminel</w:t>
      </w:r>
      <w:r w:rsidRPr="00665BA9">
        <w:rPr>
          <w:sz w:val="20"/>
          <w:szCs w:val="20"/>
          <w:lang w:val="fr-CA"/>
        </w:rPr>
        <w:t xml:space="preserve"> en l’espèce soulève</w:t>
      </w:r>
      <w:r w:rsidRPr="00665BA9">
        <w:rPr>
          <w:sz w:val="20"/>
          <w:szCs w:val="20"/>
          <w:lang w:val="fr-CA"/>
        </w:rPr>
        <w:noBreakHyphen/>
        <w:t>t</w:t>
      </w:r>
      <w:r w:rsidRPr="00665BA9">
        <w:rPr>
          <w:sz w:val="20"/>
          <w:szCs w:val="20"/>
          <w:lang w:val="fr-CA"/>
        </w:rPr>
        <w:noBreakHyphen/>
        <w:t>il une question ayant trait à l’équité du processus d’appel?</w:t>
      </w:r>
    </w:p>
    <w:p w:rsidR="0070524E" w:rsidRPr="00665BA9" w:rsidRDefault="0070524E" w:rsidP="0070524E">
      <w:pPr>
        <w:widowControl w:val="0"/>
        <w:jc w:val="both"/>
        <w:rPr>
          <w:sz w:val="20"/>
          <w:szCs w:val="20"/>
          <w:lang w:val="fr-CA"/>
        </w:rPr>
      </w:pPr>
    </w:p>
    <w:p w:rsidR="0070524E" w:rsidRPr="00665BA9" w:rsidRDefault="0070524E" w:rsidP="0070524E">
      <w:pPr>
        <w:widowControl w:val="0"/>
        <w:jc w:val="both"/>
        <w:rPr>
          <w:sz w:val="20"/>
          <w:szCs w:val="20"/>
          <w:lang w:val="fr-CA"/>
        </w:rPr>
      </w:pPr>
      <w:r w:rsidRPr="00665BA9">
        <w:rPr>
          <w:sz w:val="20"/>
          <w:szCs w:val="20"/>
          <w:lang w:val="fr-CA"/>
        </w:rPr>
        <w:t>Nicole Ryan a tenté de conclure une entente pour faire assassiner son ex</w:t>
      </w:r>
      <w:r w:rsidRPr="00665BA9">
        <w:rPr>
          <w:sz w:val="20"/>
          <w:szCs w:val="20"/>
          <w:lang w:val="fr-CA"/>
        </w:rPr>
        <w:noBreakHyphen/>
        <w:t>époux, mais l’homme qu’elle a voulu engager pour commettre le crime était en fait un agent d’infiltration de la GRC.  Elle a été accusée d’avoir conseillé la perpétration d’un meurtre.  À son procès, Mme Ryan a admis les accusations, mais à prétendu qu’elle avait agi sous la contrainte.  Essentiellement, elle a affirmé avoir été la victime d’années de sévices aux mains de son époux qui avait menacé de la tuer et de tuer leur enfant.  Elle croyait qu’il allait donner suite à ces menaces et que la police, avec qui elle avait communiqué à de nombreuses occasions, allait être incapable de l’en empêcher.  Cette situation, croyait</w:t>
      </w:r>
      <w:r w:rsidRPr="00665BA9">
        <w:rPr>
          <w:sz w:val="20"/>
          <w:szCs w:val="20"/>
          <w:lang w:val="fr-CA"/>
        </w:rPr>
        <w:noBreakHyphen/>
        <w:t>elle, ne lui laissait essentiellement aucune autre possibilité raisonnable.  Le juge du procès à accueilli son moyen de défense et l’a acquittée.  L’appel a été rejeté.</w:t>
      </w:r>
    </w:p>
    <w:p w:rsidR="0070524E" w:rsidRPr="00665BA9" w:rsidRDefault="0070524E" w:rsidP="0070524E">
      <w:pPr>
        <w:widowControl w:val="0"/>
        <w:jc w:val="both"/>
        <w:rPr>
          <w:sz w:val="20"/>
          <w:szCs w:val="20"/>
          <w:lang w:val="fr-CA"/>
        </w:rPr>
      </w:pPr>
    </w:p>
    <w:p w:rsidR="0070524E" w:rsidRPr="00665BA9" w:rsidRDefault="0070524E" w:rsidP="0070524E">
      <w:pPr>
        <w:widowControl w:val="0"/>
        <w:jc w:val="both"/>
        <w:rPr>
          <w:sz w:val="20"/>
          <w:szCs w:val="20"/>
          <w:lang w:val="fr-CA"/>
        </w:rPr>
      </w:pPr>
    </w:p>
    <w:p w:rsidR="0070524E" w:rsidRPr="00665BA9" w:rsidRDefault="0070524E" w:rsidP="0070524E">
      <w:pPr>
        <w:widowControl w:val="0"/>
        <w:ind w:left="2880" w:hanging="2880"/>
        <w:jc w:val="both"/>
        <w:rPr>
          <w:sz w:val="20"/>
          <w:szCs w:val="20"/>
          <w:lang w:val="fr-CA"/>
        </w:rPr>
      </w:pPr>
      <w:r w:rsidRPr="00665BA9">
        <w:rPr>
          <w:sz w:val="20"/>
          <w:szCs w:val="20"/>
          <w:lang w:val="fr-CA"/>
        </w:rPr>
        <w:t>Origine :</w:t>
      </w:r>
      <w:r w:rsidRPr="00665BA9">
        <w:rPr>
          <w:sz w:val="20"/>
          <w:szCs w:val="20"/>
          <w:lang w:val="fr-CA"/>
        </w:rPr>
        <w:tab/>
        <w:t>Nouvelle</w:t>
      </w:r>
      <w:r w:rsidRPr="00665BA9">
        <w:rPr>
          <w:sz w:val="20"/>
          <w:szCs w:val="20"/>
          <w:lang w:val="fr-CA"/>
        </w:rPr>
        <w:noBreakHyphen/>
        <w:t>Écosse</w:t>
      </w:r>
    </w:p>
    <w:p w:rsidR="0070524E" w:rsidRPr="00665BA9" w:rsidRDefault="0070524E" w:rsidP="0070524E">
      <w:pPr>
        <w:widowControl w:val="0"/>
        <w:ind w:left="2880" w:hanging="2880"/>
        <w:jc w:val="both"/>
        <w:rPr>
          <w:sz w:val="20"/>
          <w:szCs w:val="20"/>
          <w:lang w:val="fr-CA"/>
        </w:rPr>
      </w:pPr>
    </w:p>
    <w:p w:rsidR="0070524E" w:rsidRPr="00665BA9" w:rsidRDefault="0070524E" w:rsidP="0070524E">
      <w:pPr>
        <w:widowControl w:val="0"/>
        <w:ind w:left="2880" w:hanging="2880"/>
        <w:jc w:val="both"/>
        <w:rPr>
          <w:sz w:val="20"/>
          <w:szCs w:val="20"/>
          <w:lang w:val="fr-CA"/>
        </w:rPr>
      </w:pPr>
      <w:r w:rsidRPr="00665BA9">
        <w:rPr>
          <w:sz w:val="20"/>
          <w:szCs w:val="20"/>
          <w:lang w:val="fr-CA"/>
        </w:rPr>
        <w:t>N</w:t>
      </w:r>
      <w:r w:rsidRPr="00665BA9">
        <w:rPr>
          <w:sz w:val="20"/>
          <w:szCs w:val="20"/>
          <w:vertAlign w:val="superscript"/>
          <w:lang w:val="fr-CA"/>
        </w:rPr>
        <w:t>o</w:t>
      </w:r>
      <w:r w:rsidRPr="00665BA9">
        <w:rPr>
          <w:sz w:val="20"/>
          <w:szCs w:val="20"/>
          <w:lang w:val="fr-CA"/>
        </w:rPr>
        <w:t xml:space="preserve"> du greffe :</w:t>
      </w:r>
      <w:r w:rsidRPr="00665BA9">
        <w:rPr>
          <w:sz w:val="20"/>
          <w:szCs w:val="20"/>
          <w:lang w:val="fr-CA"/>
        </w:rPr>
        <w:tab/>
        <w:t>34272</w:t>
      </w:r>
    </w:p>
    <w:p w:rsidR="0070524E" w:rsidRPr="00665BA9" w:rsidRDefault="0070524E" w:rsidP="0070524E">
      <w:pPr>
        <w:widowControl w:val="0"/>
        <w:ind w:left="2880" w:hanging="2880"/>
        <w:jc w:val="both"/>
        <w:rPr>
          <w:sz w:val="20"/>
          <w:szCs w:val="20"/>
          <w:lang w:val="fr-CA"/>
        </w:rPr>
      </w:pPr>
    </w:p>
    <w:p w:rsidR="0070524E" w:rsidRPr="00665BA9" w:rsidRDefault="0070524E" w:rsidP="0070524E">
      <w:pPr>
        <w:widowControl w:val="0"/>
        <w:ind w:left="2880" w:hanging="2880"/>
        <w:jc w:val="both"/>
        <w:rPr>
          <w:sz w:val="20"/>
          <w:szCs w:val="20"/>
          <w:lang w:val="fr-CA"/>
        </w:rPr>
      </w:pPr>
      <w:r w:rsidRPr="00665BA9">
        <w:rPr>
          <w:sz w:val="20"/>
          <w:szCs w:val="20"/>
          <w:lang w:val="fr-CA"/>
        </w:rPr>
        <w:t>Arrêt de la Cour d’appel :</w:t>
      </w:r>
      <w:r w:rsidRPr="00665BA9">
        <w:rPr>
          <w:sz w:val="20"/>
          <w:szCs w:val="20"/>
          <w:lang w:val="fr-CA"/>
        </w:rPr>
        <w:tab/>
        <w:t>le 29 mars 2011</w:t>
      </w:r>
    </w:p>
    <w:p w:rsidR="0070524E" w:rsidRPr="00665BA9" w:rsidRDefault="0070524E" w:rsidP="0070524E">
      <w:pPr>
        <w:widowControl w:val="0"/>
        <w:ind w:left="2880" w:hanging="2880"/>
        <w:jc w:val="both"/>
        <w:rPr>
          <w:sz w:val="20"/>
          <w:szCs w:val="20"/>
          <w:lang w:val="fr-CA"/>
        </w:rPr>
      </w:pPr>
    </w:p>
    <w:p w:rsidR="0070524E" w:rsidRPr="00665BA9" w:rsidRDefault="0070524E" w:rsidP="0070524E">
      <w:pPr>
        <w:widowControl w:val="0"/>
        <w:ind w:left="2880" w:hanging="2880"/>
        <w:jc w:val="both"/>
        <w:rPr>
          <w:sz w:val="20"/>
          <w:szCs w:val="20"/>
        </w:rPr>
      </w:pPr>
      <w:r w:rsidRPr="00665BA9">
        <w:rPr>
          <w:sz w:val="20"/>
          <w:szCs w:val="20"/>
        </w:rPr>
        <w:t>Avocats :</w:t>
      </w:r>
      <w:r w:rsidRPr="00665BA9">
        <w:rPr>
          <w:sz w:val="20"/>
          <w:szCs w:val="20"/>
        </w:rPr>
        <w:tab/>
        <w:t>William D. Delaney, c.r. pour l’appelante</w:t>
      </w:r>
    </w:p>
    <w:p w:rsidR="0070524E" w:rsidRPr="00665BA9" w:rsidRDefault="0070524E" w:rsidP="0070524E">
      <w:pPr>
        <w:widowControl w:val="0"/>
        <w:ind w:left="2880" w:hanging="2880"/>
        <w:jc w:val="both"/>
        <w:rPr>
          <w:sz w:val="20"/>
          <w:szCs w:val="20"/>
          <w:lang w:val="fr-CA"/>
        </w:rPr>
      </w:pPr>
      <w:r w:rsidRPr="00665BA9">
        <w:rPr>
          <w:sz w:val="20"/>
          <w:szCs w:val="20"/>
        </w:rPr>
        <w:tab/>
      </w:r>
      <w:r w:rsidRPr="00665BA9">
        <w:rPr>
          <w:sz w:val="20"/>
          <w:szCs w:val="20"/>
          <w:lang w:val="fr-CA"/>
        </w:rPr>
        <w:t>Brian H. Greenspan et Joel E. Pink, c.r. pour l’intimée</w:t>
      </w:r>
    </w:p>
    <w:p w:rsidR="00DA4855" w:rsidRPr="00DD0B49" w:rsidRDefault="00DA4855" w:rsidP="00DA4855">
      <w:pPr>
        <w:tabs>
          <w:tab w:val="left" w:pos="-1440"/>
          <w:tab w:val="left" w:pos="-720"/>
        </w:tabs>
        <w:jc w:val="both"/>
        <w:rPr>
          <w:sz w:val="20"/>
          <w:szCs w:val="20"/>
          <w:lang w:val="fr-CA"/>
        </w:rPr>
      </w:pPr>
    </w:p>
    <w:p w:rsidR="00DA4855" w:rsidRDefault="003B0427" w:rsidP="00DA4855">
      <w:pPr>
        <w:tabs>
          <w:tab w:val="left" w:pos="-1440"/>
          <w:tab w:val="left" w:pos="-720"/>
        </w:tabs>
        <w:jc w:val="both"/>
        <w:rPr>
          <w:sz w:val="20"/>
          <w:szCs w:val="20"/>
          <w:lang w:val="fr-CA"/>
        </w:rPr>
      </w:pPr>
      <w:r w:rsidRPr="003B0427">
        <w:rPr>
          <w:sz w:val="20"/>
          <w:szCs w:val="20"/>
          <w:lang w:val="fr-CA"/>
        </w:rPr>
        <w:pict>
          <v:rect id="_x0000_i1108" style="width:2in;height:1pt" o:hrpct="0" o:hralign="center" o:hrstd="t" o:hrnoshade="t" o:hr="t" fillcolor="black [3213]" stroked="f"/>
        </w:pict>
      </w:r>
    </w:p>
    <w:p w:rsidR="00DA4855" w:rsidRDefault="00DA4855" w:rsidP="00DA4855">
      <w:pPr>
        <w:tabs>
          <w:tab w:val="left" w:pos="-1440"/>
          <w:tab w:val="left" w:pos="-720"/>
        </w:tabs>
        <w:jc w:val="both"/>
        <w:rPr>
          <w:sz w:val="20"/>
          <w:szCs w:val="20"/>
          <w:lang w:val="fr-CA"/>
        </w:rPr>
      </w:pPr>
    </w:p>
    <w:p w:rsidR="00DA4855" w:rsidRDefault="00DA4855" w:rsidP="000B3C9A">
      <w:pPr>
        <w:tabs>
          <w:tab w:val="left" w:pos="-1440"/>
          <w:tab w:val="left" w:pos="-720"/>
        </w:tabs>
        <w:jc w:val="both"/>
        <w:rPr>
          <w:sz w:val="20"/>
          <w:szCs w:val="20"/>
          <w:lang w:val="fr-CA"/>
        </w:rPr>
      </w:pPr>
    </w:p>
    <w:p w:rsidR="00DA4855" w:rsidRPr="00DD0B49" w:rsidRDefault="00DA4855"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p w:rsidR="00E903A1" w:rsidRPr="002E0C7E" w:rsidRDefault="003B0427"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2"/>
      <w:footerReference w:type="default" r:id="rId5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B4" w:rsidRDefault="007E5CB4" w:rsidP="00A87207">
      <w:r>
        <w:separator/>
      </w:r>
    </w:p>
  </w:endnote>
  <w:endnote w:type="continuationSeparator" w:id="0">
    <w:p w:rsidR="007E5CB4" w:rsidRDefault="007E5CB4"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58" w:rsidRDefault="0008515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pPr>
      <w:pStyle w:val="Footer"/>
      <w:rPr>
        <w:lang w:val="fr-CA"/>
      </w:rPr>
    </w:pPr>
    <w:r w:rsidRPr="003B0427">
      <w:rPr>
        <w:lang w:val="fr-CA"/>
      </w:rPr>
      <w:pict>
        <v:rect id="_x0000_i1074" style="width:480.95pt;height:1pt" o:hralign="center" o:hrstd="t" o:hrnoshade="t" o:hr="t" fillcolor="black [3213]" stroked="f"/>
      </w:pict>
    </w:r>
  </w:p>
  <w:p w:rsidR="007E5CB4" w:rsidRDefault="007E5CB4" w:rsidP="00245129">
    <w:pPr>
      <w:tabs>
        <w:tab w:val="center" w:pos="4680"/>
      </w:tabs>
    </w:pPr>
    <w:r>
      <w:tab/>
    </w:r>
    <w:r w:rsidRPr="0009648D">
      <w:t xml:space="preserve">- </w:t>
    </w:r>
    <w:fldSimple w:instr=" PAGE   \* MERGEFORMAT ">
      <w:r w:rsidR="0067371E">
        <w:rPr>
          <w:noProof/>
        </w:rPr>
        <w:t>801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5CB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5CB4" w:rsidRDefault="007E5CB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EB2B90">
    <w:pPr>
      <w:tabs>
        <w:tab w:val="center" w:pos="4680"/>
      </w:tabs>
    </w:pPr>
    <w:r>
      <w:pict>
        <v:rect id="_x0000_i1076" style="width:480.95pt;height:1pt" o:hralign="center" o:hrstd="t" o:hrnoshade="t" o:hr="t" fillcolor="black" stroked="f"/>
      </w:pict>
    </w:r>
  </w:p>
  <w:p w:rsidR="007E5CB4" w:rsidRPr="002864CC" w:rsidRDefault="007E5CB4" w:rsidP="00EB2B90">
    <w:pPr>
      <w:tabs>
        <w:tab w:val="center" w:pos="4680"/>
      </w:tabs>
    </w:pPr>
    <w:r w:rsidRPr="002864CC">
      <w:tab/>
      <w:t xml:space="preserve">- </w:t>
    </w:r>
    <w:fldSimple w:instr=" PAGE   \* MERGEFORMAT ">
      <w:r w:rsidR="0067371E">
        <w:rPr>
          <w:noProof/>
        </w:rPr>
        <w:t>836</w:t>
      </w:r>
    </w:fldSimple>
    <w:r w:rsidRPr="002864CC">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pPr>
      <w:pStyle w:val="Footer"/>
    </w:pPr>
    <w:r>
      <w:pict>
        <v:rect id="_x0000_i1077" style="width:480.95pt;height:1pt" o:hralign="center" o:hrstd="t" o:hrnoshade="t" o:hr="t" fillcolor="black" stroked="f"/>
      </w:pict>
    </w:r>
  </w:p>
  <w:p w:rsidR="007E5CB4" w:rsidRPr="002864CC" w:rsidRDefault="007E5CB4" w:rsidP="00EB2B90">
    <w:pPr>
      <w:tabs>
        <w:tab w:val="center" w:pos="4680"/>
      </w:tabs>
    </w:pPr>
    <w:r>
      <w:tab/>
      <w:t xml:space="preserve">- </w:t>
    </w:r>
    <w:fldSimple w:instr=" PAGE   \* MERGEFORMAT ">
      <w:r w:rsidR="0067371E">
        <w:rPr>
          <w:noProof/>
        </w:rPr>
        <w:t>834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5CB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5CB4" w:rsidRDefault="007E5CB4">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755F22">
    <w:pPr>
      <w:tabs>
        <w:tab w:val="left" w:pos="-1440"/>
        <w:tab w:val="left" w:pos="-720"/>
      </w:tabs>
    </w:pPr>
    <w:r>
      <w:pict>
        <v:rect id="_x0000_i1087" style="width:480.95pt;height:1pt" o:hralign="center" o:hrstd="t" o:hrnoshade="t" o:hr="t" fillcolor="black [3213]" stroked="f"/>
      </w:pict>
    </w:r>
  </w:p>
  <w:p w:rsidR="007E5CB4" w:rsidRDefault="007E5CB4" w:rsidP="00EB2B90">
    <w:pPr>
      <w:tabs>
        <w:tab w:val="center" w:pos="4680"/>
      </w:tabs>
    </w:pPr>
    <w:r>
      <w:tab/>
      <w:t xml:space="preserve">- </w:t>
    </w:r>
    <w:fldSimple w:instr=" PAGE   \* MERGEFORMAT ">
      <w:r w:rsidR="0067371E">
        <w:rPr>
          <w:noProof/>
        </w:rPr>
        <w:t>841</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EB2B90">
    <w:pPr>
      <w:tabs>
        <w:tab w:val="center" w:pos="4680"/>
      </w:tabs>
    </w:pPr>
    <w:r>
      <w:pict>
        <v:rect id="_x0000_i1088" style="width:480.95pt;height:1pt" o:hralign="center" o:hrstd="t" o:hrnoshade="t" o:hr="t" fillcolor="black [3213]" stroked="f"/>
      </w:pict>
    </w:r>
  </w:p>
  <w:p w:rsidR="007E5CB4" w:rsidRPr="0031432F" w:rsidRDefault="007E5CB4" w:rsidP="00EB2B90">
    <w:pPr>
      <w:tabs>
        <w:tab w:val="center" w:pos="4680"/>
      </w:tabs>
    </w:pPr>
    <w:r>
      <w:tab/>
      <w:t xml:space="preserve">- </w:t>
    </w:r>
    <w:fldSimple w:instr=" PAGE   \* MERGEFORMAT ">
      <w:r w:rsidR="0067371E">
        <w:rPr>
          <w:noProof/>
        </w:rPr>
        <w:t>837</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7E5CB4" w:rsidRDefault="007E5CB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7E5CB4" w:rsidRDefault="007E5CB4">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22323B">
    <w:r>
      <w:pict>
        <v:rect id="_x0000_i1091" style="width:480.95pt;height:1pt" o:hralign="center" o:hrstd="t" o:hrnoshade="t" o:hr="t" fillcolor="black [3213]" stroked="f"/>
      </w:pict>
    </w:r>
  </w:p>
  <w:p w:rsidR="007E5CB4" w:rsidRDefault="007E5CB4">
    <w:pPr>
      <w:tabs>
        <w:tab w:val="center" w:pos="4740"/>
      </w:tabs>
      <w:spacing w:line="0" w:lineRule="atLeast"/>
    </w:pPr>
    <w:r>
      <w:tab/>
      <w:t xml:space="preserve">- </w:t>
    </w:r>
    <w:fldSimple w:instr=" PAGE   \* MERGEFORMAT ">
      <w:r w:rsidR="00F82EB7">
        <w:rPr>
          <w:noProof/>
        </w:rPr>
        <w:t>843</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22323B">
    <w:r>
      <w:pict>
        <v:rect id="_x0000_i1092" style="width:480.95pt;height:1pt" o:hralign="center" o:hrstd="t" o:hrnoshade="t" o:hr="t" fillcolor="black [3213]" stroked="f"/>
      </w:pict>
    </w:r>
  </w:p>
  <w:p w:rsidR="007E5CB4" w:rsidRDefault="007E5CB4" w:rsidP="0022323B">
    <w:pPr>
      <w:tabs>
        <w:tab w:val="center" w:pos="4740"/>
      </w:tabs>
      <w:spacing w:line="0" w:lineRule="atLeast"/>
    </w:pPr>
    <w:r>
      <w:tab/>
      <w:t xml:space="preserve">- </w:t>
    </w:r>
    <w:fldSimple w:instr=" PAGE   \* MERGEFORMAT ">
      <w:r w:rsidR="0067371E">
        <w:rPr>
          <w:noProof/>
        </w:rPr>
        <w:t>842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58" w:rsidRDefault="0008515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22323B">
    <w:r>
      <w:pict>
        <v:rect id="_x0000_i1109" style="width:480.95pt;height:1pt" o:hralign="center" o:hrstd="t" o:hrnoshade="t" o:hr="t" fillcolor="black [3213]" stroked="f"/>
      </w:pict>
    </w:r>
  </w:p>
  <w:p w:rsidR="007E5CB4" w:rsidRDefault="007E5CB4">
    <w:pPr>
      <w:tabs>
        <w:tab w:val="center" w:pos="4740"/>
      </w:tabs>
      <w:spacing w:line="0" w:lineRule="atLeast"/>
    </w:pPr>
    <w:r>
      <w:tab/>
      <w:t xml:space="preserve">- </w:t>
    </w:r>
    <w:fldSimple w:instr=" PAGE   \* MERGEFORMAT ">
      <w:r w:rsidR="0067371E">
        <w:rPr>
          <w:noProof/>
        </w:rPr>
        <w:t>857</w:t>
      </w:r>
    </w:fldSimple>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22323B">
    <w:r>
      <w:pict>
        <v:rect id="_x0000_i1110" style="width:480.95pt;height:1pt" o:hralign="center" o:hrstd="t" o:hrnoshade="t" o:hr="t" fillcolor="black [3213]" stroked="f"/>
      </w:pict>
    </w:r>
  </w:p>
  <w:p w:rsidR="007E5CB4" w:rsidRDefault="007E5CB4" w:rsidP="0022323B">
    <w:pPr>
      <w:tabs>
        <w:tab w:val="center" w:pos="4740"/>
      </w:tabs>
      <w:spacing w:line="0" w:lineRule="atLeast"/>
    </w:pPr>
    <w:r>
      <w:tab/>
      <w:t xml:space="preserve">- </w:t>
    </w:r>
    <w:fldSimple w:instr=" PAGE   \* MERGEFORMAT ">
      <w:r w:rsidR="0067371E">
        <w:rPr>
          <w:noProof/>
        </w:rPr>
        <w:t>843</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Pr="00924065" w:rsidRDefault="007E5CB4"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58" w:rsidRDefault="000851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A87207">
    <w:pPr>
      <w:pStyle w:val="Footer"/>
    </w:pPr>
    <w:r>
      <w:pict>
        <v:rect id="_x0000_i1033" style="width:480.95pt;height:1pt" o:hralign="center" o:hrstd="t" o:hrnoshade="t" o:hr="t" fillcolor="black [3213]" stroked="f"/>
      </w:pict>
    </w:r>
  </w:p>
  <w:p w:rsidR="007E5CB4" w:rsidRPr="00B7374B" w:rsidRDefault="007E5CB4" w:rsidP="00B7374B">
    <w:pPr>
      <w:tabs>
        <w:tab w:val="center" w:pos="4680"/>
      </w:tabs>
      <w:rPr>
        <w:szCs w:val="24"/>
      </w:rPr>
    </w:pPr>
    <w:r w:rsidRPr="00954D22">
      <w:rPr>
        <w:szCs w:val="24"/>
      </w:rPr>
      <w:tab/>
      <w:t xml:space="preserve">- </w:t>
    </w:r>
    <w:r w:rsidR="003B0427" w:rsidRPr="00954D22">
      <w:rPr>
        <w:szCs w:val="24"/>
      </w:rPr>
      <w:fldChar w:fldCharType="begin"/>
    </w:r>
    <w:r w:rsidRPr="00954D22">
      <w:rPr>
        <w:szCs w:val="24"/>
      </w:rPr>
      <w:instrText xml:space="preserve"> PAGE   \* MERGEFORMAT </w:instrText>
    </w:r>
    <w:r w:rsidR="003B0427" w:rsidRPr="00954D22">
      <w:rPr>
        <w:szCs w:val="24"/>
      </w:rPr>
      <w:fldChar w:fldCharType="separate"/>
    </w:r>
    <w:r>
      <w:rPr>
        <w:noProof/>
        <w:szCs w:val="24"/>
      </w:rPr>
      <w:t>800</w:t>
    </w:r>
    <w:r w:rsidR="003B0427"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755F22">
    <w:pPr>
      <w:tabs>
        <w:tab w:val="left" w:pos="-1440"/>
        <w:tab w:val="left" w:pos="-720"/>
      </w:tabs>
    </w:pPr>
    <w:r>
      <w:pict>
        <v:rect id="_x0000_i1034" style="width:480.95pt;height:1pt" o:hralign="center" o:hrstd="t" o:hrnoshade="t" o:hr="t" fillcolor="black [3213]" stroked="f"/>
      </w:pict>
    </w:r>
  </w:p>
  <w:p w:rsidR="007E5CB4" w:rsidRPr="00954D22" w:rsidRDefault="007E5CB4" w:rsidP="00B7374B">
    <w:pPr>
      <w:tabs>
        <w:tab w:val="center" w:pos="4680"/>
      </w:tabs>
      <w:rPr>
        <w:szCs w:val="24"/>
      </w:rPr>
    </w:pPr>
    <w:r w:rsidRPr="00954D22">
      <w:rPr>
        <w:szCs w:val="24"/>
      </w:rPr>
      <w:tab/>
      <w:t xml:space="preserve">- </w:t>
    </w:r>
    <w:r w:rsidR="003B0427">
      <w:rPr>
        <w:szCs w:val="24"/>
      </w:rPr>
      <w:fldChar w:fldCharType="begin"/>
    </w:r>
    <w:r>
      <w:rPr>
        <w:szCs w:val="24"/>
      </w:rPr>
      <w:instrText xml:space="preserve"> PAGE   \* MERGEFORMAT </w:instrText>
    </w:r>
    <w:r w:rsidR="003B0427">
      <w:rPr>
        <w:szCs w:val="24"/>
      </w:rPr>
      <w:fldChar w:fldCharType="separate"/>
    </w:r>
    <w:r w:rsidR="0067371E">
      <w:rPr>
        <w:noProof/>
        <w:szCs w:val="24"/>
      </w:rPr>
      <w:t>799</w:t>
    </w:r>
    <w:r w:rsidR="003B0427">
      <w:rPr>
        <w:szCs w:val="24"/>
      </w:rPr>
      <w:fldChar w:fldCharType="end"/>
    </w:r>
    <w:r w:rsidRPr="00954D22">
      <w:rPr>
        <w:szCs w:val="24"/>
      </w:rPr>
      <w:t xml:space="preserve"> -</w:t>
    </w:r>
  </w:p>
  <w:p w:rsidR="007E5CB4" w:rsidRDefault="007E5CB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A87207">
    <w:pPr>
      <w:pStyle w:val="Footer"/>
    </w:pPr>
    <w:r>
      <w:pict>
        <v:rect id="_x0000_i1037" style="width:480.95pt;height:1pt" o:hralign="center" o:hrstd="t" o:hrnoshade="t" o:hr="t" fillcolor="black [3213]" stroked="f"/>
      </w:pict>
    </w:r>
  </w:p>
  <w:p w:rsidR="007E5CB4" w:rsidRPr="00B7374B" w:rsidRDefault="007E5CB4" w:rsidP="00B7374B">
    <w:pPr>
      <w:tabs>
        <w:tab w:val="center" w:pos="4680"/>
      </w:tabs>
      <w:rPr>
        <w:szCs w:val="24"/>
      </w:rPr>
    </w:pPr>
    <w:r w:rsidRPr="00954D22">
      <w:rPr>
        <w:szCs w:val="24"/>
      </w:rPr>
      <w:tab/>
      <w:t xml:space="preserve">- </w:t>
    </w:r>
    <w:r w:rsidR="003B0427" w:rsidRPr="00954D22">
      <w:rPr>
        <w:szCs w:val="24"/>
      </w:rPr>
      <w:fldChar w:fldCharType="begin"/>
    </w:r>
    <w:r w:rsidRPr="00954D22">
      <w:rPr>
        <w:szCs w:val="24"/>
      </w:rPr>
      <w:instrText xml:space="preserve"> PAGE   \* MERGEFORMAT </w:instrText>
    </w:r>
    <w:r w:rsidR="003B0427" w:rsidRPr="00954D22">
      <w:rPr>
        <w:szCs w:val="24"/>
      </w:rPr>
      <w:fldChar w:fldCharType="separate"/>
    </w:r>
    <w:r>
      <w:rPr>
        <w:noProof/>
        <w:szCs w:val="24"/>
      </w:rPr>
      <w:t>801</w:t>
    </w:r>
    <w:r w:rsidR="003B0427"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7E5CB4" w:rsidRPr="00954D22" w:rsidRDefault="007E5CB4" w:rsidP="00B7374B">
    <w:pPr>
      <w:tabs>
        <w:tab w:val="center" w:pos="4680"/>
      </w:tabs>
      <w:rPr>
        <w:szCs w:val="24"/>
      </w:rPr>
    </w:pPr>
    <w:r w:rsidRPr="00954D22">
      <w:rPr>
        <w:szCs w:val="24"/>
      </w:rPr>
      <w:tab/>
      <w:t xml:space="preserve">- </w:t>
    </w:r>
    <w:r w:rsidR="003B0427" w:rsidRPr="00954D22">
      <w:rPr>
        <w:szCs w:val="24"/>
      </w:rPr>
      <w:fldChar w:fldCharType="begin"/>
    </w:r>
    <w:r w:rsidRPr="00954D22">
      <w:rPr>
        <w:szCs w:val="24"/>
      </w:rPr>
      <w:instrText xml:space="preserve"> PAGE   \* MERGEFORMAT </w:instrText>
    </w:r>
    <w:r w:rsidR="003B0427" w:rsidRPr="00954D22">
      <w:rPr>
        <w:szCs w:val="24"/>
      </w:rPr>
      <w:fldChar w:fldCharType="separate"/>
    </w:r>
    <w:r w:rsidR="0067371E">
      <w:rPr>
        <w:noProof/>
        <w:szCs w:val="24"/>
      </w:rPr>
      <w:t>800</w:t>
    </w:r>
    <w:r w:rsidR="003B0427"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E5CB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5CB4" w:rsidRDefault="007E5CB4">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3B0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B0427">
      <w:rPr>
        <w:lang w:val="fr-CA"/>
      </w:rPr>
      <w:pict>
        <v:rect id="_x0000_i1073" style="width:480.95pt;height:1pt" o:hralign="center" o:hrstd="t" o:hrnoshade="t" o:hr="t" fillcolor="black [3213]" stroked="f"/>
      </w:pict>
    </w:r>
  </w:p>
  <w:p w:rsidR="007E5CB4" w:rsidRPr="0009648D" w:rsidRDefault="007E5CB4" w:rsidP="00ED7E83">
    <w:pPr>
      <w:tabs>
        <w:tab w:val="center" w:pos="4680"/>
      </w:tabs>
    </w:pPr>
    <w:r>
      <w:tab/>
    </w:r>
    <w:r w:rsidRPr="0009648D">
      <w:t xml:space="preserve">- </w:t>
    </w:r>
    <w:fldSimple w:instr=" PAGE   \* MERGEFORMAT ">
      <w:r w:rsidR="0067371E">
        <w:rPr>
          <w:noProof/>
        </w:rPr>
        <w:t>833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B4" w:rsidRDefault="007E5CB4" w:rsidP="00A87207">
      <w:r>
        <w:separator/>
      </w:r>
    </w:p>
  </w:footnote>
  <w:footnote w:type="continuationSeparator" w:id="0">
    <w:p w:rsidR="007E5CB4" w:rsidRDefault="007E5CB4"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58" w:rsidRDefault="0008515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E5CB4" w:rsidRPr="00643997">
      <w:tc>
        <w:tcPr>
          <w:tcW w:w="4200" w:type="dxa"/>
          <w:tcMar>
            <w:left w:w="0" w:type="dxa"/>
            <w:right w:w="0" w:type="dxa"/>
          </w:tcMar>
        </w:tcPr>
        <w:p w:rsidR="007E5CB4" w:rsidRDefault="007E5C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E5CB4" w:rsidRDefault="007E5C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E5CB4" w:rsidRDefault="007E5C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E5CB4" w:rsidRPr="000204A4" w:rsidRDefault="007E5C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7E5CB4" w:rsidRPr="000204A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E5CB4" w:rsidRPr="000204A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E5CB4" w:rsidRPr="00890FEB" w:rsidTr="00245129">
      <w:tc>
        <w:tcPr>
          <w:tcW w:w="4200" w:type="dxa"/>
          <w:tcMar>
            <w:left w:w="0" w:type="dxa"/>
            <w:right w:w="0" w:type="dxa"/>
          </w:tcMar>
        </w:tcPr>
        <w:p w:rsidR="007E5CB4" w:rsidRPr="00890FEB" w:rsidRDefault="007E5CB4" w:rsidP="00EB2B90">
          <w:pPr>
            <w:rPr>
              <w:sz w:val="20"/>
              <w:szCs w:val="20"/>
            </w:rPr>
          </w:pPr>
          <w:r w:rsidRPr="00890FEB">
            <w:rPr>
              <w:sz w:val="20"/>
              <w:szCs w:val="20"/>
            </w:rPr>
            <w:t>JUDGEMENT ON MOTION</w:t>
          </w:r>
        </w:p>
      </w:tc>
      <w:tc>
        <w:tcPr>
          <w:tcW w:w="1200" w:type="dxa"/>
          <w:tcMar>
            <w:left w:w="0" w:type="dxa"/>
            <w:right w:w="0" w:type="dxa"/>
          </w:tcMar>
        </w:tcPr>
        <w:p w:rsidR="007E5CB4" w:rsidRPr="00890FEB" w:rsidRDefault="007E5CB4" w:rsidP="00890FEB">
          <w:pPr>
            <w:jc w:val="center"/>
            <w:rPr>
              <w:sz w:val="20"/>
              <w:szCs w:val="20"/>
            </w:rPr>
          </w:pPr>
        </w:p>
        <w:p w:rsidR="007E5CB4" w:rsidRPr="00890FEB" w:rsidRDefault="007E5CB4" w:rsidP="00890FEB">
          <w:pPr>
            <w:jc w:val="center"/>
            <w:rPr>
              <w:sz w:val="20"/>
              <w:szCs w:val="20"/>
            </w:rPr>
          </w:pPr>
        </w:p>
      </w:tc>
      <w:tc>
        <w:tcPr>
          <w:tcW w:w="4080" w:type="dxa"/>
          <w:tcMar>
            <w:left w:w="0" w:type="dxa"/>
            <w:right w:w="0" w:type="dxa"/>
          </w:tcMar>
        </w:tcPr>
        <w:p w:rsidR="007E5CB4" w:rsidRPr="00890FEB" w:rsidRDefault="007E5CB4" w:rsidP="00890FEB">
          <w:pPr>
            <w:rPr>
              <w:sz w:val="20"/>
              <w:szCs w:val="20"/>
              <w:lang w:val="fr-CA"/>
            </w:rPr>
          </w:pPr>
          <w:r w:rsidRPr="00890FEB">
            <w:rPr>
              <w:sz w:val="20"/>
              <w:szCs w:val="20"/>
              <w:lang w:val="fr-CA"/>
            </w:rPr>
            <w:t>JUGEMENTS SUR REQUÊTES</w:t>
          </w:r>
        </w:p>
      </w:tc>
    </w:tr>
  </w:tbl>
  <w:p w:rsidR="007E5CB4" w:rsidRPr="002864CC" w:rsidRDefault="007E5CB4" w:rsidP="00EB2B90">
    <w:pPr>
      <w:rPr>
        <w:lang w:val="fr-CA"/>
      </w:rPr>
    </w:pPr>
  </w:p>
  <w:p w:rsidR="007E5CB4" w:rsidRPr="000204A4" w:rsidRDefault="007E5CB4" w:rsidP="00EB2B90">
    <w:pPr>
      <w:spacing w:line="-19" w:lineRule="auto"/>
      <w:rPr>
        <w:rFonts w:ascii="Times New" w:hAnsi="Times New"/>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E5CB4">
      <w:tc>
        <w:tcPr>
          <w:tcW w:w="4230" w:type="dxa"/>
          <w:tcMar>
            <w:left w:w="0" w:type="dxa"/>
            <w:right w:w="0" w:type="dxa"/>
          </w:tcMar>
        </w:tcPr>
        <w:p w:rsidR="007E5CB4" w:rsidRDefault="007E5C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E5CB4" w:rsidRDefault="007E5C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5CB4" w:rsidRDefault="007E5C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E5CB4">
      <w:trPr>
        <w:gridAfter w:val="2"/>
        <w:wAfter w:w="5250" w:type="dxa"/>
      </w:trPr>
      <w:tc>
        <w:tcPr>
          <w:tcW w:w="4230" w:type="dxa"/>
          <w:tcMar>
            <w:left w:w="0" w:type="dxa"/>
            <w:right w:w="0" w:type="dxa"/>
          </w:tcMar>
        </w:tcPr>
        <w:p w:rsidR="007E5CB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E5CB4"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E5CB4" w:rsidRPr="00755F22" w:rsidTr="00245129">
      <w:tc>
        <w:tcPr>
          <w:tcW w:w="4230" w:type="dxa"/>
          <w:tcMar>
            <w:left w:w="0" w:type="dxa"/>
            <w:right w:w="0" w:type="dxa"/>
          </w:tcMar>
        </w:tcPr>
        <w:p w:rsidR="007E5CB4" w:rsidRPr="00755F22" w:rsidRDefault="007E5CB4" w:rsidP="00831CA9">
          <w:pPr>
            <w:keepNext/>
            <w:keepLines/>
            <w:rPr>
              <w:sz w:val="20"/>
              <w:szCs w:val="20"/>
            </w:rPr>
          </w:pPr>
          <w:r w:rsidRPr="00755F22">
            <w:rPr>
              <w:sz w:val="20"/>
              <w:szCs w:val="20"/>
            </w:rPr>
            <w:t>MOTIONS</w:t>
          </w:r>
        </w:p>
      </w:tc>
      <w:tc>
        <w:tcPr>
          <w:tcW w:w="1170" w:type="dxa"/>
          <w:tcMar>
            <w:left w:w="0" w:type="dxa"/>
            <w:right w:w="0" w:type="dxa"/>
          </w:tcMar>
        </w:tcPr>
        <w:p w:rsidR="007E5CB4" w:rsidRPr="00755F22" w:rsidRDefault="007E5CB4" w:rsidP="00831CA9">
          <w:pPr>
            <w:keepLines/>
            <w:jc w:val="center"/>
            <w:rPr>
              <w:sz w:val="20"/>
              <w:szCs w:val="20"/>
            </w:rPr>
          </w:pPr>
        </w:p>
        <w:p w:rsidR="007E5CB4" w:rsidRPr="00755F22" w:rsidRDefault="007E5CB4" w:rsidP="00831CA9">
          <w:pPr>
            <w:keepLines/>
            <w:tabs>
              <w:tab w:val="left" w:pos="-1440"/>
              <w:tab w:val="left" w:pos="-720"/>
            </w:tabs>
            <w:jc w:val="center"/>
            <w:rPr>
              <w:sz w:val="20"/>
              <w:szCs w:val="20"/>
            </w:rPr>
          </w:pPr>
        </w:p>
      </w:tc>
      <w:tc>
        <w:tcPr>
          <w:tcW w:w="4080" w:type="dxa"/>
          <w:tcMar>
            <w:left w:w="0" w:type="dxa"/>
            <w:right w:w="0" w:type="dxa"/>
          </w:tcMar>
        </w:tcPr>
        <w:p w:rsidR="007E5CB4" w:rsidRPr="00BA6468" w:rsidRDefault="007E5CB4" w:rsidP="00BA6468">
          <w:pPr>
            <w:keepLines/>
            <w:rPr>
              <w:sz w:val="20"/>
              <w:szCs w:val="20"/>
              <w:lang w:val="fr-CA"/>
            </w:rPr>
          </w:pPr>
          <w:r w:rsidRPr="00BA6468">
            <w:rPr>
              <w:sz w:val="20"/>
              <w:szCs w:val="20"/>
              <w:lang w:val="fr-CA"/>
            </w:rPr>
            <w:t>REQUÊTES</w:t>
          </w:r>
        </w:p>
      </w:tc>
    </w:tr>
  </w:tbl>
  <w:p w:rsidR="007E5CB4" w:rsidRDefault="007E5CB4"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E5CB4">
      <w:tc>
        <w:tcPr>
          <w:tcW w:w="4200" w:type="dxa"/>
          <w:tcMar>
            <w:left w:w="0" w:type="dxa"/>
            <w:right w:w="0" w:type="dxa"/>
          </w:tcMar>
        </w:tcPr>
        <w:p w:rsidR="007E5CB4" w:rsidRDefault="007E5CB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7E5CB4" w:rsidRDefault="007E5CB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7E5CB4" w:rsidRDefault="007E5CB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7E5CB4" w:rsidRDefault="007E5CB4">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7E5CB4" w:rsidRDefault="007E5CB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7E5CB4" w:rsidRDefault="007E5CB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E5CB4" w:rsidRPr="00C50A5C" w:rsidTr="00245129">
      <w:tc>
        <w:tcPr>
          <w:tcW w:w="4200" w:type="dxa"/>
          <w:tcMar>
            <w:left w:w="0" w:type="dxa"/>
            <w:right w:w="0" w:type="dxa"/>
          </w:tcMar>
        </w:tcPr>
        <w:p w:rsidR="007E5CB4" w:rsidRPr="00C50A5C" w:rsidRDefault="007E5CB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7E5CB4" w:rsidRPr="00C50A5C" w:rsidRDefault="007E5CB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7E5CB4" w:rsidRPr="00C50A5C" w:rsidRDefault="007E5CB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7E5CB4" w:rsidRPr="00C50A5C" w:rsidRDefault="007E5CB4"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7E5CB4" w:rsidRDefault="007E5CB4"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58" w:rsidRDefault="0008515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E5CB4" w:rsidRPr="005F263E" w:rsidTr="00245129">
      <w:tc>
        <w:tcPr>
          <w:tcW w:w="4200" w:type="dxa"/>
          <w:tcMar>
            <w:left w:w="0" w:type="dxa"/>
            <w:right w:w="0" w:type="dxa"/>
          </w:tcMar>
        </w:tcPr>
        <w:p w:rsidR="007E5CB4" w:rsidRPr="005F263E" w:rsidRDefault="007E5CB4"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7E5CB4" w:rsidRPr="005F263E" w:rsidRDefault="007E5CB4" w:rsidP="00245129">
          <w:pPr>
            <w:keepNext/>
            <w:keepLines/>
            <w:tabs>
              <w:tab w:val="left" w:pos="-1440"/>
              <w:tab w:val="left" w:pos="-720"/>
            </w:tabs>
            <w:jc w:val="center"/>
            <w:rPr>
              <w:sz w:val="20"/>
              <w:szCs w:val="20"/>
            </w:rPr>
          </w:pPr>
        </w:p>
        <w:p w:rsidR="007E5CB4" w:rsidRPr="005F263E" w:rsidRDefault="007E5CB4" w:rsidP="00245129">
          <w:pPr>
            <w:keepNext/>
            <w:keepLines/>
            <w:tabs>
              <w:tab w:val="left" w:pos="-1440"/>
              <w:tab w:val="left" w:pos="-720"/>
            </w:tabs>
            <w:jc w:val="center"/>
            <w:rPr>
              <w:sz w:val="20"/>
              <w:szCs w:val="20"/>
            </w:rPr>
          </w:pPr>
        </w:p>
      </w:tc>
      <w:tc>
        <w:tcPr>
          <w:tcW w:w="4080" w:type="dxa"/>
          <w:tcMar>
            <w:left w:w="0" w:type="dxa"/>
            <w:right w:w="0" w:type="dxa"/>
          </w:tcMar>
        </w:tcPr>
        <w:p w:rsidR="007E5CB4" w:rsidRPr="005F263E" w:rsidRDefault="007E5CB4" w:rsidP="00245129">
          <w:pPr>
            <w:keepLines/>
            <w:tabs>
              <w:tab w:val="left" w:pos="-1440"/>
              <w:tab w:val="left" w:pos="-720"/>
            </w:tabs>
            <w:rPr>
              <w:sz w:val="20"/>
              <w:szCs w:val="20"/>
            </w:rPr>
          </w:pPr>
          <w:r w:rsidRPr="005F263E">
            <w:rPr>
              <w:sz w:val="20"/>
              <w:szCs w:val="20"/>
            </w:rPr>
            <w:t>RÉSUMÉS DES AFFAIRES</w:t>
          </w:r>
        </w:p>
      </w:tc>
    </w:tr>
  </w:tbl>
  <w:p w:rsidR="007E5CB4" w:rsidRDefault="007E5CB4" w:rsidP="005F263E"/>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58" w:rsidRDefault="000851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E5CB4" w:rsidRPr="0044776A" w:rsidTr="00245129">
      <w:tc>
        <w:tcPr>
          <w:tcW w:w="4290" w:type="dxa"/>
          <w:tcMar>
            <w:left w:w="0" w:type="dxa"/>
            <w:right w:w="0" w:type="dxa"/>
          </w:tcMar>
        </w:tcPr>
        <w:p w:rsidR="007E5CB4" w:rsidRPr="0044776A" w:rsidRDefault="007E5CB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E5CB4" w:rsidRPr="0044776A" w:rsidRDefault="007E5CB4" w:rsidP="002E2327">
          <w:pPr>
            <w:keepNext/>
            <w:keepLines/>
            <w:tabs>
              <w:tab w:val="left" w:pos="-1440"/>
              <w:tab w:val="left" w:pos="-720"/>
            </w:tabs>
            <w:jc w:val="center"/>
            <w:rPr>
              <w:sz w:val="20"/>
              <w:szCs w:val="20"/>
            </w:rPr>
          </w:pPr>
        </w:p>
        <w:p w:rsidR="007E5CB4" w:rsidRPr="0044776A" w:rsidRDefault="007E5CB4" w:rsidP="002E2327">
          <w:pPr>
            <w:keepNext/>
            <w:keepLines/>
            <w:tabs>
              <w:tab w:val="left" w:pos="-1440"/>
              <w:tab w:val="left" w:pos="-720"/>
            </w:tabs>
            <w:jc w:val="center"/>
            <w:rPr>
              <w:sz w:val="20"/>
              <w:szCs w:val="20"/>
            </w:rPr>
          </w:pPr>
        </w:p>
        <w:p w:rsidR="007E5CB4" w:rsidRPr="0044776A" w:rsidRDefault="007E5CB4" w:rsidP="002E2327">
          <w:pPr>
            <w:keepNext/>
            <w:keepLines/>
            <w:tabs>
              <w:tab w:val="left" w:pos="-1440"/>
              <w:tab w:val="left" w:pos="-720"/>
            </w:tabs>
            <w:jc w:val="center"/>
            <w:rPr>
              <w:sz w:val="20"/>
              <w:szCs w:val="20"/>
            </w:rPr>
          </w:pPr>
        </w:p>
      </w:tc>
      <w:tc>
        <w:tcPr>
          <w:tcW w:w="4320" w:type="dxa"/>
          <w:tcMar>
            <w:left w:w="0" w:type="dxa"/>
            <w:right w:w="0" w:type="dxa"/>
          </w:tcMar>
        </w:tcPr>
        <w:p w:rsidR="007E5CB4" w:rsidRPr="0044776A" w:rsidRDefault="007E5CB4" w:rsidP="002E2327">
          <w:pPr>
            <w:keepLines/>
            <w:rPr>
              <w:sz w:val="20"/>
              <w:szCs w:val="20"/>
              <w:lang w:val="fr-CA"/>
            </w:rPr>
          </w:pPr>
          <w:r w:rsidRPr="0044776A">
            <w:rPr>
              <w:sz w:val="20"/>
              <w:szCs w:val="20"/>
              <w:lang w:val="fr-CA"/>
            </w:rPr>
            <w:t>DEMANDES D'AUTORISATION D'APPEL DÉPOSÉES</w:t>
          </w:r>
        </w:p>
      </w:tc>
    </w:tr>
  </w:tbl>
  <w:p w:rsidR="007E5CB4" w:rsidRDefault="007E5CB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E5CB4" w:rsidRPr="00643997" w:rsidTr="00245129">
      <w:tc>
        <w:tcPr>
          <w:tcW w:w="4200" w:type="dxa"/>
          <w:tcMar>
            <w:left w:w="0" w:type="dxa"/>
            <w:right w:w="0" w:type="dxa"/>
          </w:tcMar>
        </w:tcPr>
        <w:p w:rsidR="007E5CB4" w:rsidRPr="0044776A" w:rsidRDefault="007E5CB4" w:rsidP="0044776A">
          <w:pPr>
            <w:keepNext/>
            <w:keepLines/>
            <w:widowControl w:val="0"/>
            <w:rPr>
              <w:sz w:val="20"/>
              <w:szCs w:val="20"/>
            </w:rPr>
          </w:pPr>
          <w:r>
            <w:rPr>
              <w:sz w:val="20"/>
              <w:szCs w:val="20"/>
            </w:rPr>
            <w:t>APPLICATIONS FOR LEAVE</w:t>
          </w:r>
        </w:p>
        <w:p w:rsidR="007E5CB4" w:rsidRPr="0044776A" w:rsidRDefault="007E5CB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E5CB4" w:rsidRPr="0044776A" w:rsidRDefault="007E5CB4" w:rsidP="0044776A">
          <w:pPr>
            <w:keepNext/>
            <w:keepLines/>
            <w:widowControl w:val="0"/>
            <w:jc w:val="center"/>
            <w:rPr>
              <w:sz w:val="20"/>
              <w:szCs w:val="20"/>
            </w:rPr>
          </w:pPr>
        </w:p>
        <w:p w:rsidR="007E5CB4" w:rsidRPr="0044776A" w:rsidRDefault="007E5CB4" w:rsidP="0044776A">
          <w:pPr>
            <w:keepNext/>
            <w:keepLines/>
            <w:widowControl w:val="0"/>
            <w:jc w:val="center"/>
            <w:rPr>
              <w:sz w:val="20"/>
              <w:szCs w:val="20"/>
            </w:rPr>
          </w:pPr>
        </w:p>
        <w:p w:rsidR="007E5CB4" w:rsidRPr="0044776A" w:rsidRDefault="007E5CB4" w:rsidP="0044776A">
          <w:pPr>
            <w:keepNext/>
            <w:keepLines/>
            <w:widowControl w:val="0"/>
            <w:jc w:val="center"/>
            <w:rPr>
              <w:sz w:val="20"/>
              <w:szCs w:val="20"/>
            </w:rPr>
          </w:pPr>
        </w:p>
      </w:tc>
      <w:tc>
        <w:tcPr>
          <w:tcW w:w="4080" w:type="dxa"/>
          <w:tcMar>
            <w:left w:w="0" w:type="dxa"/>
            <w:right w:w="0" w:type="dxa"/>
          </w:tcMar>
        </w:tcPr>
        <w:p w:rsidR="007E5CB4" w:rsidRPr="0044776A" w:rsidRDefault="007E5CB4" w:rsidP="0044776A">
          <w:pPr>
            <w:keepLines/>
            <w:widowControl w:val="0"/>
            <w:rPr>
              <w:sz w:val="20"/>
              <w:szCs w:val="20"/>
              <w:lang w:val="fr-CA"/>
            </w:rPr>
          </w:pPr>
          <w:r w:rsidRPr="0044776A">
            <w:rPr>
              <w:sz w:val="20"/>
              <w:szCs w:val="20"/>
              <w:lang w:val="fr-CA"/>
            </w:rPr>
            <w:t>DEMANDES SOUMISES À LA COUR DEPUIS LA DERNIÈRE PARUTION</w:t>
          </w:r>
        </w:p>
        <w:p w:rsidR="007E5CB4" w:rsidRPr="0044776A" w:rsidRDefault="007E5CB4" w:rsidP="0044776A">
          <w:pPr>
            <w:widowControl w:val="0"/>
            <w:rPr>
              <w:sz w:val="20"/>
              <w:szCs w:val="20"/>
              <w:lang w:val="fr-CA"/>
            </w:rPr>
          </w:pPr>
        </w:p>
      </w:tc>
    </w:tr>
  </w:tbl>
  <w:p w:rsidR="007E5CB4" w:rsidRPr="002E2327" w:rsidRDefault="007E5CB4">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B4" w:rsidRDefault="007E5CB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E5CB4" w:rsidRPr="00643997">
      <w:tc>
        <w:tcPr>
          <w:tcW w:w="4200" w:type="dxa"/>
          <w:tcMar>
            <w:left w:w="0" w:type="dxa"/>
            <w:right w:w="0" w:type="dxa"/>
          </w:tcMar>
        </w:tcPr>
        <w:p w:rsidR="007E5CB4" w:rsidRDefault="007E5C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E5CB4" w:rsidRDefault="007E5C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E5CB4" w:rsidRDefault="007E5C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5CB4" w:rsidRPr="00FF6BA5" w:rsidRDefault="007E5C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E5CB4" w:rsidRPr="00FF6BA5"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E5CB4" w:rsidRPr="00FF6BA5"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E5CB4" w:rsidRPr="00FF6BA5" w:rsidRDefault="007E5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E5CB4" w:rsidRPr="00643997" w:rsidTr="00245129">
      <w:tc>
        <w:tcPr>
          <w:tcW w:w="4200" w:type="dxa"/>
          <w:tcMar>
            <w:left w:w="0" w:type="dxa"/>
            <w:right w:w="0" w:type="dxa"/>
          </w:tcMar>
        </w:tcPr>
        <w:p w:rsidR="007E5CB4" w:rsidRPr="00755F22" w:rsidRDefault="007E5C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E5CB4" w:rsidRPr="00755F22" w:rsidRDefault="007E5C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E5CB4" w:rsidRPr="00755F22" w:rsidRDefault="007E5CB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E5CB4" w:rsidRPr="00755F22" w:rsidRDefault="007E5CB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E5CB4" w:rsidRPr="00755F22" w:rsidRDefault="007E5CB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E5CB4" w:rsidRPr="00755F22" w:rsidRDefault="007E5C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E5CB4" w:rsidRPr="00FF6BA5" w:rsidRDefault="007E5CB4"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3364"/>
    <w:multiLevelType w:val="hybridMultilevel"/>
    <w:tmpl w:val="7B4EFB3A"/>
    <w:lvl w:ilvl="0" w:tplc="BD10C6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83EE8"/>
    <w:multiLevelType w:val="multilevel"/>
    <w:tmpl w:val="9C88804A"/>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6879"/>
  </w:hdrShapeDefaults>
  <w:footnotePr>
    <w:footnote w:id="-1"/>
    <w:footnote w:id="0"/>
  </w:footnotePr>
  <w:endnotePr>
    <w:endnote w:id="-1"/>
    <w:endnote w:id="0"/>
  </w:endnotePr>
  <w:compat/>
  <w:rsids>
    <w:rsidRoot w:val="005D2B10"/>
    <w:rsid w:val="0000193E"/>
    <w:rsid w:val="0003223B"/>
    <w:rsid w:val="000327B2"/>
    <w:rsid w:val="0006530B"/>
    <w:rsid w:val="00085158"/>
    <w:rsid w:val="00096BD9"/>
    <w:rsid w:val="0009740C"/>
    <w:rsid w:val="000A0AFF"/>
    <w:rsid w:val="000B3C9A"/>
    <w:rsid w:val="000B40A2"/>
    <w:rsid w:val="000B4624"/>
    <w:rsid w:val="000C0ACD"/>
    <w:rsid w:val="000C4A96"/>
    <w:rsid w:val="000C7683"/>
    <w:rsid w:val="000E2DC4"/>
    <w:rsid w:val="000F2434"/>
    <w:rsid w:val="00102926"/>
    <w:rsid w:val="0010587F"/>
    <w:rsid w:val="00111C6B"/>
    <w:rsid w:val="0012102B"/>
    <w:rsid w:val="0013369E"/>
    <w:rsid w:val="00142E0F"/>
    <w:rsid w:val="00164E6D"/>
    <w:rsid w:val="0017605E"/>
    <w:rsid w:val="001B157C"/>
    <w:rsid w:val="001B5C23"/>
    <w:rsid w:val="001C282A"/>
    <w:rsid w:val="001C36F8"/>
    <w:rsid w:val="001D0D5F"/>
    <w:rsid w:val="001D1753"/>
    <w:rsid w:val="001D6B8C"/>
    <w:rsid w:val="001E4A5D"/>
    <w:rsid w:val="001E76F2"/>
    <w:rsid w:val="001E7BD5"/>
    <w:rsid w:val="001F1F83"/>
    <w:rsid w:val="002021A9"/>
    <w:rsid w:val="002139A7"/>
    <w:rsid w:val="00215F7C"/>
    <w:rsid w:val="0021736D"/>
    <w:rsid w:val="0022323B"/>
    <w:rsid w:val="002410B8"/>
    <w:rsid w:val="00242AEE"/>
    <w:rsid w:val="00245129"/>
    <w:rsid w:val="00245879"/>
    <w:rsid w:val="00267FD5"/>
    <w:rsid w:val="00275DFD"/>
    <w:rsid w:val="00285D40"/>
    <w:rsid w:val="002868D0"/>
    <w:rsid w:val="002A27D1"/>
    <w:rsid w:val="002A4AFA"/>
    <w:rsid w:val="002A74E1"/>
    <w:rsid w:val="002B2052"/>
    <w:rsid w:val="002B516C"/>
    <w:rsid w:val="002C1807"/>
    <w:rsid w:val="002D48C5"/>
    <w:rsid w:val="002D72EB"/>
    <w:rsid w:val="002E2327"/>
    <w:rsid w:val="002E3583"/>
    <w:rsid w:val="002E5576"/>
    <w:rsid w:val="00326E3D"/>
    <w:rsid w:val="00331B52"/>
    <w:rsid w:val="003359D3"/>
    <w:rsid w:val="00355967"/>
    <w:rsid w:val="00382C47"/>
    <w:rsid w:val="00384384"/>
    <w:rsid w:val="003866AE"/>
    <w:rsid w:val="003B0427"/>
    <w:rsid w:val="003B3977"/>
    <w:rsid w:val="003F43CE"/>
    <w:rsid w:val="004147BE"/>
    <w:rsid w:val="00432989"/>
    <w:rsid w:val="00440E24"/>
    <w:rsid w:val="0044776A"/>
    <w:rsid w:val="00460AFC"/>
    <w:rsid w:val="004724AB"/>
    <w:rsid w:val="0047471F"/>
    <w:rsid w:val="00485DE8"/>
    <w:rsid w:val="004B195E"/>
    <w:rsid w:val="004B66B4"/>
    <w:rsid w:val="004B7F60"/>
    <w:rsid w:val="004C1AAC"/>
    <w:rsid w:val="004F090E"/>
    <w:rsid w:val="00527CC7"/>
    <w:rsid w:val="00531EE8"/>
    <w:rsid w:val="00571CA4"/>
    <w:rsid w:val="00582136"/>
    <w:rsid w:val="005B181E"/>
    <w:rsid w:val="005C6840"/>
    <w:rsid w:val="005D2B10"/>
    <w:rsid w:val="005F263E"/>
    <w:rsid w:val="00600252"/>
    <w:rsid w:val="00612A40"/>
    <w:rsid w:val="0062747A"/>
    <w:rsid w:val="00643997"/>
    <w:rsid w:val="00656642"/>
    <w:rsid w:val="00672192"/>
    <w:rsid w:val="0067371E"/>
    <w:rsid w:val="00675479"/>
    <w:rsid w:val="00691AA0"/>
    <w:rsid w:val="00696BF9"/>
    <w:rsid w:val="006975B7"/>
    <w:rsid w:val="00697C62"/>
    <w:rsid w:val="006A1482"/>
    <w:rsid w:val="006A329B"/>
    <w:rsid w:val="006A7EB8"/>
    <w:rsid w:val="006B2671"/>
    <w:rsid w:val="006B6926"/>
    <w:rsid w:val="006C3F47"/>
    <w:rsid w:val="006C5F7A"/>
    <w:rsid w:val="006E06AF"/>
    <w:rsid w:val="006E6A6F"/>
    <w:rsid w:val="006F350F"/>
    <w:rsid w:val="0070524E"/>
    <w:rsid w:val="00711CD7"/>
    <w:rsid w:val="00732DB7"/>
    <w:rsid w:val="0074238B"/>
    <w:rsid w:val="00744B25"/>
    <w:rsid w:val="00745EF7"/>
    <w:rsid w:val="00755F22"/>
    <w:rsid w:val="00766E4A"/>
    <w:rsid w:val="007820CE"/>
    <w:rsid w:val="00782AE4"/>
    <w:rsid w:val="0079724F"/>
    <w:rsid w:val="0079757B"/>
    <w:rsid w:val="007A3EAE"/>
    <w:rsid w:val="007C04FC"/>
    <w:rsid w:val="007C5504"/>
    <w:rsid w:val="007D3E0F"/>
    <w:rsid w:val="007D6394"/>
    <w:rsid w:val="007E5CB4"/>
    <w:rsid w:val="007F387B"/>
    <w:rsid w:val="00801E01"/>
    <w:rsid w:val="00802863"/>
    <w:rsid w:val="008052B7"/>
    <w:rsid w:val="00815B3C"/>
    <w:rsid w:val="008172CB"/>
    <w:rsid w:val="0082783A"/>
    <w:rsid w:val="00831CA9"/>
    <w:rsid w:val="0084338E"/>
    <w:rsid w:val="00850E1F"/>
    <w:rsid w:val="0085476B"/>
    <w:rsid w:val="00865E33"/>
    <w:rsid w:val="008756AD"/>
    <w:rsid w:val="008903CE"/>
    <w:rsid w:val="00890FEB"/>
    <w:rsid w:val="008B4F53"/>
    <w:rsid w:val="008C2BE9"/>
    <w:rsid w:val="008D292F"/>
    <w:rsid w:val="008E03DC"/>
    <w:rsid w:val="00917604"/>
    <w:rsid w:val="00924065"/>
    <w:rsid w:val="00930D68"/>
    <w:rsid w:val="00932DB4"/>
    <w:rsid w:val="00941A4B"/>
    <w:rsid w:val="00946242"/>
    <w:rsid w:val="00950796"/>
    <w:rsid w:val="0095096B"/>
    <w:rsid w:val="009603F6"/>
    <w:rsid w:val="00964A38"/>
    <w:rsid w:val="00967F02"/>
    <w:rsid w:val="00970CD3"/>
    <w:rsid w:val="00970CF7"/>
    <w:rsid w:val="009723FA"/>
    <w:rsid w:val="00984546"/>
    <w:rsid w:val="00985BB1"/>
    <w:rsid w:val="00996510"/>
    <w:rsid w:val="009C54D0"/>
    <w:rsid w:val="009D1F15"/>
    <w:rsid w:val="009D555E"/>
    <w:rsid w:val="009F3024"/>
    <w:rsid w:val="00A0355E"/>
    <w:rsid w:val="00A22287"/>
    <w:rsid w:val="00A375D1"/>
    <w:rsid w:val="00A404C8"/>
    <w:rsid w:val="00A51D10"/>
    <w:rsid w:val="00A52A83"/>
    <w:rsid w:val="00A6397A"/>
    <w:rsid w:val="00A6552C"/>
    <w:rsid w:val="00A87207"/>
    <w:rsid w:val="00A935AA"/>
    <w:rsid w:val="00AB0B13"/>
    <w:rsid w:val="00AB2201"/>
    <w:rsid w:val="00AD3259"/>
    <w:rsid w:val="00AE3798"/>
    <w:rsid w:val="00AF1715"/>
    <w:rsid w:val="00AF3904"/>
    <w:rsid w:val="00B010C0"/>
    <w:rsid w:val="00B45347"/>
    <w:rsid w:val="00B4740D"/>
    <w:rsid w:val="00B61629"/>
    <w:rsid w:val="00B7374B"/>
    <w:rsid w:val="00B90DC0"/>
    <w:rsid w:val="00B95780"/>
    <w:rsid w:val="00BA116A"/>
    <w:rsid w:val="00BA5582"/>
    <w:rsid w:val="00BA6468"/>
    <w:rsid w:val="00BC3744"/>
    <w:rsid w:val="00BD06DA"/>
    <w:rsid w:val="00BD4217"/>
    <w:rsid w:val="00BF25F3"/>
    <w:rsid w:val="00BF3AA5"/>
    <w:rsid w:val="00C1697B"/>
    <w:rsid w:val="00C21CB5"/>
    <w:rsid w:val="00C476AD"/>
    <w:rsid w:val="00C50A5C"/>
    <w:rsid w:val="00C50FDF"/>
    <w:rsid w:val="00C63381"/>
    <w:rsid w:val="00C73D06"/>
    <w:rsid w:val="00C73E1B"/>
    <w:rsid w:val="00C759B4"/>
    <w:rsid w:val="00C77713"/>
    <w:rsid w:val="00C935D9"/>
    <w:rsid w:val="00CB43D5"/>
    <w:rsid w:val="00CB7C3F"/>
    <w:rsid w:val="00CC4D84"/>
    <w:rsid w:val="00CE198A"/>
    <w:rsid w:val="00CE3D7E"/>
    <w:rsid w:val="00D27737"/>
    <w:rsid w:val="00D64901"/>
    <w:rsid w:val="00D76406"/>
    <w:rsid w:val="00D76482"/>
    <w:rsid w:val="00D76BDF"/>
    <w:rsid w:val="00D862C1"/>
    <w:rsid w:val="00D933E5"/>
    <w:rsid w:val="00D93B50"/>
    <w:rsid w:val="00D94670"/>
    <w:rsid w:val="00DA46F6"/>
    <w:rsid w:val="00DA4855"/>
    <w:rsid w:val="00DB45C1"/>
    <w:rsid w:val="00DD0B49"/>
    <w:rsid w:val="00E00E3C"/>
    <w:rsid w:val="00E06DFA"/>
    <w:rsid w:val="00E20A0A"/>
    <w:rsid w:val="00E356C7"/>
    <w:rsid w:val="00E45FE4"/>
    <w:rsid w:val="00E64FA7"/>
    <w:rsid w:val="00E770CB"/>
    <w:rsid w:val="00E903A1"/>
    <w:rsid w:val="00E940EB"/>
    <w:rsid w:val="00EB2B90"/>
    <w:rsid w:val="00EB3F6B"/>
    <w:rsid w:val="00EC7B95"/>
    <w:rsid w:val="00ED76F4"/>
    <w:rsid w:val="00ED7E83"/>
    <w:rsid w:val="00EF4B63"/>
    <w:rsid w:val="00F0068D"/>
    <w:rsid w:val="00F0576D"/>
    <w:rsid w:val="00F14E6D"/>
    <w:rsid w:val="00F15EA8"/>
    <w:rsid w:val="00F16C8D"/>
    <w:rsid w:val="00F26C61"/>
    <w:rsid w:val="00F33CCE"/>
    <w:rsid w:val="00F40249"/>
    <w:rsid w:val="00F526C8"/>
    <w:rsid w:val="00F62F21"/>
    <w:rsid w:val="00F72419"/>
    <w:rsid w:val="00F81F7B"/>
    <w:rsid w:val="00F82EB7"/>
    <w:rsid w:val="00F9272D"/>
    <w:rsid w:val="00F9518C"/>
    <w:rsid w:val="00FA316E"/>
    <w:rsid w:val="00FA59EF"/>
    <w:rsid w:val="00FB19A2"/>
    <w:rsid w:val="00FD5BD3"/>
    <w:rsid w:val="00FE3554"/>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1C36F8"/>
    <w:pPr>
      <w:jc w:val="center"/>
    </w:pPr>
    <w:rPr>
      <w:rFonts w:eastAsia="Calibri" w:cs="Times New Roman"/>
      <w:lang w:val="fr-CA"/>
    </w:rPr>
  </w:style>
  <w:style w:type="character" w:customStyle="1" w:styleId="SCCLsocPartyChar">
    <w:name w:val="SCC.Lsoc.Party Char"/>
    <w:basedOn w:val="DefaultParagraphFont"/>
    <w:link w:val="SCCLsocParty"/>
    <w:rsid w:val="001C36F8"/>
    <w:rPr>
      <w:rFonts w:eastAsia="Calibri" w:cs="Times New Roman"/>
      <w:lang w:val="fr-CA"/>
    </w:rPr>
  </w:style>
  <w:style w:type="paragraph" w:customStyle="1" w:styleId="SCCBanSummary">
    <w:name w:val="SCC.BanSummary"/>
    <w:basedOn w:val="Normal"/>
    <w:next w:val="Normal"/>
    <w:link w:val="SCCBanSummaryChar"/>
    <w:rsid w:val="001C36F8"/>
    <w:pPr>
      <w:jc w:val="both"/>
    </w:pPr>
    <w:rPr>
      <w:rFonts w:eastAsia="Calibri" w:cs="Times New Roman"/>
      <w:smallCaps/>
    </w:rPr>
  </w:style>
  <w:style w:type="character" w:customStyle="1" w:styleId="SCCBanSummaryChar">
    <w:name w:val="SCC.BanSummary Char"/>
    <w:basedOn w:val="DefaultParagraphFont"/>
    <w:link w:val="SCCBanSummary"/>
    <w:rsid w:val="001C36F8"/>
    <w:rPr>
      <w:rFonts w:eastAsia="Calibri" w:cs="Times New Roman"/>
      <w:smallCaps/>
      <w:lang w:val="en-CA"/>
    </w:rPr>
  </w:style>
  <w:style w:type="paragraph" w:customStyle="1" w:styleId="loose">
    <w:name w:val="loose"/>
    <w:basedOn w:val="Normal"/>
    <w:uiPriority w:val="99"/>
    <w:rsid w:val="00F72419"/>
    <w:pPr>
      <w:spacing w:before="169"/>
    </w:pPr>
    <w:rPr>
      <w:rFonts w:eastAsia="Times New Roman" w:cs="Times New Roman"/>
      <w:szCs w:val="24"/>
      <w:lang w:val="en-US"/>
    </w:rPr>
  </w:style>
  <w:style w:type="paragraph" w:customStyle="1" w:styleId="ParaNoNdepar-AltN">
    <w:name w:val="Para. No. / Nº de par. - Alt N"/>
    <w:qFormat/>
    <w:rsid w:val="00CE3D7E"/>
    <w:pPr>
      <w:numPr>
        <w:numId w:val="2"/>
      </w:numPr>
      <w:spacing w:before="480" w:after="480" w:line="480" w:lineRule="auto"/>
      <w:jc w:val="both"/>
    </w:pPr>
    <w:rPr>
      <w:rFonts w:eastAsiaTheme="minorEastAsia"/>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25931</Words>
  <Characters>147810</Characters>
  <Application>Microsoft Office Word</Application>
  <DocSecurity>0</DocSecurity>
  <Lines>1231</Lines>
  <Paragraphs>346</Paragraphs>
  <ScaleCrop>false</ScaleCrop>
  <Company/>
  <LinksUpToDate>false</LinksUpToDate>
  <CharactersWithSpaces>173395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2012-05-25T19:38:00Z</dcterms:created>
  <dcterms:modified xsi:type="dcterms:W3CDTF">2012-05-25T19:38:00Z</dcterms:modified>
</cp:coreProperties>
</file>