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17BF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17BF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17BF4"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17BF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17BF4" w:rsidTr="002E5576">
        <w:tc>
          <w:tcPr>
            <w:tcW w:w="4518" w:type="dxa"/>
          </w:tcPr>
          <w:p w:rsidR="00BF25F3" w:rsidRPr="002E2327" w:rsidRDefault="00ED3438"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D3438"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17BF4" w:rsidTr="002E5576">
        <w:tc>
          <w:tcPr>
            <w:tcW w:w="4518" w:type="dxa"/>
          </w:tcPr>
          <w:p w:rsidR="009F3024" w:rsidRPr="00B17BBB" w:rsidRDefault="009F3024" w:rsidP="009F3024">
            <w:pPr>
              <w:tabs>
                <w:tab w:val="left" w:pos="6075"/>
              </w:tabs>
              <w:rPr>
                <w:rFonts w:cs="Times New Roman"/>
                <w:szCs w:val="24"/>
                <w:lang w:val="fr-CA"/>
              </w:rPr>
            </w:pPr>
          </w:p>
          <w:p w:rsidR="009F3024" w:rsidRPr="00B17BBB" w:rsidRDefault="009F3024" w:rsidP="009F3024">
            <w:pPr>
              <w:tabs>
                <w:tab w:val="left" w:pos="6075"/>
              </w:tabs>
              <w:rPr>
                <w:rFonts w:cs="Times New Roman"/>
                <w:szCs w:val="24"/>
                <w:lang w:val="fr-CA"/>
              </w:rPr>
            </w:pPr>
          </w:p>
        </w:tc>
        <w:tc>
          <w:tcPr>
            <w:tcW w:w="630" w:type="dxa"/>
          </w:tcPr>
          <w:p w:rsidR="009F3024" w:rsidRPr="00B17BBB"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17BF4"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r w:rsidR="00ED3438">
              <w:fldChar w:fldCharType="begin"/>
            </w:r>
            <w:r w:rsidR="00ED3438" w:rsidRPr="00017BF4">
              <w:rPr>
                <w:lang w:val="fr-CA"/>
              </w:rPr>
              <w:instrText>HYPERLINK "http://www.scc-csc.gc.ca"</w:instrText>
            </w:r>
            <w:r w:rsidR="00ED3438">
              <w:fldChar w:fldCharType="separate"/>
            </w:r>
            <w:r w:rsidRPr="00155CF3">
              <w:rPr>
                <w:rStyle w:val="Hyperlink"/>
                <w:rFonts w:ascii="Arial" w:hAnsi="Arial" w:cs="Arial"/>
                <w:i/>
                <w:sz w:val="20"/>
                <w:szCs w:val="20"/>
                <w:lang w:val="fr-CA"/>
              </w:rPr>
              <w:t>www.scc-csc.gc.ca</w:t>
            </w:r>
            <w:r w:rsidR="00ED3438">
              <w:fldChar w:fldCharType="end"/>
            </w:r>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proofErr w:type="spellStart"/>
      <w:r>
        <w:rPr>
          <w:lang w:val="fr-CA"/>
        </w:rPr>
        <w:t>J</w:t>
      </w:r>
      <w:r w:rsidR="00B17BBB">
        <w:rPr>
          <w:lang w:val="fr-CA"/>
        </w:rPr>
        <w:t>u</w:t>
      </w:r>
      <w:r>
        <w:rPr>
          <w:lang w:val="fr-CA"/>
        </w:rPr>
        <w:t>n</w:t>
      </w:r>
      <w:r w:rsidR="00B17BBB">
        <w:rPr>
          <w:lang w:val="fr-CA"/>
        </w:rPr>
        <w:t>e</w:t>
      </w:r>
      <w:proofErr w:type="spellEnd"/>
      <w:r w:rsidR="00440E24" w:rsidRPr="00675479">
        <w:rPr>
          <w:lang w:val="fr-CA"/>
        </w:rPr>
        <w:t xml:space="preserve"> </w:t>
      </w:r>
      <w:r w:rsidR="003359D3">
        <w:rPr>
          <w:lang w:val="fr-CA"/>
        </w:rPr>
        <w:t>1</w:t>
      </w:r>
      <w:r w:rsidR="00B17BBB">
        <w:rPr>
          <w:lang w:val="fr-CA"/>
        </w:rPr>
        <w:t>5</w:t>
      </w:r>
      <w:r w:rsidR="00440E24" w:rsidRPr="00675479">
        <w:rPr>
          <w:lang w:val="fr-CA"/>
        </w:rPr>
        <w:t>, 201</w:t>
      </w:r>
      <w:r>
        <w:rPr>
          <w:lang w:val="fr-CA"/>
        </w:rPr>
        <w:t>2</w:t>
      </w:r>
      <w:r w:rsidR="00F0068D" w:rsidRPr="00675479">
        <w:rPr>
          <w:lang w:val="fr-CA"/>
        </w:rPr>
        <w:tab/>
      </w:r>
      <w:r w:rsidR="005525F2">
        <w:rPr>
          <w:lang w:val="fr-CA"/>
        </w:rPr>
        <w:t>9</w:t>
      </w:r>
      <w:r w:rsidR="00F0068D" w:rsidRPr="00675479">
        <w:rPr>
          <w:lang w:val="fr-CA"/>
        </w:rPr>
        <w:t>1</w:t>
      </w:r>
      <w:r w:rsidR="005525F2">
        <w:rPr>
          <w:lang w:val="fr-CA"/>
        </w:rPr>
        <w:t>3</w:t>
      </w:r>
      <w:r w:rsidR="00F0068D" w:rsidRPr="00675479">
        <w:rPr>
          <w:lang w:val="fr-CA"/>
        </w:rPr>
        <w:t xml:space="preserve"> - </w:t>
      </w:r>
      <w:r w:rsidR="001953C9">
        <w:rPr>
          <w:lang w:val="fr-CA"/>
        </w:rPr>
        <w:t>952</w:t>
      </w:r>
      <w:r w:rsidR="00440E24" w:rsidRPr="00675479">
        <w:rPr>
          <w:lang w:val="fr-CA"/>
        </w:rPr>
        <w:tab/>
      </w:r>
      <w:r w:rsidR="00440E24" w:rsidRPr="002E2327">
        <w:rPr>
          <w:lang w:val="fr-CA"/>
        </w:rPr>
        <w:t>Le</w:t>
      </w:r>
      <w:r>
        <w:rPr>
          <w:lang w:val="fr-CA"/>
        </w:rPr>
        <w:t xml:space="preserve"> </w:t>
      </w:r>
      <w:r w:rsidR="003359D3">
        <w:rPr>
          <w:lang w:val="fr-CA"/>
        </w:rPr>
        <w:t>1</w:t>
      </w:r>
      <w:r w:rsidR="00B17BBB">
        <w:rPr>
          <w:lang w:val="fr-CA"/>
        </w:rPr>
        <w:t>5</w:t>
      </w:r>
      <w:r>
        <w:rPr>
          <w:lang w:val="fr-CA"/>
        </w:rPr>
        <w:t xml:space="preserve"> j</w:t>
      </w:r>
      <w:r w:rsidR="00B17BBB">
        <w:rPr>
          <w:lang w:val="fr-CA"/>
        </w:rPr>
        <w:t>u</w:t>
      </w:r>
      <w:r w:rsidR="00440E24" w:rsidRPr="002E2327">
        <w:rPr>
          <w:lang w:val="fr-CA"/>
        </w:rPr>
        <w:t>i</w:t>
      </w:r>
      <w:r w:rsidR="00B17BBB">
        <w:rPr>
          <w:lang w:val="fr-CA"/>
        </w:rPr>
        <w:t>n</w:t>
      </w:r>
      <w:r w:rsidR="00440E24" w:rsidRPr="002E2327">
        <w:rPr>
          <w:lang w:val="fr-CA"/>
        </w:rPr>
        <w:t xml:space="preserve"> 201</w:t>
      </w:r>
      <w:r>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lastRenderedPageBreak/>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417CDA"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34109C">
            <w:pPr>
              <w:tabs>
                <w:tab w:val="right" w:pos="9360"/>
              </w:tabs>
              <w:rPr>
                <w:rFonts w:cs="Times New Roman"/>
                <w:sz w:val="20"/>
                <w:szCs w:val="20"/>
              </w:rPr>
            </w:pPr>
          </w:p>
        </w:tc>
        <w:tc>
          <w:tcPr>
            <w:tcW w:w="1980" w:type="dxa"/>
          </w:tcPr>
          <w:p w:rsidR="0095096B" w:rsidRPr="002E2327" w:rsidRDefault="005525F2" w:rsidP="0095096B">
            <w:pPr>
              <w:jc w:val="center"/>
              <w:rPr>
                <w:rFonts w:cs="Times New Roman"/>
                <w:sz w:val="20"/>
                <w:szCs w:val="20"/>
              </w:rPr>
            </w:pPr>
            <w:r>
              <w:rPr>
                <w:rFonts w:cs="Times New Roman"/>
                <w:sz w:val="20"/>
                <w:szCs w:val="20"/>
              </w:rPr>
              <w:t xml:space="preserve">913 </w:t>
            </w:r>
            <w:r w:rsidR="00ED3438" w:rsidRPr="002E2327">
              <w:rPr>
                <w:rFonts w:cs="Times New Roman"/>
                <w:sz w:val="20"/>
                <w:szCs w:val="20"/>
              </w:rPr>
              <w:fldChar w:fldCharType="begin"/>
            </w:r>
            <w:r w:rsidR="0095096B" w:rsidRPr="002E2327">
              <w:rPr>
                <w:rFonts w:cs="Times New Roman"/>
                <w:sz w:val="20"/>
                <w:szCs w:val="20"/>
              </w:rPr>
              <w:instrText xml:space="preserve"> SEQ CHAPTER \h \r 1</w:instrText>
            </w:r>
            <w:r w:rsidR="00ED3438" w:rsidRPr="002E2327">
              <w:rPr>
                <w:rFonts w:cs="Times New Roman"/>
                <w:sz w:val="20"/>
                <w:szCs w:val="20"/>
              </w:rPr>
              <w:fldChar w:fldCharType="end"/>
            </w:r>
            <w:r w:rsidR="0095096B" w:rsidRPr="002E2327">
              <w:rPr>
                <w:rFonts w:cs="Times New Roman"/>
                <w:sz w:val="20"/>
                <w:szCs w:val="20"/>
              </w:rPr>
              <w:t>-</w:t>
            </w:r>
            <w:r w:rsidR="002A5DC4">
              <w:rPr>
                <w:rFonts w:cs="Times New Roman"/>
                <w:sz w:val="20"/>
                <w:szCs w:val="20"/>
              </w:rPr>
              <w:t xml:space="preserve"> 914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A5DC4" w:rsidP="0095096B">
            <w:pPr>
              <w:jc w:val="center"/>
              <w:rPr>
                <w:rFonts w:cs="Times New Roman"/>
                <w:sz w:val="20"/>
                <w:szCs w:val="20"/>
              </w:rPr>
            </w:pPr>
            <w:r>
              <w:rPr>
                <w:rFonts w:cs="Times New Roman"/>
                <w:sz w:val="20"/>
                <w:szCs w:val="20"/>
              </w:rPr>
              <w:t>915</w:t>
            </w:r>
            <w:r w:rsidR="00CC5733">
              <w:rPr>
                <w:rFonts w:cs="Times New Roman"/>
                <w:sz w:val="20"/>
                <w:szCs w:val="20"/>
              </w:rPr>
              <w:t xml:space="preserve"> - 916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A5DC4" w:rsidP="0095096B">
            <w:pPr>
              <w:jc w:val="center"/>
              <w:rPr>
                <w:rFonts w:cs="Times New Roman"/>
                <w:sz w:val="20"/>
                <w:szCs w:val="20"/>
              </w:rPr>
            </w:pPr>
            <w:r>
              <w:rPr>
                <w:rFonts w:cs="Times New Roman"/>
                <w:sz w:val="20"/>
                <w:szCs w:val="20"/>
              </w:rPr>
              <w:t>91</w:t>
            </w:r>
            <w:r w:rsidR="00CC5733">
              <w:rPr>
                <w:rFonts w:cs="Times New Roman"/>
                <w:sz w:val="20"/>
                <w:szCs w:val="20"/>
              </w:rPr>
              <w:t>7</w:t>
            </w:r>
            <w:r>
              <w:rPr>
                <w:rFonts w:cs="Times New Roman"/>
                <w:sz w:val="20"/>
                <w:szCs w:val="20"/>
              </w:rPr>
              <w:t xml:space="preserve"> </w:t>
            </w:r>
            <w:r w:rsidR="0095096B" w:rsidRPr="002E2327">
              <w:rPr>
                <w:rFonts w:cs="Times New Roman"/>
                <w:sz w:val="20"/>
                <w:szCs w:val="20"/>
              </w:rPr>
              <w:t>-</w:t>
            </w:r>
            <w:r w:rsidR="00D53946">
              <w:rPr>
                <w:rFonts w:cs="Times New Roman"/>
                <w:sz w:val="20"/>
                <w:szCs w:val="20"/>
              </w:rPr>
              <w:t xml:space="preserve"> 936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53946" w:rsidP="0095096B">
            <w:pPr>
              <w:jc w:val="center"/>
              <w:rPr>
                <w:rFonts w:cs="Times New Roman"/>
                <w:sz w:val="20"/>
                <w:szCs w:val="20"/>
              </w:rPr>
            </w:pPr>
            <w:r>
              <w:rPr>
                <w:rFonts w:cs="Times New Roman"/>
                <w:sz w:val="20"/>
                <w:szCs w:val="20"/>
              </w:rPr>
              <w:t xml:space="preserve">937 </w:t>
            </w:r>
            <w:r w:rsidR="0095096B" w:rsidRPr="002E2327">
              <w:rPr>
                <w:rFonts w:cs="Times New Roman"/>
                <w:sz w:val="20"/>
                <w:szCs w:val="20"/>
              </w:rPr>
              <w:t>-</w:t>
            </w:r>
            <w:r>
              <w:rPr>
                <w:rFonts w:cs="Times New Roman"/>
                <w:sz w:val="20"/>
                <w:szCs w:val="20"/>
              </w:rPr>
              <w:t xml:space="preserve"> 94</w:t>
            </w:r>
            <w:r w:rsidR="001953C9">
              <w:rPr>
                <w:rFonts w:cs="Times New Roman"/>
                <w:sz w:val="20"/>
                <w:szCs w:val="20"/>
              </w:rPr>
              <w:t>2</w:t>
            </w:r>
          </w:p>
          <w:p w:rsidR="0095096B" w:rsidRPr="002E2327" w:rsidRDefault="0095096B" w:rsidP="0095096B">
            <w:pPr>
              <w:jc w:val="center"/>
              <w:rPr>
                <w:rFonts w:cs="Times New Roman"/>
                <w:sz w:val="20"/>
                <w:szCs w:val="20"/>
              </w:rPr>
            </w:pPr>
          </w:p>
          <w:p w:rsidR="0095096B" w:rsidRPr="002E2327" w:rsidRDefault="00D53946" w:rsidP="0095096B">
            <w:pPr>
              <w:jc w:val="center"/>
              <w:rPr>
                <w:rFonts w:cs="Times New Roman"/>
                <w:sz w:val="20"/>
                <w:szCs w:val="20"/>
              </w:rPr>
            </w:pPr>
            <w:r>
              <w:rPr>
                <w:rFonts w:cs="Times New Roman"/>
                <w:sz w:val="20"/>
                <w:szCs w:val="20"/>
              </w:rPr>
              <w:t>94</w:t>
            </w:r>
            <w:r w:rsidR="001953C9">
              <w:rPr>
                <w:rFonts w:cs="Times New Roman"/>
                <w:sz w:val="20"/>
                <w:szCs w:val="20"/>
              </w:rPr>
              <w:t>3</w:t>
            </w:r>
          </w:p>
          <w:p w:rsidR="00D53946" w:rsidRDefault="00D53946" w:rsidP="0095096B">
            <w:pPr>
              <w:jc w:val="center"/>
              <w:rPr>
                <w:rFonts w:cs="Times New Roman"/>
                <w:sz w:val="20"/>
                <w:szCs w:val="20"/>
              </w:rPr>
            </w:pPr>
          </w:p>
          <w:p w:rsidR="00D53946" w:rsidRDefault="00D53946" w:rsidP="0095096B">
            <w:pPr>
              <w:jc w:val="center"/>
              <w:rPr>
                <w:rFonts w:cs="Times New Roman"/>
                <w:sz w:val="20"/>
                <w:szCs w:val="20"/>
              </w:rPr>
            </w:pPr>
          </w:p>
          <w:p w:rsidR="0095096B" w:rsidRPr="002E2327" w:rsidRDefault="00D53946" w:rsidP="0095096B">
            <w:pPr>
              <w:jc w:val="center"/>
              <w:rPr>
                <w:rFonts w:cs="Times New Roman"/>
                <w:sz w:val="20"/>
                <w:szCs w:val="20"/>
              </w:rPr>
            </w:pPr>
            <w:r>
              <w:rPr>
                <w:rFonts w:cs="Times New Roman"/>
                <w:sz w:val="20"/>
                <w:szCs w:val="20"/>
              </w:rPr>
              <w:t>94</w:t>
            </w:r>
            <w:r w:rsidR="001953C9">
              <w:rPr>
                <w:rFonts w:cs="Times New Roman"/>
                <w:sz w:val="20"/>
                <w:szCs w:val="20"/>
              </w:rPr>
              <w:t>4</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94</w:t>
            </w:r>
            <w:r w:rsidR="001953C9">
              <w:rPr>
                <w:rFonts w:cs="Times New Roman"/>
                <w:sz w:val="20"/>
                <w:szCs w:val="20"/>
              </w:rPr>
              <w:t>7</w:t>
            </w:r>
          </w:p>
          <w:p w:rsidR="0095096B" w:rsidRDefault="0095096B" w:rsidP="0095096B">
            <w:pPr>
              <w:jc w:val="center"/>
              <w:rPr>
                <w:rFonts w:cs="Times New Roman"/>
                <w:sz w:val="20"/>
                <w:szCs w:val="20"/>
              </w:rPr>
            </w:pPr>
          </w:p>
          <w:p w:rsidR="002A5DC4" w:rsidRDefault="002A5DC4" w:rsidP="0095096B">
            <w:pPr>
              <w:jc w:val="center"/>
              <w:rPr>
                <w:rFonts w:cs="Times New Roman"/>
                <w:sz w:val="20"/>
                <w:szCs w:val="20"/>
              </w:rPr>
            </w:pPr>
          </w:p>
          <w:p w:rsidR="002A5DC4" w:rsidRDefault="00D53946" w:rsidP="0095096B">
            <w:pPr>
              <w:jc w:val="center"/>
              <w:rPr>
                <w:rFonts w:cs="Times New Roman"/>
                <w:sz w:val="20"/>
                <w:szCs w:val="20"/>
              </w:rPr>
            </w:pPr>
            <w:r>
              <w:rPr>
                <w:rFonts w:cs="Times New Roman"/>
                <w:sz w:val="20"/>
                <w:szCs w:val="20"/>
              </w:rPr>
              <w:t>94</w:t>
            </w:r>
            <w:r w:rsidR="001953C9">
              <w:rPr>
                <w:rFonts w:cs="Times New Roman"/>
                <w:sz w:val="20"/>
                <w:szCs w:val="20"/>
              </w:rPr>
              <w:t>8</w:t>
            </w:r>
          </w:p>
          <w:p w:rsidR="00D53946" w:rsidRDefault="00D53946" w:rsidP="0095096B">
            <w:pPr>
              <w:jc w:val="center"/>
              <w:rPr>
                <w:rFonts w:cs="Times New Roman"/>
                <w:sz w:val="20"/>
                <w:szCs w:val="20"/>
              </w:rPr>
            </w:pPr>
          </w:p>
          <w:p w:rsidR="00D53946" w:rsidRPr="002E2327" w:rsidRDefault="00D53946" w:rsidP="0095096B">
            <w:pPr>
              <w:jc w:val="center"/>
              <w:rPr>
                <w:rFonts w:cs="Times New Roman"/>
                <w:sz w:val="20"/>
                <w:szCs w:val="20"/>
              </w:rPr>
            </w:pPr>
          </w:p>
          <w:p w:rsidR="0095096B" w:rsidRPr="002E2327" w:rsidRDefault="00D53946" w:rsidP="0095096B">
            <w:pPr>
              <w:jc w:val="center"/>
              <w:rPr>
                <w:rFonts w:cs="Times New Roman"/>
                <w:sz w:val="20"/>
                <w:szCs w:val="20"/>
              </w:rPr>
            </w:pPr>
            <w:r>
              <w:rPr>
                <w:rFonts w:cs="Times New Roman"/>
                <w:sz w:val="20"/>
                <w:szCs w:val="20"/>
              </w:rPr>
              <w:t>94</w:t>
            </w:r>
            <w:r w:rsidR="001953C9">
              <w:rPr>
                <w:rFonts w:cs="Times New Roman"/>
                <w:sz w:val="20"/>
                <w:szCs w:val="20"/>
              </w:rPr>
              <w:t>9</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95</w:t>
            </w:r>
            <w:r w:rsidR="001953C9">
              <w:rPr>
                <w:rFonts w:cs="Times New Roman"/>
                <w:sz w:val="20"/>
                <w:szCs w:val="20"/>
              </w:rPr>
              <w:t>2</w:t>
            </w:r>
          </w:p>
          <w:p w:rsidR="00A87207" w:rsidRPr="002E2327" w:rsidRDefault="00A87207" w:rsidP="0034109C">
            <w:pPr>
              <w:jc w:val="center"/>
              <w:rPr>
                <w:rFonts w:cs="Times New Roman"/>
                <w:sz w:val="20"/>
                <w:szCs w:val="20"/>
              </w:rPr>
            </w:pPr>
          </w:p>
        </w:tc>
        <w:tc>
          <w:tcPr>
            <w:tcW w:w="3888" w:type="dxa"/>
          </w:tcPr>
          <w:p w:rsidR="0095096B" w:rsidRPr="002E2327" w:rsidRDefault="00ED3438"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34109C">
            <w:pPr>
              <w:rPr>
                <w:rFonts w:cs="Times New Roman"/>
                <w:sz w:val="20"/>
                <w:szCs w:val="20"/>
                <w:lang w:val="fr-CA"/>
              </w:rPr>
            </w:pPr>
          </w:p>
        </w:tc>
      </w:tr>
    </w:tbl>
    <w:p w:rsidR="0095096B" w:rsidRDefault="0095096B" w:rsidP="0095096B">
      <w:pPr>
        <w:tabs>
          <w:tab w:val="right" w:pos="9360"/>
        </w:tabs>
        <w:rPr>
          <w:lang w:val="fr-CA"/>
        </w:rPr>
      </w:pPr>
    </w:p>
    <w:p w:rsidR="00647750" w:rsidRDefault="00647750" w:rsidP="0095096B">
      <w:pPr>
        <w:tabs>
          <w:tab w:val="right" w:pos="9360"/>
        </w:tabs>
        <w:rPr>
          <w:lang w:val="fr-CA"/>
        </w:rPr>
      </w:pPr>
    </w:p>
    <w:p w:rsidR="006C736B" w:rsidRDefault="006C736B" w:rsidP="0095096B">
      <w:pPr>
        <w:tabs>
          <w:tab w:val="right" w:pos="9360"/>
        </w:tabs>
        <w:rPr>
          <w:lang w:val="fr-CA"/>
        </w:rPr>
      </w:pPr>
    </w:p>
    <w:p w:rsidR="006C736B" w:rsidRDefault="006C736B" w:rsidP="0095096B">
      <w:pPr>
        <w:tabs>
          <w:tab w:val="right" w:pos="9360"/>
        </w:tabs>
        <w:rPr>
          <w:lang w:val="fr-CA"/>
        </w:rPr>
      </w:pPr>
    </w:p>
    <w:p w:rsidR="006C736B" w:rsidRDefault="006C736B" w:rsidP="0095096B">
      <w:pPr>
        <w:tabs>
          <w:tab w:val="right" w:pos="9360"/>
        </w:tabs>
        <w:rPr>
          <w:lang w:val="fr-CA"/>
        </w:rPr>
      </w:pPr>
    </w:p>
    <w:p w:rsidR="00647750" w:rsidRPr="000006A7" w:rsidRDefault="00647750" w:rsidP="0095096B">
      <w:pPr>
        <w:tabs>
          <w:tab w:val="right" w:pos="9360"/>
        </w:tabs>
        <w:rPr>
          <w:lang w:val="fr-CA"/>
        </w:rPr>
      </w:pPr>
    </w:p>
    <w:tbl>
      <w:tblPr>
        <w:tblStyle w:val="TableGrid"/>
        <w:tblW w:w="0" w:type="auto"/>
        <w:tblLook w:val="04A0"/>
      </w:tblPr>
      <w:tblGrid>
        <w:gridCol w:w="9576"/>
      </w:tblGrid>
      <w:tr w:rsidR="0079724F" w:rsidRPr="00017BF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8D08A3" w:rsidP="003B3977">
            <w:pPr>
              <w:rPr>
                <w:b/>
                <w:sz w:val="20"/>
                <w:szCs w:val="20"/>
              </w:rPr>
            </w:pPr>
            <w:proofErr w:type="spellStart"/>
            <w:r>
              <w:rPr>
                <w:b/>
                <w:sz w:val="20"/>
                <w:szCs w:val="20"/>
              </w:rPr>
              <w:t>Ca</w:t>
            </w:r>
            <w:r w:rsidR="005F32C4">
              <w:rPr>
                <w:b/>
                <w:sz w:val="20"/>
                <w:szCs w:val="20"/>
              </w:rPr>
              <w:t>s</w:t>
            </w:r>
            <w:r>
              <w:rPr>
                <w:b/>
                <w:sz w:val="20"/>
                <w:szCs w:val="20"/>
              </w:rPr>
              <w:t>tonguay</w:t>
            </w:r>
            <w:proofErr w:type="spellEnd"/>
            <w:r>
              <w:rPr>
                <w:b/>
                <w:sz w:val="20"/>
                <w:szCs w:val="20"/>
              </w:rPr>
              <w:t xml:space="preserve"> Blasting Ltd.</w:t>
            </w:r>
          </w:p>
          <w:p w:rsidR="00242AEE" w:rsidRPr="00A935AA" w:rsidRDefault="00242AEE" w:rsidP="003B3977">
            <w:pPr>
              <w:tabs>
                <w:tab w:val="left" w:pos="-1440"/>
                <w:tab w:val="left" w:pos="-720"/>
              </w:tabs>
              <w:rPr>
                <w:sz w:val="20"/>
                <w:szCs w:val="20"/>
              </w:rPr>
            </w:pPr>
            <w:r w:rsidRPr="00A935AA">
              <w:rPr>
                <w:sz w:val="20"/>
                <w:szCs w:val="20"/>
              </w:rPr>
              <w:tab/>
            </w:r>
            <w:r w:rsidR="008D08A3">
              <w:rPr>
                <w:sz w:val="20"/>
                <w:szCs w:val="20"/>
              </w:rPr>
              <w:t xml:space="preserve">J. Bruce </w:t>
            </w:r>
            <w:proofErr w:type="spellStart"/>
            <w:r w:rsidR="008D08A3">
              <w:rPr>
                <w:sz w:val="20"/>
                <w:szCs w:val="20"/>
              </w:rPr>
              <w:t>McMeekin</w:t>
            </w:r>
            <w:proofErr w:type="spellEnd"/>
          </w:p>
          <w:p w:rsidR="00242AEE" w:rsidRPr="00A935AA" w:rsidRDefault="00242AEE" w:rsidP="003B3977">
            <w:pPr>
              <w:tabs>
                <w:tab w:val="left" w:pos="-1440"/>
                <w:tab w:val="left" w:pos="-720"/>
              </w:tabs>
              <w:rPr>
                <w:sz w:val="20"/>
                <w:szCs w:val="20"/>
              </w:rPr>
            </w:pPr>
            <w:r w:rsidRPr="00A935AA">
              <w:rPr>
                <w:sz w:val="20"/>
                <w:szCs w:val="20"/>
              </w:rPr>
              <w:tab/>
            </w:r>
            <w:r w:rsidR="008D08A3">
              <w:rPr>
                <w:sz w:val="20"/>
                <w:szCs w:val="20"/>
              </w:rPr>
              <w:t>Miller Thomson LLP</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5525F2">
              <w:rPr>
                <w:sz w:val="20"/>
                <w:szCs w:val="20"/>
              </w:rPr>
              <w:t>4</w:t>
            </w:r>
            <w:r w:rsidR="008D08A3">
              <w:rPr>
                <w:sz w:val="20"/>
                <w:szCs w:val="20"/>
              </w:rPr>
              <w:t>816</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8D08A3" w:rsidP="003B3977">
            <w:pPr>
              <w:tabs>
                <w:tab w:val="left" w:pos="-1440"/>
                <w:tab w:val="left" w:pos="-720"/>
              </w:tabs>
              <w:rPr>
                <w:b/>
                <w:sz w:val="20"/>
                <w:szCs w:val="20"/>
              </w:rPr>
            </w:pPr>
            <w:r>
              <w:rPr>
                <w:b/>
                <w:sz w:val="20"/>
                <w:szCs w:val="20"/>
              </w:rPr>
              <w:t xml:space="preserve">Her Majesty the Queen in Right of the Province of Ontario as represented by the Minister of the Environment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8D08A3">
              <w:rPr>
                <w:sz w:val="20"/>
                <w:szCs w:val="20"/>
              </w:rPr>
              <w:t>Paul McCulloch</w:t>
            </w:r>
          </w:p>
          <w:p w:rsidR="00242AEE" w:rsidRPr="00A935AA" w:rsidRDefault="00242AEE" w:rsidP="003B3977">
            <w:pPr>
              <w:tabs>
                <w:tab w:val="left" w:pos="-1440"/>
                <w:tab w:val="left" w:pos="-720"/>
              </w:tabs>
              <w:rPr>
                <w:sz w:val="20"/>
                <w:szCs w:val="20"/>
              </w:rPr>
            </w:pPr>
            <w:r w:rsidRPr="00A935AA">
              <w:rPr>
                <w:sz w:val="20"/>
                <w:szCs w:val="20"/>
              </w:rPr>
              <w:tab/>
            </w:r>
            <w:r w:rsidR="008D08A3">
              <w:rPr>
                <w:sz w:val="20"/>
                <w:szCs w:val="20"/>
              </w:rPr>
              <w:t>Ontario Ministry of the Environment</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8D08A3">
              <w:rPr>
                <w:sz w:val="20"/>
                <w:szCs w:val="20"/>
              </w:rPr>
              <w:t>09</w:t>
            </w:r>
            <w:r w:rsidRPr="00A935AA">
              <w:rPr>
                <w:sz w:val="20"/>
                <w:szCs w:val="20"/>
              </w:rPr>
              <w:t>.0</w:t>
            </w:r>
            <w:r w:rsidR="005525F2">
              <w:rPr>
                <w:sz w:val="20"/>
                <w:szCs w:val="20"/>
              </w:rPr>
              <w:t>5</w:t>
            </w:r>
            <w:r w:rsidRPr="00A935AA">
              <w:rPr>
                <w:sz w:val="20"/>
                <w:szCs w:val="20"/>
              </w:rPr>
              <w:t>.201</w:t>
            </w:r>
            <w:r w:rsidR="005525F2">
              <w:rPr>
                <w:sz w:val="20"/>
                <w:szCs w:val="20"/>
              </w:rPr>
              <w:t>2</w:t>
            </w:r>
          </w:p>
          <w:p w:rsidR="00242AEE" w:rsidRPr="00A935AA" w:rsidRDefault="00ED3438" w:rsidP="003B3977">
            <w:pPr>
              <w:rPr>
                <w:sz w:val="20"/>
                <w:szCs w:val="20"/>
              </w:rPr>
            </w:pPr>
            <w:r w:rsidRPr="00ED3438">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8D08A3" w:rsidRDefault="008D08A3" w:rsidP="00242AEE">
            <w:pPr>
              <w:jc w:val="center"/>
              <w:rPr>
                <w:sz w:val="20"/>
                <w:szCs w:val="20"/>
              </w:rPr>
            </w:pPr>
          </w:p>
          <w:p w:rsidR="008D08A3" w:rsidRPr="00A935AA" w:rsidRDefault="008D08A3"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8D08A3" w:rsidP="003B3977">
            <w:pPr>
              <w:keepNext/>
              <w:keepLines/>
              <w:tabs>
                <w:tab w:val="left" w:pos="-1440"/>
                <w:tab w:val="left" w:pos="-720"/>
              </w:tabs>
              <w:rPr>
                <w:b/>
                <w:sz w:val="20"/>
                <w:szCs w:val="20"/>
              </w:rPr>
            </w:pPr>
            <w:r>
              <w:rPr>
                <w:b/>
                <w:sz w:val="20"/>
                <w:szCs w:val="20"/>
              </w:rPr>
              <w:t xml:space="preserve">Deanna </w:t>
            </w:r>
            <w:proofErr w:type="spellStart"/>
            <w:r>
              <w:rPr>
                <w:b/>
                <w:sz w:val="20"/>
                <w:szCs w:val="20"/>
              </w:rPr>
              <w:t>Loychuk</w:t>
            </w:r>
            <w:proofErr w:type="spellEnd"/>
            <w:r>
              <w:rPr>
                <w:b/>
                <w:sz w:val="20"/>
                <w:szCs w:val="20"/>
              </w:rPr>
              <w:t xml:space="preserve"> et al.</w:t>
            </w:r>
          </w:p>
          <w:p w:rsidR="00242AEE" w:rsidRPr="00A935AA" w:rsidRDefault="00242AEE" w:rsidP="003B3977">
            <w:pPr>
              <w:keepNext/>
              <w:keepLines/>
              <w:tabs>
                <w:tab w:val="left" w:pos="-1440"/>
                <w:tab w:val="left" w:pos="-720"/>
              </w:tabs>
              <w:rPr>
                <w:sz w:val="20"/>
                <w:szCs w:val="20"/>
              </w:rPr>
            </w:pPr>
            <w:r w:rsidRPr="00A935AA">
              <w:rPr>
                <w:sz w:val="20"/>
                <w:szCs w:val="20"/>
              </w:rPr>
              <w:tab/>
            </w:r>
            <w:r w:rsidR="008D08A3">
              <w:rPr>
                <w:sz w:val="20"/>
                <w:szCs w:val="20"/>
              </w:rPr>
              <w:t xml:space="preserve">Kevin F. </w:t>
            </w:r>
            <w:proofErr w:type="spellStart"/>
            <w:r w:rsidR="008D08A3">
              <w:rPr>
                <w:sz w:val="20"/>
                <w:szCs w:val="20"/>
              </w:rPr>
              <w:t>Gourlay</w:t>
            </w:r>
            <w:proofErr w:type="spellEnd"/>
          </w:p>
          <w:p w:rsidR="00242AEE" w:rsidRPr="00A935AA" w:rsidRDefault="00242AEE" w:rsidP="003B3977">
            <w:pPr>
              <w:keepNext/>
              <w:keepLines/>
              <w:tabs>
                <w:tab w:val="left" w:pos="-1440"/>
                <w:tab w:val="left" w:pos="-720"/>
              </w:tabs>
              <w:rPr>
                <w:sz w:val="20"/>
                <w:szCs w:val="20"/>
              </w:rPr>
            </w:pPr>
            <w:r w:rsidRPr="00A935AA">
              <w:rPr>
                <w:sz w:val="20"/>
                <w:szCs w:val="20"/>
              </w:rPr>
              <w:tab/>
            </w:r>
            <w:r w:rsidR="008D08A3">
              <w:rPr>
                <w:sz w:val="20"/>
                <w:szCs w:val="20"/>
              </w:rPr>
              <w:t>Murphy Battista</w:t>
            </w:r>
          </w:p>
          <w:p w:rsidR="00242AEE" w:rsidRPr="00A935AA" w:rsidRDefault="00242AEE" w:rsidP="003B3977">
            <w:pPr>
              <w:keepNext/>
              <w:keepLines/>
              <w:tabs>
                <w:tab w:val="left" w:pos="-1440"/>
                <w:tab w:val="left" w:pos="-720"/>
              </w:tabs>
              <w:rPr>
                <w:sz w:val="20"/>
                <w:szCs w:val="20"/>
              </w:rPr>
            </w:pPr>
          </w:p>
          <w:p w:rsidR="00242AEE" w:rsidRPr="008D08A3" w:rsidRDefault="00242AEE" w:rsidP="003B3977">
            <w:pPr>
              <w:keepNext/>
              <w:keepLines/>
              <w:tabs>
                <w:tab w:val="left" w:pos="-1440"/>
                <w:tab w:val="left" w:pos="-720"/>
              </w:tabs>
              <w:rPr>
                <w:sz w:val="20"/>
                <w:szCs w:val="20"/>
              </w:rPr>
            </w:pPr>
            <w:r w:rsidRPr="00A935AA">
              <w:rPr>
                <w:sz w:val="20"/>
                <w:szCs w:val="20"/>
              </w:rPr>
              <w:tab/>
            </w:r>
            <w:r w:rsidRPr="008D08A3">
              <w:rPr>
                <w:sz w:val="20"/>
                <w:szCs w:val="20"/>
              </w:rPr>
              <w:t>v. (3</w:t>
            </w:r>
            <w:r w:rsidR="005525F2" w:rsidRPr="008D08A3">
              <w:rPr>
                <w:sz w:val="20"/>
                <w:szCs w:val="20"/>
              </w:rPr>
              <w:t>4</w:t>
            </w:r>
            <w:r w:rsidR="008D08A3">
              <w:rPr>
                <w:sz w:val="20"/>
                <w:szCs w:val="20"/>
              </w:rPr>
              <w:t>823</w:t>
            </w:r>
            <w:r w:rsidRPr="008D08A3">
              <w:rPr>
                <w:sz w:val="20"/>
                <w:szCs w:val="20"/>
              </w:rPr>
              <w:t>)</w:t>
            </w:r>
          </w:p>
          <w:p w:rsidR="00242AEE" w:rsidRPr="008D08A3" w:rsidRDefault="00242AEE" w:rsidP="003B3977">
            <w:pPr>
              <w:keepNext/>
              <w:keepLines/>
              <w:tabs>
                <w:tab w:val="left" w:pos="-1440"/>
                <w:tab w:val="left" w:pos="-720"/>
              </w:tabs>
              <w:rPr>
                <w:sz w:val="20"/>
                <w:szCs w:val="20"/>
              </w:rPr>
            </w:pPr>
          </w:p>
          <w:p w:rsidR="00242AEE" w:rsidRPr="008D08A3" w:rsidRDefault="008D08A3" w:rsidP="003B3977">
            <w:pPr>
              <w:keepNext/>
              <w:keepLines/>
              <w:tabs>
                <w:tab w:val="left" w:pos="-1440"/>
                <w:tab w:val="left" w:pos="-720"/>
              </w:tabs>
              <w:rPr>
                <w:b/>
                <w:sz w:val="20"/>
                <w:szCs w:val="20"/>
              </w:rPr>
            </w:pPr>
            <w:r>
              <w:rPr>
                <w:b/>
                <w:sz w:val="20"/>
                <w:szCs w:val="20"/>
              </w:rPr>
              <w:t xml:space="preserve">Cougar Mountain Adventures Ltd. </w:t>
            </w:r>
            <w:r w:rsidR="00242AEE" w:rsidRPr="008D08A3">
              <w:rPr>
                <w:b/>
                <w:sz w:val="20"/>
                <w:szCs w:val="20"/>
              </w:rPr>
              <w:t>(</w:t>
            </w:r>
            <w:r>
              <w:rPr>
                <w:b/>
                <w:sz w:val="20"/>
                <w:szCs w:val="20"/>
              </w:rPr>
              <w:t>B.C.</w:t>
            </w:r>
            <w:r w:rsidR="00242AEE" w:rsidRPr="008D08A3">
              <w:rPr>
                <w:b/>
                <w:sz w:val="20"/>
                <w:szCs w:val="20"/>
              </w:rPr>
              <w:t>)</w:t>
            </w:r>
          </w:p>
          <w:p w:rsidR="00242AEE" w:rsidRPr="008D08A3" w:rsidRDefault="00242AEE" w:rsidP="003B3977">
            <w:pPr>
              <w:keepNext/>
              <w:keepLines/>
              <w:tabs>
                <w:tab w:val="left" w:pos="-1440"/>
                <w:tab w:val="left" w:pos="-720"/>
              </w:tabs>
              <w:rPr>
                <w:sz w:val="20"/>
                <w:szCs w:val="20"/>
              </w:rPr>
            </w:pPr>
            <w:r w:rsidRPr="008D08A3">
              <w:rPr>
                <w:sz w:val="20"/>
                <w:szCs w:val="20"/>
              </w:rPr>
              <w:tab/>
            </w:r>
            <w:r w:rsidR="008D08A3">
              <w:rPr>
                <w:sz w:val="20"/>
                <w:szCs w:val="20"/>
              </w:rPr>
              <w:t>Richard B. Lindsay</w:t>
            </w:r>
          </w:p>
          <w:p w:rsidR="00242AEE" w:rsidRPr="008D08A3" w:rsidRDefault="00242AEE" w:rsidP="003B3977">
            <w:pPr>
              <w:keepNext/>
              <w:keepLines/>
              <w:tabs>
                <w:tab w:val="left" w:pos="-1440"/>
                <w:tab w:val="left" w:pos="-720"/>
              </w:tabs>
              <w:rPr>
                <w:sz w:val="20"/>
                <w:szCs w:val="20"/>
              </w:rPr>
            </w:pPr>
            <w:r w:rsidRPr="008D08A3">
              <w:rPr>
                <w:sz w:val="20"/>
                <w:szCs w:val="20"/>
              </w:rPr>
              <w:tab/>
            </w:r>
            <w:r w:rsidR="008D08A3">
              <w:rPr>
                <w:sz w:val="20"/>
                <w:szCs w:val="20"/>
              </w:rPr>
              <w:t>Lindsay Kenney</w:t>
            </w:r>
          </w:p>
          <w:p w:rsidR="00242AEE" w:rsidRPr="008D08A3" w:rsidRDefault="00242AEE" w:rsidP="003B3977">
            <w:pPr>
              <w:keepNext/>
              <w:keepLines/>
              <w:tabs>
                <w:tab w:val="left" w:pos="-1440"/>
                <w:tab w:val="left" w:pos="-720"/>
              </w:tabs>
              <w:rPr>
                <w:sz w:val="20"/>
                <w:szCs w:val="20"/>
              </w:rPr>
            </w:pPr>
          </w:p>
          <w:p w:rsidR="00242AEE" w:rsidRPr="000006A7" w:rsidRDefault="00242AEE" w:rsidP="008D08A3">
            <w:pPr>
              <w:rPr>
                <w:sz w:val="20"/>
                <w:szCs w:val="20"/>
              </w:rPr>
            </w:pPr>
            <w:r w:rsidRPr="00A935AA">
              <w:rPr>
                <w:sz w:val="20"/>
                <w:szCs w:val="20"/>
              </w:rPr>
              <w:t xml:space="preserve">FILING DATE: </w:t>
            </w:r>
            <w:r w:rsidR="008D08A3">
              <w:rPr>
                <w:sz w:val="20"/>
                <w:szCs w:val="20"/>
              </w:rPr>
              <w:t>14</w:t>
            </w:r>
            <w:r w:rsidRPr="00A935AA">
              <w:rPr>
                <w:sz w:val="20"/>
                <w:szCs w:val="20"/>
              </w:rPr>
              <w:t>.0</w:t>
            </w:r>
            <w:r w:rsidR="005525F2">
              <w:rPr>
                <w:sz w:val="20"/>
                <w:szCs w:val="20"/>
              </w:rPr>
              <w:t>5</w:t>
            </w:r>
            <w:r w:rsidRPr="00A935AA">
              <w:rPr>
                <w:sz w:val="20"/>
                <w:szCs w:val="20"/>
              </w:rPr>
              <w:t>.201</w:t>
            </w:r>
            <w:r w:rsidR="005525F2">
              <w:rPr>
                <w:sz w:val="20"/>
                <w:szCs w:val="20"/>
              </w:rPr>
              <w:t>2</w:t>
            </w:r>
            <w:r w:rsidR="00ED3438" w:rsidRPr="00ED3438">
              <w:rPr>
                <w:sz w:val="20"/>
                <w:szCs w:val="20"/>
                <w:lang w:val="fr-CA"/>
              </w:rPr>
              <w:pict>
                <v:rect id="_x0000_i1026" style="width:108pt;height:1pt" o:hrpct="0" o:hralign="center" o:hrstd="t" o:hrnoshade="t" o:hr="t" fillcolor="black [3213]" stroked="f"/>
              </w:pict>
            </w:r>
          </w:p>
          <w:p w:rsidR="008D08A3" w:rsidRPr="000006A7" w:rsidRDefault="008D08A3" w:rsidP="008D08A3">
            <w:pPr>
              <w:rPr>
                <w:sz w:val="20"/>
                <w:szCs w:val="20"/>
              </w:rPr>
            </w:pPr>
          </w:p>
          <w:p w:rsidR="008D08A3" w:rsidRDefault="008D08A3" w:rsidP="008D08A3">
            <w:pPr>
              <w:rPr>
                <w:b/>
                <w:sz w:val="20"/>
                <w:szCs w:val="20"/>
              </w:rPr>
            </w:pPr>
            <w:r w:rsidRPr="008D08A3">
              <w:rPr>
                <w:b/>
                <w:sz w:val="20"/>
                <w:szCs w:val="20"/>
              </w:rPr>
              <w:t xml:space="preserve">Brigitte </w:t>
            </w:r>
            <w:proofErr w:type="spellStart"/>
            <w:r w:rsidRPr="008D08A3">
              <w:rPr>
                <w:b/>
                <w:sz w:val="20"/>
                <w:szCs w:val="20"/>
              </w:rPr>
              <w:t>Gratl</w:t>
            </w:r>
            <w:proofErr w:type="spellEnd"/>
          </w:p>
          <w:p w:rsidR="008D08A3" w:rsidRPr="00A935AA" w:rsidRDefault="00F72FB3" w:rsidP="00F72FB3">
            <w:pPr>
              <w:rPr>
                <w:sz w:val="20"/>
                <w:szCs w:val="20"/>
              </w:rPr>
            </w:pPr>
            <w:r>
              <w:rPr>
                <w:sz w:val="20"/>
                <w:szCs w:val="20"/>
              </w:rPr>
              <w:tab/>
              <w:t xml:space="preserve">Brigitte </w:t>
            </w:r>
            <w:proofErr w:type="spellStart"/>
            <w:r>
              <w:rPr>
                <w:sz w:val="20"/>
                <w:szCs w:val="20"/>
              </w:rPr>
              <w:t>Gratl</w:t>
            </w:r>
            <w:proofErr w:type="spellEnd"/>
          </w:p>
        </w:tc>
      </w:tr>
      <w:tr w:rsidR="005525F2" w:rsidRPr="00A935AA" w:rsidTr="003B3977">
        <w:tc>
          <w:tcPr>
            <w:tcW w:w="4320" w:type="dxa"/>
            <w:shd w:val="clear" w:color="auto" w:fill="auto"/>
          </w:tcPr>
          <w:p w:rsidR="008D08A3" w:rsidRPr="008D08A3" w:rsidRDefault="008D08A3" w:rsidP="00AE3198">
            <w:pPr>
              <w:rPr>
                <w:b/>
                <w:sz w:val="20"/>
                <w:szCs w:val="20"/>
                <w:lang w:val="fr-CA"/>
              </w:rPr>
            </w:pPr>
            <w:r w:rsidRPr="008D08A3">
              <w:rPr>
                <w:b/>
                <w:sz w:val="20"/>
                <w:szCs w:val="20"/>
                <w:lang w:val="fr-CA"/>
              </w:rPr>
              <w:t xml:space="preserve">Antal </w:t>
            </w:r>
            <w:proofErr w:type="spellStart"/>
            <w:r w:rsidRPr="008D08A3">
              <w:rPr>
                <w:b/>
                <w:sz w:val="20"/>
                <w:szCs w:val="20"/>
                <w:lang w:val="fr-CA"/>
              </w:rPr>
              <w:t>Babos</w:t>
            </w:r>
            <w:proofErr w:type="spellEnd"/>
          </w:p>
          <w:p w:rsidR="005525F2" w:rsidRPr="008D08A3" w:rsidRDefault="005525F2" w:rsidP="00AE3198">
            <w:pPr>
              <w:tabs>
                <w:tab w:val="left" w:pos="-1440"/>
                <w:tab w:val="left" w:pos="-720"/>
              </w:tabs>
              <w:rPr>
                <w:sz w:val="20"/>
                <w:szCs w:val="20"/>
                <w:lang w:val="fr-CA"/>
              </w:rPr>
            </w:pPr>
            <w:r w:rsidRPr="008D08A3">
              <w:rPr>
                <w:sz w:val="20"/>
                <w:szCs w:val="20"/>
                <w:lang w:val="fr-CA"/>
              </w:rPr>
              <w:tab/>
            </w:r>
            <w:r w:rsidR="008D08A3">
              <w:rPr>
                <w:sz w:val="20"/>
                <w:szCs w:val="20"/>
                <w:lang w:val="fr-CA"/>
              </w:rPr>
              <w:t xml:space="preserve">Franco </w:t>
            </w:r>
            <w:proofErr w:type="spellStart"/>
            <w:r w:rsidR="008D08A3">
              <w:rPr>
                <w:sz w:val="20"/>
                <w:szCs w:val="20"/>
                <w:lang w:val="fr-CA"/>
              </w:rPr>
              <w:t>Schiro</w:t>
            </w:r>
            <w:proofErr w:type="spellEnd"/>
          </w:p>
          <w:p w:rsidR="005525F2" w:rsidRPr="008D08A3" w:rsidRDefault="005525F2" w:rsidP="00AE3198">
            <w:pPr>
              <w:tabs>
                <w:tab w:val="left" w:pos="-1440"/>
                <w:tab w:val="left" w:pos="-720"/>
              </w:tabs>
              <w:rPr>
                <w:sz w:val="20"/>
                <w:szCs w:val="20"/>
                <w:lang w:val="fr-CA"/>
              </w:rPr>
            </w:pPr>
            <w:r w:rsidRPr="008D08A3">
              <w:rPr>
                <w:sz w:val="20"/>
                <w:szCs w:val="20"/>
                <w:lang w:val="fr-CA"/>
              </w:rPr>
              <w:tab/>
            </w:r>
            <w:r w:rsidR="008D08A3">
              <w:rPr>
                <w:sz w:val="20"/>
                <w:szCs w:val="20"/>
                <w:lang w:val="fr-CA"/>
              </w:rPr>
              <w:t xml:space="preserve">Étude Légale Franco </w:t>
            </w:r>
            <w:proofErr w:type="spellStart"/>
            <w:r w:rsidR="008D08A3">
              <w:rPr>
                <w:sz w:val="20"/>
                <w:szCs w:val="20"/>
                <w:lang w:val="fr-CA"/>
              </w:rPr>
              <w:t>Schiro</w:t>
            </w:r>
            <w:proofErr w:type="spellEnd"/>
          </w:p>
          <w:p w:rsidR="005525F2" w:rsidRPr="008D08A3" w:rsidRDefault="005525F2" w:rsidP="00AE3198">
            <w:pPr>
              <w:tabs>
                <w:tab w:val="left" w:pos="-1440"/>
                <w:tab w:val="left" w:pos="-720"/>
              </w:tabs>
              <w:rPr>
                <w:sz w:val="20"/>
                <w:szCs w:val="20"/>
                <w:lang w:val="fr-CA"/>
              </w:rPr>
            </w:pPr>
          </w:p>
          <w:p w:rsidR="005525F2" w:rsidRPr="008D08A3" w:rsidRDefault="005525F2" w:rsidP="00AE3198">
            <w:pPr>
              <w:tabs>
                <w:tab w:val="left" w:pos="-1440"/>
                <w:tab w:val="left" w:pos="-720"/>
              </w:tabs>
              <w:rPr>
                <w:sz w:val="20"/>
                <w:szCs w:val="20"/>
                <w:lang w:val="fr-CA"/>
              </w:rPr>
            </w:pPr>
            <w:r w:rsidRPr="008D08A3">
              <w:rPr>
                <w:sz w:val="20"/>
                <w:szCs w:val="20"/>
                <w:lang w:val="fr-CA"/>
              </w:rPr>
              <w:tab/>
            </w:r>
            <w:r w:rsidR="008D08A3" w:rsidRPr="008D08A3">
              <w:rPr>
                <w:sz w:val="20"/>
                <w:szCs w:val="20"/>
                <w:lang w:val="fr-CA"/>
              </w:rPr>
              <w:t>c</w:t>
            </w:r>
            <w:r w:rsidRPr="008D08A3">
              <w:rPr>
                <w:sz w:val="20"/>
                <w:szCs w:val="20"/>
                <w:lang w:val="fr-CA"/>
              </w:rPr>
              <w:t>. (34</w:t>
            </w:r>
            <w:r w:rsidR="008D08A3" w:rsidRPr="008D08A3">
              <w:rPr>
                <w:sz w:val="20"/>
                <w:szCs w:val="20"/>
                <w:lang w:val="fr-CA"/>
              </w:rPr>
              <w:t>824</w:t>
            </w:r>
            <w:r w:rsidRPr="008D08A3">
              <w:rPr>
                <w:sz w:val="20"/>
                <w:szCs w:val="20"/>
                <w:lang w:val="fr-CA"/>
              </w:rPr>
              <w:t>)</w:t>
            </w:r>
          </w:p>
          <w:p w:rsidR="005525F2" w:rsidRPr="008D08A3" w:rsidRDefault="005525F2" w:rsidP="00AE3198">
            <w:pPr>
              <w:tabs>
                <w:tab w:val="left" w:pos="-1440"/>
                <w:tab w:val="left" w:pos="-720"/>
              </w:tabs>
              <w:rPr>
                <w:sz w:val="20"/>
                <w:szCs w:val="20"/>
                <w:lang w:val="fr-CA"/>
              </w:rPr>
            </w:pPr>
          </w:p>
          <w:p w:rsidR="005525F2" w:rsidRPr="008D08A3" w:rsidRDefault="008D08A3" w:rsidP="00AE3198">
            <w:pPr>
              <w:tabs>
                <w:tab w:val="left" w:pos="-1440"/>
                <w:tab w:val="left" w:pos="-720"/>
              </w:tabs>
              <w:rPr>
                <w:b/>
                <w:sz w:val="20"/>
                <w:szCs w:val="20"/>
                <w:lang w:val="fr-CA"/>
              </w:rPr>
            </w:pPr>
            <w:r w:rsidRPr="008D08A3">
              <w:rPr>
                <w:b/>
                <w:sz w:val="20"/>
                <w:szCs w:val="20"/>
                <w:lang w:val="fr-CA"/>
              </w:rPr>
              <w:t xml:space="preserve">Sa Majesté la Reine </w:t>
            </w:r>
            <w:r w:rsidR="005525F2" w:rsidRPr="008D08A3">
              <w:rPr>
                <w:b/>
                <w:sz w:val="20"/>
                <w:szCs w:val="20"/>
                <w:lang w:val="fr-CA"/>
              </w:rPr>
              <w:t>(</w:t>
            </w:r>
            <w:proofErr w:type="spellStart"/>
            <w:r w:rsidRPr="008D08A3">
              <w:rPr>
                <w:b/>
                <w:sz w:val="20"/>
                <w:szCs w:val="20"/>
                <w:lang w:val="fr-CA"/>
              </w:rPr>
              <w:t>Qc</w:t>
            </w:r>
            <w:proofErr w:type="spellEnd"/>
            <w:r w:rsidR="005525F2" w:rsidRPr="008D08A3">
              <w:rPr>
                <w:b/>
                <w:sz w:val="20"/>
                <w:szCs w:val="20"/>
                <w:lang w:val="fr-CA"/>
              </w:rPr>
              <w:t>)</w:t>
            </w:r>
          </w:p>
          <w:p w:rsidR="005525F2" w:rsidRPr="008D08A3" w:rsidRDefault="005525F2" w:rsidP="00AE3198">
            <w:pPr>
              <w:tabs>
                <w:tab w:val="left" w:pos="-1440"/>
                <w:tab w:val="left" w:pos="-720"/>
              </w:tabs>
              <w:rPr>
                <w:sz w:val="20"/>
                <w:szCs w:val="20"/>
                <w:lang w:val="fr-CA"/>
              </w:rPr>
            </w:pPr>
            <w:r w:rsidRPr="008D08A3">
              <w:rPr>
                <w:sz w:val="20"/>
                <w:szCs w:val="20"/>
                <w:lang w:val="fr-CA"/>
              </w:rPr>
              <w:tab/>
            </w:r>
            <w:r w:rsidR="008D08A3">
              <w:rPr>
                <w:sz w:val="20"/>
                <w:szCs w:val="20"/>
                <w:lang w:val="fr-CA"/>
              </w:rPr>
              <w:t>Michel F. Denis</w:t>
            </w:r>
          </w:p>
          <w:p w:rsidR="005525F2" w:rsidRPr="008D08A3" w:rsidRDefault="005525F2" w:rsidP="00AE3198">
            <w:pPr>
              <w:tabs>
                <w:tab w:val="left" w:pos="-1440"/>
                <w:tab w:val="left" w:pos="-720"/>
              </w:tabs>
              <w:rPr>
                <w:sz w:val="20"/>
                <w:szCs w:val="20"/>
                <w:lang w:val="fr-CA"/>
              </w:rPr>
            </w:pPr>
            <w:r w:rsidRPr="008D08A3">
              <w:rPr>
                <w:sz w:val="20"/>
                <w:szCs w:val="20"/>
                <w:lang w:val="fr-CA"/>
              </w:rPr>
              <w:tab/>
            </w:r>
            <w:r w:rsidR="008D08A3">
              <w:rPr>
                <w:sz w:val="20"/>
                <w:szCs w:val="20"/>
                <w:lang w:val="fr-CA"/>
              </w:rPr>
              <w:t>Service des poursuites pénales du Canada</w:t>
            </w:r>
          </w:p>
          <w:p w:rsidR="008D08A3" w:rsidRPr="000006A7" w:rsidRDefault="008D08A3" w:rsidP="00AE3198">
            <w:pPr>
              <w:rPr>
                <w:sz w:val="20"/>
                <w:szCs w:val="20"/>
                <w:lang w:val="fr-CA"/>
              </w:rPr>
            </w:pPr>
          </w:p>
          <w:p w:rsidR="005525F2" w:rsidRPr="00A935AA" w:rsidRDefault="008D08A3" w:rsidP="008D08A3">
            <w:pPr>
              <w:rPr>
                <w:sz w:val="20"/>
                <w:szCs w:val="20"/>
              </w:rPr>
            </w:pPr>
            <w:r>
              <w:rPr>
                <w:sz w:val="20"/>
                <w:szCs w:val="20"/>
              </w:rPr>
              <w:t>et entre</w:t>
            </w:r>
          </w:p>
        </w:tc>
        <w:tc>
          <w:tcPr>
            <w:tcW w:w="1181" w:type="dxa"/>
            <w:shd w:val="clear" w:color="auto" w:fill="auto"/>
          </w:tcPr>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tc>
        <w:tc>
          <w:tcPr>
            <w:tcW w:w="4320" w:type="dxa"/>
            <w:shd w:val="clear" w:color="auto" w:fill="auto"/>
          </w:tcPr>
          <w:p w:rsidR="005525F2" w:rsidRPr="00A935AA" w:rsidRDefault="005525F2" w:rsidP="00AE3198">
            <w:pPr>
              <w:keepNext/>
              <w:keepLines/>
              <w:tabs>
                <w:tab w:val="left" w:pos="-1440"/>
                <w:tab w:val="left" w:pos="-720"/>
              </w:tabs>
              <w:rPr>
                <w:sz w:val="20"/>
                <w:szCs w:val="20"/>
              </w:rPr>
            </w:pPr>
          </w:p>
          <w:p w:rsidR="005525F2" w:rsidRPr="008D08A3" w:rsidRDefault="005525F2" w:rsidP="00AE3198">
            <w:pPr>
              <w:keepNext/>
              <w:keepLines/>
              <w:tabs>
                <w:tab w:val="left" w:pos="-1440"/>
                <w:tab w:val="left" w:pos="-720"/>
              </w:tabs>
              <w:rPr>
                <w:sz w:val="20"/>
                <w:szCs w:val="20"/>
              </w:rPr>
            </w:pPr>
            <w:r w:rsidRPr="00A935AA">
              <w:rPr>
                <w:sz w:val="20"/>
                <w:szCs w:val="20"/>
              </w:rPr>
              <w:tab/>
            </w:r>
            <w:r w:rsidRPr="008D08A3">
              <w:rPr>
                <w:sz w:val="20"/>
                <w:szCs w:val="20"/>
              </w:rPr>
              <w:t>v. (34</w:t>
            </w:r>
            <w:r w:rsidR="00F72FB3">
              <w:rPr>
                <w:sz w:val="20"/>
                <w:szCs w:val="20"/>
              </w:rPr>
              <w:t>82</w:t>
            </w:r>
            <w:r w:rsidRPr="008D08A3">
              <w:rPr>
                <w:sz w:val="20"/>
                <w:szCs w:val="20"/>
              </w:rPr>
              <w:t>5)</w:t>
            </w:r>
          </w:p>
          <w:p w:rsidR="005525F2" w:rsidRPr="008D08A3" w:rsidRDefault="005525F2" w:rsidP="00AE3198">
            <w:pPr>
              <w:keepNext/>
              <w:keepLines/>
              <w:tabs>
                <w:tab w:val="left" w:pos="-1440"/>
                <w:tab w:val="left" w:pos="-720"/>
              </w:tabs>
              <w:rPr>
                <w:sz w:val="20"/>
                <w:szCs w:val="20"/>
              </w:rPr>
            </w:pPr>
          </w:p>
          <w:p w:rsidR="005525F2" w:rsidRPr="008D08A3" w:rsidRDefault="00F72FB3" w:rsidP="00AE3198">
            <w:pPr>
              <w:keepNext/>
              <w:keepLines/>
              <w:tabs>
                <w:tab w:val="left" w:pos="-1440"/>
                <w:tab w:val="left" w:pos="-720"/>
              </w:tabs>
              <w:rPr>
                <w:b/>
                <w:sz w:val="20"/>
                <w:szCs w:val="20"/>
              </w:rPr>
            </w:pPr>
            <w:r>
              <w:rPr>
                <w:b/>
                <w:sz w:val="20"/>
                <w:szCs w:val="20"/>
              </w:rPr>
              <w:t xml:space="preserve">Her Majesty the Queen </w:t>
            </w:r>
            <w:r w:rsidR="005525F2" w:rsidRPr="008D08A3">
              <w:rPr>
                <w:b/>
                <w:sz w:val="20"/>
                <w:szCs w:val="20"/>
              </w:rPr>
              <w:t>(</w:t>
            </w:r>
            <w:r>
              <w:rPr>
                <w:b/>
                <w:sz w:val="20"/>
                <w:szCs w:val="20"/>
              </w:rPr>
              <w:t>F.C</w:t>
            </w:r>
            <w:r w:rsidR="005525F2" w:rsidRPr="008D08A3">
              <w:rPr>
                <w:b/>
                <w:sz w:val="20"/>
                <w:szCs w:val="20"/>
              </w:rPr>
              <w:t>.)</w:t>
            </w:r>
          </w:p>
          <w:p w:rsidR="005525F2" w:rsidRPr="008D08A3" w:rsidRDefault="005525F2" w:rsidP="00AE3198">
            <w:pPr>
              <w:keepNext/>
              <w:keepLines/>
              <w:tabs>
                <w:tab w:val="left" w:pos="-1440"/>
                <w:tab w:val="left" w:pos="-720"/>
              </w:tabs>
              <w:rPr>
                <w:sz w:val="20"/>
                <w:szCs w:val="20"/>
              </w:rPr>
            </w:pPr>
            <w:r w:rsidRPr="008D08A3">
              <w:rPr>
                <w:sz w:val="20"/>
                <w:szCs w:val="20"/>
              </w:rPr>
              <w:tab/>
            </w:r>
            <w:r w:rsidR="00F72FB3">
              <w:rPr>
                <w:sz w:val="20"/>
                <w:szCs w:val="20"/>
              </w:rPr>
              <w:t>Arnold H. Bornstein</w:t>
            </w:r>
          </w:p>
          <w:p w:rsidR="005525F2" w:rsidRPr="008D08A3" w:rsidRDefault="005525F2" w:rsidP="00AE3198">
            <w:pPr>
              <w:keepNext/>
              <w:keepLines/>
              <w:tabs>
                <w:tab w:val="left" w:pos="-1440"/>
                <w:tab w:val="left" w:pos="-720"/>
              </w:tabs>
              <w:rPr>
                <w:sz w:val="20"/>
                <w:szCs w:val="20"/>
              </w:rPr>
            </w:pPr>
            <w:r w:rsidRPr="008D08A3">
              <w:rPr>
                <w:sz w:val="20"/>
                <w:szCs w:val="20"/>
              </w:rPr>
              <w:tab/>
            </w:r>
            <w:r w:rsidR="00F72FB3">
              <w:rPr>
                <w:sz w:val="20"/>
                <w:szCs w:val="20"/>
              </w:rPr>
              <w:t>A.G. of Canada</w:t>
            </w:r>
          </w:p>
          <w:p w:rsidR="005525F2" w:rsidRPr="008D08A3" w:rsidRDefault="005525F2" w:rsidP="00AE3198">
            <w:pPr>
              <w:keepNext/>
              <w:keepLines/>
              <w:tabs>
                <w:tab w:val="left" w:pos="-1440"/>
                <w:tab w:val="left" w:pos="-720"/>
              </w:tabs>
              <w:rPr>
                <w:sz w:val="20"/>
                <w:szCs w:val="20"/>
              </w:rPr>
            </w:pPr>
          </w:p>
          <w:p w:rsidR="005525F2" w:rsidRDefault="005525F2" w:rsidP="00F72FB3">
            <w:pPr>
              <w:rPr>
                <w:sz w:val="20"/>
                <w:szCs w:val="20"/>
                <w:lang w:val="fr-CA"/>
              </w:rPr>
            </w:pPr>
            <w:r w:rsidRPr="00A935AA">
              <w:rPr>
                <w:sz w:val="20"/>
                <w:szCs w:val="20"/>
              </w:rPr>
              <w:t xml:space="preserve">FILING DATE: </w:t>
            </w:r>
            <w:r w:rsidR="00F72FB3">
              <w:rPr>
                <w:sz w:val="20"/>
                <w:szCs w:val="20"/>
              </w:rPr>
              <w:t>14</w:t>
            </w:r>
            <w:r w:rsidRPr="00A935AA">
              <w:rPr>
                <w:sz w:val="20"/>
                <w:szCs w:val="20"/>
              </w:rPr>
              <w:t>.0</w:t>
            </w:r>
            <w:r>
              <w:rPr>
                <w:sz w:val="20"/>
                <w:szCs w:val="20"/>
              </w:rPr>
              <w:t>5</w:t>
            </w:r>
            <w:r w:rsidRPr="00A935AA">
              <w:rPr>
                <w:sz w:val="20"/>
                <w:szCs w:val="20"/>
              </w:rPr>
              <w:t>.201</w:t>
            </w:r>
            <w:r>
              <w:rPr>
                <w:sz w:val="20"/>
                <w:szCs w:val="20"/>
              </w:rPr>
              <w:t>2</w:t>
            </w:r>
            <w:r w:rsidR="00ED3438" w:rsidRPr="00ED3438">
              <w:rPr>
                <w:sz w:val="20"/>
                <w:szCs w:val="20"/>
                <w:lang w:val="fr-CA"/>
              </w:rPr>
              <w:pict>
                <v:rect id="_x0000_i1027" style="width:108pt;height:1pt" o:hrpct="0" o:hralign="center" o:hrstd="t" o:hrnoshade="t" o:hr="t" fillcolor="black [3213]" stroked="f"/>
              </w:pict>
            </w:r>
          </w:p>
          <w:p w:rsidR="00F72FB3" w:rsidRDefault="00F72FB3" w:rsidP="00F72FB3">
            <w:pPr>
              <w:rPr>
                <w:sz w:val="20"/>
                <w:szCs w:val="20"/>
                <w:lang w:val="fr-CA"/>
              </w:rPr>
            </w:pPr>
          </w:p>
          <w:p w:rsidR="00F72FB3" w:rsidRDefault="00F72FB3" w:rsidP="00F72FB3">
            <w:pPr>
              <w:rPr>
                <w:sz w:val="20"/>
                <w:szCs w:val="20"/>
                <w:lang w:val="fr-CA"/>
              </w:rPr>
            </w:pPr>
            <w:r>
              <w:rPr>
                <w:b/>
                <w:sz w:val="20"/>
                <w:szCs w:val="20"/>
                <w:lang w:val="fr-CA"/>
              </w:rPr>
              <w:t>Serge Trudel</w:t>
            </w:r>
          </w:p>
          <w:p w:rsidR="004F3C85" w:rsidRPr="00F72FB3" w:rsidRDefault="004F3C85" w:rsidP="00F72FB3">
            <w:pPr>
              <w:rPr>
                <w:sz w:val="20"/>
                <w:szCs w:val="20"/>
              </w:rPr>
            </w:pPr>
            <w:r>
              <w:rPr>
                <w:sz w:val="20"/>
                <w:szCs w:val="20"/>
                <w:lang w:val="fr-CA"/>
              </w:rPr>
              <w:tab/>
              <w:t>Marie-Hélène Giroux</w:t>
            </w:r>
          </w:p>
        </w:tc>
      </w:tr>
      <w:tr w:rsidR="005525F2" w:rsidRPr="004F3C85" w:rsidTr="003B3977">
        <w:tc>
          <w:tcPr>
            <w:tcW w:w="4320" w:type="dxa"/>
            <w:shd w:val="clear" w:color="auto" w:fill="auto"/>
          </w:tcPr>
          <w:p w:rsidR="005525F2" w:rsidRPr="000006A7" w:rsidRDefault="008D08A3" w:rsidP="00AE3198">
            <w:pPr>
              <w:rPr>
                <w:b/>
                <w:sz w:val="20"/>
                <w:szCs w:val="20"/>
                <w:lang w:val="fr-CA"/>
              </w:rPr>
            </w:pPr>
            <w:r w:rsidRPr="000006A7">
              <w:rPr>
                <w:b/>
                <w:sz w:val="20"/>
                <w:szCs w:val="20"/>
                <w:lang w:val="fr-CA"/>
              </w:rPr>
              <w:t xml:space="preserve">Sergio </w:t>
            </w:r>
            <w:proofErr w:type="spellStart"/>
            <w:r w:rsidRPr="000006A7">
              <w:rPr>
                <w:b/>
                <w:sz w:val="20"/>
                <w:szCs w:val="20"/>
                <w:lang w:val="fr-CA"/>
              </w:rPr>
              <w:t>Piccirilli</w:t>
            </w:r>
            <w:proofErr w:type="spellEnd"/>
          </w:p>
          <w:p w:rsidR="005525F2" w:rsidRPr="000006A7" w:rsidRDefault="005525F2" w:rsidP="00AE3198">
            <w:pPr>
              <w:tabs>
                <w:tab w:val="left" w:pos="-1440"/>
                <w:tab w:val="left" w:pos="-720"/>
              </w:tabs>
              <w:rPr>
                <w:sz w:val="20"/>
                <w:szCs w:val="20"/>
                <w:lang w:val="fr-CA"/>
              </w:rPr>
            </w:pPr>
            <w:r w:rsidRPr="000006A7">
              <w:rPr>
                <w:sz w:val="20"/>
                <w:szCs w:val="20"/>
                <w:lang w:val="fr-CA"/>
              </w:rPr>
              <w:tab/>
            </w:r>
            <w:r w:rsidR="008D08A3" w:rsidRPr="000006A7">
              <w:rPr>
                <w:sz w:val="20"/>
                <w:szCs w:val="20"/>
                <w:lang w:val="fr-CA"/>
              </w:rPr>
              <w:t>Guylaine Tardif</w:t>
            </w:r>
          </w:p>
          <w:p w:rsidR="005525F2" w:rsidRPr="000006A7" w:rsidRDefault="005525F2" w:rsidP="00AE3198">
            <w:pPr>
              <w:tabs>
                <w:tab w:val="left" w:pos="-1440"/>
                <w:tab w:val="left" w:pos="-720"/>
              </w:tabs>
              <w:rPr>
                <w:sz w:val="20"/>
                <w:szCs w:val="20"/>
                <w:lang w:val="fr-CA"/>
              </w:rPr>
            </w:pPr>
          </w:p>
          <w:p w:rsidR="005525F2" w:rsidRPr="008D08A3" w:rsidRDefault="005525F2" w:rsidP="00AE3198">
            <w:pPr>
              <w:tabs>
                <w:tab w:val="left" w:pos="-1440"/>
                <w:tab w:val="left" w:pos="-720"/>
              </w:tabs>
              <w:rPr>
                <w:sz w:val="20"/>
                <w:szCs w:val="20"/>
                <w:lang w:val="fr-CA"/>
              </w:rPr>
            </w:pPr>
            <w:r w:rsidRPr="000006A7">
              <w:rPr>
                <w:sz w:val="20"/>
                <w:szCs w:val="20"/>
                <w:lang w:val="fr-CA"/>
              </w:rPr>
              <w:tab/>
            </w:r>
            <w:r w:rsidR="008D08A3" w:rsidRPr="000006A7">
              <w:rPr>
                <w:sz w:val="20"/>
                <w:szCs w:val="20"/>
                <w:lang w:val="fr-CA"/>
              </w:rPr>
              <w:t>c</w:t>
            </w:r>
            <w:r w:rsidRPr="008D08A3">
              <w:rPr>
                <w:sz w:val="20"/>
                <w:szCs w:val="20"/>
                <w:lang w:val="fr-CA"/>
              </w:rPr>
              <w:t>. (34</w:t>
            </w:r>
            <w:r w:rsidR="008D08A3" w:rsidRPr="008D08A3">
              <w:rPr>
                <w:sz w:val="20"/>
                <w:szCs w:val="20"/>
                <w:lang w:val="fr-CA"/>
              </w:rPr>
              <w:t>824</w:t>
            </w:r>
            <w:r w:rsidRPr="008D08A3">
              <w:rPr>
                <w:sz w:val="20"/>
                <w:szCs w:val="20"/>
                <w:lang w:val="fr-CA"/>
              </w:rPr>
              <w:t>)</w:t>
            </w:r>
          </w:p>
          <w:p w:rsidR="005525F2" w:rsidRPr="008D08A3" w:rsidRDefault="005525F2" w:rsidP="00AE3198">
            <w:pPr>
              <w:tabs>
                <w:tab w:val="left" w:pos="-1440"/>
                <w:tab w:val="left" w:pos="-720"/>
              </w:tabs>
              <w:rPr>
                <w:sz w:val="20"/>
                <w:szCs w:val="20"/>
                <w:lang w:val="fr-CA"/>
              </w:rPr>
            </w:pPr>
          </w:p>
          <w:p w:rsidR="005525F2" w:rsidRPr="008D08A3" w:rsidRDefault="008D08A3" w:rsidP="00AE3198">
            <w:pPr>
              <w:tabs>
                <w:tab w:val="left" w:pos="-1440"/>
                <w:tab w:val="left" w:pos="-720"/>
              </w:tabs>
              <w:rPr>
                <w:b/>
                <w:sz w:val="20"/>
                <w:szCs w:val="20"/>
                <w:lang w:val="fr-CA"/>
              </w:rPr>
            </w:pPr>
            <w:r w:rsidRPr="008D08A3">
              <w:rPr>
                <w:b/>
                <w:sz w:val="20"/>
                <w:szCs w:val="20"/>
                <w:lang w:val="fr-CA"/>
              </w:rPr>
              <w:t xml:space="preserve">Sa Majesté la Reine </w:t>
            </w:r>
            <w:r w:rsidR="005525F2" w:rsidRPr="008D08A3">
              <w:rPr>
                <w:b/>
                <w:sz w:val="20"/>
                <w:szCs w:val="20"/>
                <w:lang w:val="fr-CA"/>
              </w:rPr>
              <w:t>(</w:t>
            </w:r>
            <w:proofErr w:type="spellStart"/>
            <w:r w:rsidRPr="008D08A3">
              <w:rPr>
                <w:b/>
                <w:sz w:val="20"/>
                <w:szCs w:val="20"/>
                <w:lang w:val="fr-CA"/>
              </w:rPr>
              <w:t>Qc</w:t>
            </w:r>
            <w:proofErr w:type="spellEnd"/>
            <w:r w:rsidR="005525F2" w:rsidRPr="008D08A3">
              <w:rPr>
                <w:b/>
                <w:sz w:val="20"/>
                <w:szCs w:val="20"/>
                <w:lang w:val="fr-CA"/>
              </w:rPr>
              <w:t>)</w:t>
            </w:r>
          </w:p>
          <w:p w:rsidR="008D08A3" w:rsidRPr="008D08A3" w:rsidRDefault="005525F2" w:rsidP="008D08A3">
            <w:pPr>
              <w:tabs>
                <w:tab w:val="left" w:pos="-1440"/>
                <w:tab w:val="left" w:pos="-720"/>
              </w:tabs>
              <w:rPr>
                <w:sz w:val="20"/>
                <w:szCs w:val="20"/>
                <w:lang w:val="fr-CA"/>
              </w:rPr>
            </w:pPr>
            <w:r w:rsidRPr="008D08A3">
              <w:rPr>
                <w:sz w:val="20"/>
                <w:szCs w:val="20"/>
                <w:lang w:val="fr-CA"/>
              </w:rPr>
              <w:tab/>
            </w:r>
            <w:r w:rsidR="008D08A3">
              <w:rPr>
                <w:sz w:val="20"/>
                <w:szCs w:val="20"/>
                <w:lang w:val="fr-CA"/>
              </w:rPr>
              <w:t>Michel F. Denis</w:t>
            </w:r>
          </w:p>
          <w:p w:rsidR="008D08A3" w:rsidRPr="008D08A3" w:rsidRDefault="008D08A3" w:rsidP="008D08A3">
            <w:pPr>
              <w:tabs>
                <w:tab w:val="left" w:pos="-1440"/>
                <w:tab w:val="left" w:pos="-720"/>
              </w:tabs>
              <w:rPr>
                <w:sz w:val="20"/>
                <w:szCs w:val="20"/>
                <w:lang w:val="fr-CA"/>
              </w:rPr>
            </w:pPr>
            <w:r w:rsidRPr="008D08A3">
              <w:rPr>
                <w:sz w:val="20"/>
                <w:szCs w:val="20"/>
                <w:lang w:val="fr-CA"/>
              </w:rPr>
              <w:tab/>
            </w:r>
            <w:r>
              <w:rPr>
                <w:sz w:val="20"/>
                <w:szCs w:val="20"/>
                <w:lang w:val="fr-CA"/>
              </w:rPr>
              <w:t>Service des poursuites pénales du Canada</w:t>
            </w:r>
          </w:p>
          <w:p w:rsidR="005525F2" w:rsidRPr="008D08A3" w:rsidRDefault="005525F2" w:rsidP="00AE3198">
            <w:pPr>
              <w:tabs>
                <w:tab w:val="left" w:pos="-1440"/>
                <w:tab w:val="left" w:pos="-720"/>
              </w:tabs>
              <w:rPr>
                <w:sz w:val="20"/>
                <w:szCs w:val="20"/>
                <w:lang w:val="fr-CA"/>
              </w:rPr>
            </w:pPr>
          </w:p>
          <w:p w:rsidR="005525F2" w:rsidRPr="00A935AA" w:rsidRDefault="005525F2" w:rsidP="00AE3198">
            <w:pPr>
              <w:rPr>
                <w:sz w:val="20"/>
                <w:szCs w:val="20"/>
              </w:rPr>
            </w:pPr>
            <w:r w:rsidRPr="00A935AA">
              <w:rPr>
                <w:sz w:val="20"/>
                <w:szCs w:val="20"/>
              </w:rPr>
              <w:t>DATE</w:t>
            </w:r>
            <w:r w:rsidR="008D08A3">
              <w:rPr>
                <w:sz w:val="20"/>
                <w:szCs w:val="20"/>
              </w:rPr>
              <w:t xml:space="preserve"> DE PRODUCTION </w:t>
            </w:r>
            <w:r w:rsidRPr="00A935AA">
              <w:rPr>
                <w:sz w:val="20"/>
                <w:szCs w:val="20"/>
              </w:rPr>
              <w:t xml:space="preserve">: </w:t>
            </w:r>
            <w:r w:rsidR="008D08A3">
              <w:rPr>
                <w:sz w:val="20"/>
                <w:szCs w:val="20"/>
              </w:rPr>
              <w:t>14</w:t>
            </w:r>
            <w:r w:rsidRPr="00A935AA">
              <w:rPr>
                <w:sz w:val="20"/>
                <w:szCs w:val="20"/>
              </w:rPr>
              <w:t>.0</w:t>
            </w:r>
            <w:r>
              <w:rPr>
                <w:sz w:val="20"/>
                <w:szCs w:val="20"/>
              </w:rPr>
              <w:t>5</w:t>
            </w:r>
            <w:r w:rsidRPr="00A935AA">
              <w:rPr>
                <w:sz w:val="20"/>
                <w:szCs w:val="20"/>
              </w:rPr>
              <w:t>.201</w:t>
            </w:r>
            <w:r>
              <w:rPr>
                <w:sz w:val="20"/>
                <w:szCs w:val="20"/>
              </w:rPr>
              <w:t>2</w:t>
            </w:r>
          </w:p>
          <w:p w:rsidR="005525F2" w:rsidRPr="00A935AA" w:rsidRDefault="00ED3438" w:rsidP="00AE3198">
            <w:pPr>
              <w:rPr>
                <w:sz w:val="20"/>
                <w:szCs w:val="20"/>
              </w:rPr>
            </w:pPr>
            <w:r w:rsidRPr="00ED3438">
              <w:rPr>
                <w:sz w:val="20"/>
                <w:szCs w:val="20"/>
                <w:lang w:val="fr-CA"/>
              </w:rPr>
              <w:pict>
                <v:rect id="_x0000_i1028" style="width:108pt;height:1pt" o:hrpct="0" o:hralign="center" o:hrstd="t" o:hrnoshade="t" o:hr="t" fillcolor="black [3213]" stroked="f"/>
              </w:pict>
            </w:r>
          </w:p>
        </w:tc>
        <w:tc>
          <w:tcPr>
            <w:tcW w:w="1181" w:type="dxa"/>
            <w:shd w:val="clear" w:color="auto" w:fill="auto"/>
          </w:tcPr>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Default="005525F2" w:rsidP="00242AEE">
            <w:pPr>
              <w:jc w:val="center"/>
              <w:rPr>
                <w:sz w:val="20"/>
                <w:szCs w:val="20"/>
              </w:rPr>
            </w:pPr>
          </w:p>
          <w:p w:rsidR="005525F2" w:rsidRPr="00A935AA" w:rsidRDefault="005525F2" w:rsidP="00242AEE">
            <w:pPr>
              <w:jc w:val="center"/>
              <w:rPr>
                <w:sz w:val="20"/>
                <w:szCs w:val="20"/>
              </w:rPr>
            </w:pPr>
          </w:p>
        </w:tc>
        <w:tc>
          <w:tcPr>
            <w:tcW w:w="4320" w:type="dxa"/>
            <w:shd w:val="clear" w:color="auto" w:fill="auto"/>
          </w:tcPr>
          <w:p w:rsidR="005525F2" w:rsidRPr="000006A7" w:rsidRDefault="005525F2" w:rsidP="00AE3198">
            <w:pPr>
              <w:keepNext/>
              <w:keepLines/>
              <w:tabs>
                <w:tab w:val="left" w:pos="-1440"/>
                <w:tab w:val="left" w:pos="-720"/>
              </w:tabs>
              <w:rPr>
                <w:sz w:val="20"/>
                <w:szCs w:val="20"/>
                <w:lang w:val="fr-CA"/>
              </w:rPr>
            </w:pPr>
            <w:r w:rsidRPr="00A935AA">
              <w:rPr>
                <w:sz w:val="20"/>
                <w:szCs w:val="20"/>
              </w:rPr>
              <w:tab/>
            </w:r>
            <w:proofErr w:type="spellStart"/>
            <w:r w:rsidR="004F3C85" w:rsidRPr="000006A7">
              <w:rPr>
                <w:sz w:val="20"/>
                <w:szCs w:val="20"/>
                <w:lang w:val="fr-CA"/>
              </w:rPr>
              <w:t>Monterosso</w:t>
            </w:r>
            <w:proofErr w:type="spellEnd"/>
            <w:r w:rsidR="004F3C85" w:rsidRPr="000006A7">
              <w:rPr>
                <w:sz w:val="20"/>
                <w:szCs w:val="20"/>
                <w:lang w:val="fr-CA"/>
              </w:rPr>
              <w:t xml:space="preserve"> Giroux</w:t>
            </w:r>
          </w:p>
          <w:p w:rsidR="005525F2" w:rsidRPr="000006A7" w:rsidRDefault="005525F2" w:rsidP="00AE3198">
            <w:pPr>
              <w:keepNext/>
              <w:keepLines/>
              <w:tabs>
                <w:tab w:val="left" w:pos="-1440"/>
                <w:tab w:val="left" w:pos="-720"/>
              </w:tabs>
              <w:rPr>
                <w:sz w:val="20"/>
                <w:szCs w:val="20"/>
                <w:lang w:val="fr-CA"/>
              </w:rPr>
            </w:pPr>
          </w:p>
          <w:p w:rsidR="005525F2" w:rsidRPr="004F3C85" w:rsidRDefault="005525F2" w:rsidP="00AE3198">
            <w:pPr>
              <w:keepNext/>
              <w:keepLines/>
              <w:tabs>
                <w:tab w:val="left" w:pos="-1440"/>
                <w:tab w:val="left" w:pos="-720"/>
              </w:tabs>
              <w:rPr>
                <w:sz w:val="20"/>
                <w:szCs w:val="20"/>
                <w:lang w:val="fr-CA"/>
              </w:rPr>
            </w:pPr>
            <w:r w:rsidRPr="000006A7">
              <w:rPr>
                <w:sz w:val="20"/>
                <w:szCs w:val="20"/>
                <w:lang w:val="fr-CA"/>
              </w:rPr>
              <w:tab/>
            </w:r>
            <w:r w:rsidR="004F3C85" w:rsidRPr="004F3C85">
              <w:rPr>
                <w:sz w:val="20"/>
                <w:szCs w:val="20"/>
                <w:lang w:val="fr-CA"/>
              </w:rPr>
              <w:t>c</w:t>
            </w:r>
            <w:r w:rsidRPr="004F3C85">
              <w:rPr>
                <w:sz w:val="20"/>
                <w:szCs w:val="20"/>
                <w:lang w:val="fr-CA"/>
              </w:rPr>
              <w:t>. (34</w:t>
            </w:r>
            <w:r w:rsidR="004F3C85" w:rsidRPr="004F3C85">
              <w:rPr>
                <w:sz w:val="20"/>
                <w:szCs w:val="20"/>
                <w:lang w:val="fr-CA"/>
              </w:rPr>
              <w:t>829</w:t>
            </w:r>
            <w:r w:rsidRPr="004F3C85">
              <w:rPr>
                <w:sz w:val="20"/>
                <w:szCs w:val="20"/>
                <w:lang w:val="fr-CA"/>
              </w:rPr>
              <w:t>)</w:t>
            </w:r>
          </w:p>
          <w:p w:rsidR="005525F2" w:rsidRPr="004F3C85" w:rsidRDefault="005525F2" w:rsidP="00AE3198">
            <w:pPr>
              <w:keepNext/>
              <w:keepLines/>
              <w:tabs>
                <w:tab w:val="left" w:pos="-1440"/>
                <w:tab w:val="left" w:pos="-720"/>
              </w:tabs>
              <w:rPr>
                <w:sz w:val="20"/>
                <w:szCs w:val="20"/>
                <w:lang w:val="fr-CA"/>
              </w:rPr>
            </w:pPr>
          </w:p>
          <w:p w:rsidR="005525F2" w:rsidRPr="004F3C85" w:rsidRDefault="004F3C85" w:rsidP="00AE3198">
            <w:pPr>
              <w:keepNext/>
              <w:keepLines/>
              <w:tabs>
                <w:tab w:val="left" w:pos="-1440"/>
                <w:tab w:val="left" w:pos="-720"/>
              </w:tabs>
              <w:rPr>
                <w:b/>
                <w:sz w:val="20"/>
                <w:szCs w:val="20"/>
                <w:lang w:val="fr-CA"/>
              </w:rPr>
            </w:pPr>
            <w:r w:rsidRPr="004F3C85">
              <w:rPr>
                <w:b/>
                <w:sz w:val="20"/>
                <w:szCs w:val="20"/>
                <w:lang w:val="fr-CA"/>
              </w:rPr>
              <w:t xml:space="preserve">Sa Majesté la Reine </w:t>
            </w:r>
            <w:r w:rsidR="005525F2" w:rsidRPr="004F3C85">
              <w:rPr>
                <w:b/>
                <w:sz w:val="20"/>
                <w:szCs w:val="20"/>
                <w:lang w:val="fr-CA"/>
              </w:rPr>
              <w:t>(</w:t>
            </w:r>
            <w:proofErr w:type="spellStart"/>
            <w:r w:rsidRPr="004F3C85">
              <w:rPr>
                <w:b/>
                <w:sz w:val="20"/>
                <w:szCs w:val="20"/>
                <w:lang w:val="fr-CA"/>
              </w:rPr>
              <w:t>Qc</w:t>
            </w:r>
            <w:proofErr w:type="spellEnd"/>
            <w:r w:rsidR="005525F2" w:rsidRPr="004F3C85">
              <w:rPr>
                <w:b/>
                <w:sz w:val="20"/>
                <w:szCs w:val="20"/>
                <w:lang w:val="fr-CA"/>
              </w:rPr>
              <w:t>)</w:t>
            </w:r>
          </w:p>
          <w:p w:rsidR="005525F2" w:rsidRPr="004F3C85" w:rsidRDefault="005525F2" w:rsidP="00AE3198">
            <w:pPr>
              <w:keepNext/>
              <w:keepLines/>
              <w:tabs>
                <w:tab w:val="left" w:pos="-1440"/>
                <w:tab w:val="left" w:pos="-720"/>
              </w:tabs>
              <w:rPr>
                <w:sz w:val="20"/>
                <w:szCs w:val="20"/>
                <w:lang w:val="fr-CA"/>
              </w:rPr>
            </w:pPr>
            <w:r w:rsidRPr="004F3C85">
              <w:rPr>
                <w:sz w:val="20"/>
                <w:szCs w:val="20"/>
                <w:lang w:val="fr-CA"/>
              </w:rPr>
              <w:tab/>
            </w:r>
            <w:r w:rsidR="004F3C85">
              <w:rPr>
                <w:sz w:val="20"/>
                <w:szCs w:val="20"/>
                <w:lang w:val="fr-CA"/>
              </w:rPr>
              <w:t>Jean-François Bouvette</w:t>
            </w:r>
          </w:p>
          <w:p w:rsidR="005525F2" w:rsidRPr="004F3C85" w:rsidRDefault="005525F2" w:rsidP="00AE3198">
            <w:pPr>
              <w:keepNext/>
              <w:keepLines/>
              <w:tabs>
                <w:tab w:val="left" w:pos="-1440"/>
                <w:tab w:val="left" w:pos="-720"/>
              </w:tabs>
              <w:rPr>
                <w:sz w:val="20"/>
                <w:szCs w:val="20"/>
                <w:lang w:val="fr-CA"/>
              </w:rPr>
            </w:pPr>
            <w:r w:rsidRPr="004F3C85">
              <w:rPr>
                <w:sz w:val="20"/>
                <w:szCs w:val="20"/>
                <w:lang w:val="fr-CA"/>
              </w:rPr>
              <w:tab/>
            </w:r>
            <w:r w:rsidR="004F3C85">
              <w:rPr>
                <w:sz w:val="20"/>
                <w:szCs w:val="20"/>
                <w:lang w:val="fr-CA"/>
              </w:rPr>
              <w:t xml:space="preserve">Directeur des poursuites criminelles et </w:t>
            </w:r>
            <w:r w:rsidR="004F3C85">
              <w:rPr>
                <w:sz w:val="20"/>
                <w:szCs w:val="20"/>
                <w:lang w:val="fr-CA"/>
              </w:rPr>
              <w:tab/>
              <w:t>pénales du Québec</w:t>
            </w:r>
          </w:p>
          <w:p w:rsidR="005525F2" w:rsidRPr="004F3C85" w:rsidRDefault="005525F2" w:rsidP="00AE3198">
            <w:pPr>
              <w:keepNext/>
              <w:keepLines/>
              <w:tabs>
                <w:tab w:val="left" w:pos="-1440"/>
                <w:tab w:val="left" w:pos="-720"/>
              </w:tabs>
              <w:rPr>
                <w:sz w:val="20"/>
                <w:szCs w:val="20"/>
                <w:lang w:val="fr-CA"/>
              </w:rPr>
            </w:pPr>
          </w:p>
          <w:p w:rsidR="005525F2" w:rsidRPr="004F3C85" w:rsidRDefault="005525F2" w:rsidP="004F3C85">
            <w:pPr>
              <w:rPr>
                <w:sz w:val="20"/>
                <w:szCs w:val="20"/>
                <w:lang w:val="fr-CA"/>
              </w:rPr>
            </w:pPr>
            <w:r w:rsidRPr="004F3C85">
              <w:rPr>
                <w:sz w:val="20"/>
                <w:szCs w:val="20"/>
                <w:lang w:val="fr-CA"/>
              </w:rPr>
              <w:t>DATE</w:t>
            </w:r>
            <w:r w:rsidR="004F3C85">
              <w:rPr>
                <w:sz w:val="20"/>
                <w:szCs w:val="20"/>
                <w:lang w:val="fr-CA"/>
              </w:rPr>
              <w:t xml:space="preserve"> DE PRODUCTION </w:t>
            </w:r>
            <w:r w:rsidRPr="004F3C85">
              <w:rPr>
                <w:sz w:val="20"/>
                <w:szCs w:val="20"/>
                <w:lang w:val="fr-CA"/>
              </w:rPr>
              <w:t xml:space="preserve">: </w:t>
            </w:r>
            <w:r w:rsidR="004F3C85">
              <w:rPr>
                <w:sz w:val="20"/>
                <w:szCs w:val="20"/>
                <w:lang w:val="fr-CA"/>
              </w:rPr>
              <w:t>15</w:t>
            </w:r>
            <w:r w:rsidRPr="004F3C85">
              <w:rPr>
                <w:sz w:val="20"/>
                <w:szCs w:val="20"/>
                <w:lang w:val="fr-CA"/>
              </w:rPr>
              <w:t>.05.2012</w:t>
            </w:r>
            <w:r w:rsidR="00ED3438" w:rsidRPr="00ED3438">
              <w:rPr>
                <w:sz w:val="20"/>
                <w:szCs w:val="20"/>
                <w:lang w:val="fr-CA"/>
              </w:rPr>
              <w:pict>
                <v:rect id="_x0000_i1029" style="width:108pt;height:1pt" o:hrpct="0" o:hralign="center" o:hrstd="t" o:hrnoshade="t" o:hr="t" fillcolor="black [3213]" stroked="f"/>
              </w:pict>
            </w:r>
          </w:p>
        </w:tc>
      </w:tr>
      <w:tr w:rsidR="005525F2" w:rsidRPr="004F3C85" w:rsidTr="003B3977">
        <w:trPr>
          <w:cantSplit/>
        </w:trPr>
        <w:tc>
          <w:tcPr>
            <w:tcW w:w="4320" w:type="dxa"/>
            <w:shd w:val="clear" w:color="auto" w:fill="auto"/>
          </w:tcPr>
          <w:p w:rsidR="005525F2" w:rsidRPr="000006A7" w:rsidRDefault="000006A7" w:rsidP="00AE3198">
            <w:pPr>
              <w:rPr>
                <w:b/>
                <w:sz w:val="20"/>
                <w:szCs w:val="20"/>
              </w:rPr>
            </w:pPr>
            <w:r w:rsidRPr="000006A7">
              <w:rPr>
                <w:b/>
                <w:sz w:val="20"/>
                <w:szCs w:val="20"/>
              </w:rPr>
              <w:t>V</w:t>
            </w:r>
            <w:r>
              <w:rPr>
                <w:b/>
                <w:sz w:val="20"/>
                <w:szCs w:val="20"/>
              </w:rPr>
              <w:t>eolia Es Industrial Services Inc.</w:t>
            </w:r>
          </w:p>
          <w:p w:rsidR="005525F2" w:rsidRPr="000006A7" w:rsidRDefault="005525F2" w:rsidP="00AE3198">
            <w:pPr>
              <w:tabs>
                <w:tab w:val="left" w:pos="-1440"/>
                <w:tab w:val="left" w:pos="-720"/>
              </w:tabs>
              <w:rPr>
                <w:sz w:val="20"/>
                <w:szCs w:val="20"/>
              </w:rPr>
            </w:pPr>
            <w:r w:rsidRPr="000006A7">
              <w:rPr>
                <w:sz w:val="20"/>
                <w:szCs w:val="20"/>
              </w:rPr>
              <w:tab/>
            </w:r>
            <w:r w:rsidR="000006A7">
              <w:rPr>
                <w:sz w:val="20"/>
                <w:szCs w:val="20"/>
              </w:rPr>
              <w:t>Rodney M. Godard</w:t>
            </w:r>
          </w:p>
          <w:p w:rsidR="005525F2" w:rsidRPr="000006A7" w:rsidRDefault="005525F2" w:rsidP="00AE3198">
            <w:pPr>
              <w:tabs>
                <w:tab w:val="left" w:pos="-1440"/>
                <w:tab w:val="left" w:pos="-720"/>
              </w:tabs>
              <w:rPr>
                <w:sz w:val="20"/>
                <w:szCs w:val="20"/>
              </w:rPr>
            </w:pPr>
            <w:r w:rsidRPr="000006A7">
              <w:rPr>
                <w:sz w:val="20"/>
                <w:szCs w:val="20"/>
              </w:rPr>
              <w:tab/>
            </w:r>
            <w:proofErr w:type="spellStart"/>
            <w:r w:rsidR="000006A7">
              <w:rPr>
                <w:sz w:val="20"/>
                <w:szCs w:val="20"/>
              </w:rPr>
              <w:t>Kirwin</w:t>
            </w:r>
            <w:proofErr w:type="spellEnd"/>
            <w:r w:rsidR="000006A7">
              <w:rPr>
                <w:sz w:val="20"/>
                <w:szCs w:val="20"/>
              </w:rPr>
              <w:t xml:space="preserve"> Partners LLP</w:t>
            </w:r>
          </w:p>
          <w:p w:rsidR="005525F2" w:rsidRPr="000006A7" w:rsidRDefault="005525F2" w:rsidP="00AE3198">
            <w:pPr>
              <w:tabs>
                <w:tab w:val="left" w:pos="-1440"/>
                <w:tab w:val="left" w:pos="-720"/>
              </w:tabs>
              <w:rPr>
                <w:sz w:val="20"/>
                <w:szCs w:val="20"/>
              </w:rPr>
            </w:pPr>
          </w:p>
          <w:p w:rsidR="005525F2" w:rsidRPr="000006A7" w:rsidRDefault="005525F2" w:rsidP="00AE3198">
            <w:pPr>
              <w:tabs>
                <w:tab w:val="left" w:pos="-1440"/>
                <w:tab w:val="left" w:pos="-720"/>
              </w:tabs>
              <w:rPr>
                <w:sz w:val="20"/>
                <w:szCs w:val="20"/>
              </w:rPr>
            </w:pPr>
            <w:r w:rsidRPr="000006A7">
              <w:rPr>
                <w:sz w:val="20"/>
                <w:szCs w:val="20"/>
              </w:rPr>
              <w:tab/>
              <w:t>v. (34</w:t>
            </w:r>
            <w:r w:rsidR="000006A7">
              <w:rPr>
                <w:sz w:val="20"/>
                <w:szCs w:val="20"/>
              </w:rPr>
              <w:t>832</w:t>
            </w:r>
            <w:r w:rsidRPr="000006A7">
              <w:rPr>
                <w:sz w:val="20"/>
                <w:szCs w:val="20"/>
              </w:rPr>
              <w:t>)</w:t>
            </w:r>
          </w:p>
          <w:p w:rsidR="005525F2" w:rsidRPr="000006A7" w:rsidRDefault="005525F2" w:rsidP="00AE3198">
            <w:pPr>
              <w:tabs>
                <w:tab w:val="left" w:pos="-1440"/>
                <w:tab w:val="left" w:pos="-720"/>
              </w:tabs>
              <w:rPr>
                <w:sz w:val="20"/>
                <w:szCs w:val="20"/>
              </w:rPr>
            </w:pPr>
          </w:p>
          <w:p w:rsidR="005525F2" w:rsidRPr="00A37839" w:rsidRDefault="000006A7" w:rsidP="00AE3198">
            <w:pPr>
              <w:tabs>
                <w:tab w:val="left" w:pos="-1440"/>
                <w:tab w:val="left" w:pos="-720"/>
              </w:tabs>
              <w:rPr>
                <w:b/>
                <w:sz w:val="20"/>
                <w:szCs w:val="20"/>
              </w:rPr>
            </w:pPr>
            <w:r w:rsidRPr="00A37839">
              <w:rPr>
                <w:b/>
                <w:sz w:val="20"/>
                <w:szCs w:val="20"/>
              </w:rPr>
              <w:t xml:space="preserve">John </w:t>
            </w:r>
            <w:proofErr w:type="spellStart"/>
            <w:r w:rsidRPr="00A37839">
              <w:rPr>
                <w:b/>
                <w:sz w:val="20"/>
                <w:szCs w:val="20"/>
              </w:rPr>
              <w:t>Brulé</w:t>
            </w:r>
            <w:proofErr w:type="spellEnd"/>
            <w:r w:rsidRPr="00A37839">
              <w:rPr>
                <w:b/>
                <w:sz w:val="20"/>
                <w:szCs w:val="20"/>
              </w:rPr>
              <w:t xml:space="preserve"> et al. </w:t>
            </w:r>
            <w:r w:rsidR="005525F2" w:rsidRPr="00A37839">
              <w:rPr>
                <w:b/>
                <w:sz w:val="20"/>
                <w:szCs w:val="20"/>
              </w:rPr>
              <w:t>(</w:t>
            </w:r>
            <w:r w:rsidRPr="00A37839">
              <w:rPr>
                <w:b/>
                <w:sz w:val="20"/>
                <w:szCs w:val="20"/>
              </w:rPr>
              <w:t>Ont</w:t>
            </w:r>
            <w:r w:rsidR="005525F2" w:rsidRPr="00A37839">
              <w:rPr>
                <w:b/>
                <w:sz w:val="20"/>
                <w:szCs w:val="20"/>
              </w:rPr>
              <w:t>.)</w:t>
            </w:r>
          </w:p>
          <w:p w:rsidR="005525F2" w:rsidRPr="000006A7" w:rsidRDefault="005525F2" w:rsidP="00AE3198">
            <w:pPr>
              <w:tabs>
                <w:tab w:val="left" w:pos="-1440"/>
                <w:tab w:val="left" w:pos="-720"/>
              </w:tabs>
              <w:rPr>
                <w:sz w:val="20"/>
                <w:szCs w:val="20"/>
              </w:rPr>
            </w:pPr>
            <w:r w:rsidRPr="00A37839">
              <w:rPr>
                <w:sz w:val="20"/>
                <w:szCs w:val="20"/>
              </w:rPr>
              <w:tab/>
            </w:r>
            <w:r w:rsidR="000006A7" w:rsidRPr="000006A7">
              <w:rPr>
                <w:sz w:val="20"/>
                <w:szCs w:val="20"/>
              </w:rPr>
              <w:t xml:space="preserve">Joseph Y. </w:t>
            </w:r>
            <w:proofErr w:type="spellStart"/>
            <w:r w:rsidR="000006A7" w:rsidRPr="000006A7">
              <w:rPr>
                <w:sz w:val="20"/>
                <w:szCs w:val="20"/>
              </w:rPr>
              <w:t>Obagi</w:t>
            </w:r>
            <w:proofErr w:type="spellEnd"/>
          </w:p>
          <w:p w:rsidR="005525F2" w:rsidRPr="000006A7" w:rsidRDefault="005525F2" w:rsidP="00AE3198">
            <w:pPr>
              <w:tabs>
                <w:tab w:val="left" w:pos="-1440"/>
                <w:tab w:val="left" w:pos="-720"/>
              </w:tabs>
              <w:rPr>
                <w:sz w:val="20"/>
                <w:szCs w:val="20"/>
              </w:rPr>
            </w:pPr>
            <w:r w:rsidRPr="000006A7">
              <w:rPr>
                <w:sz w:val="20"/>
                <w:szCs w:val="20"/>
              </w:rPr>
              <w:tab/>
            </w:r>
            <w:r w:rsidR="000006A7" w:rsidRPr="000006A7">
              <w:rPr>
                <w:sz w:val="20"/>
                <w:szCs w:val="20"/>
              </w:rPr>
              <w:t xml:space="preserve">Connolly </w:t>
            </w:r>
            <w:proofErr w:type="spellStart"/>
            <w:r w:rsidR="000006A7" w:rsidRPr="000006A7">
              <w:rPr>
                <w:sz w:val="20"/>
                <w:szCs w:val="20"/>
              </w:rPr>
              <w:t>Obagi</w:t>
            </w:r>
            <w:proofErr w:type="spellEnd"/>
            <w:r w:rsidR="000006A7" w:rsidRPr="000006A7">
              <w:rPr>
                <w:sz w:val="20"/>
                <w:szCs w:val="20"/>
              </w:rPr>
              <w:t xml:space="preserve"> LLP</w:t>
            </w:r>
          </w:p>
          <w:p w:rsidR="005525F2" w:rsidRPr="000006A7" w:rsidRDefault="005525F2" w:rsidP="00AE3198">
            <w:pPr>
              <w:tabs>
                <w:tab w:val="left" w:pos="-1440"/>
                <w:tab w:val="left" w:pos="-720"/>
              </w:tabs>
              <w:rPr>
                <w:sz w:val="20"/>
                <w:szCs w:val="20"/>
              </w:rPr>
            </w:pPr>
          </w:p>
          <w:p w:rsidR="005525F2" w:rsidRPr="000006A7" w:rsidRDefault="005525F2" w:rsidP="00AE3198">
            <w:pPr>
              <w:rPr>
                <w:sz w:val="20"/>
                <w:szCs w:val="20"/>
              </w:rPr>
            </w:pPr>
            <w:r w:rsidRPr="000006A7">
              <w:rPr>
                <w:sz w:val="20"/>
                <w:szCs w:val="20"/>
              </w:rPr>
              <w:t xml:space="preserve">FILING DATE: </w:t>
            </w:r>
            <w:r w:rsidR="000006A7">
              <w:rPr>
                <w:sz w:val="20"/>
                <w:szCs w:val="20"/>
              </w:rPr>
              <w:t>1</w:t>
            </w:r>
            <w:r w:rsidRPr="000006A7">
              <w:rPr>
                <w:sz w:val="20"/>
                <w:szCs w:val="20"/>
              </w:rPr>
              <w:t>7.05.2012</w:t>
            </w:r>
          </w:p>
          <w:p w:rsidR="005525F2" w:rsidRPr="000006A7" w:rsidRDefault="00ED3438" w:rsidP="00AE3198">
            <w:pPr>
              <w:rPr>
                <w:sz w:val="20"/>
                <w:szCs w:val="20"/>
              </w:rPr>
            </w:pPr>
            <w:r w:rsidRPr="00ED3438">
              <w:rPr>
                <w:sz w:val="20"/>
                <w:szCs w:val="20"/>
                <w:lang w:val="fr-CA"/>
              </w:rPr>
              <w:pict>
                <v:rect id="_x0000_i1030" style="width:108pt;height:1pt" o:hrpct="0" o:hralign="center" o:hrstd="t" o:hrnoshade="t" o:hr="t" fillcolor="black [3213]" stroked="f"/>
              </w:pict>
            </w:r>
          </w:p>
        </w:tc>
        <w:tc>
          <w:tcPr>
            <w:tcW w:w="1181" w:type="dxa"/>
            <w:shd w:val="clear" w:color="auto" w:fill="auto"/>
          </w:tcPr>
          <w:p w:rsidR="005525F2" w:rsidRPr="000006A7" w:rsidRDefault="005525F2" w:rsidP="00242AEE">
            <w:pPr>
              <w:jc w:val="center"/>
              <w:rPr>
                <w:sz w:val="20"/>
                <w:szCs w:val="20"/>
              </w:rPr>
            </w:pPr>
          </w:p>
          <w:p w:rsidR="005525F2" w:rsidRPr="000006A7" w:rsidRDefault="005525F2" w:rsidP="00242AEE">
            <w:pPr>
              <w:jc w:val="center"/>
              <w:rPr>
                <w:sz w:val="20"/>
                <w:szCs w:val="20"/>
              </w:rPr>
            </w:pPr>
          </w:p>
          <w:p w:rsidR="005525F2" w:rsidRPr="000006A7" w:rsidRDefault="005525F2" w:rsidP="00242AEE">
            <w:pPr>
              <w:jc w:val="center"/>
              <w:rPr>
                <w:sz w:val="20"/>
                <w:szCs w:val="20"/>
              </w:rPr>
            </w:pPr>
          </w:p>
          <w:p w:rsidR="005525F2" w:rsidRPr="000006A7" w:rsidRDefault="005525F2" w:rsidP="00242AEE">
            <w:pPr>
              <w:jc w:val="center"/>
              <w:rPr>
                <w:sz w:val="20"/>
                <w:szCs w:val="20"/>
              </w:rPr>
            </w:pPr>
          </w:p>
          <w:p w:rsidR="005525F2" w:rsidRPr="000006A7" w:rsidRDefault="005525F2" w:rsidP="00242AEE">
            <w:pPr>
              <w:jc w:val="center"/>
              <w:rPr>
                <w:sz w:val="20"/>
                <w:szCs w:val="20"/>
              </w:rPr>
            </w:pPr>
          </w:p>
          <w:p w:rsidR="005525F2" w:rsidRPr="000006A7" w:rsidRDefault="005525F2" w:rsidP="00242AEE">
            <w:pPr>
              <w:jc w:val="center"/>
              <w:rPr>
                <w:sz w:val="20"/>
                <w:szCs w:val="20"/>
              </w:rPr>
            </w:pPr>
          </w:p>
          <w:p w:rsidR="005525F2" w:rsidRPr="000006A7" w:rsidRDefault="005525F2" w:rsidP="00242AEE">
            <w:pPr>
              <w:jc w:val="center"/>
              <w:rPr>
                <w:sz w:val="20"/>
                <w:szCs w:val="20"/>
              </w:rPr>
            </w:pPr>
          </w:p>
          <w:p w:rsidR="005525F2" w:rsidRPr="000006A7" w:rsidRDefault="005525F2" w:rsidP="00242AEE">
            <w:pPr>
              <w:jc w:val="center"/>
              <w:rPr>
                <w:sz w:val="20"/>
                <w:szCs w:val="20"/>
              </w:rPr>
            </w:pPr>
          </w:p>
          <w:p w:rsidR="005525F2" w:rsidRPr="000006A7" w:rsidRDefault="005525F2" w:rsidP="00242AEE">
            <w:pPr>
              <w:jc w:val="center"/>
              <w:rPr>
                <w:sz w:val="20"/>
                <w:szCs w:val="20"/>
              </w:rPr>
            </w:pPr>
          </w:p>
          <w:p w:rsidR="005525F2" w:rsidRPr="000006A7" w:rsidRDefault="005525F2" w:rsidP="00242AEE">
            <w:pPr>
              <w:jc w:val="center"/>
              <w:rPr>
                <w:sz w:val="20"/>
                <w:szCs w:val="20"/>
              </w:rPr>
            </w:pPr>
          </w:p>
          <w:p w:rsidR="005525F2" w:rsidRPr="000006A7" w:rsidRDefault="005525F2" w:rsidP="00242AEE">
            <w:pPr>
              <w:jc w:val="center"/>
              <w:rPr>
                <w:sz w:val="20"/>
                <w:szCs w:val="20"/>
              </w:rPr>
            </w:pPr>
          </w:p>
          <w:p w:rsidR="005525F2" w:rsidRPr="000006A7" w:rsidRDefault="005525F2" w:rsidP="00242AEE">
            <w:pPr>
              <w:jc w:val="center"/>
              <w:rPr>
                <w:sz w:val="20"/>
                <w:szCs w:val="20"/>
              </w:rPr>
            </w:pPr>
          </w:p>
          <w:p w:rsidR="005525F2" w:rsidRPr="000006A7" w:rsidRDefault="005525F2" w:rsidP="00242AEE">
            <w:pPr>
              <w:jc w:val="center"/>
              <w:rPr>
                <w:sz w:val="20"/>
                <w:szCs w:val="20"/>
              </w:rPr>
            </w:pPr>
          </w:p>
        </w:tc>
        <w:tc>
          <w:tcPr>
            <w:tcW w:w="4320" w:type="dxa"/>
            <w:shd w:val="clear" w:color="auto" w:fill="auto"/>
          </w:tcPr>
          <w:p w:rsidR="005525F2" w:rsidRPr="000006A7" w:rsidRDefault="000006A7" w:rsidP="00AE3198">
            <w:pPr>
              <w:keepNext/>
              <w:keepLines/>
              <w:tabs>
                <w:tab w:val="left" w:pos="-1440"/>
                <w:tab w:val="left" w:pos="-720"/>
              </w:tabs>
              <w:rPr>
                <w:b/>
                <w:sz w:val="20"/>
                <w:szCs w:val="20"/>
              </w:rPr>
            </w:pPr>
            <w:proofErr w:type="spellStart"/>
            <w:r>
              <w:rPr>
                <w:b/>
                <w:sz w:val="20"/>
                <w:szCs w:val="20"/>
              </w:rPr>
              <w:t>Lilach</w:t>
            </w:r>
            <w:proofErr w:type="spellEnd"/>
            <w:r>
              <w:rPr>
                <w:b/>
                <w:sz w:val="20"/>
                <w:szCs w:val="20"/>
              </w:rPr>
              <w:t xml:space="preserve"> </w:t>
            </w:r>
            <w:proofErr w:type="spellStart"/>
            <w:r>
              <w:rPr>
                <w:b/>
                <w:sz w:val="20"/>
                <w:szCs w:val="20"/>
              </w:rPr>
              <w:t>Stav</w:t>
            </w:r>
            <w:proofErr w:type="spellEnd"/>
          </w:p>
          <w:p w:rsidR="005525F2" w:rsidRPr="000006A7" w:rsidRDefault="005525F2" w:rsidP="00AE3198">
            <w:pPr>
              <w:keepNext/>
              <w:keepLines/>
              <w:tabs>
                <w:tab w:val="left" w:pos="-1440"/>
                <w:tab w:val="left" w:pos="-720"/>
              </w:tabs>
              <w:rPr>
                <w:sz w:val="20"/>
                <w:szCs w:val="20"/>
              </w:rPr>
            </w:pPr>
            <w:r w:rsidRPr="000006A7">
              <w:rPr>
                <w:sz w:val="20"/>
                <w:szCs w:val="20"/>
              </w:rPr>
              <w:tab/>
            </w:r>
            <w:r w:rsidR="000006A7">
              <w:rPr>
                <w:sz w:val="20"/>
                <w:szCs w:val="20"/>
              </w:rPr>
              <w:t>Ben J. Ingram</w:t>
            </w:r>
          </w:p>
          <w:p w:rsidR="005525F2" w:rsidRPr="000006A7" w:rsidRDefault="005525F2" w:rsidP="00AE3198">
            <w:pPr>
              <w:keepNext/>
              <w:keepLines/>
              <w:tabs>
                <w:tab w:val="left" w:pos="-1440"/>
                <w:tab w:val="left" w:pos="-720"/>
              </w:tabs>
              <w:rPr>
                <w:sz w:val="20"/>
                <w:szCs w:val="20"/>
              </w:rPr>
            </w:pPr>
            <w:r w:rsidRPr="000006A7">
              <w:rPr>
                <w:sz w:val="20"/>
                <w:szCs w:val="20"/>
              </w:rPr>
              <w:tab/>
            </w:r>
            <w:r w:rsidR="000006A7">
              <w:rPr>
                <w:sz w:val="20"/>
                <w:szCs w:val="20"/>
              </w:rPr>
              <w:t>Ben Ingram &amp; Associates</w:t>
            </w:r>
          </w:p>
          <w:p w:rsidR="005525F2" w:rsidRPr="000006A7" w:rsidRDefault="005525F2" w:rsidP="00AE3198">
            <w:pPr>
              <w:keepNext/>
              <w:keepLines/>
              <w:tabs>
                <w:tab w:val="left" w:pos="-1440"/>
                <w:tab w:val="left" w:pos="-720"/>
              </w:tabs>
              <w:rPr>
                <w:sz w:val="20"/>
                <w:szCs w:val="20"/>
              </w:rPr>
            </w:pPr>
          </w:p>
          <w:p w:rsidR="005525F2" w:rsidRPr="000006A7" w:rsidRDefault="005525F2" w:rsidP="00AE3198">
            <w:pPr>
              <w:keepNext/>
              <w:keepLines/>
              <w:tabs>
                <w:tab w:val="left" w:pos="-1440"/>
                <w:tab w:val="left" w:pos="-720"/>
              </w:tabs>
              <w:rPr>
                <w:sz w:val="20"/>
                <w:szCs w:val="20"/>
              </w:rPr>
            </w:pPr>
            <w:r w:rsidRPr="000006A7">
              <w:rPr>
                <w:sz w:val="20"/>
                <w:szCs w:val="20"/>
              </w:rPr>
              <w:tab/>
              <w:t>v. (34</w:t>
            </w:r>
            <w:r w:rsidR="000006A7">
              <w:rPr>
                <w:sz w:val="20"/>
                <w:szCs w:val="20"/>
              </w:rPr>
              <w:t>833)</w:t>
            </w:r>
          </w:p>
          <w:p w:rsidR="005525F2" w:rsidRPr="000006A7" w:rsidRDefault="005525F2" w:rsidP="00AE3198">
            <w:pPr>
              <w:keepNext/>
              <w:keepLines/>
              <w:tabs>
                <w:tab w:val="left" w:pos="-1440"/>
                <w:tab w:val="left" w:pos="-720"/>
              </w:tabs>
              <w:rPr>
                <w:sz w:val="20"/>
                <w:szCs w:val="20"/>
              </w:rPr>
            </w:pPr>
          </w:p>
          <w:p w:rsidR="005525F2" w:rsidRPr="000006A7" w:rsidRDefault="000006A7" w:rsidP="00AE3198">
            <w:pPr>
              <w:keepNext/>
              <w:keepLines/>
              <w:tabs>
                <w:tab w:val="left" w:pos="-1440"/>
                <w:tab w:val="left" w:pos="-720"/>
              </w:tabs>
              <w:rPr>
                <w:b/>
                <w:sz w:val="20"/>
                <w:szCs w:val="20"/>
              </w:rPr>
            </w:pPr>
            <w:r>
              <w:rPr>
                <w:b/>
                <w:sz w:val="20"/>
                <w:szCs w:val="20"/>
              </w:rPr>
              <w:t xml:space="preserve">Gil </w:t>
            </w:r>
            <w:proofErr w:type="spellStart"/>
            <w:r>
              <w:rPr>
                <w:b/>
                <w:sz w:val="20"/>
                <w:szCs w:val="20"/>
              </w:rPr>
              <w:t>Stav</w:t>
            </w:r>
            <w:proofErr w:type="spellEnd"/>
            <w:r>
              <w:rPr>
                <w:b/>
                <w:sz w:val="20"/>
                <w:szCs w:val="20"/>
              </w:rPr>
              <w:t xml:space="preserve"> </w:t>
            </w:r>
            <w:r w:rsidR="005525F2" w:rsidRPr="000006A7">
              <w:rPr>
                <w:b/>
                <w:sz w:val="20"/>
                <w:szCs w:val="20"/>
              </w:rPr>
              <w:t>(</w:t>
            </w:r>
            <w:r>
              <w:rPr>
                <w:b/>
                <w:sz w:val="20"/>
                <w:szCs w:val="20"/>
              </w:rPr>
              <w:t>B.C</w:t>
            </w:r>
            <w:r w:rsidR="005525F2" w:rsidRPr="000006A7">
              <w:rPr>
                <w:b/>
                <w:sz w:val="20"/>
                <w:szCs w:val="20"/>
              </w:rPr>
              <w:t>.)</w:t>
            </w:r>
          </w:p>
          <w:p w:rsidR="005525F2" w:rsidRPr="000006A7" w:rsidRDefault="005525F2" w:rsidP="00AE3198">
            <w:pPr>
              <w:keepNext/>
              <w:keepLines/>
              <w:tabs>
                <w:tab w:val="left" w:pos="-1440"/>
                <w:tab w:val="left" w:pos="-720"/>
              </w:tabs>
              <w:rPr>
                <w:sz w:val="20"/>
                <w:szCs w:val="20"/>
              </w:rPr>
            </w:pPr>
            <w:r w:rsidRPr="000006A7">
              <w:rPr>
                <w:sz w:val="20"/>
                <w:szCs w:val="20"/>
              </w:rPr>
              <w:tab/>
            </w:r>
            <w:r w:rsidR="000006A7">
              <w:rPr>
                <w:sz w:val="20"/>
                <w:szCs w:val="20"/>
              </w:rPr>
              <w:t xml:space="preserve">Gil </w:t>
            </w:r>
            <w:proofErr w:type="spellStart"/>
            <w:r w:rsidR="000006A7">
              <w:rPr>
                <w:sz w:val="20"/>
                <w:szCs w:val="20"/>
              </w:rPr>
              <w:t>Stav</w:t>
            </w:r>
            <w:proofErr w:type="spellEnd"/>
          </w:p>
          <w:p w:rsidR="005525F2" w:rsidRPr="000006A7" w:rsidRDefault="005525F2" w:rsidP="00AE3198">
            <w:pPr>
              <w:keepNext/>
              <w:keepLines/>
              <w:tabs>
                <w:tab w:val="left" w:pos="-1440"/>
                <w:tab w:val="left" w:pos="-720"/>
              </w:tabs>
              <w:rPr>
                <w:sz w:val="20"/>
                <w:szCs w:val="20"/>
              </w:rPr>
            </w:pPr>
          </w:p>
          <w:p w:rsidR="005525F2" w:rsidRPr="000006A7" w:rsidRDefault="005525F2" w:rsidP="000006A7">
            <w:pPr>
              <w:rPr>
                <w:sz w:val="20"/>
                <w:szCs w:val="20"/>
              </w:rPr>
            </w:pPr>
            <w:r w:rsidRPr="000006A7">
              <w:rPr>
                <w:sz w:val="20"/>
                <w:szCs w:val="20"/>
              </w:rPr>
              <w:t xml:space="preserve">FILING DATE: </w:t>
            </w:r>
            <w:r w:rsidR="000006A7">
              <w:rPr>
                <w:sz w:val="20"/>
                <w:szCs w:val="20"/>
              </w:rPr>
              <w:t>1</w:t>
            </w:r>
            <w:r w:rsidRPr="000006A7">
              <w:rPr>
                <w:sz w:val="20"/>
                <w:szCs w:val="20"/>
              </w:rPr>
              <w:t>8.05.2012</w:t>
            </w:r>
            <w:r w:rsidR="00ED3438" w:rsidRPr="00ED3438">
              <w:rPr>
                <w:sz w:val="20"/>
                <w:szCs w:val="20"/>
                <w:lang w:val="fr-CA"/>
              </w:rPr>
              <w:pict>
                <v:rect id="_x0000_i1031" style="width:108pt;height:1pt" o:hrpct="0" o:hralign="center" o:hrstd="t" o:hrnoshade="t" o:hr="t" fillcolor="black [3213]" stroked="f"/>
              </w:pict>
            </w:r>
          </w:p>
        </w:tc>
      </w:tr>
      <w:tr w:rsidR="005525F2" w:rsidRPr="00A935AA" w:rsidTr="003B3977">
        <w:trPr>
          <w:cantSplit/>
        </w:trPr>
        <w:tc>
          <w:tcPr>
            <w:tcW w:w="4320" w:type="dxa"/>
            <w:shd w:val="clear" w:color="auto" w:fill="auto"/>
          </w:tcPr>
          <w:p w:rsidR="005525F2" w:rsidRPr="000006A7" w:rsidRDefault="000006A7" w:rsidP="00AE3198">
            <w:pPr>
              <w:rPr>
                <w:b/>
                <w:sz w:val="20"/>
                <w:szCs w:val="20"/>
              </w:rPr>
            </w:pPr>
            <w:r>
              <w:rPr>
                <w:b/>
                <w:sz w:val="20"/>
                <w:szCs w:val="20"/>
              </w:rPr>
              <w:t>Her Majesty the Queen</w:t>
            </w:r>
          </w:p>
          <w:p w:rsidR="005525F2" w:rsidRPr="000006A7" w:rsidRDefault="005525F2" w:rsidP="00AE3198">
            <w:pPr>
              <w:tabs>
                <w:tab w:val="left" w:pos="-1440"/>
                <w:tab w:val="left" w:pos="-720"/>
              </w:tabs>
              <w:rPr>
                <w:sz w:val="20"/>
                <w:szCs w:val="20"/>
              </w:rPr>
            </w:pPr>
            <w:r w:rsidRPr="000006A7">
              <w:rPr>
                <w:sz w:val="20"/>
                <w:szCs w:val="20"/>
              </w:rPr>
              <w:tab/>
            </w:r>
            <w:r w:rsidR="000006A7">
              <w:rPr>
                <w:sz w:val="20"/>
                <w:szCs w:val="20"/>
              </w:rPr>
              <w:t>Bonnie F. Moon</w:t>
            </w:r>
          </w:p>
          <w:p w:rsidR="005525F2" w:rsidRPr="000006A7" w:rsidRDefault="005525F2" w:rsidP="00AE3198">
            <w:pPr>
              <w:tabs>
                <w:tab w:val="left" w:pos="-1440"/>
                <w:tab w:val="left" w:pos="-720"/>
              </w:tabs>
              <w:rPr>
                <w:sz w:val="20"/>
                <w:szCs w:val="20"/>
              </w:rPr>
            </w:pPr>
            <w:r w:rsidRPr="000006A7">
              <w:rPr>
                <w:sz w:val="20"/>
                <w:szCs w:val="20"/>
              </w:rPr>
              <w:tab/>
            </w:r>
            <w:r w:rsidR="000006A7">
              <w:rPr>
                <w:sz w:val="20"/>
                <w:szCs w:val="20"/>
              </w:rPr>
              <w:t>A.G. of Canada</w:t>
            </w:r>
          </w:p>
          <w:p w:rsidR="005525F2" w:rsidRPr="000006A7" w:rsidRDefault="005525F2" w:rsidP="00AE3198">
            <w:pPr>
              <w:tabs>
                <w:tab w:val="left" w:pos="-1440"/>
                <w:tab w:val="left" w:pos="-720"/>
              </w:tabs>
              <w:rPr>
                <w:sz w:val="20"/>
                <w:szCs w:val="20"/>
              </w:rPr>
            </w:pPr>
          </w:p>
          <w:p w:rsidR="005525F2" w:rsidRPr="00A935AA" w:rsidRDefault="005525F2" w:rsidP="00AE3198">
            <w:pPr>
              <w:tabs>
                <w:tab w:val="left" w:pos="-1440"/>
                <w:tab w:val="left" w:pos="-720"/>
              </w:tabs>
              <w:rPr>
                <w:sz w:val="20"/>
                <w:szCs w:val="20"/>
              </w:rPr>
            </w:pPr>
            <w:r w:rsidRPr="000006A7">
              <w:rPr>
                <w:sz w:val="20"/>
                <w:szCs w:val="20"/>
              </w:rPr>
              <w:tab/>
            </w:r>
            <w:r w:rsidRPr="00A935AA">
              <w:rPr>
                <w:sz w:val="20"/>
                <w:szCs w:val="20"/>
              </w:rPr>
              <w:t>v. (3</w:t>
            </w:r>
            <w:r>
              <w:rPr>
                <w:sz w:val="20"/>
                <w:szCs w:val="20"/>
              </w:rPr>
              <w:t>4</w:t>
            </w:r>
            <w:r w:rsidR="000006A7">
              <w:rPr>
                <w:sz w:val="20"/>
                <w:szCs w:val="20"/>
              </w:rPr>
              <w:t>834</w:t>
            </w:r>
            <w:r w:rsidRPr="00A935AA">
              <w:rPr>
                <w:sz w:val="20"/>
                <w:szCs w:val="20"/>
              </w:rPr>
              <w:t>)</w:t>
            </w:r>
          </w:p>
          <w:p w:rsidR="005525F2" w:rsidRPr="00A935AA" w:rsidRDefault="005525F2" w:rsidP="00AE3198">
            <w:pPr>
              <w:tabs>
                <w:tab w:val="left" w:pos="-1440"/>
                <w:tab w:val="left" w:pos="-720"/>
              </w:tabs>
              <w:rPr>
                <w:sz w:val="20"/>
                <w:szCs w:val="20"/>
              </w:rPr>
            </w:pPr>
          </w:p>
          <w:p w:rsidR="005525F2" w:rsidRPr="000006A7" w:rsidRDefault="000006A7" w:rsidP="00AE3198">
            <w:pPr>
              <w:tabs>
                <w:tab w:val="left" w:pos="-1440"/>
                <w:tab w:val="left" w:pos="-720"/>
              </w:tabs>
              <w:rPr>
                <w:b/>
                <w:sz w:val="20"/>
                <w:szCs w:val="20"/>
                <w:lang w:val="fr-CA"/>
              </w:rPr>
            </w:pPr>
            <w:r w:rsidRPr="000006A7">
              <w:rPr>
                <w:b/>
                <w:sz w:val="20"/>
                <w:szCs w:val="20"/>
                <w:lang w:val="fr-CA"/>
              </w:rPr>
              <w:t>Ronald Robertson et al.</w:t>
            </w:r>
            <w:r>
              <w:rPr>
                <w:b/>
                <w:sz w:val="20"/>
                <w:szCs w:val="20"/>
                <w:lang w:val="fr-CA"/>
              </w:rPr>
              <w:t xml:space="preserve"> </w:t>
            </w:r>
            <w:r w:rsidR="005525F2" w:rsidRPr="000006A7">
              <w:rPr>
                <w:b/>
                <w:sz w:val="20"/>
                <w:szCs w:val="20"/>
                <w:lang w:val="fr-CA"/>
              </w:rPr>
              <w:t>(</w:t>
            </w:r>
            <w:r>
              <w:rPr>
                <w:b/>
                <w:sz w:val="20"/>
                <w:szCs w:val="20"/>
                <w:lang w:val="fr-CA"/>
              </w:rPr>
              <w:t>F</w:t>
            </w:r>
            <w:r w:rsidR="005525F2" w:rsidRPr="000006A7">
              <w:rPr>
                <w:b/>
                <w:sz w:val="20"/>
                <w:szCs w:val="20"/>
                <w:lang w:val="fr-CA"/>
              </w:rPr>
              <w:t>.C.)</w:t>
            </w:r>
          </w:p>
          <w:p w:rsidR="005525F2" w:rsidRPr="000006A7" w:rsidRDefault="005525F2" w:rsidP="00AE3198">
            <w:pPr>
              <w:tabs>
                <w:tab w:val="left" w:pos="-1440"/>
                <w:tab w:val="left" w:pos="-720"/>
              </w:tabs>
              <w:rPr>
                <w:sz w:val="20"/>
                <w:szCs w:val="20"/>
              </w:rPr>
            </w:pPr>
            <w:r w:rsidRPr="000006A7">
              <w:rPr>
                <w:sz w:val="20"/>
                <w:szCs w:val="20"/>
                <w:lang w:val="fr-CA"/>
              </w:rPr>
              <w:tab/>
            </w:r>
            <w:r w:rsidR="000006A7" w:rsidRPr="000006A7">
              <w:rPr>
                <w:sz w:val="20"/>
                <w:szCs w:val="20"/>
              </w:rPr>
              <w:t>J.R. Norman Boudreau</w:t>
            </w:r>
          </w:p>
          <w:p w:rsidR="005525F2" w:rsidRPr="000006A7" w:rsidRDefault="005525F2" w:rsidP="00AE3198">
            <w:pPr>
              <w:tabs>
                <w:tab w:val="left" w:pos="-1440"/>
                <w:tab w:val="left" w:pos="-720"/>
              </w:tabs>
              <w:rPr>
                <w:sz w:val="20"/>
                <w:szCs w:val="20"/>
              </w:rPr>
            </w:pPr>
            <w:r w:rsidRPr="000006A7">
              <w:rPr>
                <w:sz w:val="20"/>
                <w:szCs w:val="20"/>
              </w:rPr>
              <w:tab/>
            </w:r>
            <w:r w:rsidR="000006A7" w:rsidRPr="000006A7">
              <w:rPr>
                <w:sz w:val="20"/>
                <w:szCs w:val="20"/>
              </w:rPr>
              <w:t xml:space="preserve">Booth </w:t>
            </w:r>
            <w:proofErr w:type="spellStart"/>
            <w:r w:rsidR="000006A7" w:rsidRPr="000006A7">
              <w:rPr>
                <w:sz w:val="20"/>
                <w:szCs w:val="20"/>
              </w:rPr>
              <w:t>Dennehy</w:t>
            </w:r>
            <w:proofErr w:type="spellEnd"/>
            <w:r w:rsidR="000006A7" w:rsidRPr="000006A7">
              <w:rPr>
                <w:sz w:val="20"/>
                <w:szCs w:val="20"/>
              </w:rPr>
              <w:t xml:space="preserve"> LLP</w:t>
            </w:r>
          </w:p>
          <w:p w:rsidR="005525F2" w:rsidRPr="000006A7" w:rsidRDefault="005525F2" w:rsidP="00AE3198">
            <w:pPr>
              <w:tabs>
                <w:tab w:val="left" w:pos="-1440"/>
                <w:tab w:val="left" w:pos="-720"/>
              </w:tabs>
              <w:rPr>
                <w:sz w:val="20"/>
                <w:szCs w:val="20"/>
              </w:rPr>
            </w:pPr>
          </w:p>
          <w:p w:rsidR="005525F2" w:rsidRPr="00A935AA" w:rsidRDefault="005525F2" w:rsidP="00AE3198">
            <w:pPr>
              <w:rPr>
                <w:sz w:val="20"/>
                <w:szCs w:val="20"/>
              </w:rPr>
            </w:pPr>
            <w:r w:rsidRPr="00A935AA">
              <w:rPr>
                <w:sz w:val="20"/>
                <w:szCs w:val="20"/>
              </w:rPr>
              <w:t xml:space="preserve">FILING DATE: </w:t>
            </w:r>
            <w:r w:rsidR="000006A7">
              <w:rPr>
                <w:sz w:val="20"/>
                <w:szCs w:val="20"/>
              </w:rPr>
              <w:t>18</w:t>
            </w:r>
            <w:r w:rsidRPr="00A935AA">
              <w:rPr>
                <w:sz w:val="20"/>
                <w:szCs w:val="20"/>
              </w:rPr>
              <w:t>.0</w:t>
            </w:r>
            <w:r>
              <w:rPr>
                <w:sz w:val="20"/>
                <w:szCs w:val="20"/>
              </w:rPr>
              <w:t>5</w:t>
            </w:r>
            <w:r w:rsidRPr="00A935AA">
              <w:rPr>
                <w:sz w:val="20"/>
                <w:szCs w:val="20"/>
              </w:rPr>
              <w:t>.201</w:t>
            </w:r>
            <w:r>
              <w:rPr>
                <w:sz w:val="20"/>
                <w:szCs w:val="20"/>
              </w:rPr>
              <w:t>2</w:t>
            </w:r>
          </w:p>
          <w:p w:rsidR="005525F2" w:rsidRPr="00A935AA" w:rsidRDefault="00ED3438" w:rsidP="00AE3198">
            <w:pPr>
              <w:rPr>
                <w:sz w:val="20"/>
                <w:szCs w:val="20"/>
              </w:rPr>
            </w:pPr>
            <w:r w:rsidRPr="00ED3438">
              <w:rPr>
                <w:sz w:val="20"/>
                <w:szCs w:val="20"/>
                <w:lang w:val="fr-CA"/>
              </w:rPr>
              <w:pict>
                <v:rect id="_x0000_i1032" style="width:108pt;height:1pt" o:hrpct="0" o:hralign="center" o:hrstd="t" o:hrnoshade="t" o:hr="t" fillcolor="black [3213]" stroked="f"/>
              </w:pict>
            </w:r>
          </w:p>
        </w:tc>
        <w:tc>
          <w:tcPr>
            <w:tcW w:w="1181" w:type="dxa"/>
            <w:shd w:val="clear" w:color="auto" w:fill="auto"/>
          </w:tcPr>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tc>
        <w:tc>
          <w:tcPr>
            <w:tcW w:w="4320" w:type="dxa"/>
            <w:shd w:val="clear" w:color="auto" w:fill="auto"/>
          </w:tcPr>
          <w:p w:rsidR="005525F2" w:rsidRPr="00A935AA" w:rsidRDefault="000006A7" w:rsidP="00AE3198">
            <w:pPr>
              <w:keepNext/>
              <w:keepLines/>
              <w:tabs>
                <w:tab w:val="left" w:pos="-1440"/>
                <w:tab w:val="left" w:pos="-720"/>
              </w:tabs>
              <w:rPr>
                <w:b/>
                <w:sz w:val="20"/>
                <w:szCs w:val="20"/>
              </w:rPr>
            </w:pPr>
            <w:r>
              <w:rPr>
                <w:b/>
                <w:sz w:val="20"/>
                <w:szCs w:val="20"/>
              </w:rPr>
              <w:t>Reggie Lee Harris</w:t>
            </w:r>
          </w:p>
          <w:p w:rsidR="005525F2" w:rsidRPr="00A935AA" w:rsidRDefault="005525F2" w:rsidP="00AE3198">
            <w:pPr>
              <w:keepNext/>
              <w:keepLines/>
              <w:tabs>
                <w:tab w:val="left" w:pos="-1440"/>
                <w:tab w:val="left" w:pos="-720"/>
              </w:tabs>
              <w:rPr>
                <w:sz w:val="20"/>
                <w:szCs w:val="20"/>
              </w:rPr>
            </w:pPr>
            <w:r w:rsidRPr="00A935AA">
              <w:rPr>
                <w:sz w:val="20"/>
                <w:szCs w:val="20"/>
              </w:rPr>
              <w:tab/>
            </w:r>
            <w:r w:rsidR="000006A7">
              <w:rPr>
                <w:sz w:val="20"/>
                <w:szCs w:val="20"/>
              </w:rPr>
              <w:t>Reggie Lee Harris</w:t>
            </w:r>
          </w:p>
          <w:p w:rsidR="005525F2" w:rsidRPr="00A935AA" w:rsidRDefault="005525F2" w:rsidP="00AE3198">
            <w:pPr>
              <w:keepNext/>
              <w:keepLines/>
              <w:tabs>
                <w:tab w:val="left" w:pos="-1440"/>
                <w:tab w:val="left" w:pos="-720"/>
              </w:tabs>
              <w:rPr>
                <w:sz w:val="20"/>
                <w:szCs w:val="20"/>
              </w:rPr>
            </w:pPr>
          </w:p>
          <w:p w:rsidR="005525F2" w:rsidRPr="000006A7" w:rsidRDefault="005525F2" w:rsidP="00AE3198">
            <w:pPr>
              <w:keepNext/>
              <w:keepLines/>
              <w:tabs>
                <w:tab w:val="left" w:pos="-1440"/>
                <w:tab w:val="left" w:pos="-720"/>
              </w:tabs>
              <w:rPr>
                <w:sz w:val="20"/>
                <w:szCs w:val="20"/>
              </w:rPr>
            </w:pPr>
            <w:r w:rsidRPr="00A935AA">
              <w:rPr>
                <w:sz w:val="20"/>
                <w:szCs w:val="20"/>
              </w:rPr>
              <w:tab/>
            </w:r>
            <w:r w:rsidRPr="000006A7">
              <w:rPr>
                <w:sz w:val="20"/>
                <w:szCs w:val="20"/>
              </w:rPr>
              <w:t>v. (34</w:t>
            </w:r>
            <w:r w:rsidR="000006A7">
              <w:rPr>
                <w:sz w:val="20"/>
                <w:szCs w:val="20"/>
              </w:rPr>
              <w:t>83</w:t>
            </w:r>
            <w:r w:rsidRPr="000006A7">
              <w:rPr>
                <w:sz w:val="20"/>
                <w:szCs w:val="20"/>
              </w:rPr>
              <w:t>5)</w:t>
            </w:r>
          </w:p>
          <w:p w:rsidR="005525F2" w:rsidRPr="000006A7" w:rsidRDefault="005525F2" w:rsidP="00AE3198">
            <w:pPr>
              <w:keepNext/>
              <w:keepLines/>
              <w:tabs>
                <w:tab w:val="left" w:pos="-1440"/>
                <w:tab w:val="left" w:pos="-720"/>
              </w:tabs>
              <w:rPr>
                <w:sz w:val="20"/>
                <w:szCs w:val="20"/>
              </w:rPr>
            </w:pPr>
          </w:p>
          <w:p w:rsidR="005525F2" w:rsidRPr="000006A7" w:rsidRDefault="000006A7" w:rsidP="00AE3198">
            <w:pPr>
              <w:keepNext/>
              <w:keepLines/>
              <w:tabs>
                <w:tab w:val="left" w:pos="-1440"/>
                <w:tab w:val="left" w:pos="-720"/>
              </w:tabs>
              <w:rPr>
                <w:b/>
                <w:sz w:val="20"/>
                <w:szCs w:val="20"/>
              </w:rPr>
            </w:pPr>
            <w:r>
              <w:rPr>
                <w:b/>
                <w:sz w:val="20"/>
                <w:szCs w:val="20"/>
              </w:rPr>
              <w:t xml:space="preserve">Her Majesty the Queen </w:t>
            </w:r>
            <w:r w:rsidR="005525F2" w:rsidRPr="000006A7">
              <w:rPr>
                <w:b/>
                <w:sz w:val="20"/>
                <w:szCs w:val="20"/>
              </w:rPr>
              <w:t>(</w:t>
            </w:r>
            <w:r>
              <w:rPr>
                <w:b/>
                <w:sz w:val="20"/>
                <w:szCs w:val="20"/>
              </w:rPr>
              <w:t>Sask</w:t>
            </w:r>
            <w:r w:rsidR="005525F2" w:rsidRPr="000006A7">
              <w:rPr>
                <w:b/>
                <w:sz w:val="20"/>
                <w:szCs w:val="20"/>
              </w:rPr>
              <w:t>.)</w:t>
            </w:r>
          </w:p>
          <w:p w:rsidR="005525F2" w:rsidRPr="000006A7" w:rsidRDefault="005525F2" w:rsidP="00AE3198">
            <w:pPr>
              <w:keepNext/>
              <w:keepLines/>
              <w:tabs>
                <w:tab w:val="left" w:pos="-1440"/>
                <w:tab w:val="left" w:pos="-720"/>
              </w:tabs>
              <w:rPr>
                <w:sz w:val="20"/>
                <w:szCs w:val="20"/>
              </w:rPr>
            </w:pPr>
            <w:r w:rsidRPr="000006A7">
              <w:rPr>
                <w:sz w:val="20"/>
                <w:szCs w:val="20"/>
              </w:rPr>
              <w:tab/>
            </w:r>
            <w:r w:rsidR="000006A7">
              <w:rPr>
                <w:sz w:val="20"/>
                <w:szCs w:val="20"/>
              </w:rPr>
              <w:t xml:space="preserve">Anthony B. </w:t>
            </w:r>
            <w:proofErr w:type="spellStart"/>
            <w:r w:rsidR="000006A7">
              <w:rPr>
                <w:sz w:val="20"/>
                <w:szCs w:val="20"/>
              </w:rPr>
              <w:t>Gerein</w:t>
            </w:r>
            <w:proofErr w:type="spellEnd"/>
          </w:p>
          <w:p w:rsidR="005525F2" w:rsidRPr="000006A7" w:rsidRDefault="005525F2" w:rsidP="00AE3198">
            <w:pPr>
              <w:keepNext/>
              <w:keepLines/>
              <w:tabs>
                <w:tab w:val="left" w:pos="-1440"/>
                <w:tab w:val="left" w:pos="-720"/>
              </w:tabs>
              <w:rPr>
                <w:sz w:val="20"/>
                <w:szCs w:val="20"/>
              </w:rPr>
            </w:pPr>
            <w:r w:rsidRPr="000006A7">
              <w:rPr>
                <w:sz w:val="20"/>
                <w:szCs w:val="20"/>
              </w:rPr>
              <w:tab/>
            </w:r>
            <w:r w:rsidR="000006A7">
              <w:rPr>
                <w:sz w:val="20"/>
                <w:szCs w:val="20"/>
              </w:rPr>
              <w:t>A.G. of Saskatchewan</w:t>
            </w:r>
          </w:p>
          <w:p w:rsidR="005525F2" w:rsidRPr="000006A7" w:rsidRDefault="005525F2" w:rsidP="00AE3198">
            <w:pPr>
              <w:keepNext/>
              <w:keepLines/>
              <w:tabs>
                <w:tab w:val="left" w:pos="-1440"/>
                <w:tab w:val="left" w:pos="-720"/>
              </w:tabs>
              <w:rPr>
                <w:sz w:val="20"/>
                <w:szCs w:val="20"/>
              </w:rPr>
            </w:pPr>
          </w:p>
          <w:p w:rsidR="005525F2" w:rsidRPr="00A935AA" w:rsidRDefault="005525F2" w:rsidP="000006A7">
            <w:pPr>
              <w:rPr>
                <w:sz w:val="20"/>
                <w:szCs w:val="20"/>
              </w:rPr>
            </w:pPr>
            <w:r w:rsidRPr="00A935AA">
              <w:rPr>
                <w:sz w:val="20"/>
                <w:szCs w:val="20"/>
              </w:rPr>
              <w:t xml:space="preserve">FILING DATE: </w:t>
            </w:r>
            <w:r w:rsidR="000006A7">
              <w:rPr>
                <w:sz w:val="20"/>
                <w:szCs w:val="20"/>
              </w:rPr>
              <w:t>1</w:t>
            </w:r>
            <w:r w:rsidRPr="00A935AA">
              <w:rPr>
                <w:sz w:val="20"/>
                <w:szCs w:val="20"/>
              </w:rPr>
              <w:t>8.0</w:t>
            </w:r>
            <w:r>
              <w:rPr>
                <w:sz w:val="20"/>
                <w:szCs w:val="20"/>
              </w:rPr>
              <w:t>5</w:t>
            </w:r>
            <w:r w:rsidRPr="00A935AA">
              <w:rPr>
                <w:sz w:val="20"/>
                <w:szCs w:val="20"/>
              </w:rPr>
              <w:t>.201</w:t>
            </w:r>
            <w:r>
              <w:rPr>
                <w:sz w:val="20"/>
                <w:szCs w:val="20"/>
              </w:rPr>
              <w:t>2</w:t>
            </w:r>
            <w:r w:rsidR="00ED3438" w:rsidRPr="00ED3438">
              <w:rPr>
                <w:sz w:val="20"/>
                <w:szCs w:val="20"/>
                <w:lang w:val="fr-CA"/>
              </w:rPr>
              <w:pict>
                <v:rect id="_x0000_i1033" style="width:108pt;height:1pt" o:hrpct="0" o:hralign="center" o:hrstd="t" o:hrnoshade="t" o:hr="t" fillcolor="black [3213]" stroked="f"/>
              </w:pict>
            </w:r>
          </w:p>
        </w:tc>
      </w:tr>
      <w:tr w:rsidR="005525F2" w:rsidRPr="00A935AA" w:rsidTr="003B3977">
        <w:trPr>
          <w:cantSplit/>
        </w:trPr>
        <w:tc>
          <w:tcPr>
            <w:tcW w:w="4320" w:type="dxa"/>
            <w:shd w:val="clear" w:color="auto" w:fill="auto"/>
          </w:tcPr>
          <w:p w:rsidR="005525F2" w:rsidRDefault="005525F2" w:rsidP="00AE3198">
            <w:pPr>
              <w:rPr>
                <w:b/>
                <w:sz w:val="20"/>
                <w:szCs w:val="20"/>
              </w:rPr>
            </w:pPr>
          </w:p>
          <w:p w:rsidR="000006A7" w:rsidRPr="00A935AA" w:rsidRDefault="000006A7" w:rsidP="00AE3198">
            <w:pPr>
              <w:rPr>
                <w:b/>
                <w:sz w:val="20"/>
                <w:szCs w:val="20"/>
              </w:rPr>
            </w:pPr>
            <w:r>
              <w:rPr>
                <w:b/>
                <w:sz w:val="20"/>
                <w:szCs w:val="20"/>
              </w:rPr>
              <w:t>Her Majesty the Queen</w:t>
            </w:r>
          </w:p>
          <w:p w:rsidR="005525F2" w:rsidRPr="00A935AA" w:rsidRDefault="005525F2" w:rsidP="00AE3198">
            <w:pPr>
              <w:tabs>
                <w:tab w:val="left" w:pos="-1440"/>
                <w:tab w:val="left" w:pos="-720"/>
              </w:tabs>
              <w:rPr>
                <w:sz w:val="20"/>
                <w:szCs w:val="20"/>
              </w:rPr>
            </w:pPr>
            <w:r w:rsidRPr="00A935AA">
              <w:rPr>
                <w:sz w:val="20"/>
                <w:szCs w:val="20"/>
              </w:rPr>
              <w:tab/>
            </w:r>
            <w:r w:rsidR="000006A7">
              <w:rPr>
                <w:sz w:val="20"/>
                <w:szCs w:val="20"/>
              </w:rPr>
              <w:t>Bonnie F. Moon</w:t>
            </w:r>
          </w:p>
          <w:p w:rsidR="005525F2" w:rsidRPr="00A935AA" w:rsidRDefault="005525F2" w:rsidP="00AE3198">
            <w:pPr>
              <w:tabs>
                <w:tab w:val="left" w:pos="-1440"/>
                <w:tab w:val="left" w:pos="-720"/>
              </w:tabs>
              <w:rPr>
                <w:sz w:val="20"/>
                <w:szCs w:val="20"/>
              </w:rPr>
            </w:pPr>
            <w:r w:rsidRPr="00A935AA">
              <w:rPr>
                <w:sz w:val="20"/>
                <w:szCs w:val="20"/>
              </w:rPr>
              <w:tab/>
            </w:r>
            <w:r w:rsidR="000006A7">
              <w:rPr>
                <w:sz w:val="20"/>
                <w:szCs w:val="20"/>
              </w:rPr>
              <w:t>A.G. of Canada</w:t>
            </w:r>
          </w:p>
          <w:p w:rsidR="005525F2" w:rsidRPr="00A935AA" w:rsidRDefault="005525F2" w:rsidP="00AE3198">
            <w:pPr>
              <w:tabs>
                <w:tab w:val="left" w:pos="-1440"/>
                <w:tab w:val="left" w:pos="-720"/>
              </w:tabs>
              <w:rPr>
                <w:sz w:val="20"/>
                <w:szCs w:val="20"/>
              </w:rPr>
            </w:pPr>
          </w:p>
          <w:p w:rsidR="005525F2" w:rsidRPr="00A935AA" w:rsidRDefault="005525F2" w:rsidP="00AE3198">
            <w:pPr>
              <w:tabs>
                <w:tab w:val="left" w:pos="-1440"/>
                <w:tab w:val="left" w:pos="-720"/>
              </w:tabs>
              <w:rPr>
                <w:sz w:val="20"/>
                <w:szCs w:val="20"/>
              </w:rPr>
            </w:pPr>
            <w:r w:rsidRPr="00A935AA">
              <w:rPr>
                <w:sz w:val="20"/>
                <w:szCs w:val="20"/>
              </w:rPr>
              <w:tab/>
              <w:t>v. (3</w:t>
            </w:r>
            <w:r>
              <w:rPr>
                <w:sz w:val="20"/>
                <w:szCs w:val="20"/>
              </w:rPr>
              <w:t>4</w:t>
            </w:r>
            <w:r w:rsidR="000006A7">
              <w:rPr>
                <w:sz w:val="20"/>
                <w:szCs w:val="20"/>
              </w:rPr>
              <w:t>840</w:t>
            </w:r>
            <w:r w:rsidRPr="00A935AA">
              <w:rPr>
                <w:sz w:val="20"/>
                <w:szCs w:val="20"/>
              </w:rPr>
              <w:t>)</w:t>
            </w:r>
          </w:p>
          <w:p w:rsidR="005525F2" w:rsidRPr="00A935AA" w:rsidRDefault="005525F2" w:rsidP="00AE3198">
            <w:pPr>
              <w:tabs>
                <w:tab w:val="left" w:pos="-1440"/>
                <w:tab w:val="left" w:pos="-720"/>
              </w:tabs>
              <w:rPr>
                <w:sz w:val="20"/>
                <w:szCs w:val="20"/>
              </w:rPr>
            </w:pPr>
          </w:p>
          <w:p w:rsidR="005525F2" w:rsidRPr="00A935AA" w:rsidRDefault="000006A7" w:rsidP="00AE3198">
            <w:pPr>
              <w:tabs>
                <w:tab w:val="left" w:pos="-1440"/>
                <w:tab w:val="left" w:pos="-720"/>
              </w:tabs>
              <w:rPr>
                <w:b/>
                <w:sz w:val="20"/>
                <w:szCs w:val="20"/>
              </w:rPr>
            </w:pPr>
            <w:r>
              <w:rPr>
                <w:b/>
                <w:sz w:val="20"/>
                <w:szCs w:val="20"/>
              </w:rPr>
              <w:t xml:space="preserve">Ronald </w:t>
            </w:r>
            <w:proofErr w:type="spellStart"/>
            <w:r>
              <w:rPr>
                <w:b/>
                <w:sz w:val="20"/>
                <w:szCs w:val="20"/>
              </w:rPr>
              <w:t>Ballantyne</w:t>
            </w:r>
            <w:proofErr w:type="spellEnd"/>
            <w:r>
              <w:rPr>
                <w:b/>
                <w:sz w:val="20"/>
                <w:szCs w:val="20"/>
              </w:rPr>
              <w:t xml:space="preserve"> </w:t>
            </w:r>
            <w:r w:rsidR="005525F2" w:rsidRPr="00A935AA">
              <w:rPr>
                <w:b/>
                <w:sz w:val="20"/>
                <w:szCs w:val="20"/>
              </w:rPr>
              <w:t>(</w:t>
            </w:r>
            <w:r>
              <w:rPr>
                <w:b/>
                <w:sz w:val="20"/>
                <w:szCs w:val="20"/>
              </w:rPr>
              <w:t>F</w:t>
            </w:r>
            <w:r w:rsidR="005525F2" w:rsidRPr="00A935AA">
              <w:rPr>
                <w:b/>
                <w:sz w:val="20"/>
                <w:szCs w:val="20"/>
              </w:rPr>
              <w:t>.C.)</w:t>
            </w:r>
          </w:p>
          <w:p w:rsidR="005525F2" w:rsidRPr="00A935AA" w:rsidRDefault="005525F2" w:rsidP="00AE3198">
            <w:pPr>
              <w:tabs>
                <w:tab w:val="left" w:pos="-1440"/>
                <w:tab w:val="left" w:pos="-720"/>
              </w:tabs>
              <w:rPr>
                <w:sz w:val="20"/>
                <w:szCs w:val="20"/>
              </w:rPr>
            </w:pPr>
            <w:r w:rsidRPr="00A935AA">
              <w:rPr>
                <w:sz w:val="20"/>
                <w:szCs w:val="20"/>
              </w:rPr>
              <w:tab/>
            </w:r>
            <w:r w:rsidR="000006A7">
              <w:rPr>
                <w:sz w:val="20"/>
                <w:szCs w:val="20"/>
              </w:rPr>
              <w:t>Ivan R. Holloway</w:t>
            </w:r>
          </w:p>
          <w:p w:rsidR="005525F2" w:rsidRPr="00A935AA" w:rsidRDefault="005525F2" w:rsidP="00AE3198">
            <w:pPr>
              <w:tabs>
                <w:tab w:val="left" w:pos="-1440"/>
                <w:tab w:val="left" w:pos="-720"/>
              </w:tabs>
              <w:rPr>
                <w:sz w:val="20"/>
                <w:szCs w:val="20"/>
              </w:rPr>
            </w:pPr>
            <w:r w:rsidRPr="00A935AA">
              <w:rPr>
                <w:sz w:val="20"/>
                <w:szCs w:val="20"/>
              </w:rPr>
              <w:tab/>
            </w:r>
            <w:r w:rsidR="000006A7">
              <w:rPr>
                <w:sz w:val="20"/>
                <w:szCs w:val="20"/>
              </w:rPr>
              <w:t>D’Arcy &amp; Deacon</w:t>
            </w:r>
          </w:p>
          <w:p w:rsidR="005525F2" w:rsidRPr="00A935AA" w:rsidRDefault="005525F2" w:rsidP="00AE3198">
            <w:pPr>
              <w:tabs>
                <w:tab w:val="left" w:pos="-1440"/>
                <w:tab w:val="left" w:pos="-720"/>
              </w:tabs>
              <w:rPr>
                <w:sz w:val="20"/>
                <w:szCs w:val="20"/>
              </w:rPr>
            </w:pPr>
          </w:p>
          <w:p w:rsidR="005525F2" w:rsidRPr="00A935AA" w:rsidRDefault="005525F2" w:rsidP="00AE3198">
            <w:pPr>
              <w:rPr>
                <w:sz w:val="20"/>
                <w:szCs w:val="20"/>
              </w:rPr>
            </w:pPr>
            <w:r w:rsidRPr="00A935AA">
              <w:rPr>
                <w:sz w:val="20"/>
                <w:szCs w:val="20"/>
              </w:rPr>
              <w:t xml:space="preserve">FILING DATE: </w:t>
            </w:r>
            <w:r w:rsidR="000006A7">
              <w:rPr>
                <w:sz w:val="20"/>
                <w:szCs w:val="20"/>
              </w:rPr>
              <w:t>18</w:t>
            </w:r>
            <w:r w:rsidRPr="00A935AA">
              <w:rPr>
                <w:sz w:val="20"/>
                <w:szCs w:val="20"/>
              </w:rPr>
              <w:t>.0</w:t>
            </w:r>
            <w:r>
              <w:rPr>
                <w:sz w:val="20"/>
                <w:szCs w:val="20"/>
              </w:rPr>
              <w:t>5</w:t>
            </w:r>
            <w:r w:rsidRPr="00A935AA">
              <w:rPr>
                <w:sz w:val="20"/>
                <w:szCs w:val="20"/>
              </w:rPr>
              <w:t>.201</w:t>
            </w:r>
            <w:r>
              <w:rPr>
                <w:sz w:val="20"/>
                <w:szCs w:val="20"/>
              </w:rPr>
              <w:t>2</w:t>
            </w:r>
          </w:p>
          <w:p w:rsidR="005525F2" w:rsidRPr="00A935AA" w:rsidRDefault="00ED3438" w:rsidP="00AE3198">
            <w:pPr>
              <w:rPr>
                <w:sz w:val="20"/>
                <w:szCs w:val="20"/>
              </w:rPr>
            </w:pPr>
            <w:r w:rsidRPr="00ED3438">
              <w:rPr>
                <w:sz w:val="20"/>
                <w:szCs w:val="20"/>
                <w:lang w:val="fr-CA"/>
              </w:rPr>
              <w:pict>
                <v:rect id="_x0000_i1034" style="width:108pt;height:1pt" o:hrpct="0" o:hralign="center" o:hrstd="t" o:hrnoshade="t" o:hr="t" fillcolor="black [3213]" stroked="f"/>
              </w:pict>
            </w:r>
          </w:p>
        </w:tc>
        <w:tc>
          <w:tcPr>
            <w:tcW w:w="1181" w:type="dxa"/>
            <w:shd w:val="clear" w:color="auto" w:fill="auto"/>
          </w:tcPr>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Pr="00A935AA" w:rsidRDefault="005525F2" w:rsidP="00242AEE">
            <w:pPr>
              <w:jc w:val="center"/>
              <w:rPr>
                <w:sz w:val="20"/>
                <w:szCs w:val="20"/>
              </w:rPr>
            </w:pPr>
          </w:p>
          <w:p w:rsidR="005525F2" w:rsidRDefault="005525F2" w:rsidP="00242AEE">
            <w:pPr>
              <w:jc w:val="center"/>
              <w:rPr>
                <w:sz w:val="20"/>
                <w:szCs w:val="20"/>
              </w:rPr>
            </w:pPr>
          </w:p>
          <w:p w:rsidR="000006A7" w:rsidRPr="00A935AA" w:rsidRDefault="000006A7" w:rsidP="00242AEE">
            <w:pPr>
              <w:jc w:val="center"/>
              <w:rPr>
                <w:sz w:val="20"/>
                <w:szCs w:val="20"/>
              </w:rPr>
            </w:pPr>
          </w:p>
          <w:p w:rsidR="005525F2" w:rsidRPr="00A935AA" w:rsidRDefault="005525F2" w:rsidP="00242AEE">
            <w:pPr>
              <w:jc w:val="center"/>
              <w:rPr>
                <w:sz w:val="20"/>
                <w:szCs w:val="20"/>
              </w:rPr>
            </w:pPr>
          </w:p>
        </w:tc>
        <w:tc>
          <w:tcPr>
            <w:tcW w:w="4320" w:type="dxa"/>
            <w:shd w:val="clear" w:color="auto" w:fill="auto"/>
          </w:tcPr>
          <w:p w:rsidR="005525F2" w:rsidRPr="000006A7" w:rsidRDefault="000006A7" w:rsidP="00AE3198">
            <w:pPr>
              <w:keepNext/>
              <w:keepLines/>
              <w:tabs>
                <w:tab w:val="left" w:pos="-1440"/>
                <w:tab w:val="left" w:pos="-720"/>
              </w:tabs>
              <w:rPr>
                <w:b/>
                <w:sz w:val="20"/>
                <w:szCs w:val="20"/>
                <w:lang w:val="fr-CA"/>
              </w:rPr>
            </w:pPr>
            <w:r w:rsidRPr="000006A7">
              <w:rPr>
                <w:b/>
                <w:sz w:val="20"/>
                <w:szCs w:val="20"/>
                <w:lang w:val="fr-CA"/>
              </w:rPr>
              <w:t>Auberge des Glycines Inc., faisant affaire sous la raison sociale Auberge le Pomerol Inc.</w:t>
            </w:r>
          </w:p>
          <w:p w:rsidR="005525F2" w:rsidRPr="000006A7" w:rsidRDefault="005525F2" w:rsidP="00AE3198">
            <w:pPr>
              <w:keepNext/>
              <w:keepLines/>
              <w:tabs>
                <w:tab w:val="left" w:pos="-1440"/>
                <w:tab w:val="left" w:pos="-720"/>
              </w:tabs>
              <w:rPr>
                <w:sz w:val="20"/>
                <w:szCs w:val="20"/>
                <w:lang w:val="fr-CA"/>
              </w:rPr>
            </w:pPr>
            <w:r w:rsidRPr="000006A7">
              <w:rPr>
                <w:sz w:val="20"/>
                <w:szCs w:val="20"/>
                <w:lang w:val="fr-CA"/>
              </w:rPr>
              <w:tab/>
            </w:r>
            <w:r w:rsidR="000006A7">
              <w:rPr>
                <w:sz w:val="20"/>
                <w:szCs w:val="20"/>
                <w:lang w:val="fr-CA"/>
              </w:rPr>
              <w:t xml:space="preserve">Bernard </w:t>
            </w:r>
            <w:proofErr w:type="spellStart"/>
            <w:r w:rsidR="000006A7">
              <w:rPr>
                <w:sz w:val="20"/>
                <w:szCs w:val="20"/>
                <w:lang w:val="fr-CA"/>
              </w:rPr>
              <w:t>Synnott</w:t>
            </w:r>
            <w:proofErr w:type="spellEnd"/>
          </w:p>
          <w:p w:rsidR="005525F2" w:rsidRPr="000006A7" w:rsidRDefault="005525F2" w:rsidP="00AE3198">
            <w:pPr>
              <w:keepNext/>
              <w:keepLines/>
              <w:tabs>
                <w:tab w:val="left" w:pos="-1440"/>
                <w:tab w:val="left" w:pos="-720"/>
              </w:tabs>
              <w:rPr>
                <w:sz w:val="20"/>
                <w:szCs w:val="20"/>
                <w:lang w:val="fr-CA"/>
              </w:rPr>
            </w:pPr>
            <w:r w:rsidRPr="000006A7">
              <w:rPr>
                <w:sz w:val="20"/>
                <w:szCs w:val="20"/>
                <w:lang w:val="fr-CA"/>
              </w:rPr>
              <w:tab/>
            </w:r>
            <w:proofErr w:type="spellStart"/>
            <w:r w:rsidR="000006A7">
              <w:rPr>
                <w:sz w:val="20"/>
                <w:szCs w:val="20"/>
                <w:lang w:val="fr-CA"/>
              </w:rPr>
              <w:t>Fasken</w:t>
            </w:r>
            <w:proofErr w:type="spellEnd"/>
            <w:r w:rsidR="000006A7">
              <w:rPr>
                <w:sz w:val="20"/>
                <w:szCs w:val="20"/>
                <w:lang w:val="fr-CA"/>
              </w:rPr>
              <w:t xml:space="preserve"> Martineau </w:t>
            </w:r>
            <w:proofErr w:type="spellStart"/>
            <w:r w:rsidR="000006A7">
              <w:rPr>
                <w:sz w:val="20"/>
                <w:szCs w:val="20"/>
                <w:lang w:val="fr-CA"/>
              </w:rPr>
              <w:t>DuMoulin</w:t>
            </w:r>
            <w:proofErr w:type="spellEnd"/>
            <w:r w:rsidR="000006A7">
              <w:rPr>
                <w:sz w:val="20"/>
                <w:szCs w:val="20"/>
                <w:lang w:val="fr-CA"/>
              </w:rPr>
              <w:t xml:space="preserve"> LLP</w:t>
            </w:r>
          </w:p>
          <w:p w:rsidR="005525F2" w:rsidRPr="000006A7" w:rsidRDefault="005525F2" w:rsidP="00AE3198">
            <w:pPr>
              <w:keepNext/>
              <w:keepLines/>
              <w:tabs>
                <w:tab w:val="left" w:pos="-1440"/>
                <w:tab w:val="left" w:pos="-720"/>
              </w:tabs>
              <w:rPr>
                <w:sz w:val="20"/>
                <w:szCs w:val="20"/>
                <w:lang w:val="fr-CA"/>
              </w:rPr>
            </w:pPr>
          </w:p>
          <w:p w:rsidR="005525F2" w:rsidRPr="000006A7" w:rsidRDefault="005525F2" w:rsidP="00AE3198">
            <w:pPr>
              <w:keepNext/>
              <w:keepLines/>
              <w:tabs>
                <w:tab w:val="left" w:pos="-1440"/>
                <w:tab w:val="left" w:pos="-720"/>
              </w:tabs>
              <w:rPr>
                <w:sz w:val="20"/>
                <w:szCs w:val="20"/>
                <w:lang w:val="fr-CA"/>
              </w:rPr>
            </w:pPr>
            <w:r w:rsidRPr="000006A7">
              <w:rPr>
                <w:sz w:val="20"/>
                <w:szCs w:val="20"/>
                <w:lang w:val="fr-CA"/>
              </w:rPr>
              <w:tab/>
            </w:r>
            <w:r w:rsidR="000006A7">
              <w:rPr>
                <w:sz w:val="20"/>
                <w:szCs w:val="20"/>
                <w:lang w:val="fr-CA"/>
              </w:rPr>
              <w:t>c</w:t>
            </w:r>
            <w:r w:rsidRPr="000006A7">
              <w:rPr>
                <w:sz w:val="20"/>
                <w:szCs w:val="20"/>
                <w:lang w:val="fr-CA"/>
              </w:rPr>
              <w:t>. (34</w:t>
            </w:r>
            <w:r w:rsidR="000006A7" w:rsidRPr="000006A7">
              <w:rPr>
                <w:sz w:val="20"/>
                <w:szCs w:val="20"/>
                <w:lang w:val="fr-CA"/>
              </w:rPr>
              <w:t>837</w:t>
            </w:r>
            <w:r w:rsidRPr="000006A7">
              <w:rPr>
                <w:sz w:val="20"/>
                <w:szCs w:val="20"/>
                <w:lang w:val="fr-CA"/>
              </w:rPr>
              <w:t>)</w:t>
            </w:r>
          </w:p>
          <w:p w:rsidR="005525F2" w:rsidRPr="000006A7" w:rsidRDefault="005525F2" w:rsidP="00AE3198">
            <w:pPr>
              <w:keepNext/>
              <w:keepLines/>
              <w:tabs>
                <w:tab w:val="left" w:pos="-1440"/>
                <w:tab w:val="left" w:pos="-720"/>
              </w:tabs>
              <w:rPr>
                <w:sz w:val="20"/>
                <w:szCs w:val="20"/>
                <w:lang w:val="fr-CA"/>
              </w:rPr>
            </w:pPr>
          </w:p>
          <w:p w:rsidR="005525F2" w:rsidRPr="000006A7" w:rsidRDefault="000006A7" w:rsidP="00AE3198">
            <w:pPr>
              <w:keepNext/>
              <w:keepLines/>
              <w:tabs>
                <w:tab w:val="left" w:pos="-1440"/>
                <w:tab w:val="left" w:pos="-720"/>
              </w:tabs>
              <w:rPr>
                <w:b/>
                <w:sz w:val="20"/>
                <w:szCs w:val="20"/>
                <w:lang w:val="fr-CA"/>
              </w:rPr>
            </w:pPr>
            <w:r w:rsidRPr="000006A7">
              <w:rPr>
                <w:b/>
                <w:sz w:val="20"/>
                <w:szCs w:val="20"/>
                <w:lang w:val="fr-CA"/>
              </w:rPr>
              <w:t xml:space="preserve">Ville de Montréal </w:t>
            </w:r>
            <w:r w:rsidR="005525F2" w:rsidRPr="000006A7">
              <w:rPr>
                <w:b/>
                <w:sz w:val="20"/>
                <w:szCs w:val="20"/>
                <w:lang w:val="fr-CA"/>
              </w:rPr>
              <w:t>(</w:t>
            </w:r>
            <w:proofErr w:type="spellStart"/>
            <w:r w:rsidRPr="000006A7">
              <w:rPr>
                <w:b/>
                <w:sz w:val="20"/>
                <w:szCs w:val="20"/>
                <w:lang w:val="fr-CA"/>
              </w:rPr>
              <w:t>Qc</w:t>
            </w:r>
            <w:proofErr w:type="spellEnd"/>
            <w:r w:rsidR="005525F2" w:rsidRPr="000006A7">
              <w:rPr>
                <w:b/>
                <w:sz w:val="20"/>
                <w:szCs w:val="20"/>
                <w:lang w:val="fr-CA"/>
              </w:rPr>
              <w:t>)</w:t>
            </w:r>
          </w:p>
          <w:p w:rsidR="005525F2" w:rsidRPr="000006A7" w:rsidRDefault="005525F2" w:rsidP="00AE3198">
            <w:pPr>
              <w:keepNext/>
              <w:keepLines/>
              <w:tabs>
                <w:tab w:val="left" w:pos="-1440"/>
                <w:tab w:val="left" w:pos="-720"/>
              </w:tabs>
              <w:rPr>
                <w:sz w:val="20"/>
                <w:szCs w:val="20"/>
                <w:lang w:val="fr-CA"/>
              </w:rPr>
            </w:pPr>
            <w:r w:rsidRPr="000006A7">
              <w:rPr>
                <w:sz w:val="20"/>
                <w:szCs w:val="20"/>
                <w:lang w:val="fr-CA"/>
              </w:rPr>
              <w:tab/>
            </w:r>
            <w:r w:rsidR="000006A7">
              <w:rPr>
                <w:sz w:val="20"/>
                <w:szCs w:val="20"/>
                <w:lang w:val="fr-CA"/>
              </w:rPr>
              <w:t xml:space="preserve">Philippe </w:t>
            </w:r>
            <w:proofErr w:type="spellStart"/>
            <w:r w:rsidR="000006A7">
              <w:rPr>
                <w:sz w:val="20"/>
                <w:szCs w:val="20"/>
                <w:lang w:val="fr-CA"/>
              </w:rPr>
              <w:t>Berthelet</w:t>
            </w:r>
            <w:proofErr w:type="spellEnd"/>
          </w:p>
          <w:p w:rsidR="005525F2" w:rsidRPr="000006A7" w:rsidRDefault="005525F2" w:rsidP="00AE3198">
            <w:pPr>
              <w:keepNext/>
              <w:keepLines/>
              <w:tabs>
                <w:tab w:val="left" w:pos="-1440"/>
                <w:tab w:val="left" w:pos="-720"/>
              </w:tabs>
              <w:rPr>
                <w:sz w:val="20"/>
                <w:szCs w:val="20"/>
                <w:lang w:val="fr-CA"/>
              </w:rPr>
            </w:pPr>
            <w:r w:rsidRPr="000006A7">
              <w:rPr>
                <w:sz w:val="20"/>
                <w:szCs w:val="20"/>
                <w:lang w:val="fr-CA"/>
              </w:rPr>
              <w:tab/>
            </w:r>
            <w:r w:rsidR="000006A7">
              <w:rPr>
                <w:sz w:val="20"/>
                <w:szCs w:val="20"/>
                <w:lang w:val="fr-CA"/>
              </w:rPr>
              <w:t xml:space="preserve">Charest, </w:t>
            </w:r>
            <w:proofErr w:type="spellStart"/>
            <w:r w:rsidR="000006A7">
              <w:rPr>
                <w:sz w:val="20"/>
                <w:szCs w:val="20"/>
                <w:lang w:val="fr-CA"/>
              </w:rPr>
              <w:t>Gagnier</w:t>
            </w:r>
            <w:proofErr w:type="spellEnd"/>
            <w:r w:rsidR="000006A7">
              <w:rPr>
                <w:sz w:val="20"/>
                <w:szCs w:val="20"/>
                <w:lang w:val="fr-CA"/>
              </w:rPr>
              <w:t xml:space="preserve">, Biron, </w:t>
            </w:r>
            <w:proofErr w:type="spellStart"/>
            <w:r w:rsidR="000006A7">
              <w:rPr>
                <w:sz w:val="20"/>
                <w:szCs w:val="20"/>
                <w:lang w:val="fr-CA"/>
              </w:rPr>
              <w:t>Dagenais</w:t>
            </w:r>
            <w:proofErr w:type="spellEnd"/>
          </w:p>
          <w:p w:rsidR="005525F2" w:rsidRPr="000006A7" w:rsidRDefault="005525F2" w:rsidP="00AE3198">
            <w:pPr>
              <w:keepNext/>
              <w:keepLines/>
              <w:tabs>
                <w:tab w:val="left" w:pos="-1440"/>
                <w:tab w:val="left" w:pos="-720"/>
              </w:tabs>
              <w:rPr>
                <w:sz w:val="20"/>
                <w:szCs w:val="20"/>
                <w:lang w:val="fr-CA"/>
              </w:rPr>
            </w:pPr>
          </w:p>
          <w:p w:rsidR="005525F2" w:rsidRPr="00A935AA" w:rsidRDefault="005525F2" w:rsidP="000006A7">
            <w:pPr>
              <w:rPr>
                <w:sz w:val="20"/>
                <w:szCs w:val="20"/>
              </w:rPr>
            </w:pPr>
            <w:r w:rsidRPr="00A935AA">
              <w:rPr>
                <w:sz w:val="20"/>
                <w:szCs w:val="20"/>
              </w:rPr>
              <w:t>DATE</w:t>
            </w:r>
            <w:r w:rsidR="000006A7">
              <w:rPr>
                <w:sz w:val="20"/>
                <w:szCs w:val="20"/>
              </w:rPr>
              <w:t xml:space="preserve"> DE PRODUCTION </w:t>
            </w:r>
            <w:r w:rsidRPr="00A935AA">
              <w:rPr>
                <w:sz w:val="20"/>
                <w:szCs w:val="20"/>
              </w:rPr>
              <w:t xml:space="preserve">: </w:t>
            </w:r>
            <w:r w:rsidR="000006A7">
              <w:rPr>
                <w:sz w:val="20"/>
                <w:szCs w:val="20"/>
              </w:rPr>
              <w:t>1</w:t>
            </w:r>
            <w:r w:rsidRPr="00A935AA">
              <w:rPr>
                <w:sz w:val="20"/>
                <w:szCs w:val="20"/>
              </w:rPr>
              <w:t>8.0</w:t>
            </w:r>
            <w:r>
              <w:rPr>
                <w:sz w:val="20"/>
                <w:szCs w:val="20"/>
              </w:rPr>
              <w:t>5</w:t>
            </w:r>
            <w:r w:rsidRPr="00A935AA">
              <w:rPr>
                <w:sz w:val="20"/>
                <w:szCs w:val="20"/>
              </w:rPr>
              <w:t>.201</w:t>
            </w:r>
            <w:r>
              <w:rPr>
                <w:sz w:val="20"/>
                <w:szCs w:val="20"/>
              </w:rPr>
              <w:t>2</w:t>
            </w:r>
            <w:r w:rsidR="00ED3438" w:rsidRPr="00ED3438">
              <w:rPr>
                <w:sz w:val="20"/>
                <w:szCs w:val="20"/>
                <w:lang w:val="fr-CA"/>
              </w:rPr>
              <w:pict>
                <v:rect id="_x0000_i1035" style="width:108pt;height:1pt" o:hrpct="0" o:hralign="center" o:hrstd="t" o:hrnoshade="t" o:hr="t" fillcolor="black [3213]" stroked="f"/>
              </w:pict>
            </w:r>
          </w:p>
        </w:tc>
      </w:tr>
      <w:tr w:rsidR="005525F2" w:rsidRPr="00A935AA" w:rsidTr="003B3977">
        <w:trPr>
          <w:cantSplit/>
        </w:trPr>
        <w:tc>
          <w:tcPr>
            <w:tcW w:w="4320" w:type="dxa"/>
            <w:shd w:val="clear" w:color="auto" w:fill="auto"/>
          </w:tcPr>
          <w:p w:rsidR="005525F2" w:rsidRPr="00A935AA" w:rsidRDefault="000006A7" w:rsidP="00AE3198">
            <w:pPr>
              <w:rPr>
                <w:b/>
                <w:sz w:val="20"/>
                <w:szCs w:val="20"/>
              </w:rPr>
            </w:pPr>
            <w:r>
              <w:rPr>
                <w:b/>
                <w:sz w:val="20"/>
                <w:szCs w:val="20"/>
              </w:rPr>
              <w:t>City of Calgary</w:t>
            </w:r>
          </w:p>
          <w:p w:rsidR="005525F2" w:rsidRPr="00A935AA" w:rsidRDefault="005525F2" w:rsidP="00AE3198">
            <w:pPr>
              <w:tabs>
                <w:tab w:val="left" w:pos="-1440"/>
                <w:tab w:val="left" w:pos="-720"/>
              </w:tabs>
              <w:rPr>
                <w:sz w:val="20"/>
                <w:szCs w:val="20"/>
              </w:rPr>
            </w:pPr>
            <w:r w:rsidRPr="00A935AA">
              <w:rPr>
                <w:sz w:val="20"/>
                <w:szCs w:val="20"/>
              </w:rPr>
              <w:tab/>
            </w:r>
            <w:r w:rsidR="000006A7">
              <w:rPr>
                <w:sz w:val="20"/>
                <w:szCs w:val="20"/>
              </w:rPr>
              <w:t>David J. Lewis</w:t>
            </w:r>
          </w:p>
          <w:p w:rsidR="005525F2" w:rsidRPr="00A935AA" w:rsidRDefault="005525F2" w:rsidP="00AE3198">
            <w:pPr>
              <w:tabs>
                <w:tab w:val="left" w:pos="-1440"/>
                <w:tab w:val="left" w:pos="-720"/>
              </w:tabs>
              <w:rPr>
                <w:sz w:val="20"/>
                <w:szCs w:val="20"/>
              </w:rPr>
            </w:pPr>
            <w:r w:rsidRPr="00A935AA">
              <w:rPr>
                <w:sz w:val="20"/>
                <w:szCs w:val="20"/>
              </w:rPr>
              <w:tab/>
            </w:r>
            <w:r w:rsidR="000006A7">
              <w:rPr>
                <w:sz w:val="20"/>
                <w:szCs w:val="20"/>
              </w:rPr>
              <w:t>City of Calgary</w:t>
            </w:r>
          </w:p>
          <w:p w:rsidR="005525F2" w:rsidRPr="00A935AA" w:rsidRDefault="005525F2" w:rsidP="00AE3198">
            <w:pPr>
              <w:tabs>
                <w:tab w:val="left" w:pos="-1440"/>
                <w:tab w:val="left" w:pos="-720"/>
              </w:tabs>
              <w:rPr>
                <w:sz w:val="20"/>
                <w:szCs w:val="20"/>
              </w:rPr>
            </w:pPr>
          </w:p>
          <w:p w:rsidR="005525F2" w:rsidRPr="00A935AA" w:rsidRDefault="005525F2" w:rsidP="00AE3198">
            <w:pPr>
              <w:tabs>
                <w:tab w:val="left" w:pos="-1440"/>
                <w:tab w:val="left" w:pos="-720"/>
              </w:tabs>
              <w:rPr>
                <w:sz w:val="20"/>
                <w:szCs w:val="20"/>
              </w:rPr>
            </w:pPr>
            <w:r w:rsidRPr="00A935AA">
              <w:rPr>
                <w:sz w:val="20"/>
                <w:szCs w:val="20"/>
              </w:rPr>
              <w:tab/>
              <w:t>v. (3</w:t>
            </w:r>
            <w:r>
              <w:rPr>
                <w:sz w:val="20"/>
                <w:szCs w:val="20"/>
              </w:rPr>
              <w:t>4</w:t>
            </w:r>
            <w:r w:rsidR="000006A7">
              <w:rPr>
                <w:sz w:val="20"/>
                <w:szCs w:val="20"/>
              </w:rPr>
              <w:t>838</w:t>
            </w:r>
            <w:r w:rsidRPr="00A935AA">
              <w:rPr>
                <w:sz w:val="20"/>
                <w:szCs w:val="20"/>
              </w:rPr>
              <w:t>)</w:t>
            </w:r>
          </w:p>
          <w:p w:rsidR="005525F2" w:rsidRPr="00A935AA" w:rsidRDefault="005525F2" w:rsidP="00AE3198">
            <w:pPr>
              <w:tabs>
                <w:tab w:val="left" w:pos="-1440"/>
                <w:tab w:val="left" w:pos="-720"/>
              </w:tabs>
              <w:rPr>
                <w:sz w:val="20"/>
                <w:szCs w:val="20"/>
              </w:rPr>
            </w:pPr>
          </w:p>
          <w:p w:rsidR="005525F2" w:rsidRPr="00A935AA" w:rsidRDefault="000006A7" w:rsidP="00AE3198">
            <w:pPr>
              <w:tabs>
                <w:tab w:val="left" w:pos="-1440"/>
                <w:tab w:val="left" w:pos="-720"/>
              </w:tabs>
              <w:rPr>
                <w:b/>
                <w:sz w:val="20"/>
                <w:szCs w:val="20"/>
              </w:rPr>
            </w:pPr>
            <w:proofErr w:type="spellStart"/>
            <w:r>
              <w:rPr>
                <w:b/>
                <w:sz w:val="20"/>
                <w:szCs w:val="20"/>
              </w:rPr>
              <w:t>Zahmol</w:t>
            </w:r>
            <w:proofErr w:type="spellEnd"/>
            <w:r>
              <w:rPr>
                <w:b/>
                <w:sz w:val="20"/>
                <w:szCs w:val="20"/>
              </w:rPr>
              <w:t xml:space="preserve"> Properties Ltd. </w:t>
            </w:r>
            <w:r w:rsidR="005525F2" w:rsidRPr="00A935AA">
              <w:rPr>
                <w:b/>
                <w:sz w:val="20"/>
                <w:szCs w:val="20"/>
              </w:rPr>
              <w:t>(</w:t>
            </w:r>
            <w:r>
              <w:rPr>
                <w:b/>
                <w:sz w:val="20"/>
                <w:szCs w:val="20"/>
              </w:rPr>
              <w:t>Alta</w:t>
            </w:r>
            <w:r w:rsidR="005525F2" w:rsidRPr="00A935AA">
              <w:rPr>
                <w:b/>
                <w:sz w:val="20"/>
                <w:szCs w:val="20"/>
              </w:rPr>
              <w:t>.)</w:t>
            </w:r>
          </w:p>
          <w:p w:rsidR="005525F2" w:rsidRPr="00A935AA" w:rsidRDefault="005525F2" w:rsidP="00AE3198">
            <w:pPr>
              <w:tabs>
                <w:tab w:val="left" w:pos="-1440"/>
                <w:tab w:val="left" w:pos="-720"/>
              </w:tabs>
              <w:rPr>
                <w:sz w:val="20"/>
                <w:szCs w:val="20"/>
              </w:rPr>
            </w:pPr>
            <w:r w:rsidRPr="00A935AA">
              <w:rPr>
                <w:sz w:val="20"/>
                <w:szCs w:val="20"/>
              </w:rPr>
              <w:tab/>
            </w:r>
            <w:r w:rsidR="005F32C4">
              <w:rPr>
                <w:sz w:val="20"/>
                <w:szCs w:val="20"/>
              </w:rPr>
              <w:t xml:space="preserve">B.G. </w:t>
            </w:r>
            <w:proofErr w:type="spellStart"/>
            <w:r w:rsidR="005F32C4">
              <w:rPr>
                <w:sz w:val="20"/>
                <w:szCs w:val="20"/>
              </w:rPr>
              <w:t>Nemetz</w:t>
            </w:r>
            <w:proofErr w:type="spellEnd"/>
          </w:p>
          <w:p w:rsidR="005525F2" w:rsidRPr="00A935AA" w:rsidRDefault="005525F2" w:rsidP="00AE3198">
            <w:pPr>
              <w:tabs>
                <w:tab w:val="left" w:pos="-1440"/>
                <w:tab w:val="left" w:pos="-720"/>
              </w:tabs>
              <w:rPr>
                <w:sz w:val="20"/>
                <w:szCs w:val="20"/>
              </w:rPr>
            </w:pPr>
            <w:r w:rsidRPr="00A935AA">
              <w:rPr>
                <w:sz w:val="20"/>
                <w:szCs w:val="20"/>
              </w:rPr>
              <w:tab/>
            </w:r>
            <w:r w:rsidR="005F32C4">
              <w:rPr>
                <w:sz w:val="20"/>
                <w:szCs w:val="20"/>
              </w:rPr>
              <w:t>Bennett Jones LLP</w:t>
            </w:r>
          </w:p>
          <w:p w:rsidR="005525F2" w:rsidRPr="00A935AA" w:rsidRDefault="005525F2" w:rsidP="00AE3198">
            <w:pPr>
              <w:tabs>
                <w:tab w:val="left" w:pos="-1440"/>
                <w:tab w:val="left" w:pos="-720"/>
              </w:tabs>
              <w:rPr>
                <w:sz w:val="20"/>
                <w:szCs w:val="20"/>
              </w:rPr>
            </w:pPr>
          </w:p>
          <w:p w:rsidR="005525F2" w:rsidRPr="00A935AA" w:rsidRDefault="005525F2" w:rsidP="00AE3198">
            <w:pPr>
              <w:rPr>
                <w:sz w:val="20"/>
                <w:szCs w:val="20"/>
              </w:rPr>
            </w:pPr>
            <w:r w:rsidRPr="00A935AA">
              <w:rPr>
                <w:sz w:val="20"/>
                <w:szCs w:val="20"/>
              </w:rPr>
              <w:t>FILING DATE: 2</w:t>
            </w:r>
            <w:r w:rsidR="005F32C4">
              <w:rPr>
                <w:sz w:val="20"/>
                <w:szCs w:val="20"/>
              </w:rPr>
              <w:t>2</w:t>
            </w:r>
            <w:r w:rsidRPr="00A935AA">
              <w:rPr>
                <w:sz w:val="20"/>
                <w:szCs w:val="20"/>
              </w:rPr>
              <w:t>.0</w:t>
            </w:r>
            <w:r>
              <w:rPr>
                <w:sz w:val="20"/>
                <w:szCs w:val="20"/>
              </w:rPr>
              <w:t>5</w:t>
            </w:r>
            <w:r w:rsidRPr="00A935AA">
              <w:rPr>
                <w:sz w:val="20"/>
                <w:szCs w:val="20"/>
              </w:rPr>
              <w:t>.201</w:t>
            </w:r>
            <w:r>
              <w:rPr>
                <w:sz w:val="20"/>
                <w:szCs w:val="20"/>
              </w:rPr>
              <w:t>2</w:t>
            </w:r>
          </w:p>
          <w:p w:rsidR="005525F2" w:rsidRPr="00A935AA" w:rsidRDefault="00ED3438" w:rsidP="00AE3198">
            <w:pPr>
              <w:rPr>
                <w:sz w:val="20"/>
                <w:szCs w:val="20"/>
              </w:rPr>
            </w:pPr>
            <w:r w:rsidRPr="00ED3438">
              <w:rPr>
                <w:sz w:val="20"/>
                <w:szCs w:val="20"/>
                <w:lang w:val="fr-CA"/>
              </w:rPr>
              <w:pict>
                <v:rect id="_x0000_i1036" style="width:108pt;height:1pt" o:hrpct="0" o:hralign="center" o:hrstd="t" o:hrnoshade="t" o:hr="t" fillcolor="black [3213]" stroked="f"/>
              </w:pict>
            </w:r>
          </w:p>
        </w:tc>
        <w:tc>
          <w:tcPr>
            <w:tcW w:w="1181" w:type="dxa"/>
            <w:shd w:val="clear" w:color="auto" w:fill="auto"/>
          </w:tcPr>
          <w:p w:rsidR="005525F2" w:rsidRDefault="005525F2" w:rsidP="00242AEE">
            <w:pPr>
              <w:jc w:val="center"/>
              <w:rPr>
                <w:sz w:val="20"/>
                <w:szCs w:val="20"/>
              </w:rPr>
            </w:pPr>
          </w:p>
          <w:p w:rsidR="005525F2" w:rsidRDefault="005525F2" w:rsidP="00242AEE">
            <w:pPr>
              <w:jc w:val="center"/>
              <w:rPr>
                <w:sz w:val="20"/>
                <w:szCs w:val="20"/>
              </w:rPr>
            </w:pPr>
          </w:p>
          <w:p w:rsidR="005525F2" w:rsidRDefault="005525F2" w:rsidP="00242AEE">
            <w:pPr>
              <w:jc w:val="center"/>
              <w:rPr>
                <w:sz w:val="20"/>
                <w:szCs w:val="20"/>
              </w:rPr>
            </w:pPr>
          </w:p>
          <w:p w:rsidR="005525F2" w:rsidRDefault="005525F2" w:rsidP="00242AEE">
            <w:pPr>
              <w:jc w:val="center"/>
              <w:rPr>
                <w:sz w:val="20"/>
                <w:szCs w:val="20"/>
              </w:rPr>
            </w:pPr>
          </w:p>
          <w:p w:rsidR="005525F2" w:rsidRDefault="005525F2" w:rsidP="00242AEE">
            <w:pPr>
              <w:jc w:val="center"/>
              <w:rPr>
                <w:sz w:val="20"/>
                <w:szCs w:val="20"/>
              </w:rPr>
            </w:pPr>
          </w:p>
          <w:p w:rsidR="005525F2" w:rsidRDefault="005525F2" w:rsidP="00242AEE">
            <w:pPr>
              <w:jc w:val="center"/>
              <w:rPr>
                <w:sz w:val="20"/>
                <w:szCs w:val="20"/>
              </w:rPr>
            </w:pPr>
          </w:p>
          <w:p w:rsidR="005525F2" w:rsidRDefault="005525F2" w:rsidP="00242AEE">
            <w:pPr>
              <w:jc w:val="center"/>
              <w:rPr>
                <w:sz w:val="20"/>
                <w:szCs w:val="20"/>
              </w:rPr>
            </w:pPr>
          </w:p>
          <w:p w:rsidR="005525F2" w:rsidRDefault="005525F2" w:rsidP="00242AEE">
            <w:pPr>
              <w:jc w:val="center"/>
              <w:rPr>
                <w:sz w:val="20"/>
                <w:szCs w:val="20"/>
              </w:rPr>
            </w:pPr>
          </w:p>
          <w:p w:rsidR="005525F2" w:rsidRDefault="005525F2" w:rsidP="00242AEE">
            <w:pPr>
              <w:jc w:val="center"/>
              <w:rPr>
                <w:sz w:val="20"/>
                <w:szCs w:val="20"/>
              </w:rPr>
            </w:pPr>
          </w:p>
          <w:p w:rsidR="005525F2" w:rsidRDefault="005525F2" w:rsidP="00242AEE">
            <w:pPr>
              <w:jc w:val="center"/>
              <w:rPr>
                <w:sz w:val="20"/>
                <w:szCs w:val="20"/>
              </w:rPr>
            </w:pPr>
          </w:p>
          <w:p w:rsidR="005525F2" w:rsidRDefault="005525F2" w:rsidP="00242AEE">
            <w:pPr>
              <w:jc w:val="center"/>
              <w:rPr>
                <w:sz w:val="20"/>
                <w:szCs w:val="20"/>
              </w:rPr>
            </w:pPr>
          </w:p>
          <w:p w:rsidR="005525F2" w:rsidRDefault="005525F2" w:rsidP="00242AEE">
            <w:pPr>
              <w:jc w:val="center"/>
              <w:rPr>
                <w:sz w:val="20"/>
                <w:szCs w:val="20"/>
              </w:rPr>
            </w:pPr>
          </w:p>
          <w:p w:rsidR="005525F2" w:rsidRPr="00A935AA" w:rsidRDefault="005525F2" w:rsidP="00242AEE">
            <w:pPr>
              <w:jc w:val="center"/>
              <w:rPr>
                <w:sz w:val="20"/>
                <w:szCs w:val="20"/>
              </w:rPr>
            </w:pPr>
          </w:p>
        </w:tc>
        <w:tc>
          <w:tcPr>
            <w:tcW w:w="4320" w:type="dxa"/>
            <w:shd w:val="clear" w:color="auto" w:fill="auto"/>
          </w:tcPr>
          <w:p w:rsidR="005525F2" w:rsidRPr="00A935AA" w:rsidRDefault="005F32C4" w:rsidP="00AE3198">
            <w:pPr>
              <w:keepNext/>
              <w:keepLines/>
              <w:tabs>
                <w:tab w:val="left" w:pos="-1440"/>
                <w:tab w:val="left" w:pos="-720"/>
              </w:tabs>
              <w:rPr>
                <w:b/>
                <w:sz w:val="20"/>
                <w:szCs w:val="20"/>
              </w:rPr>
            </w:pPr>
            <w:r>
              <w:rPr>
                <w:b/>
                <w:sz w:val="20"/>
                <w:szCs w:val="20"/>
              </w:rPr>
              <w:t xml:space="preserve">Zurich Canada et al. </w:t>
            </w:r>
          </w:p>
          <w:p w:rsidR="005525F2" w:rsidRPr="00A935AA" w:rsidRDefault="005525F2" w:rsidP="00AE3198">
            <w:pPr>
              <w:keepNext/>
              <w:keepLines/>
              <w:tabs>
                <w:tab w:val="left" w:pos="-1440"/>
                <w:tab w:val="left" w:pos="-720"/>
              </w:tabs>
              <w:rPr>
                <w:sz w:val="20"/>
                <w:szCs w:val="20"/>
              </w:rPr>
            </w:pPr>
            <w:r w:rsidRPr="00A935AA">
              <w:rPr>
                <w:sz w:val="20"/>
                <w:szCs w:val="20"/>
              </w:rPr>
              <w:tab/>
            </w:r>
            <w:r w:rsidR="005F32C4">
              <w:rPr>
                <w:sz w:val="20"/>
                <w:szCs w:val="20"/>
              </w:rPr>
              <w:t>David F. Murray</w:t>
            </w:r>
          </w:p>
          <w:p w:rsidR="005525F2" w:rsidRPr="00A935AA" w:rsidRDefault="005525F2" w:rsidP="00AE3198">
            <w:pPr>
              <w:keepNext/>
              <w:keepLines/>
              <w:tabs>
                <w:tab w:val="left" w:pos="-1440"/>
                <w:tab w:val="left" w:pos="-720"/>
              </w:tabs>
              <w:rPr>
                <w:sz w:val="20"/>
                <w:szCs w:val="20"/>
              </w:rPr>
            </w:pPr>
            <w:r w:rsidRPr="00A935AA">
              <w:rPr>
                <w:sz w:val="20"/>
                <w:szCs w:val="20"/>
              </w:rPr>
              <w:tab/>
            </w:r>
            <w:r w:rsidR="005F32C4">
              <w:rPr>
                <w:sz w:val="20"/>
                <w:szCs w:val="20"/>
              </w:rPr>
              <w:t>Adair Morse LLP</w:t>
            </w:r>
          </w:p>
          <w:p w:rsidR="005525F2" w:rsidRPr="00A935AA" w:rsidRDefault="005525F2" w:rsidP="00AE3198">
            <w:pPr>
              <w:keepNext/>
              <w:keepLines/>
              <w:tabs>
                <w:tab w:val="left" w:pos="-1440"/>
                <w:tab w:val="left" w:pos="-720"/>
              </w:tabs>
              <w:rPr>
                <w:sz w:val="20"/>
                <w:szCs w:val="20"/>
              </w:rPr>
            </w:pPr>
          </w:p>
          <w:p w:rsidR="005525F2" w:rsidRPr="00A37839" w:rsidRDefault="005525F2" w:rsidP="00AE3198">
            <w:pPr>
              <w:keepNext/>
              <w:keepLines/>
              <w:tabs>
                <w:tab w:val="left" w:pos="-1440"/>
                <w:tab w:val="left" w:pos="-720"/>
              </w:tabs>
              <w:rPr>
                <w:sz w:val="20"/>
                <w:szCs w:val="20"/>
                <w:lang w:val="fr-CA"/>
              </w:rPr>
            </w:pPr>
            <w:r w:rsidRPr="00A935AA">
              <w:rPr>
                <w:sz w:val="20"/>
                <w:szCs w:val="20"/>
              </w:rPr>
              <w:tab/>
            </w:r>
            <w:r w:rsidRPr="00A37839">
              <w:rPr>
                <w:sz w:val="20"/>
                <w:szCs w:val="20"/>
                <w:lang w:val="fr-CA"/>
              </w:rPr>
              <w:t>v. (34</w:t>
            </w:r>
            <w:r w:rsidR="005F32C4" w:rsidRPr="00A37839">
              <w:rPr>
                <w:sz w:val="20"/>
                <w:szCs w:val="20"/>
                <w:lang w:val="fr-CA"/>
              </w:rPr>
              <w:t>839</w:t>
            </w:r>
            <w:r w:rsidRPr="00A37839">
              <w:rPr>
                <w:sz w:val="20"/>
                <w:szCs w:val="20"/>
                <w:lang w:val="fr-CA"/>
              </w:rPr>
              <w:t>)</w:t>
            </w:r>
          </w:p>
          <w:p w:rsidR="005525F2" w:rsidRPr="00A37839" w:rsidRDefault="005525F2" w:rsidP="00AE3198">
            <w:pPr>
              <w:keepNext/>
              <w:keepLines/>
              <w:tabs>
                <w:tab w:val="left" w:pos="-1440"/>
                <w:tab w:val="left" w:pos="-720"/>
              </w:tabs>
              <w:rPr>
                <w:sz w:val="20"/>
                <w:szCs w:val="20"/>
                <w:lang w:val="fr-CA"/>
              </w:rPr>
            </w:pPr>
          </w:p>
          <w:p w:rsidR="005525F2" w:rsidRPr="00A37839" w:rsidRDefault="005F32C4" w:rsidP="00AE3198">
            <w:pPr>
              <w:keepNext/>
              <w:keepLines/>
              <w:tabs>
                <w:tab w:val="left" w:pos="-1440"/>
                <w:tab w:val="left" w:pos="-720"/>
              </w:tabs>
              <w:rPr>
                <w:b/>
                <w:sz w:val="20"/>
                <w:szCs w:val="20"/>
                <w:lang w:val="fr-CA"/>
              </w:rPr>
            </w:pPr>
            <w:r w:rsidRPr="00A37839">
              <w:rPr>
                <w:b/>
                <w:sz w:val="20"/>
                <w:szCs w:val="20"/>
                <w:lang w:val="fr-CA"/>
              </w:rPr>
              <w:t xml:space="preserve">Joyce </w:t>
            </w:r>
            <w:proofErr w:type="spellStart"/>
            <w:r w:rsidRPr="00A37839">
              <w:rPr>
                <w:b/>
                <w:sz w:val="20"/>
                <w:szCs w:val="20"/>
                <w:lang w:val="fr-CA"/>
              </w:rPr>
              <w:t>Maebell</w:t>
            </w:r>
            <w:proofErr w:type="spellEnd"/>
            <w:r w:rsidRPr="00A37839">
              <w:rPr>
                <w:b/>
                <w:sz w:val="20"/>
                <w:szCs w:val="20"/>
                <w:lang w:val="fr-CA"/>
              </w:rPr>
              <w:t xml:space="preserve"> </w:t>
            </w:r>
            <w:proofErr w:type="spellStart"/>
            <w:r w:rsidRPr="00A37839">
              <w:rPr>
                <w:b/>
                <w:sz w:val="20"/>
                <w:szCs w:val="20"/>
                <w:lang w:val="fr-CA"/>
              </w:rPr>
              <w:t>Dundas</w:t>
            </w:r>
            <w:proofErr w:type="spellEnd"/>
            <w:r w:rsidRPr="00A37839">
              <w:rPr>
                <w:b/>
                <w:sz w:val="20"/>
                <w:szCs w:val="20"/>
                <w:lang w:val="fr-CA"/>
              </w:rPr>
              <w:t xml:space="preserve"> et al. </w:t>
            </w:r>
            <w:r w:rsidR="005525F2" w:rsidRPr="00A37839">
              <w:rPr>
                <w:b/>
                <w:sz w:val="20"/>
                <w:szCs w:val="20"/>
                <w:lang w:val="fr-CA"/>
              </w:rPr>
              <w:t>(Ont.)</w:t>
            </w:r>
          </w:p>
          <w:p w:rsidR="005525F2" w:rsidRPr="000006A7" w:rsidRDefault="005525F2" w:rsidP="00AE3198">
            <w:pPr>
              <w:keepNext/>
              <w:keepLines/>
              <w:tabs>
                <w:tab w:val="left" w:pos="-1440"/>
                <w:tab w:val="left" w:pos="-720"/>
              </w:tabs>
              <w:rPr>
                <w:sz w:val="20"/>
                <w:szCs w:val="20"/>
              </w:rPr>
            </w:pPr>
            <w:r w:rsidRPr="00A37839">
              <w:rPr>
                <w:sz w:val="20"/>
                <w:szCs w:val="20"/>
                <w:lang w:val="fr-CA"/>
              </w:rPr>
              <w:tab/>
            </w:r>
            <w:r w:rsidR="005F32C4">
              <w:rPr>
                <w:sz w:val="20"/>
                <w:szCs w:val="20"/>
              </w:rPr>
              <w:t>Glen A. Smith</w:t>
            </w:r>
          </w:p>
          <w:p w:rsidR="005525F2" w:rsidRPr="000006A7" w:rsidRDefault="005525F2" w:rsidP="00AE3198">
            <w:pPr>
              <w:keepNext/>
              <w:keepLines/>
              <w:tabs>
                <w:tab w:val="left" w:pos="-1440"/>
                <w:tab w:val="left" w:pos="-720"/>
              </w:tabs>
              <w:rPr>
                <w:sz w:val="20"/>
                <w:szCs w:val="20"/>
              </w:rPr>
            </w:pPr>
            <w:r w:rsidRPr="000006A7">
              <w:rPr>
                <w:sz w:val="20"/>
                <w:szCs w:val="20"/>
              </w:rPr>
              <w:tab/>
            </w:r>
            <w:proofErr w:type="spellStart"/>
            <w:r w:rsidR="005F32C4">
              <w:rPr>
                <w:sz w:val="20"/>
                <w:szCs w:val="20"/>
              </w:rPr>
              <w:t>Lenczner</w:t>
            </w:r>
            <w:proofErr w:type="spellEnd"/>
            <w:r w:rsidR="005F32C4">
              <w:rPr>
                <w:sz w:val="20"/>
                <w:szCs w:val="20"/>
              </w:rPr>
              <w:t xml:space="preserve"> </w:t>
            </w:r>
            <w:proofErr w:type="spellStart"/>
            <w:r w:rsidR="005F32C4">
              <w:rPr>
                <w:sz w:val="20"/>
                <w:szCs w:val="20"/>
              </w:rPr>
              <w:t>Slaght</w:t>
            </w:r>
            <w:proofErr w:type="spellEnd"/>
            <w:r w:rsidR="005F32C4">
              <w:rPr>
                <w:sz w:val="20"/>
                <w:szCs w:val="20"/>
              </w:rPr>
              <w:t xml:space="preserve"> Royce Smith Griffin </w:t>
            </w:r>
            <w:r w:rsidR="005F32C4">
              <w:rPr>
                <w:sz w:val="20"/>
                <w:szCs w:val="20"/>
              </w:rPr>
              <w:tab/>
              <w:t>LLP</w:t>
            </w:r>
          </w:p>
          <w:p w:rsidR="005525F2" w:rsidRPr="000006A7" w:rsidRDefault="005525F2" w:rsidP="00AE3198">
            <w:pPr>
              <w:keepNext/>
              <w:keepLines/>
              <w:tabs>
                <w:tab w:val="left" w:pos="-1440"/>
                <w:tab w:val="left" w:pos="-720"/>
              </w:tabs>
              <w:rPr>
                <w:sz w:val="20"/>
                <w:szCs w:val="20"/>
              </w:rPr>
            </w:pPr>
          </w:p>
          <w:p w:rsidR="005525F2" w:rsidRPr="00A935AA" w:rsidRDefault="005525F2" w:rsidP="00413654">
            <w:pPr>
              <w:rPr>
                <w:sz w:val="20"/>
                <w:szCs w:val="20"/>
              </w:rPr>
            </w:pPr>
            <w:r w:rsidRPr="00A935AA">
              <w:rPr>
                <w:sz w:val="20"/>
                <w:szCs w:val="20"/>
              </w:rPr>
              <w:t>FILING DATE: 2</w:t>
            </w:r>
            <w:r w:rsidR="00413654">
              <w:rPr>
                <w:sz w:val="20"/>
                <w:szCs w:val="20"/>
              </w:rPr>
              <w:t>2</w:t>
            </w:r>
            <w:r w:rsidRPr="00A935AA">
              <w:rPr>
                <w:sz w:val="20"/>
                <w:szCs w:val="20"/>
              </w:rPr>
              <w:t>.0</w:t>
            </w:r>
            <w:r>
              <w:rPr>
                <w:sz w:val="20"/>
                <w:szCs w:val="20"/>
              </w:rPr>
              <w:t>5</w:t>
            </w:r>
            <w:r w:rsidRPr="00A935AA">
              <w:rPr>
                <w:sz w:val="20"/>
                <w:szCs w:val="20"/>
              </w:rPr>
              <w:t>.201</w:t>
            </w:r>
            <w:r>
              <w:rPr>
                <w:sz w:val="20"/>
                <w:szCs w:val="20"/>
              </w:rPr>
              <w:t>2</w:t>
            </w:r>
            <w:r w:rsidR="00ED3438" w:rsidRPr="00ED3438">
              <w:rPr>
                <w:sz w:val="20"/>
                <w:szCs w:val="20"/>
                <w:lang w:val="fr-CA"/>
              </w:rPr>
              <w:pict>
                <v:rect id="_x0000_i1037" style="width:108pt;height:1pt" o:hrpct="0" o:hralign="center" o:hrstd="t" o:hrnoshade="t" o:hr="t" fillcolor="black [3213]" stroked="f"/>
              </w:pict>
            </w:r>
          </w:p>
        </w:tc>
      </w:tr>
      <w:tr w:rsidR="00597373" w:rsidRPr="00597373" w:rsidTr="003B3977">
        <w:trPr>
          <w:cantSplit/>
        </w:trPr>
        <w:tc>
          <w:tcPr>
            <w:tcW w:w="4320" w:type="dxa"/>
            <w:shd w:val="clear" w:color="auto" w:fill="auto"/>
          </w:tcPr>
          <w:p w:rsidR="00597373" w:rsidRPr="00742697" w:rsidRDefault="00597373" w:rsidP="00B60060">
            <w:pPr>
              <w:rPr>
                <w:b/>
                <w:sz w:val="20"/>
                <w:szCs w:val="20"/>
                <w:lang w:val="fr-CA"/>
              </w:rPr>
            </w:pPr>
            <w:r w:rsidRPr="00742697">
              <w:rPr>
                <w:b/>
                <w:sz w:val="20"/>
                <w:szCs w:val="20"/>
                <w:lang w:val="fr-CA"/>
              </w:rPr>
              <w:t>T.G.</w:t>
            </w:r>
          </w:p>
          <w:p w:rsidR="00597373" w:rsidRPr="00597373" w:rsidRDefault="00597373" w:rsidP="00B60060">
            <w:pPr>
              <w:tabs>
                <w:tab w:val="left" w:pos="-1440"/>
                <w:tab w:val="left" w:pos="-720"/>
              </w:tabs>
              <w:rPr>
                <w:sz w:val="20"/>
                <w:szCs w:val="20"/>
                <w:lang w:val="fr-CA"/>
              </w:rPr>
            </w:pPr>
            <w:r w:rsidRPr="00742697">
              <w:rPr>
                <w:sz w:val="20"/>
                <w:szCs w:val="20"/>
                <w:lang w:val="fr-CA"/>
              </w:rPr>
              <w:tab/>
            </w:r>
            <w:r w:rsidRPr="00597373">
              <w:rPr>
                <w:sz w:val="20"/>
                <w:szCs w:val="20"/>
                <w:lang w:val="fr-CA"/>
              </w:rPr>
              <w:t>Phillip M. Epstein, Q.C.</w:t>
            </w:r>
          </w:p>
          <w:p w:rsidR="00597373" w:rsidRPr="00597373" w:rsidRDefault="00597373" w:rsidP="00B60060">
            <w:pPr>
              <w:tabs>
                <w:tab w:val="left" w:pos="-1440"/>
                <w:tab w:val="left" w:pos="-720"/>
              </w:tabs>
              <w:rPr>
                <w:sz w:val="20"/>
                <w:szCs w:val="20"/>
                <w:lang w:val="fr-CA"/>
              </w:rPr>
            </w:pPr>
            <w:r w:rsidRPr="00597373">
              <w:rPr>
                <w:sz w:val="20"/>
                <w:szCs w:val="20"/>
                <w:lang w:val="fr-CA"/>
              </w:rPr>
              <w:tab/>
              <w:t>Epstein Cole LLP</w:t>
            </w:r>
          </w:p>
          <w:p w:rsidR="00597373" w:rsidRPr="00597373" w:rsidRDefault="00597373" w:rsidP="00B60060">
            <w:pPr>
              <w:tabs>
                <w:tab w:val="left" w:pos="-1440"/>
                <w:tab w:val="left" w:pos="-720"/>
              </w:tabs>
              <w:rPr>
                <w:sz w:val="20"/>
                <w:szCs w:val="20"/>
                <w:lang w:val="fr-CA"/>
              </w:rPr>
            </w:pPr>
          </w:p>
          <w:p w:rsidR="00597373" w:rsidRPr="00742697" w:rsidRDefault="00597373" w:rsidP="00B60060">
            <w:pPr>
              <w:tabs>
                <w:tab w:val="left" w:pos="-1440"/>
                <w:tab w:val="left" w:pos="-720"/>
              </w:tabs>
              <w:rPr>
                <w:sz w:val="20"/>
                <w:szCs w:val="20"/>
              </w:rPr>
            </w:pPr>
            <w:r w:rsidRPr="00597373">
              <w:rPr>
                <w:sz w:val="20"/>
                <w:szCs w:val="20"/>
                <w:lang w:val="fr-CA"/>
              </w:rPr>
              <w:tab/>
            </w:r>
            <w:r w:rsidRPr="00742697">
              <w:rPr>
                <w:sz w:val="20"/>
                <w:szCs w:val="20"/>
              </w:rPr>
              <w:t>v. (34842)</w:t>
            </w:r>
          </w:p>
          <w:p w:rsidR="00597373" w:rsidRPr="00742697" w:rsidRDefault="00597373" w:rsidP="00B60060">
            <w:pPr>
              <w:tabs>
                <w:tab w:val="left" w:pos="-1440"/>
                <w:tab w:val="left" w:pos="-720"/>
              </w:tabs>
              <w:rPr>
                <w:sz w:val="20"/>
                <w:szCs w:val="20"/>
              </w:rPr>
            </w:pPr>
          </w:p>
          <w:p w:rsidR="00597373" w:rsidRPr="00597373" w:rsidRDefault="00597373" w:rsidP="00B60060">
            <w:pPr>
              <w:tabs>
                <w:tab w:val="left" w:pos="-1440"/>
                <w:tab w:val="left" w:pos="-720"/>
              </w:tabs>
              <w:rPr>
                <w:b/>
                <w:sz w:val="20"/>
                <w:szCs w:val="20"/>
              </w:rPr>
            </w:pPr>
            <w:r w:rsidRPr="00597373">
              <w:rPr>
                <w:b/>
                <w:sz w:val="20"/>
                <w:szCs w:val="20"/>
              </w:rPr>
              <w:t>Minister of Community Services et al. (N.S.)</w:t>
            </w:r>
          </w:p>
          <w:p w:rsidR="00597373" w:rsidRPr="00597373" w:rsidRDefault="00597373" w:rsidP="00B60060">
            <w:pPr>
              <w:tabs>
                <w:tab w:val="left" w:pos="-1440"/>
                <w:tab w:val="left" w:pos="-720"/>
              </w:tabs>
              <w:rPr>
                <w:sz w:val="20"/>
                <w:szCs w:val="20"/>
              </w:rPr>
            </w:pPr>
            <w:r w:rsidRPr="00597373">
              <w:rPr>
                <w:sz w:val="20"/>
                <w:szCs w:val="20"/>
              </w:rPr>
              <w:tab/>
            </w:r>
            <w:r>
              <w:rPr>
                <w:sz w:val="20"/>
                <w:szCs w:val="20"/>
              </w:rPr>
              <w:t>Peter C. McVey</w:t>
            </w:r>
          </w:p>
          <w:p w:rsidR="00597373" w:rsidRPr="00552E18" w:rsidRDefault="00597373" w:rsidP="00B60060">
            <w:pPr>
              <w:tabs>
                <w:tab w:val="left" w:pos="-1440"/>
                <w:tab w:val="left" w:pos="-720"/>
              </w:tabs>
              <w:rPr>
                <w:sz w:val="20"/>
                <w:szCs w:val="20"/>
              </w:rPr>
            </w:pPr>
            <w:r w:rsidRPr="00597373">
              <w:rPr>
                <w:sz w:val="20"/>
                <w:szCs w:val="20"/>
              </w:rPr>
              <w:tab/>
              <w:t>A.G. of Nova Scotia</w:t>
            </w:r>
          </w:p>
          <w:p w:rsidR="00597373" w:rsidRPr="00552E18" w:rsidRDefault="00597373" w:rsidP="00B60060">
            <w:pPr>
              <w:tabs>
                <w:tab w:val="left" w:pos="-1440"/>
                <w:tab w:val="left" w:pos="-720"/>
              </w:tabs>
              <w:rPr>
                <w:sz w:val="20"/>
                <w:szCs w:val="20"/>
              </w:rPr>
            </w:pPr>
          </w:p>
          <w:p w:rsidR="00597373" w:rsidRPr="00552E18" w:rsidRDefault="00597373" w:rsidP="00B60060">
            <w:pPr>
              <w:rPr>
                <w:sz w:val="20"/>
                <w:szCs w:val="20"/>
              </w:rPr>
            </w:pPr>
            <w:r w:rsidRPr="00552E18">
              <w:rPr>
                <w:sz w:val="20"/>
                <w:szCs w:val="20"/>
              </w:rPr>
              <w:t>FILING DATE: 28.05.2012</w:t>
            </w:r>
          </w:p>
          <w:p w:rsidR="00597373" w:rsidRPr="00597373" w:rsidRDefault="00ED3438" w:rsidP="00B60060">
            <w:pPr>
              <w:rPr>
                <w:sz w:val="20"/>
                <w:szCs w:val="20"/>
                <w:lang w:val="fr-CA"/>
              </w:rPr>
            </w:pPr>
            <w:r w:rsidRPr="00ED3438">
              <w:rPr>
                <w:sz w:val="20"/>
                <w:szCs w:val="20"/>
                <w:lang w:val="fr-CA"/>
              </w:rPr>
              <w:pict>
                <v:rect id="_x0000_i1038" style="width:108pt;height:1pt" o:hrpct="0" o:hralign="center" o:hrstd="t" o:hrnoshade="t" o:hr="t" fillcolor="black [3213]" stroked="f"/>
              </w:pict>
            </w:r>
          </w:p>
        </w:tc>
        <w:tc>
          <w:tcPr>
            <w:tcW w:w="1181" w:type="dxa"/>
            <w:shd w:val="clear" w:color="auto" w:fill="auto"/>
          </w:tcPr>
          <w:p w:rsidR="00597373" w:rsidRPr="00597373" w:rsidRDefault="00597373" w:rsidP="00242AEE">
            <w:pPr>
              <w:jc w:val="center"/>
              <w:rPr>
                <w:sz w:val="20"/>
                <w:szCs w:val="20"/>
                <w:lang w:val="fr-CA"/>
              </w:rPr>
            </w:pPr>
          </w:p>
          <w:p w:rsidR="00597373" w:rsidRPr="00597373" w:rsidRDefault="00597373" w:rsidP="00242AEE">
            <w:pPr>
              <w:jc w:val="center"/>
              <w:rPr>
                <w:sz w:val="20"/>
                <w:szCs w:val="20"/>
                <w:lang w:val="fr-CA"/>
              </w:rPr>
            </w:pPr>
          </w:p>
          <w:p w:rsidR="00597373" w:rsidRPr="00597373" w:rsidRDefault="00597373" w:rsidP="00242AEE">
            <w:pPr>
              <w:jc w:val="center"/>
              <w:rPr>
                <w:sz w:val="20"/>
                <w:szCs w:val="20"/>
                <w:lang w:val="fr-CA"/>
              </w:rPr>
            </w:pPr>
          </w:p>
          <w:p w:rsidR="00597373" w:rsidRPr="00597373" w:rsidRDefault="00597373" w:rsidP="00242AEE">
            <w:pPr>
              <w:jc w:val="center"/>
              <w:rPr>
                <w:sz w:val="20"/>
                <w:szCs w:val="20"/>
                <w:lang w:val="fr-CA"/>
              </w:rPr>
            </w:pPr>
          </w:p>
          <w:p w:rsidR="00597373" w:rsidRPr="00597373" w:rsidRDefault="00597373" w:rsidP="00242AEE">
            <w:pPr>
              <w:jc w:val="center"/>
              <w:rPr>
                <w:sz w:val="20"/>
                <w:szCs w:val="20"/>
                <w:lang w:val="fr-CA"/>
              </w:rPr>
            </w:pPr>
          </w:p>
          <w:p w:rsidR="00597373" w:rsidRPr="00597373" w:rsidRDefault="00597373" w:rsidP="00242AEE">
            <w:pPr>
              <w:jc w:val="center"/>
              <w:rPr>
                <w:sz w:val="20"/>
                <w:szCs w:val="20"/>
                <w:lang w:val="fr-CA"/>
              </w:rPr>
            </w:pPr>
          </w:p>
          <w:p w:rsidR="00597373" w:rsidRPr="00597373" w:rsidRDefault="00597373" w:rsidP="00242AEE">
            <w:pPr>
              <w:jc w:val="center"/>
              <w:rPr>
                <w:sz w:val="20"/>
                <w:szCs w:val="20"/>
                <w:lang w:val="fr-CA"/>
              </w:rPr>
            </w:pPr>
          </w:p>
          <w:p w:rsidR="00597373" w:rsidRPr="00597373" w:rsidRDefault="00597373" w:rsidP="00242AEE">
            <w:pPr>
              <w:jc w:val="center"/>
              <w:rPr>
                <w:sz w:val="20"/>
                <w:szCs w:val="20"/>
                <w:lang w:val="fr-CA"/>
              </w:rPr>
            </w:pPr>
          </w:p>
          <w:p w:rsidR="00597373" w:rsidRPr="00597373" w:rsidRDefault="00597373" w:rsidP="00242AEE">
            <w:pPr>
              <w:jc w:val="center"/>
              <w:rPr>
                <w:sz w:val="20"/>
                <w:szCs w:val="20"/>
                <w:lang w:val="fr-CA"/>
              </w:rPr>
            </w:pPr>
          </w:p>
          <w:p w:rsidR="00597373" w:rsidRPr="00597373" w:rsidRDefault="00597373" w:rsidP="00242AEE">
            <w:pPr>
              <w:jc w:val="center"/>
              <w:rPr>
                <w:sz w:val="20"/>
                <w:szCs w:val="20"/>
                <w:lang w:val="fr-CA"/>
              </w:rPr>
            </w:pPr>
          </w:p>
          <w:p w:rsidR="00597373" w:rsidRPr="00597373" w:rsidRDefault="00597373" w:rsidP="00242AEE">
            <w:pPr>
              <w:jc w:val="center"/>
              <w:rPr>
                <w:sz w:val="20"/>
                <w:szCs w:val="20"/>
                <w:lang w:val="fr-CA"/>
              </w:rPr>
            </w:pPr>
          </w:p>
          <w:p w:rsidR="00597373" w:rsidRPr="00597373" w:rsidRDefault="00597373" w:rsidP="00242AEE">
            <w:pPr>
              <w:jc w:val="center"/>
              <w:rPr>
                <w:sz w:val="20"/>
                <w:szCs w:val="20"/>
                <w:lang w:val="fr-CA"/>
              </w:rPr>
            </w:pPr>
          </w:p>
        </w:tc>
        <w:tc>
          <w:tcPr>
            <w:tcW w:w="4320" w:type="dxa"/>
            <w:shd w:val="clear" w:color="auto" w:fill="auto"/>
          </w:tcPr>
          <w:p w:rsidR="00597373" w:rsidRPr="00597373" w:rsidRDefault="00597373" w:rsidP="00AE3198">
            <w:pPr>
              <w:keepNext/>
              <w:keepLines/>
              <w:tabs>
                <w:tab w:val="left" w:pos="-1440"/>
                <w:tab w:val="left" w:pos="-720"/>
              </w:tabs>
              <w:rPr>
                <w:b/>
                <w:sz w:val="20"/>
                <w:szCs w:val="20"/>
                <w:lang w:val="fr-CA"/>
              </w:rPr>
            </w:pPr>
          </w:p>
        </w:tc>
      </w:tr>
    </w:tbl>
    <w:p w:rsidR="006C3F47" w:rsidRPr="00597373" w:rsidRDefault="006C3F47" w:rsidP="0095096B">
      <w:pPr>
        <w:tabs>
          <w:tab w:val="right" w:pos="9360"/>
        </w:tabs>
        <w:rPr>
          <w:sz w:val="20"/>
          <w:szCs w:val="20"/>
          <w:lang w:val="fr-CA"/>
        </w:rPr>
      </w:pPr>
    </w:p>
    <w:p w:rsidR="00242AEE" w:rsidRPr="00597373" w:rsidRDefault="00242AEE" w:rsidP="0095096B">
      <w:pPr>
        <w:tabs>
          <w:tab w:val="right" w:pos="9360"/>
        </w:tabs>
        <w:rPr>
          <w:sz w:val="20"/>
          <w:szCs w:val="20"/>
          <w:lang w:val="fr-CA"/>
        </w:rPr>
      </w:pPr>
    </w:p>
    <w:p w:rsidR="00242AEE" w:rsidRPr="00597373" w:rsidRDefault="00242AEE" w:rsidP="0095096B">
      <w:pPr>
        <w:tabs>
          <w:tab w:val="right" w:pos="9360"/>
        </w:tabs>
        <w:rPr>
          <w:sz w:val="20"/>
          <w:szCs w:val="20"/>
          <w:lang w:val="fr-CA"/>
        </w:rPr>
        <w:sectPr w:rsidR="00242AEE" w:rsidRPr="00597373" w:rsidSect="005525F2">
          <w:headerReference w:type="default" r:id="rId15"/>
          <w:footerReference w:type="default" r:id="rId16"/>
          <w:headerReference w:type="first" r:id="rId17"/>
          <w:footerReference w:type="first" r:id="rId18"/>
          <w:pgSz w:w="12240" w:h="15840"/>
          <w:pgMar w:top="720" w:right="965" w:bottom="1080" w:left="1656" w:header="706" w:footer="706" w:gutter="0"/>
          <w:pgNumType w:start="913"/>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017BF4" w:rsidTr="00BA6468">
        <w:trPr>
          <w:trHeight w:val="900"/>
        </w:trPr>
        <w:tc>
          <w:tcPr>
            <w:tcW w:w="4200" w:type="dxa"/>
            <w:tcMar>
              <w:left w:w="0" w:type="dxa"/>
              <w:right w:w="0" w:type="dxa"/>
            </w:tcMar>
          </w:tcPr>
          <w:p w:rsidR="002E2327" w:rsidRPr="00742697" w:rsidRDefault="002E2327" w:rsidP="002E2327">
            <w:pPr>
              <w:keepNext/>
              <w:keepLines/>
              <w:widowControl w:val="0"/>
              <w:rPr>
                <w:b/>
                <w:szCs w:val="24"/>
              </w:rPr>
            </w:pPr>
            <w:r w:rsidRPr="00742697">
              <w:rPr>
                <w:b/>
                <w:szCs w:val="24"/>
              </w:rPr>
              <w:t>APPLICATIONS FOR LEAVE SUBMITTED TO COURT SINCE LAST ISSUE</w:t>
            </w:r>
          </w:p>
        </w:tc>
        <w:tc>
          <w:tcPr>
            <w:tcW w:w="1200" w:type="dxa"/>
            <w:tcMar>
              <w:left w:w="0" w:type="dxa"/>
              <w:right w:w="0" w:type="dxa"/>
            </w:tcMar>
          </w:tcPr>
          <w:p w:rsidR="002E2327" w:rsidRPr="00742697" w:rsidRDefault="002E2327" w:rsidP="002E2327">
            <w:pPr>
              <w:keepNext/>
              <w:keepLines/>
              <w:widowControl w:val="0"/>
              <w:jc w:val="center"/>
              <w:rPr>
                <w:b/>
                <w:szCs w:val="24"/>
              </w:rPr>
            </w:pPr>
          </w:p>
          <w:p w:rsidR="001D0D5F" w:rsidRPr="00742697" w:rsidRDefault="001D0D5F" w:rsidP="002E2327">
            <w:pPr>
              <w:keepNext/>
              <w:keepLines/>
              <w:widowControl w:val="0"/>
              <w:jc w:val="center"/>
              <w:rPr>
                <w:b/>
                <w:szCs w:val="24"/>
              </w:rPr>
            </w:pPr>
          </w:p>
          <w:p w:rsidR="001D0D5F" w:rsidRPr="00742697" w:rsidRDefault="001D0D5F" w:rsidP="002E2327">
            <w:pPr>
              <w:keepNext/>
              <w:keepLines/>
              <w:widowControl w:val="0"/>
              <w:jc w:val="center"/>
              <w:rPr>
                <w:b/>
                <w:szCs w:val="24"/>
              </w:rPr>
            </w:pPr>
          </w:p>
          <w:p w:rsidR="001D0D5F" w:rsidRPr="00742697"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597373">
              <w:rPr>
                <w:b/>
                <w:szCs w:val="24"/>
                <w:lang w:val="fr-CA"/>
              </w:rPr>
              <w:t xml:space="preserve">DEMANDES SOUMISES À LA COUR DEPUIS </w:t>
            </w:r>
            <w:r w:rsidRPr="001D0D5F">
              <w:rPr>
                <w:b/>
                <w:szCs w:val="24"/>
                <w:lang w:val="fr-CA"/>
              </w:rPr>
              <w:t>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867944" w:rsidP="004B7F60">
      <w:pPr>
        <w:widowControl w:val="0"/>
        <w:rPr>
          <w:b/>
          <w:sz w:val="20"/>
          <w:szCs w:val="20"/>
        </w:rPr>
      </w:pPr>
      <w:r>
        <w:rPr>
          <w:b/>
          <w:sz w:val="20"/>
          <w:szCs w:val="20"/>
        </w:rPr>
        <w:t>JU</w:t>
      </w:r>
      <w:r w:rsidR="004B7F60">
        <w:rPr>
          <w:b/>
          <w:sz w:val="20"/>
          <w:szCs w:val="20"/>
        </w:rPr>
        <w:t>NE</w:t>
      </w:r>
      <w:r w:rsidR="004B7F60" w:rsidRPr="00C50A5C">
        <w:rPr>
          <w:b/>
          <w:sz w:val="20"/>
          <w:szCs w:val="20"/>
        </w:rPr>
        <w:t xml:space="preserve"> </w:t>
      </w:r>
      <w:r>
        <w:rPr>
          <w:b/>
          <w:sz w:val="20"/>
          <w:szCs w:val="20"/>
        </w:rPr>
        <w:t>11</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11 JUIN</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4B7F60" w:rsidRPr="00C50A5C" w:rsidRDefault="004B7F60" w:rsidP="004B7F60">
      <w:pPr>
        <w:widowControl w:val="0"/>
        <w:rPr>
          <w:sz w:val="20"/>
          <w:szCs w:val="20"/>
          <w:lang w:val="fr-CA"/>
        </w:rPr>
      </w:pPr>
    </w:p>
    <w:p w:rsidR="004B7F60" w:rsidRPr="00C50A5C" w:rsidRDefault="00647750" w:rsidP="004B7F60">
      <w:pPr>
        <w:pStyle w:val="ListParagraph"/>
        <w:widowControl w:val="0"/>
        <w:numPr>
          <w:ilvl w:val="0"/>
          <w:numId w:val="1"/>
        </w:numPr>
        <w:ind w:hanging="720"/>
        <w:jc w:val="both"/>
        <w:rPr>
          <w:sz w:val="20"/>
          <w:szCs w:val="20"/>
        </w:rPr>
      </w:pPr>
      <w:r w:rsidRPr="00647750">
        <w:rPr>
          <w:i/>
          <w:sz w:val="20"/>
          <w:szCs w:val="20"/>
        </w:rPr>
        <w:t>A.R.M. v. Her Majesty the Queen</w:t>
      </w:r>
      <w:r w:rsidRPr="00647750">
        <w:rPr>
          <w:sz w:val="20"/>
          <w:szCs w:val="20"/>
        </w:rPr>
        <w:t xml:space="preserve"> (Alta.) </w:t>
      </w:r>
      <w:r w:rsidRPr="00A37839">
        <w:rPr>
          <w:sz w:val="20"/>
          <w:szCs w:val="20"/>
          <w:lang w:val="fr-CA"/>
        </w:rPr>
        <w:t>(</w:t>
      </w:r>
      <w:proofErr w:type="spellStart"/>
      <w:r w:rsidRPr="00A37839">
        <w:rPr>
          <w:sz w:val="20"/>
          <w:szCs w:val="20"/>
          <w:lang w:val="fr-CA"/>
        </w:rPr>
        <w:t>Crim</w:t>
      </w:r>
      <w:proofErr w:type="spellEnd"/>
      <w:r w:rsidRPr="00A37839">
        <w:rPr>
          <w:sz w:val="20"/>
          <w:szCs w:val="20"/>
          <w:lang w:val="fr-CA"/>
        </w:rPr>
        <w:t xml:space="preserve">.) </w:t>
      </w:r>
      <w:r w:rsidRPr="00A37839">
        <w:rPr>
          <w:sz w:val="20"/>
          <w:szCs w:val="20"/>
        </w:rPr>
        <w:t>(By Leave)</w:t>
      </w:r>
      <w:r w:rsidRPr="00C50A5C">
        <w:rPr>
          <w:sz w:val="20"/>
          <w:szCs w:val="20"/>
        </w:rPr>
        <w:t xml:space="preserve"> </w:t>
      </w:r>
      <w:r w:rsidR="004B7F60" w:rsidRPr="00C50A5C">
        <w:rPr>
          <w:sz w:val="20"/>
          <w:szCs w:val="20"/>
        </w:rPr>
        <w:t>(3</w:t>
      </w:r>
      <w:r w:rsidR="004B7F60">
        <w:rPr>
          <w:sz w:val="20"/>
          <w:szCs w:val="20"/>
        </w:rPr>
        <w:t>4</w:t>
      </w:r>
      <w:r>
        <w:rPr>
          <w:sz w:val="20"/>
          <w:szCs w:val="20"/>
        </w:rPr>
        <w:t>682</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647750" w:rsidP="004B7F60">
      <w:pPr>
        <w:pStyle w:val="ListParagraph"/>
        <w:widowControl w:val="0"/>
        <w:numPr>
          <w:ilvl w:val="0"/>
          <w:numId w:val="1"/>
        </w:numPr>
        <w:ind w:hanging="720"/>
        <w:jc w:val="both"/>
        <w:rPr>
          <w:sz w:val="20"/>
          <w:szCs w:val="20"/>
        </w:rPr>
      </w:pPr>
      <w:r w:rsidRPr="00647750">
        <w:rPr>
          <w:i/>
          <w:sz w:val="20"/>
          <w:szCs w:val="20"/>
        </w:rPr>
        <w:t>Sinopec Shanghai Engineering Company Ltd. v. Her Majesty the Queen in Right of Alberta</w:t>
      </w:r>
      <w:r w:rsidRPr="00A37839">
        <w:rPr>
          <w:sz w:val="20"/>
          <w:szCs w:val="20"/>
        </w:rPr>
        <w:t xml:space="preserve"> (Alta.) (Civil) (By</w:t>
      </w:r>
      <w:r w:rsidR="008C4F9C">
        <w:rPr>
          <w:sz w:val="20"/>
          <w:szCs w:val="20"/>
        </w:rPr>
        <w:t> </w:t>
      </w:r>
      <w:r w:rsidRPr="00A37839">
        <w:rPr>
          <w:sz w:val="20"/>
          <w:szCs w:val="20"/>
        </w:rPr>
        <w:t>Leave)</w:t>
      </w:r>
      <w:r w:rsidRPr="00C612D0">
        <w:rPr>
          <w:sz w:val="20"/>
          <w:szCs w:val="20"/>
        </w:rPr>
        <w:t xml:space="preserve"> </w:t>
      </w:r>
      <w:r w:rsidR="004B7F60" w:rsidRPr="00C612D0">
        <w:rPr>
          <w:sz w:val="20"/>
          <w:szCs w:val="20"/>
        </w:rPr>
        <w:t>(34</w:t>
      </w:r>
      <w:r>
        <w:rPr>
          <w:sz w:val="20"/>
          <w:szCs w:val="20"/>
        </w:rPr>
        <w:t>629)</w:t>
      </w:r>
    </w:p>
    <w:p w:rsidR="004B7F60" w:rsidRPr="00C612D0" w:rsidRDefault="004B7F60" w:rsidP="004B7F60">
      <w:pPr>
        <w:widowControl w:val="0"/>
        <w:jc w:val="both"/>
        <w:rPr>
          <w:sz w:val="20"/>
          <w:szCs w:val="20"/>
        </w:rPr>
      </w:pPr>
    </w:p>
    <w:p w:rsidR="004B7F60" w:rsidRPr="00C50A5C" w:rsidRDefault="000C7ADB" w:rsidP="004B7F60">
      <w:pPr>
        <w:pStyle w:val="ListParagraph"/>
        <w:widowControl w:val="0"/>
        <w:numPr>
          <w:ilvl w:val="0"/>
          <w:numId w:val="1"/>
        </w:numPr>
        <w:ind w:hanging="720"/>
        <w:jc w:val="both"/>
        <w:rPr>
          <w:sz w:val="20"/>
          <w:szCs w:val="20"/>
        </w:rPr>
      </w:pPr>
      <w:r w:rsidRPr="000C7ADB">
        <w:rPr>
          <w:i/>
          <w:sz w:val="20"/>
          <w:szCs w:val="20"/>
        </w:rPr>
        <w:t>Bryan Mellor v. Workers' Compensation Board of Saskatchewan</w:t>
      </w:r>
      <w:r w:rsidRPr="00A37839">
        <w:rPr>
          <w:sz w:val="20"/>
          <w:szCs w:val="20"/>
        </w:rPr>
        <w:t xml:space="preserve"> (Sask.) (Civil) (By Leave)</w:t>
      </w:r>
      <w:r w:rsidRPr="00940CAD">
        <w:rPr>
          <w:sz w:val="20"/>
          <w:szCs w:val="20"/>
        </w:rPr>
        <w:t xml:space="preserve"> </w:t>
      </w:r>
      <w:r w:rsidR="004B7F60" w:rsidRPr="00940CAD">
        <w:rPr>
          <w:sz w:val="20"/>
          <w:szCs w:val="20"/>
        </w:rPr>
        <w:t>(34</w:t>
      </w:r>
      <w:r w:rsidR="00647750">
        <w:rPr>
          <w:sz w:val="20"/>
          <w:szCs w:val="20"/>
        </w:rPr>
        <w:t>766</w:t>
      </w:r>
      <w:r w:rsidR="004B7F60" w:rsidRPr="00940CAD">
        <w:rPr>
          <w:sz w:val="20"/>
          <w:szCs w:val="20"/>
        </w:rPr>
        <w:t>)</w:t>
      </w:r>
    </w:p>
    <w:p w:rsidR="004B7F60" w:rsidRPr="00C50A5C" w:rsidRDefault="004B7F60" w:rsidP="004B7F60">
      <w:pPr>
        <w:widowControl w:val="0"/>
        <w:rPr>
          <w:sz w:val="20"/>
          <w:szCs w:val="20"/>
        </w:rPr>
      </w:pPr>
    </w:p>
    <w:p w:rsidR="004B7F60" w:rsidRPr="00C50A5C" w:rsidRDefault="000C7ADB" w:rsidP="004B7F60">
      <w:pPr>
        <w:pStyle w:val="ListParagraph"/>
        <w:widowControl w:val="0"/>
        <w:numPr>
          <w:ilvl w:val="0"/>
          <w:numId w:val="1"/>
        </w:numPr>
        <w:ind w:hanging="720"/>
        <w:jc w:val="both"/>
        <w:rPr>
          <w:sz w:val="20"/>
          <w:szCs w:val="20"/>
        </w:rPr>
      </w:pPr>
      <w:r w:rsidRPr="000C7ADB">
        <w:rPr>
          <w:i/>
          <w:sz w:val="20"/>
          <w:szCs w:val="20"/>
        </w:rPr>
        <w:t>Al-</w:t>
      </w:r>
      <w:proofErr w:type="spellStart"/>
      <w:r w:rsidRPr="000C7ADB">
        <w:rPr>
          <w:i/>
          <w:sz w:val="20"/>
          <w:szCs w:val="20"/>
        </w:rPr>
        <w:t>Munzir</w:t>
      </w:r>
      <w:proofErr w:type="spellEnd"/>
      <w:r w:rsidRPr="000C7ADB">
        <w:rPr>
          <w:i/>
          <w:sz w:val="20"/>
          <w:szCs w:val="20"/>
        </w:rPr>
        <w:t xml:space="preserve"> Es-</w:t>
      </w:r>
      <w:proofErr w:type="spellStart"/>
      <w:r w:rsidRPr="000C7ADB">
        <w:rPr>
          <w:i/>
          <w:sz w:val="20"/>
          <w:szCs w:val="20"/>
        </w:rPr>
        <w:t>Sayyid</w:t>
      </w:r>
      <w:proofErr w:type="spellEnd"/>
      <w:r w:rsidRPr="000C7ADB">
        <w:rPr>
          <w:i/>
          <w:sz w:val="20"/>
          <w:szCs w:val="20"/>
        </w:rPr>
        <w:t xml:space="preserve"> v. Minister of Public Safety and Emergency Preparedness</w:t>
      </w:r>
      <w:r w:rsidRPr="00A37839">
        <w:rPr>
          <w:sz w:val="20"/>
          <w:szCs w:val="20"/>
        </w:rPr>
        <w:t xml:space="preserve"> (F</w:t>
      </w:r>
      <w:r>
        <w:rPr>
          <w:sz w:val="20"/>
          <w:szCs w:val="20"/>
        </w:rPr>
        <w:t>.</w:t>
      </w:r>
      <w:r w:rsidRPr="00A37839">
        <w:rPr>
          <w:sz w:val="20"/>
          <w:szCs w:val="20"/>
        </w:rPr>
        <w:t>C</w:t>
      </w:r>
      <w:r>
        <w:rPr>
          <w:sz w:val="20"/>
          <w:szCs w:val="20"/>
        </w:rPr>
        <w:t>.</w:t>
      </w:r>
      <w:r w:rsidRPr="00A37839">
        <w:rPr>
          <w:sz w:val="20"/>
          <w:szCs w:val="20"/>
        </w:rPr>
        <w:t>) (Civil) (By Leave)</w:t>
      </w:r>
      <w:r w:rsidRPr="00C50A5C">
        <w:rPr>
          <w:sz w:val="20"/>
          <w:szCs w:val="20"/>
        </w:rPr>
        <w:t xml:space="preserve"> </w:t>
      </w:r>
      <w:r w:rsidR="004B7F60" w:rsidRPr="00C50A5C">
        <w:rPr>
          <w:sz w:val="20"/>
          <w:szCs w:val="20"/>
        </w:rPr>
        <w:t>(3</w:t>
      </w:r>
      <w:r w:rsidR="004B7F60">
        <w:rPr>
          <w:sz w:val="20"/>
          <w:szCs w:val="20"/>
        </w:rPr>
        <w:t>4</w:t>
      </w:r>
      <w:r w:rsidR="00647750">
        <w:rPr>
          <w:sz w:val="20"/>
          <w:szCs w:val="20"/>
        </w:rPr>
        <w:t>712</w:t>
      </w:r>
      <w:r w:rsidR="004B7F60" w:rsidRPr="00C50A5C">
        <w:rPr>
          <w:sz w:val="20"/>
          <w:szCs w:val="20"/>
        </w:rPr>
        <w:t>)</w:t>
      </w:r>
    </w:p>
    <w:p w:rsidR="004B7F60" w:rsidRDefault="004B7F60" w:rsidP="004B7F60">
      <w:pPr>
        <w:widowControl w:val="0"/>
        <w:jc w:val="both"/>
        <w:rPr>
          <w:sz w:val="20"/>
          <w:szCs w:val="20"/>
        </w:rPr>
      </w:pPr>
    </w:p>
    <w:p w:rsidR="004B7F60" w:rsidRPr="000C7ADB" w:rsidRDefault="000C7ADB" w:rsidP="004B7F60">
      <w:pPr>
        <w:pStyle w:val="ListParagraph"/>
        <w:widowControl w:val="0"/>
        <w:numPr>
          <w:ilvl w:val="0"/>
          <w:numId w:val="1"/>
        </w:numPr>
        <w:ind w:hanging="720"/>
        <w:jc w:val="both"/>
        <w:rPr>
          <w:sz w:val="20"/>
          <w:szCs w:val="20"/>
        </w:rPr>
      </w:pPr>
      <w:proofErr w:type="spellStart"/>
      <w:r w:rsidRPr="000C7ADB">
        <w:rPr>
          <w:i/>
          <w:sz w:val="20"/>
          <w:szCs w:val="20"/>
          <w:lang w:val="fr-CA"/>
        </w:rPr>
        <w:t>Apotex</w:t>
      </w:r>
      <w:proofErr w:type="spellEnd"/>
      <w:r w:rsidRPr="000C7ADB">
        <w:rPr>
          <w:i/>
          <w:sz w:val="20"/>
          <w:szCs w:val="20"/>
          <w:lang w:val="fr-CA"/>
        </w:rPr>
        <w:t xml:space="preserve"> Inc., et al. v. </w:t>
      </w:r>
      <w:proofErr w:type="spellStart"/>
      <w:r w:rsidRPr="000C7ADB">
        <w:rPr>
          <w:i/>
          <w:sz w:val="20"/>
          <w:szCs w:val="20"/>
          <w:lang w:val="fr-CA"/>
        </w:rPr>
        <w:t>Merck</w:t>
      </w:r>
      <w:proofErr w:type="spellEnd"/>
      <w:r w:rsidRPr="000C7ADB">
        <w:rPr>
          <w:i/>
          <w:sz w:val="20"/>
          <w:szCs w:val="20"/>
          <w:lang w:val="fr-CA"/>
        </w:rPr>
        <w:t xml:space="preserve"> &amp; Co. Inc. et al.</w:t>
      </w:r>
      <w:r w:rsidRPr="000C7ADB">
        <w:rPr>
          <w:sz w:val="20"/>
          <w:szCs w:val="20"/>
          <w:lang w:val="fr-CA"/>
        </w:rPr>
        <w:t xml:space="preserve"> </w:t>
      </w:r>
      <w:r w:rsidRPr="000C7ADB">
        <w:rPr>
          <w:sz w:val="20"/>
          <w:szCs w:val="20"/>
        </w:rPr>
        <w:t xml:space="preserve">(F.C.) (Civil) (By Leave) </w:t>
      </w:r>
      <w:r w:rsidR="004B7F60" w:rsidRPr="000C7ADB">
        <w:rPr>
          <w:sz w:val="20"/>
          <w:szCs w:val="20"/>
        </w:rPr>
        <w:t>(34</w:t>
      </w:r>
      <w:r w:rsidR="00647750" w:rsidRPr="000C7ADB">
        <w:rPr>
          <w:sz w:val="20"/>
          <w:szCs w:val="20"/>
        </w:rPr>
        <w:t>676</w:t>
      </w:r>
      <w:r w:rsidR="004B7F60" w:rsidRPr="000C7ADB">
        <w:rPr>
          <w:sz w:val="20"/>
          <w:szCs w:val="20"/>
        </w:rPr>
        <w:t>)</w:t>
      </w:r>
    </w:p>
    <w:p w:rsidR="004B7F60" w:rsidRPr="000C7ADB" w:rsidRDefault="004B7F60" w:rsidP="004B7F60">
      <w:pPr>
        <w:widowControl w:val="0"/>
        <w:rPr>
          <w:sz w:val="20"/>
          <w:szCs w:val="20"/>
        </w:rPr>
      </w:pPr>
    </w:p>
    <w:p w:rsidR="00A37839" w:rsidRPr="000C7ADB" w:rsidRDefault="00A37839" w:rsidP="004B7F60">
      <w:pPr>
        <w:widowControl w:val="0"/>
        <w:rPr>
          <w:sz w:val="20"/>
          <w:szCs w:val="20"/>
        </w:rPr>
      </w:pPr>
    </w:p>
    <w:p w:rsidR="00A37839" w:rsidRPr="00C50A5C" w:rsidRDefault="00A37839" w:rsidP="00A37839">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Abella</w:t>
      </w:r>
      <w:proofErr w:type="spellEnd"/>
      <w:r w:rsidRPr="00C50A5C">
        <w:rPr>
          <w:b/>
          <w:sz w:val="20"/>
          <w:szCs w:val="20"/>
        </w:rPr>
        <w:t xml:space="preserve"> and </w:t>
      </w:r>
      <w:r>
        <w:rPr>
          <w:b/>
          <w:sz w:val="20"/>
          <w:szCs w:val="20"/>
        </w:rPr>
        <w:t>Cromwell</w:t>
      </w:r>
      <w:r w:rsidRPr="00C50A5C">
        <w:rPr>
          <w:b/>
          <w:sz w:val="20"/>
          <w:szCs w:val="20"/>
        </w:rPr>
        <w:t xml:space="preserve"> JJ.</w:t>
      </w:r>
    </w:p>
    <w:p w:rsidR="00A37839" w:rsidRPr="00C50A5C" w:rsidRDefault="00A37839" w:rsidP="00A37839">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A37839" w:rsidRPr="00C612D0" w:rsidRDefault="00A37839" w:rsidP="004B7F60">
      <w:pPr>
        <w:widowControl w:val="0"/>
        <w:rPr>
          <w:sz w:val="20"/>
          <w:szCs w:val="20"/>
          <w:lang w:val="fr-CA"/>
        </w:rPr>
      </w:pPr>
    </w:p>
    <w:p w:rsidR="004B7F60" w:rsidRPr="00115C9E" w:rsidRDefault="00CA29B9" w:rsidP="004B7F60">
      <w:pPr>
        <w:pStyle w:val="ListParagraph"/>
        <w:widowControl w:val="0"/>
        <w:numPr>
          <w:ilvl w:val="0"/>
          <w:numId w:val="1"/>
        </w:numPr>
        <w:ind w:hanging="720"/>
        <w:jc w:val="both"/>
        <w:rPr>
          <w:sz w:val="20"/>
          <w:szCs w:val="20"/>
          <w:lang w:val="fr-CA"/>
        </w:rPr>
      </w:pPr>
      <w:r w:rsidRPr="00CA29B9">
        <w:rPr>
          <w:i/>
          <w:sz w:val="20"/>
          <w:szCs w:val="20"/>
          <w:lang w:val="fr-CA"/>
        </w:rPr>
        <w:t>Yves Mailloux c. Sa Majesté la Reine</w:t>
      </w:r>
      <w:r w:rsidRPr="00A37839">
        <w:rPr>
          <w:sz w:val="20"/>
          <w:szCs w:val="20"/>
          <w:lang w:val="fr-CA"/>
        </w:rPr>
        <w:t xml:space="preserve"> (</w:t>
      </w:r>
      <w:proofErr w:type="spellStart"/>
      <w:r w:rsidRPr="00A37839">
        <w:rPr>
          <w:sz w:val="20"/>
          <w:szCs w:val="20"/>
          <w:lang w:val="fr-CA"/>
        </w:rPr>
        <w:t>Qc</w:t>
      </w:r>
      <w:proofErr w:type="spellEnd"/>
      <w:r w:rsidRPr="00A37839">
        <w:rPr>
          <w:sz w:val="20"/>
          <w:szCs w:val="20"/>
          <w:lang w:val="fr-CA"/>
        </w:rPr>
        <w:t>) (</w:t>
      </w:r>
      <w:proofErr w:type="spellStart"/>
      <w:r w:rsidRPr="00A37839">
        <w:rPr>
          <w:sz w:val="20"/>
          <w:szCs w:val="20"/>
          <w:lang w:val="fr-CA"/>
        </w:rPr>
        <w:t>Crim</w:t>
      </w:r>
      <w:proofErr w:type="spellEnd"/>
      <w:r>
        <w:rPr>
          <w:sz w:val="20"/>
          <w:szCs w:val="20"/>
          <w:lang w:val="fr-CA"/>
        </w:rPr>
        <w:t>.</w:t>
      </w:r>
      <w:r w:rsidRPr="00A37839">
        <w:rPr>
          <w:sz w:val="20"/>
          <w:szCs w:val="20"/>
          <w:lang w:val="fr-CA"/>
        </w:rPr>
        <w:t>) (Autorisation)</w:t>
      </w:r>
      <w:r w:rsidRPr="00115C9E">
        <w:rPr>
          <w:sz w:val="20"/>
          <w:szCs w:val="20"/>
          <w:lang w:val="fr-CA"/>
        </w:rPr>
        <w:t xml:space="preserve"> </w:t>
      </w:r>
      <w:r w:rsidR="004B7F60" w:rsidRPr="00115C9E">
        <w:rPr>
          <w:sz w:val="20"/>
          <w:szCs w:val="20"/>
          <w:lang w:val="fr-CA"/>
        </w:rPr>
        <w:t>(34</w:t>
      </w:r>
      <w:r w:rsidR="00647750">
        <w:rPr>
          <w:sz w:val="20"/>
          <w:szCs w:val="20"/>
          <w:lang w:val="fr-CA"/>
        </w:rPr>
        <w:t>741</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CA29B9" w:rsidP="004B7F60">
      <w:pPr>
        <w:pStyle w:val="ListParagraph"/>
        <w:widowControl w:val="0"/>
        <w:numPr>
          <w:ilvl w:val="0"/>
          <w:numId w:val="1"/>
        </w:numPr>
        <w:ind w:hanging="720"/>
        <w:jc w:val="both"/>
        <w:rPr>
          <w:sz w:val="20"/>
          <w:szCs w:val="20"/>
          <w:lang w:val="fr-CA"/>
        </w:rPr>
      </w:pPr>
      <w:proofErr w:type="spellStart"/>
      <w:r w:rsidRPr="00CA29B9">
        <w:rPr>
          <w:i/>
          <w:sz w:val="20"/>
          <w:szCs w:val="20"/>
          <w:lang w:val="fr-CA"/>
        </w:rPr>
        <w:t>Schenker</w:t>
      </w:r>
      <w:proofErr w:type="spellEnd"/>
      <w:r w:rsidRPr="00CA29B9">
        <w:rPr>
          <w:i/>
          <w:sz w:val="20"/>
          <w:szCs w:val="20"/>
          <w:lang w:val="fr-CA"/>
        </w:rPr>
        <w:t xml:space="preserve"> du Canada limitée (aussi connue sous </w:t>
      </w:r>
      <w:proofErr w:type="spellStart"/>
      <w:r w:rsidRPr="00CA29B9">
        <w:rPr>
          <w:i/>
          <w:sz w:val="20"/>
          <w:szCs w:val="20"/>
          <w:lang w:val="fr-CA"/>
        </w:rPr>
        <w:t>Schenker</w:t>
      </w:r>
      <w:proofErr w:type="spellEnd"/>
      <w:r w:rsidRPr="00CA29B9">
        <w:rPr>
          <w:i/>
          <w:sz w:val="20"/>
          <w:szCs w:val="20"/>
          <w:lang w:val="fr-CA"/>
        </w:rPr>
        <w:t xml:space="preserve"> International) et autre c. Le Groupe </w:t>
      </w:r>
      <w:proofErr w:type="spellStart"/>
      <w:r w:rsidRPr="00CA29B9">
        <w:rPr>
          <w:i/>
          <w:sz w:val="20"/>
          <w:szCs w:val="20"/>
          <w:lang w:val="fr-CA"/>
        </w:rPr>
        <w:t>Intersand</w:t>
      </w:r>
      <w:proofErr w:type="spellEnd"/>
      <w:r w:rsidRPr="00CA29B9">
        <w:rPr>
          <w:i/>
          <w:sz w:val="20"/>
          <w:szCs w:val="20"/>
          <w:lang w:val="fr-CA"/>
        </w:rPr>
        <w:t xml:space="preserve"> Canada </w:t>
      </w:r>
      <w:proofErr w:type="spellStart"/>
      <w:r w:rsidRPr="00CA29B9">
        <w:rPr>
          <w:i/>
          <w:sz w:val="20"/>
          <w:szCs w:val="20"/>
          <w:lang w:val="fr-CA"/>
        </w:rPr>
        <w:t>inc</w:t>
      </w:r>
      <w:proofErr w:type="spellEnd"/>
      <w:r w:rsidRPr="00CA29B9">
        <w:rPr>
          <w:i/>
          <w:sz w:val="20"/>
          <w:szCs w:val="20"/>
          <w:lang w:val="fr-CA"/>
        </w:rPr>
        <w:t>.</w:t>
      </w:r>
      <w:r w:rsidRPr="00A37839">
        <w:rPr>
          <w:sz w:val="20"/>
          <w:szCs w:val="20"/>
          <w:lang w:val="fr-CA"/>
        </w:rPr>
        <w:t xml:space="preserve"> (</w:t>
      </w:r>
      <w:proofErr w:type="spellStart"/>
      <w:r w:rsidRPr="00A37839">
        <w:rPr>
          <w:sz w:val="20"/>
          <w:szCs w:val="20"/>
          <w:lang w:val="fr-CA"/>
        </w:rPr>
        <w:t>Qc</w:t>
      </w:r>
      <w:proofErr w:type="spellEnd"/>
      <w:r w:rsidRPr="00A37839">
        <w:rPr>
          <w:sz w:val="20"/>
          <w:szCs w:val="20"/>
          <w:lang w:val="fr-CA"/>
        </w:rPr>
        <w:t>) (Civile) (Autorisation)</w:t>
      </w:r>
      <w:r w:rsidRPr="00115C9E">
        <w:rPr>
          <w:sz w:val="20"/>
          <w:szCs w:val="20"/>
          <w:lang w:val="fr-CA"/>
        </w:rPr>
        <w:t xml:space="preserve"> </w:t>
      </w:r>
      <w:r w:rsidR="004B7F60" w:rsidRPr="00115C9E">
        <w:rPr>
          <w:sz w:val="20"/>
          <w:szCs w:val="20"/>
          <w:lang w:val="fr-CA"/>
        </w:rPr>
        <w:t>(34</w:t>
      </w:r>
      <w:r w:rsidR="00647750">
        <w:rPr>
          <w:sz w:val="20"/>
          <w:szCs w:val="20"/>
          <w:lang w:val="fr-CA"/>
        </w:rPr>
        <w:t>740</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50A5C" w:rsidRDefault="00CA29B9" w:rsidP="004B7F60">
      <w:pPr>
        <w:pStyle w:val="ListParagraph"/>
        <w:widowControl w:val="0"/>
        <w:numPr>
          <w:ilvl w:val="0"/>
          <w:numId w:val="1"/>
        </w:numPr>
        <w:ind w:hanging="720"/>
        <w:jc w:val="both"/>
        <w:rPr>
          <w:sz w:val="20"/>
          <w:szCs w:val="20"/>
          <w:lang w:val="fr-CA"/>
        </w:rPr>
      </w:pPr>
      <w:proofErr w:type="spellStart"/>
      <w:r w:rsidRPr="00CA29B9">
        <w:rPr>
          <w:i/>
          <w:sz w:val="20"/>
          <w:szCs w:val="20"/>
        </w:rPr>
        <w:t>Nearctic</w:t>
      </w:r>
      <w:proofErr w:type="spellEnd"/>
      <w:r w:rsidRPr="00CA29B9">
        <w:rPr>
          <w:i/>
          <w:sz w:val="20"/>
          <w:szCs w:val="20"/>
        </w:rPr>
        <w:t xml:space="preserve"> Nickel Mines Inc. et al. v. Canadian Royalties Inc.</w:t>
      </w:r>
      <w:r w:rsidRPr="00A37839">
        <w:rPr>
          <w:sz w:val="20"/>
          <w:szCs w:val="20"/>
        </w:rPr>
        <w:t xml:space="preserve"> (Que.) (Civil) (By Leave)</w:t>
      </w:r>
      <w:r w:rsidRPr="00C50A5C">
        <w:rPr>
          <w:sz w:val="20"/>
          <w:szCs w:val="20"/>
          <w:lang w:val="fr-CA"/>
        </w:rPr>
        <w:t xml:space="preserve"> </w:t>
      </w:r>
      <w:r w:rsidR="004B7F60" w:rsidRPr="00C50A5C">
        <w:rPr>
          <w:sz w:val="20"/>
          <w:szCs w:val="20"/>
          <w:lang w:val="fr-CA"/>
        </w:rPr>
        <w:t>(3</w:t>
      </w:r>
      <w:r w:rsidR="004B7F60">
        <w:rPr>
          <w:sz w:val="20"/>
          <w:szCs w:val="20"/>
          <w:lang w:val="fr-CA"/>
        </w:rPr>
        <w:t>4</w:t>
      </w:r>
      <w:r w:rsidR="00647750">
        <w:rPr>
          <w:sz w:val="20"/>
          <w:szCs w:val="20"/>
          <w:lang w:val="fr-CA"/>
        </w:rPr>
        <w:t>801</w:t>
      </w:r>
      <w:r w:rsidR="004B7F60" w:rsidRPr="00C50A5C">
        <w:rPr>
          <w:sz w:val="20"/>
          <w:szCs w:val="20"/>
          <w:lang w:val="fr-CA"/>
        </w:rPr>
        <w:t>)</w:t>
      </w:r>
    </w:p>
    <w:p w:rsidR="004B7F60" w:rsidRDefault="004B7F60" w:rsidP="004B7F60">
      <w:pPr>
        <w:widowControl w:val="0"/>
        <w:rPr>
          <w:sz w:val="20"/>
          <w:szCs w:val="20"/>
          <w:lang w:val="fr-CA"/>
        </w:rPr>
      </w:pPr>
    </w:p>
    <w:p w:rsidR="004B7F60" w:rsidRPr="00C50A5C" w:rsidRDefault="00CA29B9" w:rsidP="004B7F60">
      <w:pPr>
        <w:pStyle w:val="ListParagraph"/>
        <w:widowControl w:val="0"/>
        <w:numPr>
          <w:ilvl w:val="0"/>
          <w:numId w:val="1"/>
        </w:numPr>
        <w:ind w:hanging="720"/>
        <w:jc w:val="both"/>
        <w:rPr>
          <w:sz w:val="20"/>
          <w:szCs w:val="20"/>
          <w:lang w:val="fr-CA"/>
        </w:rPr>
      </w:pPr>
      <w:r w:rsidRPr="00CA29B9">
        <w:rPr>
          <w:i/>
          <w:sz w:val="20"/>
          <w:szCs w:val="20"/>
          <w:lang w:val="fr-CA"/>
        </w:rPr>
        <w:t xml:space="preserve">Andrea Carol Marie  </w:t>
      </w:r>
      <w:proofErr w:type="spellStart"/>
      <w:r w:rsidRPr="00CA29B9">
        <w:rPr>
          <w:i/>
          <w:sz w:val="20"/>
          <w:szCs w:val="20"/>
          <w:lang w:val="fr-CA"/>
        </w:rPr>
        <w:t>Anani</w:t>
      </w:r>
      <w:proofErr w:type="spellEnd"/>
      <w:r w:rsidRPr="00CA29B9">
        <w:rPr>
          <w:i/>
          <w:sz w:val="20"/>
          <w:szCs w:val="20"/>
          <w:lang w:val="fr-CA"/>
        </w:rPr>
        <w:t xml:space="preserve"> et al. </w:t>
      </w:r>
      <w:r w:rsidRPr="00CA29B9">
        <w:rPr>
          <w:i/>
          <w:sz w:val="20"/>
          <w:szCs w:val="20"/>
        </w:rPr>
        <w:t>v. First National Financial GP Corporation</w:t>
      </w:r>
      <w:r w:rsidRPr="00A37839">
        <w:rPr>
          <w:sz w:val="20"/>
          <w:szCs w:val="20"/>
        </w:rPr>
        <w:t xml:space="preserve"> (Ont.) (Civil) (By Leave)</w:t>
      </w:r>
      <w:r>
        <w:rPr>
          <w:sz w:val="20"/>
          <w:szCs w:val="20"/>
        </w:rPr>
        <w:t xml:space="preserve"> </w:t>
      </w:r>
      <w:r w:rsidR="004B7F60" w:rsidRPr="00C50A5C">
        <w:rPr>
          <w:sz w:val="20"/>
          <w:szCs w:val="20"/>
          <w:lang w:val="fr-CA"/>
        </w:rPr>
        <w:t>(3</w:t>
      </w:r>
      <w:r w:rsidR="004B7F60">
        <w:rPr>
          <w:sz w:val="20"/>
          <w:szCs w:val="20"/>
          <w:lang w:val="fr-CA"/>
        </w:rPr>
        <w:t>4</w:t>
      </w:r>
      <w:r w:rsidR="00647750">
        <w:rPr>
          <w:sz w:val="20"/>
          <w:szCs w:val="20"/>
          <w:lang w:val="fr-CA"/>
        </w:rPr>
        <w:t>768</w:t>
      </w:r>
      <w:r w:rsidR="004B7F60" w:rsidRPr="00C50A5C">
        <w:rPr>
          <w:sz w:val="20"/>
          <w:szCs w:val="20"/>
          <w:lang w:val="fr-CA"/>
        </w:rPr>
        <w:t>)</w:t>
      </w:r>
    </w:p>
    <w:p w:rsidR="004B7F60" w:rsidRDefault="004B7F60" w:rsidP="004B7F60">
      <w:pPr>
        <w:widowControl w:val="0"/>
        <w:jc w:val="both"/>
        <w:rPr>
          <w:sz w:val="20"/>
          <w:szCs w:val="20"/>
          <w:lang w:val="fr-CA"/>
        </w:rPr>
      </w:pPr>
    </w:p>
    <w:p w:rsidR="004B7F60" w:rsidRPr="00CA29B9" w:rsidRDefault="00CA29B9" w:rsidP="004B7F60">
      <w:pPr>
        <w:pStyle w:val="ListParagraph"/>
        <w:widowControl w:val="0"/>
        <w:numPr>
          <w:ilvl w:val="0"/>
          <w:numId w:val="1"/>
        </w:numPr>
        <w:ind w:hanging="720"/>
        <w:jc w:val="both"/>
        <w:rPr>
          <w:sz w:val="20"/>
          <w:szCs w:val="20"/>
          <w:lang w:val="fr-CA"/>
        </w:rPr>
      </w:pPr>
      <w:r w:rsidRPr="00CA29B9">
        <w:rPr>
          <w:i/>
          <w:sz w:val="20"/>
          <w:szCs w:val="20"/>
          <w:lang w:val="fr-CA"/>
        </w:rPr>
        <w:t>Guylaine Gauthier c. Patrick Richard</w:t>
      </w:r>
      <w:r w:rsidRPr="00A37839">
        <w:rPr>
          <w:sz w:val="20"/>
          <w:szCs w:val="20"/>
          <w:lang w:val="fr-CA"/>
        </w:rPr>
        <w:t xml:space="preserve"> (</w:t>
      </w:r>
      <w:proofErr w:type="spellStart"/>
      <w:r w:rsidRPr="00A37839">
        <w:rPr>
          <w:sz w:val="20"/>
          <w:szCs w:val="20"/>
          <w:lang w:val="fr-CA"/>
        </w:rPr>
        <w:t>Qc</w:t>
      </w:r>
      <w:proofErr w:type="spellEnd"/>
      <w:r w:rsidRPr="00A37839">
        <w:rPr>
          <w:sz w:val="20"/>
          <w:szCs w:val="20"/>
          <w:lang w:val="fr-CA"/>
        </w:rPr>
        <w:t>) (Civile) (Autorisation)</w:t>
      </w:r>
      <w:r w:rsidRPr="00CA29B9">
        <w:rPr>
          <w:sz w:val="20"/>
          <w:szCs w:val="20"/>
          <w:lang w:val="fr-CA"/>
        </w:rPr>
        <w:t xml:space="preserve"> </w:t>
      </w:r>
      <w:r w:rsidR="004B7F60" w:rsidRPr="00CA29B9">
        <w:rPr>
          <w:sz w:val="20"/>
          <w:szCs w:val="20"/>
          <w:lang w:val="fr-CA"/>
        </w:rPr>
        <w:t>(34</w:t>
      </w:r>
      <w:r w:rsidR="00647750" w:rsidRPr="00CA29B9">
        <w:rPr>
          <w:sz w:val="20"/>
          <w:szCs w:val="20"/>
          <w:lang w:val="fr-CA"/>
        </w:rPr>
        <w:t>752</w:t>
      </w:r>
      <w:r w:rsidR="004B7F60" w:rsidRPr="00CA29B9">
        <w:rPr>
          <w:sz w:val="20"/>
          <w:szCs w:val="20"/>
          <w:lang w:val="fr-CA"/>
        </w:rPr>
        <w:t>)</w:t>
      </w:r>
    </w:p>
    <w:p w:rsidR="004B7F60" w:rsidRPr="00CA29B9" w:rsidRDefault="004B7F60" w:rsidP="004B7F60">
      <w:pPr>
        <w:widowControl w:val="0"/>
        <w:jc w:val="both"/>
        <w:rPr>
          <w:sz w:val="20"/>
          <w:szCs w:val="20"/>
          <w:lang w:val="fr-CA"/>
        </w:rPr>
      </w:pPr>
    </w:p>
    <w:p w:rsidR="00A37839" w:rsidRPr="00CA29B9" w:rsidRDefault="00A37839" w:rsidP="004B7F60">
      <w:pPr>
        <w:widowControl w:val="0"/>
        <w:jc w:val="both"/>
        <w:rPr>
          <w:sz w:val="20"/>
          <w:szCs w:val="20"/>
          <w:lang w:val="fr-CA"/>
        </w:rPr>
      </w:pPr>
    </w:p>
    <w:p w:rsidR="00A37839" w:rsidRPr="00C50A5C" w:rsidRDefault="00A37839" w:rsidP="00A37839">
      <w:pPr>
        <w:widowControl w:val="0"/>
        <w:jc w:val="center"/>
        <w:rPr>
          <w:b/>
          <w:sz w:val="20"/>
          <w:szCs w:val="20"/>
        </w:rPr>
      </w:pPr>
      <w:r w:rsidRPr="00C50A5C">
        <w:rPr>
          <w:b/>
          <w:sz w:val="20"/>
          <w:szCs w:val="20"/>
        </w:rPr>
        <w:t xml:space="preserve">CORAM: </w:t>
      </w:r>
      <w:proofErr w:type="spellStart"/>
      <w:r>
        <w:rPr>
          <w:b/>
          <w:sz w:val="20"/>
          <w:szCs w:val="20"/>
        </w:rPr>
        <w:t>Deschamps</w:t>
      </w:r>
      <w:proofErr w:type="spellEnd"/>
      <w:r w:rsidRPr="00C50A5C">
        <w:rPr>
          <w:b/>
          <w:sz w:val="20"/>
          <w:szCs w:val="20"/>
        </w:rPr>
        <w:t xml:space="preserve">, </w:t>
      </w:r>
      <w:r>
        <w:rPr>
          <w:b/>
          <w:sz w:val="20"/>
          <w:szCs w:val="20"/>
        </w:rPr>
        <w:t>Fish</w:t>
      </w:r>
      <w:r w:rsidRPr="00C50A5C">
        <w:rPr>
          <w:b/>
          <w:sz w:val="20"/>
          <w:szCs w:val="20"/>
        </w:rPr>
        <w:t xml:space="preserve"> and </w:t>
      </w:r>
      <w:proofErr w:type="spellStart"/>
      <w:r>
        <w:rPr>
          <w:b/>
          <w:sz w:val="20"/>
          <w:szCs w:val="20"/>
        </w:rPr>
        <w:t>Karakatsanis</w:t>
      </w:r>
      <w:proofErr w:type="spellEnd"/>
      <w:r w:rsidRPr="00C50A5C">
        <w:rPr>
          <w:b/>
          <w:sz w:val="20"/>
          <w:szCs w:val="20"/>
        </w:rPr>
        <w:t xml:space="preserve"> JJ.</w:t>
      </w:r>
    </w:p>
    <w:p w:rsidR="00A37839" w:rsidRPr="00C50A5C" w:rsidRDefault="00A37839" w:rsidP="00A37839">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proofErr w:type="spellStart"/>
      <w:r>
        <w:rPr>
          <w:b/>
          <w:sz w:val="20"/>
          <w:szCs w:val="20"/>
          <w:lang w:val="fr-CA"/>
        </w:rPr>
        <w:t>Karakatsanis</w:t>
      </w:r>
      <w:proofErr w:type="spellEnd"/>
    </w:p>
    <w:p w:rsidR="00A37839" w:rsidRPr="00A37839" w:rsidRDefault="00A37839" w:rsidP="004B7F60">
      <w:pPr>
        <w:widowControl w:val="0"/>
        <w:jc w:val="both"/>
        <w:rPr>
          <w:sz w:val="20"/>
          <w:szCs w:val="20"/>
          <w:lang w:val="fr-CA"/>
        </w:rPr>
      </w:pPr>
    </w:p>
    <w:p w:rsidR="004B7F60" w:rsidRPr="00115C9E" w:rsidRDefault="00CA29B9" w:rsidP="004B7F60">
      <w:pPr>
        <w:pStyle w:val="ListParagraph"/>
        <w:widowControl w:val="0"/>
        <w:numPr>
          <w:ilvl w:val="0"/>
          <w:numId w:val="1"/>
        </w:numPr>
        <w:ind w:hanging="720"/>
        <w:jc w:val="both"/>
        <w:rPr>
          <w:sz w:val="20"/>
          <w:szCs w:val="20"/>
        </w:rPr>
      </w:pPr>
      <w:r w:rsidRPr="00CA29B9">
        <w:rPr>
          <w:i/>
          <w:sz w:val="20"/>
          <w:szCs w:val="20"/>
        </w:rPr>
        <w:t xml:space="preserve">Daniele </w:t>
      </w:r>
      <w:proofErr w:type="spellStart"/>
      <w:r w:rsidRPr="00CA29B9">
        <w:rPr>
          <w:i/>
          <w:sz w:val="20"/>
          <w:szCs w:val="20"/>
        </w:rPr>
        <w:t>Campoli</w:t>
      </w:r>
      <w:proofErr w:type="spellEnd"/>
      <w:r w:rsidRPr="00CA29B9">
        <w:rPr>
          <w:i/>
          <w:sz w:val="20"/>
          <w:szCs w:val="20"/>
        </w:rPr>
        <w:t xml:space="preserve"> v. Her Majesty the Queen</w:t>
      </w:r>
      <w:r w:rsidRPr="00CA29B9">
        <w:rPr>
          <w:sz w:val="20"/>
          <w:szCs w:val="20"/>
        </w:rPr>
        <w:t xml:space="preserve"> (Ont.) (Crim.) (By Leave)</w:t>
      </w:r>
      <w:r w:rsidRPr="00115C9E">
        <w:rPr>
          <w:sz w:val="20"/>
          <w:szCs w:val="20"/>
        </w:rPr>
        <w:t xml:space="preserve"> </w:t>
      </w:r>
      <w:r w:rsidR="004B7F60" w:rsidRPr="00115C9E">
        <w:rPr>
          <w:sz w:val="20"/>
          <w:szCs w:val="20"/>
        </w:rPr>
        <w:t>(34</w:t>
      </w:r>
      <w:r w:rsidR="00647750">
        <w:rPr>
          <w:sz w:val="20"/>
          <w:szCs w:val="20"/>
        </w:rPr>
        <w:t>745</w:t>
      </w:r>
      <w:r w:rsidR="004B7F60" w:rsidRPr="00115C9E">
        <w:rPr>
          <w:sz w:val="20"/>
          <w:szCs w:val="20"/>
        </w:rPr>
        <w:t>)</w:t>
      </w:r>
    </w:p>
    <w:p w:rsidR="004B7F60" w:rsidRPr="00115C9E" w:rsidRDefault="004B7F60" w:rsidP="004B7F60">
      <w:pPr>
        <w:widowControl w:val="0"/>
        <w:jc w:val="both"/>
        <w:rPr>
          <w:sz w:val="20"/>
          <w:szCs w:val="20"/>
        </w:rPr>
      </w:pPr>
    </w:p>
    <w:p w:rsidR="004B7F60" w:rsidRPr="00CA29B9" w:rsidRDefault="00CA29B9" w:rsidP="004B7F60">
      <w:pPr>
        <w:pStyle w:val="ListParagraph"/>
        <w:widowControl w:val="0"/>
        <w:numPr>
          <w:ilvl w:val="0"/>
          <w:numId w:val="1"/>
        </w:numPr>
        <w:ind w:hanging="720"/>
        <w:jc w:val="both"/>
        <w:rPr>
          <w:sz w:val="20"/>
          <w:szCs w:val="20"/>
          <w:lang w:val="fr-CA"/>
        </w:rPr>
      </w:pPr>
      <w:r w:rsidRPr="00CA29B9">
        <w:rPr>
          <w:i/>
          <w:sz w:val="20"/>
          <w:szCs w:val="20"/>
          <w:lang w:val="fr-CA"/>
        </w:rPr>
        <w:t>Sa Majesté la Reine c. Yvan Paré</w:t>
      </w:r>
      <w:r w:rsidRPr="00A37839">
        <w:rPr>
          <w:sz w:val="20"/>
          <w:szCs w:val="20"/>
          <w:lang w:val="fr-CA"/>
        </w:rPr>
        <w:t xml:space="preserve"> (</w:t>
      </w:r>
      <w:proofErr w:type="spellStart"/>
      <w:r w:rsidRPr="00A37839">
        <w:rPr>
          <w:sz w:val="20"/>
          <w:szCs w:val="20"/>
          <w:lang w:val="fr-CA"/>
        </w:rPr>
        <w:t>Qc</w:t>
      </w:r>
      <w:proofErr w:type="spellEnd"/>
      <w:r w:rsidRPr="00A37839">
        <w:rPr>
          <w:sz w:val="20"/>
          <w:szCs w:val="20"/>
          <w:lang w:val="fr-CA"/>
        </w:rPr>
        <w:t>) (</w:t>
      </w:r>
      <w:proofErr w:type="spellStart"/>
      <w:r w:rsidRPr="00A37839">
        <w:rPr>
          <w:sz w:val="20"/>
          <w:szCs w:val="20"/>
          <w:lang w:val="fr-CA"/>
        </w:rPr>
        <w:t>Crim</w:t>
      </w:r>
      <w:proofErr w:type="spellEnd"/>
      <w:r>
        <w:rPr>
          <w:sz w:val="20"/>
          <w:szCs w:val="20"/>
          <w:lang w:val="fr-CA"/>
        </w:rPr>
        <w:t>.</w:t>
      </w:r>
      <w:r w:rsidRPr="00A37839">
        <w:rPr>
          <w:sz w:val="20"/>
          <w:szCs w:val="20"/>
          <w:lang w:val="fr-CA"/>
        </w:rPr>
        <w:t xml:space="preserve">) </w:t>
      </w:r>
      <w:r w:rsidRPr="00CA29B9">
        <w:rPr>
          <w:sz w:val="20"/>
          <w:szCs w:val="20"/>
          <w:lang w:val="fr-CA"/>
        </w:rPr>
        <w:t xml:space="preserve">(Autorisation) </w:t>
      </w:r>
      <w:r w:rsidR="004B7F60" w:rsidRPr="00CA29B9">
        <w:rPr>
          <w:sz w:val="20"/>
          <w:szCs w:val="20"/>
          <w:lang w:val="fr-CA"/>
        </w:rPr>
        <w:t>(34</w:t>
      </w:r>
      <w:r w:rsidR="00647750" w:rsidRPr="00CA29B9">
        <w:rPr>
          <w:sz w:val="20"/>
          <w:szCs w:val="20"/>
          <w:lang w:val="fr-CA"/>
        </w:rPr>
        <w:t>566</w:t>
      </w:r>
      <w:r w:rsidR="004B7F60" w:rsidRPr="00CA29B9">
        <w:rPr>
          <w:sz w:val="20"/>
          <w:szCs w:val="20"/>
          <w:lang w:val="fr-CA"/>
        </w:rPr>
        <w:t>)</w:t>
      </w:r>
    </w:p>
    <w:p w:rsidR="004B7F60" w:rsidRPr="00CA29B9" w:rsidRDefault="004B7F60" w:rsidP="004B7F60">
      <w:pPr>
        <w:widowControl w:val="0"/>
        <w:rPr>
          <w:sz w:val="20"/>
          <w:szCs w:val="20"/>
          <w:lang w:val="fr-CA"/>
        </w:rPr>
      </w:pPr>
    </w:p>
    <w:p w:rsidR="002E2327" w:rsidRPr="00CA29B9" w:rsidRDefault="00CA29B9" w:rsidP="00C50A5C">
      <w:pPr>
        <w:pStyle w:val="ListParagraph"/>
        <w:widowControl w:val="0"/>
        <w:numPr>
          <w:ilvl w:val="0"/>
          <w:numId w:val="1"/>
        </w:numPr>
        <w:ind w:hanging="720"/>
        <w:jc w:val="both"/>
        <w:rPr>
          <w:sz w:val="20"/>
          <w:szCs w:val="20"/>
        </w:rPr>
      </w:pPr>
      <w:proofErr w:type="spellStart"/>
      <w:r w:rsidRPr="00CA29B9">
        <w:rPr>
          <w:i/>
          <w:sz w:val="20"/>
          <w:szCs w:val="20"/>
        </w:rPr>
        <w:t>Zabia</w:t>
      </w:r>
      <w:proofErr w:type="spellEnd"/>
      <w:r w:rsidRPr="00CA29B9">
        <w:rPr>
          <w:i/>
          <w:sz w:val="20"/>
          <w:szCs w:val="20"/>
        </w:rPr>
        <w:t xml:space="preserve"> Chamberlain v. Attorney General of Canada</w:t>
      </w:r>
      <w:r w:rsidRPr="00A37839">
        <w:rPr>
          <w:sz w:val="20"/>
          <w:szCs w:val="20"/>
        </w:rPr>
        <w:t xml:space="preserve"> (F</w:t>
      </w:r>
      <w:r>
        <w:rPr>
          <w:sz w:val="20"/>
          <w:szCs w:val="20"/>
        </w:rPr>
        <w:t>.</w:t>
      </w:r>
      <w:r w:rsidRPr="00A37839">
        <w:rPr>
          <w:sz w:val="20"/>
          <w:szCs w:val="20"/>
        </w:rPr>
        <w:t>C</w:t>
      </w:r>
      <w:r>
        <w:rPr>
          <w:sz w:val="20"/>
          <w:szCs w:val="20"/>
        </w:rPr>
        <w:t>.</w:t>
      </w:r>
      <w:r w:rsidRPr="00A37839">
        <w:rPr>
          <w:sz w:val="20"/>
          <w:szCs w:val="20"/>
        </w:rPr>
        <w:t>) (Civil) (By Leave)</w:t>
      </w:r>
      <w:r w:rsidRPr="00CA29B9">
        <w:rPr>
          <w:sz w:val="20"/>
          <w:szCs w:val="20"/>
        </w:rPr>
        <w:t xml:space="preserve"> </w:t>
      </w:r>
      <w:r w:rsidR="002E2327" w:rsidRPr="00CA29B9">
        <w:rPr>
          <w:sz w:val="20"/>
          <w:szCs w:val="20"/>
        </w:rPr>
        <w:t>(3</w:t>
      </w:r>
      <w:r w:rsidR="00F83F5A" w:rsidRPr="00CA29B9">
        <w:rPr>
          <w:sz w:val="20"/>
          <w:szCs w:val="20"/>
        </w:rPr>
        <w:t>4</w:t>
      </w:r>
      <w:r w:rsidR="00647750" w:rsidRPr="00CA29B9">
        <w:rPr>
          <w:sz w:val="20"/>
          <w:szCs w:val="20"/>
        </w:rPr>
        <w:t>761</w:t>
      </w:r>
      <w:r w:rsidR="002E2327" w:rsidRPr="00CA29B9">
        <w:rPr>
          <w:sz w:val="20"/>
          <w:szCs w:val="20"/>
        </w:rPr>
        <w:t>)</w:t>
      </w:r>
    </w:p>
    <w:p w:rsidR="002E2327" w:rsidRPr="00CA29B9" w:rsidRDefault="002E2327" w:rsidP="00C50A5C">
      <w:pPr>
        <w:widowControl w:val="0"/>
        <w:jc w:val="both"/>
        <w:rPr>
          <w:sz w:val="20"/>
          <w:szCs w:val="20"/>
        </w:rPr>
      </w:pPr>
    </w:p>
    <w:p w:rsidR="002E2327" w:rsidRPr="00CA29B9" w:rsidRDefault="00CA29B9" w:rsidP="00C50A5C">
      <w:pPr>
        <w:pStyle w:val="ListParagraph"/>
        <w:widowControl w:val="0"/>
        <w:numPr>
          <w:ilvl w:val="0"/>
          <w:numId w:val="1"/>
        </w:numPr>
        <w:ind w:hanging="720"/>
        <w:jc w:val="both"/>
        <w:rPr>
          <w:sz w:val="20"/>
          <w:szCs w:val="20"/>
        </w:rPr>
      </w:pPr>
      <w:r w:rsidRPr="00CA29B9">
        <w:rPr>
          <w:i/>
          <w:sz w:val="20"/>
          <w:szCs w:val="20"/>
        </w:rPr>
        <w:t>GRW Industries (1985) Limited (In Bankruptcy) and the Secured; Preferred and Unsecured Creditors v. Royal Bank of Canada</w:t>
      </w:r>
      <w:r w:rsidRPr="00A37839">
        <w:rPr>
          <w:sz w:val="20"/>
          <w:szCs w:val="20"/>
        </w:rPr>
        <w:t xml:space="preserve"> (Ont.) (Civil) (By Leave)</w:t>
      </w:r>
      <w:r w:rsidRPr="00CA29B9">
        <w:rPr>
          <w:sz w:val="20"/>
          <w:szCs w:val="20"/>
        </w:rPr>
        <w:t xml:space="preserve"> </w:t>
      </w:r>
      <w:r w:rsidR="002E2327" w:rsidRPr="00CA29B9">
        <w:rPr>
          <w:sz w:val="20"/>
          <w:szCs w:val="20"/>
        </w:rPr>
        <w:t>(34</w:t>
      </w:r>
      <w:r w:rsidR="00647750" w:rsidRPr="00CA29B9">
        <w:rPr>
          <w:sz w:val="20"/>
          <w:szCs w:val="20"/>
        </w:rPr>
        <w:t>657</w:t>
      </w:r>
      <w:r w:rsidR="002E2327" w:rsidRPr="00CA29B9">
        <w:rPr>
          <w:sz w:val="20"/>
          <w:szCs w:val="20"/>
        </w:rPr>
        <w:t>)</w:t>
      </w:r>
    </w:p>
    <w:p w:rsidR="002E2327" w:rsidRPr="00CA29B9" w:rsidRDefault="002E2327" w:rsidP="00C50A5C">
      <w:pPr>
        <w:widowControl w:val="0"/>
        <w:jc w:val="both"/>
        <w:rPr>
          <w:sz w:val="20"/>
          <w:szCs w:val="20"/>
        </w:rPr>
      </w:pPr>
    </w:p>
    <w:p w:rsidR="002E2327" w:rsidRPr="00CA29B9" w:rsidRDefault="00CA29B9" w:rsidP="00C50A5C">
      <w:pPr>
        <w:pStyle w:val="ListParagraph"/>
        <w:widowControl w:val="0"/>
        <w:numPr>
          <w:ilvl w:val="0"/>
          <w:numId w:val="1"/>
        </w:numPr>
        <w:ind w:hanging="720"/>
        <w:jc w:val="both"/>
        <w:rPr>
          <w:sz w:val="20"/>
          <w:szCs w:val="20"/>
        </w:rPr>
      </w:pPr>
      <w:r w:rsidRPr="00CA29B9">
        <w:rPr>
          <w:i/>
          <w:sz w:val="20"/>
          <w:szCs w:val="20"/>
        </w:rPr>
        <w:t>Marcy White et al. v. Gordon Watters</w:t>
      </w:r>
      <w:r w:rsidRPr="00A37839">
        <w:rPr>
          <w:sz w:val="20"/>
          <w:szCs w:val="20"/>
        </w:rPr>
        <w:t xml:space="preserve"> (Que.) (Civil) (By Leave)</w:t>
      </w:r>
      <w:r>
        <w:rPr>
          <w:sz w:val="20"/>
          <w:szCs w:val="20"/>
        </w:rPr>
        <w:t xml:space="preserve"> </w:t>
      </w:r>
      <w:r w:rsidR="002E2327" w:rsidRPr="00CA29B9">
        <w:rPr>
          <w:sz w:val="20"/>
          <w:szCs w:val="20"/>
        </w:rPr>
        <w:t>(3</w:t>
      </w:r>
      <w:r w:rsidR="00F83F5A" w:rsidRPr="00CA29B9">
        <w:rPr>
          <w:sz w:val="20"/>
          <w:szCs w:val="20"/>
        </w:rPr>
        <w:t>4</w:t>
      </w:r>
      <w:r w:rsidR="00647750" w:rsidRPr="00CA29B9">
        <w:rPr>
          <w:sz w:val="20"/>
          <w:szCs w:val="20"/>
        </w:rPr>
        <w:t>758</w:t>
      </w:r>
      <w:r w:rsidR="002E2327" w:rsidRPr="00CA29B9">
        <w:rPr>
          <w:sz w:val="20"/>
          <w:szCs w:val="20"/>
        </w:rPr>
        <w:t>)</w:t>
      </w:r>
    </w:p>
    <w:p w:rsidR="002E2327" w:rsidRPr="00CA29B9" w:rsidRDefault="002E2327" w:rsidP="002E2327">
      <w:pPr>
        <w:widowControl w:val="0"/>
        <w:rPr>
          <w:sz w:val="20"/>
          <w:szCs w:val="20"/>
        </w:rPr>
      </w:pPr>
    </w:p>
    <w:p w:rsidR="002E2327" w:rsidRDefault="00ED3438" w:rsidP="002E2327">
      <w:pPr>
        <w:widowControl w:val="0"/>
        <w:rPr>
          <w:sz w:val="20"/>
          <w:szCs w:val="20"/>
        </w:rPr>
      </w:pPr>
      <w:r w:rsidRPr="00ED3438">
        <w:rPr>
          <w:sz w:val="20"/>
          <w:szCs w:val="20"/>
        </w:rPr>
        <w:pict>
          <v:rect id="_x0000_i1041" style="width:2in;height:1pt" o:hrpct="0" o:hralign="center" o:hrstd="t" o:hrnoshade="t" o:hr="t" fillcolor="black [3213]" stroked="f"/>
        </w:pict>
      </w:r>
    </w:p>
    <w:p w:rsidR="00552E18" w:rsidRDefault="00552E18" w:rsidP="002E2327">
      <w:pPr>
        <w:widowControl w:val="0"/>
        <w:rPr>
          <w:sz w:val="20"/>
          <w:szCs w:val="20"/>
        </w:rPr>
      </w:pPr>
    </w:p>
    <w:p w:rsidR="00552E18" w:rsidRDefault="00552E18">
      <w:pPr>
        <w:rPr>
          <w:b/>
          <w:sz w:val="20"/>
          <w:szCs w:val="20"/>
        </w:rPr>
      </w:pPr>
      <w:r>
        <w:rPr>
          <w:b/>
          <w:sz w:val="20"/>
          <w:szCs w:val="20"/>
        </w:rPr>
        <w:br w:type="page"/>
      </w:r>
    </w:p>
    <w:p w:rsidR="00552E18" w:rsidRPr="00742697" w:rsidRDefault="00552E18" w:rsidP="00552E18">
      <w:pPr>
        <w:widowControl w:val="0"/>
        <w:rPr>
          <w:b/>
          <w:sz w:val="20"/>
          <w:szCs w:val="20"/>
          <w:lang w:val="fr-CA"/>
        </w:rPr>
      </w:pPr>
      <w:r w:rsidRPr="00742697">
        <w:rPr>
          <w:b/>
          <w:sz w:val="20"/>
          <w:szCs w:val="20"/>
          <w:lang w:val="fr-CA"/>
        </w:rPr>
        <w:t>JUNE 1</w:t>
      </w:r>
      <w:r w:rsidR="00326331" w:rsidRPr="00742697">
        <w:rPr>
          <w:b/>
          <w:sz w:val="20"/>
          <w:szCs w:val="20"/>
          <w:lang w:val="fr-CA"/>
        </w:rPr>
        <w:t>4</w:t>
      </w:r>
      <w:r w:rsidRPr="00742697">
        <w:rPr>
          <w:b/>
          <w:sz w:val="20"/>
          <w:szCs w:val="20"/>
          <w:lang w:val="fr-CA"/>
        </w:rPr>
        <w:t>, 2012 / LE 1</w:t>
      </w:r>
      <w:r w:rsidR="00326331" w:rsidRPr="00742697">
        <w:rPr>
          <w:b/>
          <w:sz w:val="20"/>
          <w:szCs w:val="20"/>
          <w:lang w:val="fr-CA"/>
        </w:rPr>
        <w:t>4</w:t>
      </w:r>
      <w:r w:rsidRPr="00742697">
        <w:rPr>
          <w:b/>
          <w:sz w:val="20"/>
          <w:szCs w:val="20"/>
          <w:lang w:val="fr-CA"/>
        </w:rPr>
        <w:t xml:space="preserve"> JUIN 2012</w:t>
      </w:r>
    </w:p>
    <w:p w:rsidR="00552E18" w:rsidRPr="00742697" w:rsidRDefault="00552E18" w:rsidP="002E2327">
      <w:pPr>
        <w:widowControl w:val="0"/>
        <w:rPr>
          <w:sz w:val="20"/>
          <w:szCs w:val="20"/>
          <w:lang w:val="fr-CA"/>
        </w:rPr>
      </w:pPr>
    </w:p>
    <w:p w:rsidR="00552E18" w:rsidRPr="00742697" w:rsidRDefault="00552E18" w:rsidP="00552E18">
      <w:pPr>
        <w:widowControl w:val="0"/>
        <w:jc w:val="center"/>
        <w:rPr>
          <w:b/>
          <w:sz w:val="20"/>
          <w:szCs w:val="20"/>
          <w:lang w:val="fr-CA"/>
        </w:rPr>
      </w:pPr>
      <w:r w:rsidRPr="00742697">
        <w:rPr>
          <w:b/>
          <w:sz w:val="20"/>
          <w:szCs w:val="20"/>
          <w:lang w:val="fr-CA"/>
        </w:rPr>
        <w:t xml:space="preserve">CORAM: </w:t>
      </w:r>
      <w:proofErr w:type="spellStart"/>
      <w:r w:rsidRPr="00742697">
        <w:rPr>
          <w:b/>
          <w:sz w:val="20"/>
          <w:szCs w:val="20"/>
          <w:lang w:val="fr-CA"/>
        </w:rPr>
        <w:t>LeBel</w:t>
      </w:r>
      <w:proofErr w:type="spellEnd"/>
      <w:r w:rsidRPr="00742697">
        <w:rPr>
          <w:b/>
          <w:sz w:val="20"/>
          <w:szCs w:val="20"/>
          <w:lang w:val="fr-CA"/>
        </w:rPr>
        <w:t>, Abella and Cromwell JJ.</w:t>
      </w:r>
    </w:p>
    <w:p w:rsidR="00552E18" w:rsidRPr="00C50A5C" w:rsidRDefault="00552E18" w:rsidP="00552E18">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552E18" w:rsidRPr="00C612D0" w:rsidRDefault="00552E18" w:rsidP="00552E18">
      <w:pPr>
        <w:widowControl w:val="0"/>
        <w:rPr>
          <w:sz w:val="20"/>
          <w:szCs w:val="20"/>
          <w:lang w:val="fr-CA"/>
        </w:rPr>
      </w:pPr>
    </w:p>
    <w:p w:rsidR="00552E18" w:rsidRPr="00742697" w:rsidRDefault="00742697" w:rsidP="00552E18">
      <w:pPr>
        <w:pStyle w:val="ListParagraph"/>
        <w:widowControl w:val="0"/>
        <w:numPr>
          <w:ilvl w:val="0"/>
          <w:numId w:val="4"/>
        </w:numPr>
        <w:ind w:hanging="720"/>
        <w:jc w:val="both"/>
        <w:rPr>
          <w:sz w:val="20"/>
          <w:szCs w:val="20"/>
        </w:rPr>
      </w:pPr>
      <w:r w:rsidRPr="00742697">
        <w:rPr>
          <w:i/>
          <w:sz w:val="20"/>
          <w:szCs w:val="20"/>
        </w:rPr>
        <w:t>T.G. v. Minister of Community Services et al.</w:t>
      </w:r>
      <w:r w:rsidRPr="00742697">
        <w:rPr>
          <w:sz w:val="20"/>
          <w:szCs w:val="20"/>
        </w:rPr>
        <w:t xml:space="preserve"> (N.S.) (Civil) (By Leave </w:t>
      </w:r>
      <w:r w:rsidR="00552E18" w:rsidRPr="00742697">
        <w:rPr>
          <w:sz w:val="20"/>
          <w:szCs w:val="20"/>
        </w:rPr>
        <w:t>(34842)</w:t>
      </w:r>
    </w:p>
    <w:p w:rsidR="00552E18" w:rsidRDefault="00552E18" w:rsidP="002E2327">
      <w:pPr>
        <w:widowControl w:val="0"/>
        <w:rPr>
          <w:sz w:val="20"/>
          <w:szCs w:val="20"/>
        </w:rPr>
      </w:pPr>
    </w:p>
    <w:p w:rsidR="00742697" w:rsidRDefault="00ED3438" w:rsidP="002E2327">
      <w:pPr>
        <w:widowControl w:val="0"/>
        <w:rPr>
          <w:sz w:val="20"/>
          <w:szCs w:val="20"/>
        </w:rPr>
      </w:pPr>
      <w:r w:rsidRPr="00ED3438">
        <w:rPr>
          <w:sz w:val="20"/>
          <w:szCs w:val="20"/>
        </w:rPr>
        <w:pict>
          <v:rect id="_x0000_i1042" style="width:2in;height:1pt" o:hrpct="0" o:hralign="center" o:hrstd="t" o:hrnoshade="t" o:hr="t" fillcolor="black [3213]" stroked="f"/>
        </w:pict>
      </w:r>
    </w:p>
    <w:p w:rsidR="00742697" w:rsidRPr="00742697" w:rsidRDefault="00742697" w:rsidP="002E2327">
      <w:pPr>
        <w:widowControl w:val="0"/>
        <w:rPr>
          <w:sz w:val="20"/>
          <w:szCs w:val="20"/>
        </w:rPr>
      </w:pPr>
    </w:p>
    <w:p w:rsidR="00552E18" w:rsidRPr="00742697" w:rsidRDefault="00552E18" w:rsidP="002E2327">
      <w:pPr>
        <w:widowControl w:val="0"/>
        <w:rPr>
          <w:sz w:val="20"/>
          <w:szCs w:val="20"/>
        </w:rPr>
      </w:pPr>
    </w:p>
    <w:p w:rsidR="0044776A" w:rsidRPr="00742697" w:rsidRDefault="0044776A" w:rsidP="002E2327">
      <w:pPr>
        <w:widowControl w:val="0"/>
        <w:spacing w:line="0" w:lineRule="atLeast"/>
        <w:rPr>
          <w:sz w:val="20"/>
          <w:szCs w:val="20"/>
        </w:rPr>
        <w:sectPr w:rsidR="0044776A" w:rsidRPr="00742697"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017BF4"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F83F5A" w:rsidP="008D292F">
      <w:pPr>
        <w:rPr>
          <w:b/>
          <w:sz w:val="20"/>
          <w:szCs w:val="20"/>
        </w:rPr>
      </w:pPr>
      <w:r>
        <w:rPr>
          <w:b/>
          <w:sz w:val="20"/>
          <w:szCs w:val="20"/>
        </w:rPr>
        <w:t>JUNE</w:t>
      </w:r>
      <w:r w:rsidR="008D292F" w:rsidRPr="00C50A5C">
        <w:rPr>
          <w:b/>
          <w:sz w:val="20"/>
          <w:szCs w:val="20"/>
        </w:rPr>
        <w:t xml:space="preserve"> </w:t>
      </w:r>
      <w:r>
        <w:rPr>
          <w:b/>
          <w:sz w:val="20"/>
          <w:szCs w:val="20"/>
        </w:rPr>
        <w:t>14</w:t>
      </w:r>
      <w:r w:rsidR="008D292F" w:rsidRPr="00C50A5C">
        <w:rPr>
          <w:b/>
          <w:sz w:val="20"/>
          <w:szCs w:val="20"/>
        </w:rPr>
        <w:t>, 201</w:t>
      </w:r>
      <w:r>
        <w:rPr>
          <w:b/>
          <w:sz w:val="20"/>
          <w:szCs w:val="20"/>
        </w:rPr>
        <w:t>2</w:t>
      </w:r>
      <w:r w:rsidR="008D292F" w:rsidRPr="00C50A5C">
        <w:rPr>
          <w:b/>
          <w:sz w:val="20"/>
          <w:szCs w:val="20"/>
        </w:rPr>
        <w:t xml:space="preserve"> / LE </w:t>
      </w:r>
      <w:r>
        <w:rPr>
          <w:b/>
          <w:sz w:val="20"/>
          <w:szCs w:val="20"/>
        </w:rPr>
        <w:t>14</w:t>
      </w:r>
      <w:r w:rsidR="008D292F" w:rsidRPr="00C50A5C">
        <w:rPr>
          <w:b/>
          <w:sz w:val="20"/>
          <w:szCs w:val="20"/>
        </w:rPr>
        <w:t xml:space="preserve"> </w:t>
      </w:r>
      <w:r>
        <w:rPr>
          <w:b/>
          <w:sz w:val="20"/>
          <w:szCs w:val="20"/>
        </w:rPr>
        <w:t>JU</w:t>
      </w:r>
      <w:r w:rsidR="008D292F" w:rsidRPr="00C50A5C">
        <w:rPr>
          <w:b/>
          <w:sz w:val="20"/>
          <w:szCs w:val="20"/>
        </w:rPr>
        <w:t>I</w:t>
      </w:r>
      <w:r>
        <w:rPr>
          <w:b/>
          <w:sz w:val="20"/>
          <w:szCs w:val="20"/>
        </w:rPr>
        <w:t>N</w:t>
      </w:r>
      <w:r w:rsidR="008D292F" w:rsidRPr="00C50A5C">
        <w:rPr>
          <w:b/>
          <w:sz w:val="20"/>
          <w:szCs w:val="20"/>
        </w:rPr>
        <w:t xml:space="preserve">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E1046" w:rsidRPr="000F5323" w:rsidTr="00B60060">
        <w:trPr>
          <w:cantSplit/>
        </w:trPr>
        <w:tc>
          <w:tcPr>
            <w:tcW w:w="1458" w:type="dxa"/>
          </w:tcPr>
          <w:p w:rsidR="002E1046" w:rsidRPr="000F5323" w:rsidRDefault="002E1046" w:rsidP="00B60060">
            <w:pPr>
              <w:rPr>
                <w:sz w:val="20"/>
                <w:szCs w:val="20"/>
              </w:rPr>
            </w:pPr>
            <w:r w:rsidRPr="000F5323">
              <w:rPr>
                <w:rStyle w:val="SCCFileNumberChar"/>
                <w:sz w:val="20"/>
                <w:szCs w:val="20"/>
              </w:rPr>
              <w:t>34639</w:t>
            </w:r>
          </w:p>
          <w:p w:rsidR="002E1046" w:rsidRPr="000F5323" w:rsidRDefault="002E1046" w:rsidP="00B60060">
            <w:pPr>
              <w:rPr>
                <w:b/>
                <w:sz w:val="20"/>
                <w:szCs w:val="20"/>
                <w:lang w:val="fr-CA"/>
              </w:rPr>
            </w:pPr>
          </w:p>
        </w:tc>
        <w:tc>
          <w:tcPr>
            <w:tcW w:w="8118" w:type="dxa"/>
          </w:tcPr>
          <w:p w:rsidR="002E1046" w:rsidRPr="000F5323" w:rsidRDefault="002E1046" w:rsidP="00B60060">
            <w:pPr>
              <w:rPr>
                <w:sz w:val="20"/>
                <w:szCs w:val="20"/>
              </w:rPr>
            </w:pPr>
            <w:r w:rsidRPr="000F5323">
              <w:rPr>
                <w:rStyle w:val="SCCLsocChar"/>
                <w:sz w:val="20"/>
                <w:szCs w:val="20"/>
                <w:lang w:val="en-CA"/>
              </w:rPr>
              <w:t>Marty David O'Brien v. Her Majesty the Queen</w:t>
            </w:r>
            <w:r w:rsidRPr="000F5323">
              <w:rPr>
                <w:sz w:val="20"/>
                <w:szCs w:val="20"/>
              </w:rPr>
              <w:t xml:space="preserve"> (N.S.) (Criminal) (By Leave)</w:t>
            </w:r>
          </w:p>
          <w:p w:rsidR="002E1046" w:rsidRPr="000F5323" w:rsidRDefault="002E1046" w:rsidP="00B60060">
            <w:pPr>
              <w:rPr>
                <w:sz w:val="20"/>
                <w:szCs w:val="20"/>
              </w:rPr>
            </w:pPr>
          </w:p>
        </w:tc>
      </w:tr>
      <w:tr w:rsidR="002E1046" w:rsidRPr="000F5323" w:rsidTr="00B60060">
        <w:trPr>
          <w:cantSplit/>
        </w:trPr>
        <w:tc>
          <w:tcPr>
            <w:tcW w:w="1458" w:type="dxa"/>
          </w:tcPr>
          <w:p w:rsidR="002E1046" w:rsidRPr="000F5323" w:rsidRDefault="002E1046" w:rsidP="00B60060">
            <w:pPr>
              <w:rPr>
                <w:sz w:val="20"/>
                <w:szCs w:val="20"/>
              </w:rPr>
            </w:pPr>
            <w:r w:rsidRPr="000F5323">
              <w:rPr>
                <w:sz w:val="20"/>
                <w:szCs w:val="20"/>
              </w:rPr>
              <w:t>Coram :</w:t>
            </w:r>
          </w:p>
        </w:tc>
        <w:tc>
          <w:tcPr>
            <w:tcW w:w="8118" w:type="dxa"/>
          </w:tcPr>
          <w:p w:rsidR="002E1046" w:rsidRPr="000F5323" w:rsidRDefault="002E1046" w:rsidP="00B60060">
            <w:pPr>
              <w:rPr>
                <w:sz w:val="20"/>
                <w:szCs w:val="20"/>
              </w:rPr>
            </w:pPr>
            <w:proofErr w:type="spellStart"/>
            <w:r w:rsidRPr="000F5323">
              <w:rPr>
                <w:rStyle w:val="SCCCoramChar"/>
                <w:sz w:val="20"/>
                <w:szCs w:val="20"/>
                <w:lang w:val="en-CA"/>
              </w:rPr>
              <w:t>Deschamps</w:t>
            </w:r>
            <w:proofErr w:type="spellEnd"/>
            <w:r w:rsidRPr="000F5323">
              <w:rPr>
                <w:rStyle w:val="SCCCoramChar"/>
                <w:sz w:val="20"/>
                <w:szCs w:val="20"/>
                <w:lang w:val="en-CA"/>
              </w:rPr>
              <w:t xml:space="preserve">, Fish and </w:t>
            </w:r>
            <w:proofErr w:type="spellStart"/>
            <w:r w:rsidRPr="000F5323">
              <w:rPr>
                <w:rStyle w:val="SCCCoramChar"/>
                <w:sz w:val="20"/>
                <w:szCs w:val="20"/>
                <w:lang w:val="en-CA"/>
              </w:rPr>
              <w:t>Karakatsanis</w:t>
            </w:r>
            <w:proofErr w:type="spellEnd"/>
            <w:r w:rsidRPr="000F5323">
              <w:rPr>
                <w:rStyle w:val="SCCCoramChar"/>
                <w:sz w:val="20"/>
                <w:szCs w:val="20"/>
                <w:lang w:val="en-CA"/>
              </w:rPr>
              <w:t> JJ.</w:t>
            </w:r>
          </w:p>
          <w:p w:rsidR="002E1046" w:rsidRPr="000F5323" w:rsidRDefault="002E1046" w:rsidP="00B60060">
            <w:pPr>
              <w:rPr>
                <w:sz w:val="20"/>
                <w:szCs w:val="20"/>
                <w:u w:val="single"/>
              </w:rPr>
            </w:pPr>
          </w:p>
        </w:tc>
      </w:tr>
      <w:tr w:rsidR="002E1046" w:rsidRPr="00017BF4" w:rsidTr="00B60060">
        <w:trPr>
          <w:cantSplit/>
        </w:trPr>
        <w:tc>
          <w:tcPr>
            <w:tcW w:w="9576" w:type="dxa"/>
            <w:gridSpan w:val="2"/>
          </w:tcPr>
          <w:p w:rsidR="002E1046" w:rsidRPr="000F5323" w:rsidRDefault="002E1046" w:rsidP="00B60060">
            <w:pPr>
              <w:pStyle w:val="SCCShortJudgment"/>
              <w:rPr>
                <w:szCs w:val="20"/>
              </w:rPr>
            </w:pPr>
            <w:r w:rsidRPr="000F5323">
              <w:rPr>
                <w:szCs w:val="20"/>
              </w:rPr>
              <w:t>The application for leave to appeal from the judgment of the Nova Scotia Court of Appeal, Number CAC 310964, 2011 NSCA 112, dated December 6, 2011, is dismissed without costs.</w:t>
            </w:r>
          </w:p>
          <w:p w:rsidR="002E1046" w:rsidRPr="000F5323" w:rsidRDefault="002E1046" w:rsidP="00B60060">
            <w:pPr>
              <w:pStyle w:val="SCCShortJudgment"/>
              <w:ind w:firstLine="0"/>
              <w:rPr>
                <w:szCs w:val="20"/>
              </w:rPr>
            </w:pPr>
          </w:p>
          <w:p w:rsidR="002E1046" w:rsidRPr="000F5323" w:rsidRDefault="002E1046" w:rsidP="00B60060">
            <w:pPr>
              <w:pStyle w:val="SCCShortJudgment"/>
              <w:rPr>
                <w:szCs w:val="20"/>
                <w:lang w:val="fr-CA"/>
              </w:rPr>
            </w:pPr>
            <w:r w:rsidRPr="000F5323">
              <w:rPr>
                <w:szCs w:val="20"/>
                <w:lang w:val="fr-CA"/>
              </w:rPr>
              <w:t>La demande d’autorisation d’appel de l’arrêt de la Cour d’appel de la Nouvelle-Écosse, numéro CAC 310964, 2011 NSCA 112, daté du 6 décembre 2011, est rejetée sans dépens.</w:t>
            </w:r>
          </w:p>
        </w:tc>
      </w:tr>
    </w:tbl>
    <w:p w:rsidR="00F83F5A" w:rsidRPr="002E1046" w:rsidRDefault="00F83F5A" w:rsidP="00F83F5A">
      <w:pPr>
        <w:rPr>
          <w:sz w:val="20"/>
          <w:szCs w:val="20"/>
          <w:lang w:val="fr-CA"/>
        </w:rPr>
      </w:pPr>
    </w:p>
    <w:p w:rsidR="00F83F5A" w:rsidRPr="001B157C" w:rsidRDefault="00F83F5A" w:rsidP="00F83F5A">
      <w:pPr>
        <w:rPr>
          <w:sz w:val="20"/>
          <w:szCs w:val="20"/>
          <w:u w:val="single"/>
        </w:rPr>
      </w:pPr>
      <w:r w:rsidRPr="001B157C">
        <w:rPr>
          <w:sz w:val="20"/>
          <w:szCs w:val="20"/>
          <w:u w:val="single"/>
        </w:rPr>
        <w:t>CASE SUMMARY</w:t>
      </w:r>
    </w:p>
    <w:p w:rsidR="00F83F5A" w:rsidRDefault="00F83F5A"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9633E" w:rsidRPr="007E6A6A" w:rsidTr="00C14D8A">
        <w:tc>
          <w:tcPr>
            <w:tcW w:w="5000" w:type="pct"/>
            <w:gridSpan w:val="3"/>
          </w:tcPr>
          <w:p w:rsidR="0009633E" w:rsidRPr="007E6A6A" w:rsidRDefault="0009633E" w:rsidP="00C14D8A">
            <w:pPr>
              <w:jc w:val="both"/>
              <w:rPr>
                <w:rFonts w:eastAsia="Calibri"/>
                <w:sz w:val="20"/>
                <w:szCs w:val="20"/>
              </w:rPr>
            </w:pPr>
            <w:r w:rsidRPr="007E6A6A">
              <w:rPr>
                <w:rFonts w:eastAsia="Calibri"/>
                <w:sz w:val="20"/>
                <w:szCs w:val="20"/>
              </w:rPr>
              <w:t>Criminal law – Sentencing – Totality principle – Sentence appeal - Whether the majority of the Court of Appeal erred by determining that in order for the principle of totality to apply, the applicant’s criminal record would be treated as a mitigating, instead of an aggravating, factor on sentence – Whether there are issues of public importance raised.</w:t>
            </w:r>
          </w:p>
        </w:tc>
      </w:tr>
      <w:tr w:rsidR="0009633E" w:rsidRPr="007E6A6A" w:rsidTr="00C14D8A">
        <w:tc>
          <w:tcPr>
            <w:tcW w:w="5000" w:type="pct"/>
            <w:gridSpan w:val="3"/>
          </w:tcPr>
          <w:p w:rsidR="0009633E" w:rsidRPr="007E6A6A" w:rsidRDefault="0009633E" w:rsidP="00C14D8A">
            <w:pPr>
              <w:jc w:val="both"/>
              <w:rPr>
                <w:rFonts w:eastAsia="Calibri"/>
                <w:sz w:val="20"/>
                <w:szCs w:val="20"/>
              </w:rPr>
            </w:pPr>
          </w:p>
        </w:tc>
      </w:tr>
      <w:tr w:rsidR="0009633E" w:rsidRPr="007E6A6A" w:rsidTr="00C14D8A">
        <w:tc>
          <w:tcPr>
            <w:tcW w:w="5000" w:type="pct"/>
            <w:gridSpan w:val="3"/>
          </w:tcPr>
          <w:p w:rsidR="0009633E" w:rsidRPr="007E6A6A" w:rsidRDefault="0009633E" w:rsidP="00C14D8A">
            <w:pPr>
              <w:jc w:val="both"/>
              <w:rPr>
                <w:rFonts w:eastAsia="Calibri"/>
                <w:sz w:val="20"/>
                <w:szCs w:val="20"/>
              </w:rPr>
            </w:pPr>
            <w:r w:rsidRPr="007E6A6A">
              <w:rPr>
                <w:rFonts w:eastAsia="Calibri"/>
                <w:sz w:val="20"/>
                <w:szCs w:val="20"/>
              </w:rPr>
              <w:t xml:space="preserve">After a trial before a judge alone, Mr. O’Brien was convicted of robbery, disguise with intent (wearing a mask) and possession of a weapon contrary to ss. 344, 351(2) and 88 of the </w:t>
            </w:r>
            <w:r w:rsidRPr="007E6A6A">
              <w:rPr>
                <w:rFonts w:eastAsia="Calibri"/>
                <w:i/>
                <w:sz w:val="20"/>
                <w:szCs w:val="20"/>
              </w:rPr>
              <w:t>Criminal Code</w:t>
            </w:r>
            <w:r w:rsidRPr="007E6A6A">
              <w:rPr>
                <w:rFonts w:eastAsia="Calibri"/>
                <w:sz w:val="20"/>
                <w:szCs w:val="20"/>
              </w:rPr>
              <w:t>. Mr. O’Brien was wearing a Halloween mask and holding a large, butcher-style knife when he entered a variety store and demanded money from a clerk working alone that night. At the time of sentencing, Mr. O’Brien was already incarcerated for 11 offences and serving a term of 48 months. He was sentenced to six years and six months for the robbery, two years concurrent for wearing a mask, and three years concurrent for possession of a weapon. A majority of the Court of Appeal dismissed the sentence appeal.</w:t>
            </w:r>
          </w:p>
          <w:p w:rsidR="0009633E" w:rsidRPr="007E6A6A" w:rsidRDefault="0009633E" w:rsidP="00C14D8A">
            <w:pPr>
              <w:jc w:val="both"/>
              <w:rPr>
                <w:rFonts w:eastAsia="Calibri"/>
                <w:sz w:val="20"/>
                <w:szCs w:val="20"/>
              </w:rPr>
            </w:pPr>
          </w:p>
        </w:tc>
      </w:tr>
      <w:tr w:rsidR="0009633E" w:rsidRPr="007E6A6A" w:rsidTr="00C14D8A">
        <w:tc>
          <w:tcPr>
            <w:tcW w:w="2427" w:type="pct"/>
          </w:tcPr>
          <w:p w:rsidR="0009633E" w:rsidRPr="007E6A6A" w:rsidRDefault="0009633E" w:rsidP="00C14D8A">
            <w:pPr>
              <w:jc w:val="both"/>
              <w:rPr>
                <w:rFonts w:eastAsia="Calibri"/>
                <w:sz w:val="20"/>
                <w:szCs w:val="20"/>
              </w:rPr>
            </w:pPr>
            <w:r w:rsidRPr="007E6A6A">
              <w:rPr>
                <w:rFonts w:eastAsia="Calibri"/>
                <w:sz w:val="20"/>
                <w:szCs w:val="20"/>
              </w:rPr>
              <w:t>April 21, 2009</w:t>
            </w:r>
          </w:p>
          <w:p w:rsidR="0009633E" w:rsidRPr="007E6A6A" w:rsidRDefault="0009633E" w:rsidP="00C14D8A">
            <w:pPr>
              <w:jc w:val="both"/>
              <w:rPr>
                <w:rFonts w:eastAsia="Calibri"/>
                <w:sz w:val="20"/>
                <w:szCs w:val="20"/>
              </w:rPr>
            </w:pPr>
            <w:r w:rsidRPr="007E6A6A">
              <w:rPr>
                <w:rFonts w:eastAsia="Calibri"/>
                <w:sz w:val="20"/>
                <w:szCs w:val="20"/>
              </w:rPr>
              <w:t>Supreme Court of Nova Scotia</w:t>
            </w:r>
          </w:p>
          <w:p w:rsidR="0009633E" w:rsidRPr="007E6A6A" w:rsidRDefault="0009633E" w:rsidP="00C14D8A">
            <w:pPr>
              <w:jc w:val="both"/>
              <w:rPr>
                <w:rFonts w:eastAsia="Calibri"/>
                <w:sz w:val="20"/>
                <w:szCs w:val="20"/>
              </w:rPr>
            </w:pPr>
            <w:r w:rsidRPr="007E6A6A">
              <w:rPr>
                <w:rFonts w:eastAsia="Calibri"/>
                <w:sz w:val="20"/>
                <w:szCs w:val="20"/>
              </w:rPr>
              <w:t>(Murphy J.)</w:t>
            </w:r>
          </w:p>
        </w:tc>
        <w:tc>
          <w:tcPr>
            <w:tcW w:w="243" w:type="pct"/>
          </w:tcPr>
          <w:p w:rsidR="0009633E" w:rsidRPr="007E6A6A" w:rsidRDefault="0009633E" w:rsidP="00C14D8A">
            <w:pPr>
              <w:jc w:val="both"/>
              <w:rPr>
                <w:rFonts w:eastAsia="Calibri"/>
                <w:sz w:val="20"/>
                <w:szCs w:val="20"/>
              </w:rPr>
            </w:pPr>
          </w:p>
        </w:tc>
        <w:tc>
          <w:tcPr>
            <w:tcW w:w="2330" w:type="pct"/>
          </w:tcPr>
          <w:p w:rsidR="0009633E" w:rsidRPr="007E6A6A" w:rsidRDefault="0009633E" w:rsidP="00C14D8A">
            <w:pPr>
              <w:jc w:val="both"/>
              <w:rPr>
                <w:rFonts w:eastAsia="Calibri"/>
                <w:sz w:val="20"/>
                <w:szCs w:val="20"/>
              </w:rPr>
            </w:pPr>
            <w:r w:rsidRPr="007E6A6A">
              <w:rPr>
                <w:rFonts w:eastAsia="Calibri"/>
                <w:sz w:val="20"/>
                <w:szCs w:val="20"/>
              </w:rPr>
              <w:t>Sentence imposed: six years and six months for the robbery, two years concurrent for wearing mask, and three years concurrent for possession of a weapon</w:t>
            </w:r>
          </w:p>
          <w:p w:rsidR="0009633E" w:rsidRPr="007E6A6A" w:rsidRDefault="0009633E" w:rsidP="00C14D8A">
            <w:pPr>
              <w:jc w:val="both"/>
              <w:rPr>
                <w:rFonts w:eastAsia="Calibri"/>
                <w:sz w:val="20"/>
                <w:szCs w:val="20"/>
              </w:rPr>
            </w:pPr>
          </w:p>
        </w:tc>
      </w:tr>
      <w:tr w:rsidR="0009633E" w:rsidRPr="007E6A6A" w:rsidTr="00C14D8A">
        <w:tc>
          <w:tcPr>
            <w:tcW w:w="2427" w:type="pct"/>
          </w:tcPr>
          <w:p w:rsidR="0009633E" w:rsidRPr="007E6A6A" w:rsidRDefault="0009633E" w:rsidP="00C14D8A">
            <w:pPr>
              <w:jc w:val="both"/>
              <w:rPr>
                <w:rFonts w:eastAsia="Calibri"/>
                <w:sz w:val="20"/>
                <w:szCs w:val="20"/>
              </w:rPr>
            </w:pPr>
            <w:r w:rsidRPr="007E6A6A">
              <w:rPr>
                <w:rFonts w:eastAsia="Calibri"/>
                <w:sz w:val="20"/>
                <w:szCs w:val="20"/>
              </w:rPr>
              <w:t>December 6, 2011</w:t>
            </w:r>
          </w:p>
          <w:p w:rsidR="0009633E" w:rsidRPr="007E6A6A" w:rsidRDefault="0009633E" w:rsidP="00C14D8A">
            <w:pPr>
              <w:jc w:val="both"/>
              <w:rPr>
                <w:rFonts w:eastAsia="Calibri"/>
                <w:sz w:val="20"/>
                <w:szCs w:val="20"/>
              </w:rPr>
            </w:pPr>
            <w:r w:rsidRPr="007E6A6A">
              <w:rPr>
                <w:rFonts w:eastAsia="Calibri"/>
                <w:sz w:val="20"/>
                <w:szCs w:val="20"/>
              </w:rPr>
              <w:t>Nova Scotia Court of Appeal</w:t>
            </w:r>
          </w:p>
          <w:p w:rsidR="0009633E" w:rsidRPr="007E6A6A" w:rsidRDefault="0009633E" w:rsidP="00C14D8A">
            <w:pPr>
              <w:jc w:val="both"/>
              <w:rPr>
                <w:rFonts w:eastAsia="Calibri"/>
                <w:sz w:val="20"/>
                <w:szCs w:val="20"/>
              </w:rPr>
            </w:pPr>
            <w:r w:rsidRPr="007E6A6A">
              <w:rPr>
                <w:rFonts w:eastAsia="Calibri"/>
                <w:sz w:val="20"/>
                <w:szCs w:val="20"/>
              </w:rPr>
              <w:t>(</w:t>
            </w:r>
            <w:proofErr w:type="spellStart"/>
            <w:r w:rsidRPr="007E6A6A">
              <w:rPr>
                <w:rFonts w:eastAsia="Calibri"/>
                <w:sz w:val="20"/>
                <w:szCs w:val="20"/>
              </w:rPr>
              <w:t>Fichaud</w:t>
            </w:r>
            <w:proofErr w:type="spellEnd"/>
            <w:r w:rsidRPr="007E6A6A">
              <w:rPr>
                <w:rFonts w:eastAsia="Calibri"/>
                <w:sz w:val="20"/>
                <w:szCs w:val="20"/>
              </w:rPr>
              <w:t xml:space="preserve"> and Farrar JJ.A. and </w:t>
            </w:r>
            <w:proofErr w:type="spellStart"/>
            <w:r w:rsidRPr="007E6A6A">
              <w:rPr>
                <w:rFonts w:eastAsia="Calibri"/>
                <w:sz w:val="20"/>
                <w:szCs w:val="20"/>
              </w:rPr>
              <w:t>Beveridge</w:t>
            </w:r>
            <w:proofErr w:type="spellEnd"/>
            <w:r w:rsidRPr="007E6A6A">
              <w:rPr>
                <w:rFonts w:eastAsia="Calibri"/>
                <w:sz w:val="20"/>
                <w:szCs w:val="20"/>
              </w:rPr>
              <w:t xml:space="preserve"> (dissenting), J.A.)</w:t>
            </w:r>
          </w:p>
          <w:p w:rsidR="0009633E" w:rsidRPr="007E6A6A" w:rsidRDefault="0009633E" w:rsidP="00C14D8A">
            <w:pPr>
              <w:jc w:val="both"/>
              <w:rPr>
                <w:rFonts w:eastAsia="Calibri"/>
                <w:sz w:val="20"/>
                <w:szCs w:val="20"/>
              </w:rPr>
            </w:pPr>
            <w:r w:rsidRPr="007E6A6A">
              <w:rPr>
                <w:rFonts w:eastAsia="Calibri"/>
                <w:sz w:val="20"/>
                <w:szCs w:val="20"/>
              </w:rPr>
              <w:t>Neutral citation: 2011 NSCA 112</w:t>
            </w:r>
          </w:p>
          <w:p w:rsidR="0009633E" w:rsidRPr="007E6A6A" w:rsidRDefault="0009633E" w:rsidP="00C14D8A">
            <w:pPr>
              <w:jc w:val="both"/>
              <w:rPr>
                <w:rFonts w:eastAsia="Calibri"/>
                <w:sz w:val="20"/>
                <w:szCs w:val="20"/>
              </w:rPr>
            </w:pPr>
          </w:p>
        </w:tc>
        <w:tc>
          <w:tcPr>
            <w:tcW w:w="243" w:type="pct"/>
          </w:tcPr>
          <w:p w:rsidR="0009633E" w:rsidRPr="007E6A6A" w:rsidRDefault="0009633E" w:rsidP="00C14D8A">
            <w:pPr>
              <w:jc w:val="both"/>
              <w:rPr>
                <w:rFonts w:eastAsia="Calibri"/>
                <w:sz w:val="20"/>
                <w:szCs w:val="20"/>
              </w:rPr>
            </w:pPr>
          </w:p>
        </w:tc>
        <w:tc>
          <w:tcPr>
            <w:tcW w:w="2330" w:type="pct"/>
          </w:tcPr>
          <w:p w:rsidR="0009633E" w:rsidRPr="007E6A6A" w:rsidRDefault="0009633E" w:rsidP="00C14D8A">
            <w:pPr>
              <w:jc w:val="both"/>
              <w:rPr>
                <w:rFonts w:eastAsia="Calibri"/>
                <w:sz w:val="20"/>
                <w:szCs w:val="20"/>
              </w:rPr>
            </w:pPr>
            <w:r w:rsidRPr="007E6A6A">
              <w:rPr>
                <w:rFonts w:eastAsia="Calibri"/>
                <w:sz w:val="20"/>
                <w:szCs w:val="20"/>
              </w:rPr>
              <w:t>Leave to appeal sentence granted; sentence appeal dismissed</w:t>
            </w:r>
          </w:p>
          <w:p w:rsidR="0009633E" w:rsidRPr="007E6A6A" w:rsidRDefault="0009633E" w:rsidP="00C14D8A">
            <w:pPr>
              <w:jc w:val="both"/>
              <w:rPr>
                <w:rFonts w:eastAsia="Calibri"/>
                <w:sz w:val="20"/>
                <w:szCs w:val="20"/>
              </w:rPr>
            </w:pPr>
          </w:p>
        </w:tc>
      </w:tr>
      <w:tr w:rsidR="0009633E" w:rsidRPr="007E6A6A" w:rsidTr="00C14D8A">
        <w:tc>
          <w:tcPr>
            <w:tcW w:w="2427" w:type="pct"/>
          </w:tcPr>
          <w:p w:rsidR="0009633E" w:rsidRPr="007E6A6A" w:rsidRDefault="0009633E" w:rsidP="00C14D8A">
            <w:pPr>
              <w:jc w:val="both"/>
              <w:rPr>
                <w:rFonts w:eastAsia="Calibri"/>
                <w:sz w:val="20"/>
                <w:szCs w:val="20"/>
              </w:rPr>
            </w:pPr>
            <w:r w:rsidRPr="007E6A6A">
              <w:rPr>
                <w:rFonts w:eastAsia="Calibri"/>
                <w:sz w:val="20"/>
                <w:szCs w:val="20"/>
              </w:rPr>
              <w:t>January 31, 2012</w:t>
            </w:r>
          </w:p>
          <w:p w:rsidR="0009633E" w:rsidRPr="007E6A6A" w:rsidRDefault="0009633E" w:rsidP="00C14D8A">
            <w:pPr>
              <w:jc w:val="both"/>
              <w:rPr>
                <w:rFonts w:eastAsia="Calibri"/>
                <w:sz w:val="20"/>
                <w:szCs w:val="20"/>
              </w:rPr>
            </w:pPr>
            <w:r w:rsidRPr="007E6A6A">
              <w:rPr>
                <w:rFonts w:eastAsia="Calibri"/>
                <w:sz w:val="20"/>
                <w:szCs w:val="20"/>
              </w:rPr>
              <w:t>Supreme Court of Canada</w:t>
            </w:r>
          </w:p>
        </w:tc>
        <w:tc>
          <w:tcPr>
            <w:tcW w:w="243" w:type="pct"/>
          </w:tcPr>
          <w:p w:rsidR="0009633E" w:rsidRPr="007E6A6A" w:rsidRDefault="0009633E" w:rsidP="00C14D8A">
            <w:pPr>
              <w:jc w:val="both"/>
              <w:rPr>
                <w:rFonts w:eastAsia="Calibri"/>
                <w:sz w:val="20"/>
                <w:szCs w:val="20"/>
              </w:rPr>
            </w:pPr>
          </w:p>
        </w:tc>
        <w:tc>
          <w:tcPr>
            <w:tcW w:w="2330" w:type="pct"/>
          </w:tcPr>
          <w:p w:rsidR="0009633E" w:rsidRPr="007E6A6A" w:rsidRDefault="0009633E" w:rsidP="00C14D8A">
            <w:pPr>
              <w:jc w:val="both"/>
              <w:rPr>
                <w:rFonts w:eastAsia="Calibri"/>
                <w:sz w:val="20"/>
                <w:szCs w:val="20"/>
              </w:rPr>
            </w:pPr>
            <w:r w:rsidRPr="007E6A6A">
              <w:rPr>
                <w:rFonts w:eastAsia="Calibri"/>
                <w:sz w:val="20"/>
                <w:szCs w:val="20"/>
              </w:rPr>
              <w:t>Application for leave to appeal filed</w:t>
            </w:r>
          </w:p>
          <w:p w:rsidR="0009633E" w:rsidRPr="007E6A6A" w:rsidRDefault="0009633E" w:rsidP="00C14D8A">
            <w:pPr>
              <w:jc w:val="both"/>
              <w:rPr>
                <w:rFonts w:eastAsia="Calibri"/>
                <w:sz w:val="20"/>
                <w:szCs w:val="20"/>
              </w:rPr>
            </w:pPr>
          </w:p>
        </w:tc>
      </w:tr>
    </w:tbl>
    <w:p w:rsidR="00F83F5A" w:rsidRPr="00C50A5C" w:rsidRDefault="00F83F5A" w:rsidP="00F83F5A">
      <w:pPr>
        <w:rPr>
          <w:sz w:val="20"/>
          <w:szCs w:val="20"/>
        </w:rPr>
      </w:pPr>
    </w:p>
    <w:p w:rsidR="00F83F5A" w:rsidRPr="00C50A5C" w:rsidRDefault="00ED3438" w:rsidP="00F83F5A">
      <w:pPr>
        <w:rPr>
          <w:sz w:val="20"/>
          <w:szCs w:val="20"/>
        </w:rPr>
      </w:pPr>
      <w:r w:rsidRPr="00ED3438">
        <w:rPr>
          <w:sz w:val="20"/>
          <w:szCs w:val="20"/>
          <w:lang w:val="fr-CA"/>
        </w:rPr>
        <w:pict>
          <v:rect id="_x0000_i1045" style="width:2in;height:1pt" o:hrpct="0" o:hralign="center" o:hrstd="t" o:hrnoshade="t" o:hr="t" fillcolor="black [3213]" stroked="f"/>
        </w:pict>
      </w:r>
    </w:p>
    <w:p w:rsidR="00F83F5A" w:rsidRDefault="00F83F5A" w:rsidP="00F83F5A">
      <w:pPr>
        <w:rPr>
          <w:sz w:val="20"/>
          <w:szCs w:val="20"/>
        </w:rPr>
      </w:pPr>
    </w:p>
    <w:p w:rsidR="00F83F5A" w:rsidRPr="001B157C" w:rsidRDefault="00F83F5A" w:rsidP="00F83F5A">
      <w:pPr>
        <w:rPr>
          <w:sz w:val="20"/>
          <w:szCs w:val="20"/>
          <w:u w:val="single"/>
          <w:lang w:val="fr-CA"/>
        </w:rPr>
      </w:pPr>
      <w:r w:rsidRPr="001B157C">
        <w:rPr>
          <w:sz w:val="20"/>
          <w:szCs w:val="20"/>
          <w:u w:val="single"/>
          <w:lang w:val="fr-CA"/>
        </w:rPr>
        <w:t>RÉSUMÉ DE L’AFFAIRE</w:t>
      </w:r>
    </w:p>
    <w:p w:rsidR="00F83F5A" w:rsidRDefault="00F83F5A"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09633E" w:rsidRPr="00017BF4" w:rsidTr="00C14D8A">
        <w:tc>
          <w:tcPr>
            <w:tcW w:w="5000" w:type="pct"/>
            <w:gridSpan w:val="3"/>
          </w:tcPr>
          <w:p w:rsidR="0009633E" w:rsidRPr="007E6A6A" w:rsidRDefault="0009633E" w:rsidP="00C14D8A">
            <w:pPr>
              <w:jc w:val="both"/>
              <w:rPr>
                <w:rFonts w:eastAsia="Calibri"/>
                <w:sz w:val="20"/>
                <w:szCs w:val="20"/>
                <w:lang w:val="fr-CA"/>
              </w:rPr>
            </w:pPr>
            <w:r w:rsidRPr="007E6A6A">
              <w:rPr>
                <w:rFonts w:eastAsia="Calibri"/>
                <w:sz w:val="20"/>
                <w:szCs w:val="20"/>
                <w:lang w:val="fr-CA"/>
              </w:rPr>
              <w:t>Droit criminel – Détermination de la peine – Principe de totalité – Appel de la peine - Les juges majoritaires de la Cour d'appel ont-ils eu tort de statuer que pour que le principe de totalité s'applique, le casier judiciaire du demandeur serait traité comme un facteur atténuant, plutôt qu'aggravant, dans la détermination de la peine? – L'affaire soulève-t-elle des questions d'importance pour le public?</w:t>
            </w:r>
          </w:p>
        </w:tc>
      </w:tr>
      <w:tr w:rsidR="0009633E" w:rsidRPr="00017BF4" w:rsidTr="00C14D8A">
        <w:tc>
          <w:tcPr>
            <w:tcW w:w="5000" w:type="pct"/>
            <w:gridSpan w:val="3"/>
          </w:tcPr>
          <w:p w:rsidR="0009633E" w:rsidRPr="007E6A6A" w:rsidRDefault="0009633E" w:rsidP="00C14D8A">
            <w:pPr>
              <w:jc w:val="both"/>
              <w:rPr>
                <w:rFonts w:eastAsia="Calibri"/>
                <w:sz w:val="20"/>
                <w:szCs w:val="20"/>
                <w:lang w:val="fr-CA"/>
              </w:rPr>
            </w:pPr>
          </w:p>
        </w:tc>
      </w:tr>
      <w:tr w:rsidR="0009633E" w:rsidRPr="00017BF4" w:rsidTr="00C14D8A">
        <w:tc>
          <w:tcPr>
            <w:tcW w:w="5000" w:type="pct"/>
            <w:gridSpan w:val="3"/>
          </w:tcPr>
          <w:p w:rsidR="0009633E" w:rsidRPr="007E6A6A" w:rsidRDefault="0009633E" w:rsidP="00C14D8A">
            <w:pPr>
              <w:jc w:val="both"/>
              <w:rPr>
                <w:rFonts w:eastAsia="Calibri"/>
                <w:sz w:val="20"/>
                <w:szCs w:val="20"/>
                <w:lang w:val="fr-CA"/>
              </w:rPr>
            </w:pPr>
            <w:r w:rsidRPr="007E6A6A">
              <w:rPr>
                <w:rFonts w:eastAsia="Calibri"/>
                <w:sz w:val="20"/>
                <w:szCs w:val="20"/>
                <w:lang w:val="fr-CA"/>
              </w:rPr>
              <w:t>Au terme d'un procès devant juge seul, M. O’Brien a été déclaré coupable de vol qualifié, de déguisement dans un dessein criminel (port d'un masque) et de possession d'une arme contrairement aux arts. 344, 351(2) et 88 du</w:t>
            </w:r>
            <w:r w:rsidRPr="007E6A6A">
              <w:rPr>
                <w:rFonts w:eastAsia="Calibri"/>
                <w:i/>
                <w:sz w:val="20"/>
                <w:szCs w:val="20"/>
                <w:lang w:val="fr-CA"/>
              </w:rPr>
              <w:t xml:space="preserve"> Code criminel</w:t>
            </w:r>
            <w:r w:rsidRPr="007E6A6A">
              <w:rPr>
                <w:rFonts w:eastAsia="Calibri"/>
                <w:sz w:val="20"/>
                <w:szCs w:val="20"/>
                <w:lang w:val="fr-CA"/>
              </w:rPr>
              <w:t>. Monsieur O’Brien portait un masque d’Halloween et tenait un gros couteau de boucher lorsqu'il est entré dans un dépanneur et a ordonné à l’employée qui y travaillait seule cette nuit-là de lui remettre de l'argent. À l'époque de la détermination de la peine, M. O’Brien était déjà incarcéré pour 11 infractions et purgeait une peine de 48 mois. Il a été condamné à une peine d'emprisonnement de six ans et six mois pour le vol qualifié, d’une peine concurrente de deux ans pour le port d'un masque et d’une peine concurrente de trois ans pour la possession d'une arme. Les juges majoritaires de la Cour d'appel ont rejeté l'appel de la peine.</w:t>
            </w:r>
          </w:p>
          <w:p w:rsidR="0009633E" w:rsidRPr="007E6A6A" w:rsidRDefault="0009633E" w:rsidP="00C14D8A">
            <w:pPr>
              <w:jc w:val="both"/>
              <w:rPr>
                <w:rFonts w:eastAsia="Calibri"/>
                <w:sz w:val="20"/>
                <w:szCs w:val="20"/>
                <w:lang w:val="fr-CA"/>
              </w:rPr>
            </w:pPr>
          </w:p>
        </w:tc>
      </w:tr>
      <w:tr w:rsidR="0009633E" w:rsidRPr="00017BF4" w:rsidTr="00C14D8A">
        <w:tc>
          <w:tcPr>
            <w:tcW w:w="2427" w:type="pct"/>
          </w:tcPr>
          <w:p w:rsidR="0009633E" w:rsidRPr="007E6A6A" w:rsidRDefault="0009633E" w:rsidP="00C14D8A">
            <w:pPr>
              <w:jc w:val="both"/>
              <w:rPr>
                <w:rFonts w:eastAsia="Calibri"/>
                <w:sz w:val="20"/>
                <w:szCs w:val="20"/>
                <w:lang w:val="fr-CA"/>
              </w:rPr>
            </w:pPr>
            <w:r w:rsidRPr="007E6A6A">
              <w:rPr>
                <w:rFonts w:eastAsia="Calibri"/>
                <w:sz w:val="20"/>
                <w:szCs w:val="20"/>
                <w:lang w:val="fr-CA"/>
              </w:rPr>
              <w:t>21 avril 2009</w:t>
            </w:r>
          </w:p>
          <w:p w:rsidR="0009633E" w:rsidRPr="007E6A6A" w:rsidRDefault="0009633E" w:rsidP="00C14D8A">
            <w:pPr>
              <w:jc w:val="both"/>
              <w:rPr>
                <w:rFonts w:eastAsia="Calibri"/>
                <w:sz w:val="20"/>
                <w:szCs w:val="20"/>
                <w:lang w:val="fr-CA"/>
              </w:rPr>
            </w:pPr>
            <w:r w:rsidRPr="007E6A6A">
              <w:rPr>
                <w:rFonts w:eastAsia="Calibri"/>
                <w:sz w:val="20"/>
                <w:szCs w:val="20"/>
                <w:lang w:val="fr-CA"/>
              </w:rPr>
              <w:t xml:space="preserve">Cour suprême de la Nouvelle-Écosse </w:t>
            </w:r>
          </w:p>
          <w:p w:rsidR="0009633E" w:rsidRPr="007E6A6A" w:rsidRDefault="0009633E" w:rsidP="00C14D8A">
            <w:pPr>
              <w:jc w:val="both"/>
              <w:rPr>
                <w:rFonts w:eastAsia="Calibri"/>
                <w:sz w:val="20"/>
                <w:szCs w:val="20"/>
                <w:lang w:val="fr-CA"/>
              </w:rPr>
            </w:pPr>
            <w:r w:rsidRPr="007E6A6A">
              <w:rPr>
                <w:rFonts w:eastAsia="Calibri"/>
                <w:sz w:val="20"/>
                <w:szCs w:val="20"/>
                <w:lang w:val="fr-CA"/>
              </w:rPr>
              <w:t>(Juge Murphy)</w:t>
            </w:r>
          </w:p>
        </w:tc>
        <w:tc>
          <w:tcPr>
            <w:tcW w:w="243" w:type="pct"/>
          </w:tcPr>
          <w:p w:rsidR="0009633E" w:rsidRPr="007E6A6A" w:rsidRDefault="0009633E" w:rsidP="00C14D8A">
            <w:pPr>
              <w:jc w:val="both"/>
              <w:rPr>
                <w:rFonts w:eastAsia="Calibri"/>
                <w:sz w:val="20"/>
                <w:szCs w:val="20"/>
                <w:lang w:val="fr-CA"/>
              </w:rPr>
            </w:pPr>
          </w:p>
        </w:tc>
        <w:tc>
          <w:tcPr>
            <w:tcW w:w="2330" w:type="pct"/>
          </w:tcPr>
          <w:p w:rsidR="0009633E" w:rsidRPr="007E6A6A" w:rsidRDefault="0009633E" w:rsidP="00C14D8A">
            <w:pPr>
              <w:jc w:val="both"/>
              <w:rPr>
                <w:rFonts w:eastAsia="Calibri"/>
                <w:sz w:val="20"/>
                <w:szCs w:val="20"/>
                <w:lang w:val="fr-CA"/>
              </w:rPr>
            </w:pPr>
            <w:r w:rsidRPr="007E6A6A">
              <w:rPr>
                <w:rFonts w:eastAsia="Calibri"/>
                <w:sz w:val="20"/>
                <w:szCs w:val="20"/>
                <w:lang w:val="fr-CA"/>
              </w:rPr>
              <w:t>Peines imposées : six ans et six mois pour le vol qualifié, peine concurrente de deux ans pour le port d'un masque et peine concurrente de trois ans pour la possession d'une arme</w:t>
            </w:r>
          </w:p>
          <w:p w:rsidR="0009633E" w:rsidRPr="007E6A6A" w:rsidRDefault="0009633E" w:rsidP="00C14D8A">
            <w:pPr>
              <w:jc w:val="both"/>
              <w:rPr>
                <w:rFonts w:eastAsia="Calibri"/>
                <w:sz w:val="20"/>
                <w:szCs w:val="20"/>
                <w:lang w:val="fr-CA"/>
              </w:rPr>
            </w:pPr>
          </w:p>
        </w:tc>
      </w:tr>
      <w:tr w:rsidR="0009633E" w:rsidRPr="00017BF4" w:rsidTr="00C14D8A">
        <w:tc>
          <w:tcPr>
            <w:tcW w:w="2427" w:type="pct"/>
          </w:tcPr>
          <w:p w:rsidR="0009633E" w:rsidRPr="007E6A6A" w:rsidRDefault="0009633E" w:rsidP="00C14D8A">
            <w:pPr>
              <w:jc w:val="both"/>
              <w:rPr>
                <w:rFonts w:eastAsia="Calibri"/>
                <w:sz w:val="20"/>
                <w:szCs w:val="20"/>
                <w:lang w:val="fr-CA"/>
              </w:rPr>
            </w:pPr>
            <w:r w:rsidRPr="007E6A6A">
              <w:rPr>
                <w:rFonts w:eastAsia="Calibri"/>
                <w:sz w:val="20"/>
                <w:szCs w:val="20"/>
                <w:lang w:val="fr-CA"/>
              </w:rPr>
              <w:t>6 décembre 2011</w:t>
            </w:r>
          </w:p>
          <w:p w:rsidR="0009633E" w:rsidRPr="007E6A6A" w:rsidRDefault="0009633E" w:rsidP="00C14D8A">
            <w:pPr>
              <w:jc w:val="both"/>
              <w:rPr>
                <w:rFonts w:eastAsia="Calibri"/>
                <w:sz w:val="20"/>
                <w:szCs w:val="20"/>
                <w:lang w:val="fr-CA"/>
              </w:rPr>
            </w:pPr>
            <w:r w:rsidRPr="007E6A6A">
              <w:rPr>
                <w:rFonts w:eastAsia="Calibri"/>
                <w:sz w:val="20"/>
                <w:szCs w:val="20"/>
                <w:lang w:val="fr-CA"/>
              </w:rPr>
              <w:t xml:space="preserve">Cour d'appel de la Nouvelle-Écosse </w:t>
            </w:r>
          </w:p>
          <w:p w:rsidR="0009633E" w:rsidRPr="007E6A6A" w:rsidRDefault="0009633E" w:rsidP="00C14D8A">
            <w:pPr>
              <w:jc w:val="both"/>
              <w:rPr>
                <w:rFonts w:eastAsia="Calibri"/>
                <w:sz w:val="20"/>
                <w:szCs w:val="20"/>
                <w:lang w:val="fr-CA"/>
              </w:rPr>
            </w:pPr>
            <w:r w:rsidRPr="007E6A6A">
              <w:rPr>
                <w:rFonts w:eastAsia="Calibri"/>
                <w:sz w:val="20"/>
                <w:szCs w:val="20"/>
                <w:lang w:val="fr-CA"/>
              </w:rPr>
              <w:t xml:space="preserve">(Juges </w:t>
            </w:r>
            <w:proofErr w:type="spellStart"/>
            <w:r w:rsidRPr="007E6A6A">
              <w:rPr>
                <w:rFonts w:eastAsia="Calibri"/>
                <w:sz w:val="20"/>
                <w:szCs w:val="20"/>
                <w:lang w:val="fr-CA"/>
              </w:rPr>
              <w:t>Fichaud</w:t>
            </w:r>
            <w:proofErr w:type="spellEnd"/>
            <w:r w:rsidRPr="007E6A6A">
              <w:rPr>
                <w:rFonts w:eastAsia="Calibri"/>
                <w:sz w:val="20"/>
                <w:szCs w:val="20"/>
                <w:lang w:val="fr-CA"/>
              </w:rPr>
              <w:t xml:space="preserve">, </w:t>
            </w:r>
            <w:proofErr w:type="spellStart"/>
            <w:r w:rsidRPr="007E6A6A">
              <w:rPr>
                <w:rFonts w:eastAsia="Calibri"/>
                <w:sz w:val="20"/>
                <w:szCs w:val="20"/>
                <w:lang w:val="fr-CA"/>
              </w:rPr>
              <w:t>Farrar</w:t>
            </w:r>
            <w:proofErr w:type="spellEnd"/>
            <w:r w:rsidRPr="007E6A6A">
              <w:rPr>
                <w:rFonts w:eastAsia="Calibri"/>
                <w:sz w:val="20"/>
                <w:szCs w:val="20"/>
                <w:lang w:val="fr-CA"/>
              </w:rPr>
              <w:t xml:space="preserve"> et Beveridge (dissident))</w:t>
            </w:r>
          </w:p>
          <w:p w:rsidR="0009633E" w:rsidRPr="007E6A6A" w:rsidRDefault="0009633E" w:rsidP="00C14D8A">
            <w:pPr>
              <w:jc w:val="both"/>
              <w:rPr>
                <w:rFonts w:eastAsia="Calibri"/>
                <w:sz w:val="20"/>
                <w:szCs w:val="20"/>
                <w:lang w:val="fr-CA"/>
              </w:rPr>
            </w:pPr>
            <w:r w:rsidRPr="007E6A6A">
              <w:rPr>
                <w:rFonts w:eastAsia="Calibri"/>
                <w:sz w:val="20"/>
                <w:szCs w:val="20"/>
                <w:lang w:val="fr-CA"/>
              </w:rPr>
              <w:t>Référence neutre : 2011 NSCA 112</w:t>
            </w:r>
          </w:p>
          <w:p w:rsidR="0009633E" w:rsidRPr="007E6A6A" w:rsidRDefault="0009633E" w:rsidP="00C14D8A">
            <w:pPr>
              <w:jc w:val="both"/>
              <w:rPr>
                <w:rFonts w:eastAsia="Calibri"/>
                <w:sz w:val="20"/>
                <w:szCs w:val="20"/>
                <w:lang w:val="fr-CA"/>
              </w:rPr>
            </w:pPr>
          </w:p>
        </w:tc>
        <w:tc>
          <w:tcPr>
            <w:tcW w:w="243" w:type="pct"/>
          </w:tcPr>
          <w:p w:rsidR="0009633E" w:rsidRPr="007E6A6A" w:rsidRDefault="0009633E" w:rsidP="00C14D8A">
            <w:pPr>
              <w:jc w:val="both"/>
              <w:rPr>
                <w:rFonts w:eastAsia="Calibri"/>
                <w:sz w:val="20"/>
                <w:szCs w:val="20"/>
                <w:lang w:val="fr-CA"/>
              </w:rPr>
            </w:pPr>
          </w:p>
        </w:tc>
        <w:tc>
          <w:tcPr>
            <w:tcW w:w="2330" w:type="pct"/>
          </w:tcPr>
          <w:p w:rsidR="0009633E" w:rsidRPr="007E6A6A" w:rsidRDefault="0009633E" w:rsidP="00C14D8A">
            <w:pPr>
              <w:jc w:val="both"/>
              <w:rPr>
                <w:rFonts w:eastAsia="Calibri"/>
                <w:sz w:val="20"/>
                <w:szCs w:val="20"/>
                <w:lang w:val="fr-CA"/>
              </w:rPr>
            </w:pPr>
            <w:r w:rsidRPr="007E6A6A">
              <w:rPr>
                <w:rFonts w:eastAsia="Calibri"/>
                <w:sz w:val="20"/>
                <w:szCs w:val="20"/>
                <w:lang w:val="fr-CA"/>
              </w:rPr>
              <w:t>Autorisation d'appel de la peine, accordée; appel de la peine, rejeté</w:t>
            </w:r>
          </w:p>
          <w:p w:rsidR="0009633E" w:rsidRPr="007E6A6A" w:rsidRDefault="0009633E" w:rsidP="00C14D8A">
            <w:pPr>
              <w:jc w:val="both"/>
              <w:rPr>
                <w:rFonts w:eastAsia="Calibri"/>
                <w:sz w:val="20"/>
                <w:szCs w:val="20"/>
                <w:lang w:val="fr-CA"/>
              </w:rPr>
            </w:pPr>
          </w:p>
        </w:tc>
      </w:tr>
      <w:tr w:rsidR="0009633E" w:rsidRPr="007E6A6A" w:rsidTr="00C14D8A">
        <w:tc>
          <w:tcPr>
            <w:tcW w:w="2427" w:type="pct"/>
          </w:tcPr>
          <w:p w:rsidR="0009633E" w:rsidRPr="007E6A6A" w:rsidRDefault="0009633E" w:rsidP="00C14D8A">
            <w:pPr>
              <w:jc w:val="both"/>
              <w:rPr>
                <w:rFonts w:eastAsia="Calibri"/>
                <w:sz w:val="20"/>
                <w:szCs w:val="20"/>
                <w:lang w:val="fr-CA"/>
              </w:rPr>
            </w:pPr>
            <w:r w:rsidRPr="007E6A6A">
              <w:rPr>
                <w:rFonts w:eastAsia="Calibri"/>
                <w:sz w:val="20"/>
                <w:szCs w:val="20"/>
                <w:lang w:val="fr-CA"/>
              </w:rPr>
              <w:t>31 janvier 2012</w:t>
            </w:r>
          </w:p>
          <w:p w:rsidR="0009633E" w:rsidRPr="007E6A6A" w:rsidRDefault="0009633E" w:rsidP="00C14D8A">
            <w:pPr>
              <w:jc w:val="both"/>
              <w:rPr>
                <w:rFonts w:eastAsia="Calibri"/>
                <w:sz w:val="20"/>
                <w:szCs w:val="20"/>
                <w:lang w:val="fr-CA"/>
              </w:rPr>
            </w:pPr>
            <w:r w:rsidRPr="007E6A6A">
              <w:rPr>
                <w:rFonts w:eastAsia="Calibri"/>
                <w:sz w:val="20"/>
                <w:szCs w:val="20"/>
                <w:lang w:val="fr-CA"/>
              </w:rPr>
              <w:t>Cour suprême du Canada</w:t>
            </w:r>
          </w:p>
        </w:tc>
        <w:tc>
          <w:tcPr>
            <w:tcW w:w="243" w:type="pct"/>
          </w:tcPr>
          <w:p w:rsidR="0009633E" w:rsidRPr="007E6A6A" w:rsidRDefault="0009633E" w:rsidP="00C14D8A">
            <w:pPr>
              <w:jc w:val="both"/>
              <w:rPr>
                <w:rFonts w:eastAsia="Calibri"/>
                <w:sz w:val="20"/>
                <w:szCs w:val="20"/>
                <w:lang w:val="fr-CA"/>
              </w:rPr>
            </w:pPr>
          </w:p>
        </w:tc>
        <w:tc>
          <w:tcPr>
            <w:tcW w:w="2330" w:type="pct"/>
          </w:tcPr>
          <w:p w:rsidR="0009633E" w:rsidRPr="007E6A6A" w:rsidRDefault="0009633E" w:rsidP="00C14D8A">
            <w:pPr>
              <w:jc w:val="both"/>
              <w:rPr>
                <w:rFonts w:eastAsia="Calibri"/>
                <w:sz w:val="20"/>
                <w:szCs w:val="20"/>
                <w:lang w:val="fr-CA"/>
              </w:rPr>
            </w:pPr>
            <w:r w:rsidRPr="007E6A6A">
              <w:rPr>
                <w:rFonts w:eastAsia="Calibri"/>
                <w:sz w:val="20"/>
                <w:szCs w:val="20"/>
                <w:lang w:val="fr-CA"/>
              </w:rPr>
              <w:t>Demande d'autorisation d'appel, déposée</w:t>
            </w:r>
          </w:p>
          <w:p w:rsidR="0009633E" w:rsidRPr="007E6A6A" w:rsidRDefault="0009633E" w:rsidP="00C14D8A">
            <w:pPr>
              <w:jc w:val="both"/>
              <w:rPr>
                <w:rFonts w:eastAsia="Calibri"/>
                <w:sz w:val="20"/>
                <w:szCs w:val="20"/>
                <w:lang w:val="fr-CA"/>
              </w:rPr>
            </w:pPr>
          </w:p>
        </w:tc>
      </w:tr>
    </w:tbl>
    <w:p w:rsidR="00F83F5A" w:rsidRDefault="00F83F5A" w:rsidP="008D292F">
      <w:pPr>
        <w:rPr>
          <w:sz w:val="20"/>
          <w:szCs w:val="20"/>
        </w:rPr>
      </w:pPr>
    </w:p>
    <w:p w:rsidR="00F83F5A" w:rsidRDefault="00ED3438" w:rsidP="008D292F">
      <w:pPr>
        <w:rPr>
          <w:sz w:val="20"/>
          <w:szCs w:val="20"/>
        </w:rPr>
      </w:pPr>
      <w:r w:rsidRPr="00ED3438">
        <w:rPr>
          <w:sz w:val="20"/>
          <w:szCs w:val="20"/>
          <w:lang w:val="fr-CA"/>
        </w:rPr>
        <w:pict>
          <v:rect id="_x0000_i1046" style="width:2in;height:1pt" o:hrpct="0" o:hralign="center" o:hrstd="t" o:hrnoshade="t" o:hr="t" fillcolor="black [3213]" stroked="f"/>
        </w:pict>
      </w:r>
    </w:p>
    <w:p w:rsidR="00F83F5A" w:rsidRDefault="00F83F5A"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E1046" w:rsidRPr="000F5323" w:rsidTr="00B60060">
        <w:trPr>
          <w:cantSplit/>
        </w:trPr>
        <w:tc>
          <w:tcPr>
            <w:tcW w:w="1458" w:type="dxa"/>
          </w:tcPr>
          <w:p w:rsidR="002E1046" w:rsidRPr="000F5323" w:rsidRDefault="002E1046" w:rsidP="00B60060">
            <w:pPr>
              <w:rPr>
                <w:sz w:val="20"/>
                <w:szCs w:val="20"/>
              </w:rPr>
            </w:pPr>
            <w:r w:rsidRPr="000F5323">
              <w:rPr>
                <w:rStyle w:val="SCCFileNumberChar"/>
                <w:sz w:val="20"/>
                <w:szCs w:val="20"/>
              </w:rPr>
              <w:t>34665</w:t>
            </w:r>
          </w:p>
          <w:p w:rsidR="002E1046" w:rsidRPr="000F5323" w:rsidRDefault="002E1046" w:rsidP="00B60060">
            <w:pPr>
              <w:rPr>
                <w:b/>
                <w:sz w:val="20"/>
                <w:szCs w:val="20"/>
                <w:lang w:val="fr-CA"/>
              </w:rPr>
            </w:pPr>
          </w:p>
        </w:tc>
        <w:tc>
          <w:tcPr>
            <w:tcW w:w="8118" w:type="dxa"/>
          </w:tcPr>
          <w:p w:rsidR="002E1046" w:rsidRPr="000F5323" w:rsidRDefault="002E1046" w:rsidP="00B60060">
            <w:pPr>
              <w:rPr>
                <w:sz w:val="20"/>
                <w:szCs w:val="20"/>
              </w:rPr>
            </w:pPr>
            <w:r w:rsidRPr="000F5323">
              <w:rPr>
                <w:rStyle w:val="SCCLsocChar"/>
                <w:sz w:val="20"/>
                <w:szCs w:val="20"/>
                <w:lang w:val="en-CA"/>
              </w:rPr>
              <w:t>Crane Canada Inc. v. Economical Insurance Company</w:t>
            </w:r>
            <w:r w:rsidRPr="000F5323">
              <w:rPr>
                <w:sz w:val="20"/>
                <w:szCs w:val="20"/>
              </w:rPr>
              <w:t xml:space="preserve"> (Que.) (Civil) (By Leave)</w:t>
            </w:r>
          </w:p>
          <w:p w:rsidR="002E1046" w:rsidRPr="000F5323" w:rsidRDefault="002E1046" w:rsidP="00B60060">
            <w:pPr>
              <w:rPr>
                <w:sz w:val="20"/>
                <w:szCs w:val="20"/>
              </w:rPr>
            </w:pPr>
          </w:p>
        </w:tc>
      </w:tr>
      <w:tr w:rsidR="002E1046" w:rsidRPr="000F5323" w:rsidTr="00B60060">
        <w:trPr>
          <w:cantSplit/>
        </w:trPr>
        <w:tc>
          <w:tcPr>
            <w:tcW w:w="1458" w:type="dxa"/>
          </w:tcPr>
          <w:p w:rsidR="002E1046" w:rsidRPr="000F5323" w:rsidRDefault="002E1046" w:rsidP="00B60060">
            <w:pPr>
              <w:rPr>
                <w:sz w:val="20"/>
                <w:szCs w:val="20"/>
              </w:rPr>
            </w:pPr>
            <w:r w:rsidRPr="000F5323">
              <w:rPr>
                <w:sz w:val="20"/>
                <w:szCs w:val="20"/>
              </w:rPr>
              <w:t>Coram :</w:t>
            </w:r>
          </w:p>
        </w:tc>
        <w:tc>
          <w:tcPr>
            <w:tcW w:w="8118" w:type="dxa"/>
          </w:tcPr>
          <w:p w:rsidR="002E1046" w:rsidRPr="000F5323" w:rsidRDefault="002E1046" w:rsidP="00B60060">
            <w:pPr>
              <w:rPr>
                <w:sz w:val="20"/>
                <w:szCs w:val="20"/>
              </w:rPr>
            </w:pPr>
            <w:proofErr w:type="spellStart"/>
            <w:r w:rsidRPr="000F5323">
              <w:rPr>
                <w:rStyle w:val="SCCCoramChar"/>
                <w:sz w:val="20"/>
                <w:szCs w:val="20"/>
                <w:lang w:val="en-CA"/>
              </w:rPr>
              <w:t>Deschamps</w:t>
            </w:r>
            <w:proofErr w:type="spellEnd"/>
            <w:r w:rsidRPr="000F5323">
              <w:rPr>
                <w:rStyle w:val="SCCCoramChar"/>
                <w:sz w:val="20"/>
                <w:szCs w:val="20"/>
                <w:lang w:val="en-CA"/>
              </w:rPr>
              <w:t xml:space="preserve">, Fish and </w:t>
            </w:r>
            <w:proofErr w:type="spellStart"/>
            <w:r w:rsidRPr="000F5323">
              <w:rPr>
                <w:rStyle w:val="SCCCoramChar"/>
                <w:sz w:val="20"/>
                <w:szCs w:val="20"/>
                <w:lang w:val="en-CA"/>
              </w:rPr>
              <w:t>Karakatsanis</w:t>
            </w:r>
            <w:proofErr w:type="spellEnd"/>
            <w:r w:rsidRPr="000F5323">
              <w:rPr>
                <w:rStyle w:val="SCCCoramChar"/>
                <w:sz w:val="20"/>
                <w:szCs w:val="20"/>
                <w:lang w:val="en-CA"/>
              </w:rPr>
              <w:t> JJ.</w:t>
            </w:r>
          </w:p>
          <w:p w:rsidR="002E1046" w:rsidRPr="000F5323" w:rsidRDefault="002E1046" w:rsidP="00B60060">
            <w:pPr>
              <w:rPr>
                <w:sz w:val="20"/>
                <w:szCs w:val="20"/>
                <w:u w:val="single"/>
              </w:rPr>
            </w:pPr>
          </w:p>
        </w:tc>
      </w:tr>
      <w:tr w:rsidR="002E1046" w:rsidRPr="00017BF4" w:rsidTr="00B60060">
        <w:trPr>
          <w:cantSplit/>
        </w:trPr>
        <w:tc>
          <w:tcPr>
            <w:tcW w:w="9576" w:type="dxa"/>
            <w:gridSpan w:val="2"/>
          </w:tcPr>
          <w:p w:rsidR="002E1046" w:rsidRPr="000F5323" w:rsidRDefault="002E1046" w:rsidP="00B60060">
            <w:pPr>
              <w:pStyle w:val="SCCShortJudgment"/>
              <w:rPr>
                <w:szCs w:val="20"/>
              </w:rPr>
            </w:pPr>
            <w:r w:rsidRPr="000F5323">
              <w:rPr>
                <w:szCs w:val="20"/>
              </w:rPr>
              <w:t>The application for leave to appeal from the judgment of the Court of Appeal of Quebec (Montréal), Number 500-09-020464-103, 2011 QCCA 2359, dated December 13, 2011, is dismissed with costs.</w:t>
            </w:r>
          </w:p>
          <w:p w:rsidR="002E1046" w:rsidRPr="000F5323" w:rsidRDefault="002E1046" w:rsidP="00B60060">
            <w:pPr>
              <w:pStyle w:val="SCCShortJudgment"/>
              <w:ind w:firstLine="0"/>
              <w:rPr>
                <w:szCs w:val="20"/>
              </w:rPr>
            </w:pPr>
          </w:p>
          <w:p w:rsidR="002E1046" w:rsidRPr="000F5323" w:rsidRDefault="002E1046" w:rsidP="00B60060">
            <w:pPr>
              <w:pStyle w:val="SCCShortJudgment"/>
              <w:rPr>
                <w:szCs w:val="20"/>
                <w:lang w:val="fr-CA"/>
              </w:rPr>
            </w:pPr>
            <w:r w:rsidRPr="000F5323">
              <w:rPr>
                <w:szCs w:val="20"/>
                <w:lang w:val="fr-CA"/>
              </w:rPr>
              <w:t>La demande d’autorisation d’appel de l’arrêt de la Cour d’appel du Québec (Montréal), numéro 500-09-020464-103, 2011 QCCA 2359, daté du 13 décembre 2011, est rejetée avec dépens.</w:t>
            </w:r>
          </w:p>
        </w:tc>
      </w:tr>
    </w:tbl>
    <w:p w:rsidR="00F83F5A" w:rsidRPr="00F83F5A" w:rsidRDefault="00F83F5A" w:rsidP="00F83F5A">
      <w:pPr>
        <w:rPr>
          <w:sz w:val="20"/>
          <w:szCs w:val="20"/>
          <w:lang w:val="fr-CA"/>
        </w:rPr>
      </w:pPr>
    </w:p>
    <w:p w:rsidR="00F83F5A" w:rsidRPr="001B157C" w:rsidRDefault="00F83F5A" w:rsidP="00F83F5A">
      <w:pPr>
        <w:rPr>
          <w:sz w:val="20"/>
          <w:szCs w:val="20"/>
          <w:u w:val="single"/>
        </w:rPr>
      </w:pPr>
      <w:r w:rsidRPr="001B157C">
        <w:rPr>
          <w:sz w:val="20"/>
          <w:szCs w:val="20"/>
          <w:u w:val="single"/>
        </w:rPr>
        <w:t>CASE SUMMARY</w:t>
      </w:r>
    </w:p>
    <w:p w:rsidR="00F83F5A" w:rsidRDefault="00F83F5A" w:rsidP="00F83F5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9633E" w:rsidRPr="007E6A6A" w:rsidTr="00C14D8A">
        <w:tc>
          <w:tcPr>
            <w:tcW w:w="5000" w:type="pct"/>
            <w:gridSpan w:val="3"/>
          </w:tcPr>
          <w:p w:rsidR="0009633E" w:rsidRPr="007E6A6A" w:rsidRDefault="0009633E" w:rsidP="00C14D8A">
            <w:pPr>
              <w:jc w:val="both"/>
              <w:rPr>
                <w:rFonts w:eastAsia="Calibri"/>
                <w:sz w:val="20"/>
                <w:szCs w:val="20"/>
              </w:rPr>
            </w:pPr>
            <w:r w:rsidRPr="007E6A6A">
              <w:rPr>
                <w:rFonts w:eastAsia="Calibri"/>
                <w:sz w:val="20"/>
                <w:szCs w:val="20"/>
              </w:rPr>
              <w:t xml:space="preserve">Civil liability – Manufacturer’s liability – Warranty of quality – Latent defects – Damage sustained in 1994 due to cracking of toilet tank manufactured in 1984 – Whether courts below were justified in finding manufacturer liable – Whether manufacturer’s compliance with practices recognized by industry is defence to claim for latent defect and to presumption of knowledge of defect under art. 1527 of </w:t>
            </w:r>
            <w:r w:rsidRPr="007E6A6A">
              <w:rPr>
                <w:rFonts w:eastAsia="Calibri"/>
                <w:i/>
                <w:sz w:val="20"/>
                <w:szCs w:val="20"/>
              </w:rPr>
              <w:t>Civil Code of Lower Canada</w:t>
            </w:r>
            <w:r w:rsidRPr="007E6A6A">
              <w:rPr>
                <w:rFonts w:eastAsia="Calibri"/>
                <w:sz w:val="20"/>
                <w:szCs w:val="20"/>
              </w:rPr>
              <w:t>.</w:t>
            </w:r>
          </w:p>
        </w:tc>
      </w:tr>
      <w:tr w:rsidR="0009633E" w:rsidRPr="007E6A6A" w:rsidTr="00C14D8A">
        <w:tc>
          <w:tcPr>
            <w:tcW w:w="5000" w:type="pct"/>
            <w:gridSpan w:val="3"/>
          </w:tcPr>
          <w:p w:rsidR="0009633E" w:rsidRPr="007E6A6A" w:rsidRDefault="0009633E" w:rsidP="00C14D8A">
            <w:pPr>
              <w:jc w:val="both"/>
              <w:rPr>
                <w:rFonts w:eastAsia="Calibri"/>
                <w:sz w:val="20"/>
                <w:szCs w:val="20"/>
              </w:rPr>
            </w:pPr>
          </w:p>
        </w:tc>
      </w:tr>
      <w:tr w:rsidR="0009633E" w:rsidRPr="007E6A6A" w:rsidTr="00C14D8A">
        <w:tc>
          <w:tcPr>
            <w:tcW w:w="5000" w:type="pct"/>
            <w:gridSpan w:val="3"/>
          </w:tcPr>
          <w:p w:rsidR="0009633E" w:rsidRPr="007E6A6A" w:rsidRDefault="0009633E" w:rsidP="00C14D8A">
            <w:pPr>
              <w:jc w:val="both"/>
              <w:rPr>
                <w:rFonts w:eastAsia="Calibri"/>
                <w:sz w:val="20"/>
                <w:szCs w:val="20"/>
              </w:rPr>
            </w:pPr>
            <w:r w:rsidRPr="007E6A6A">
              <w:rPr>
                <w:rFonts w:eastAsia="Calibri"/>
                <w:sz w:val="20"/>
                <w:szCs w:val="20"/>
              </w:rPr>
              <w:t>The respondent Economical sued the applicant Crane and claimed $105,195.68 in damages as compensation for damage sustained by its insured in 1994 due to the cracking of a toilet tank manufactured by Crane in 1984.  Economical argued that the crack resulted from a manufacturing defect related to the degree of porosity of the ceramic used to manufacture the tank.  In defence, Crane argued that the crack resulted from the improper use or installation of the tank and that the tank met the standards in effect in the industry at the time it was manufactured.</w:t>
            </w:r>
          </w:p>
          <w:p w:rsidR="0009633E" w:rsidRPr="007E6A6A" w:rsidRDefault="0009633E" w:rsidP="00C14D8A">
            <w:pPr>
              <w:jc w:val="both"/>
              <w:rPr>
                <w:rFonts w:eastAsia="Calibri"/>
                <w:sz w:val="20"/>
                <w:szCs w:val="20"/>
              </w:rPr>
            </w:pPr>
          </w:p>
          <w:p w:rsidR="0009633E" w:rsidRPr="007E6A6A" w:rsidRDefault="0009633E" w:rsidP="00C14D8A">
            <w:pPr>
              <w:jc w:val="both"/>
              <w:rPr>
                <w:rFonts w:eastAsia="Calibri"/>
                <w:sz w:val="20"/>
                <w:szCs w:val="20"/>
              </w:rPr>
            </w:pPr>
            <w:r w:rsidRPr="007E6A6A">
              <w:rPr>
                <w:rFonts w:eastAsia="Calibri"/>
                <w:sz w:val="20"/>
                <w:szCs w:val="20"/>
              </w:rPr>
              <w:t xml:space="preserve">The Superior Court allowed </w:t>
            </w:r>
            <w:proofErr w:type="spellStart"/>
            <w:r w:rsidRPr="007E6A6A">
              <w:rPr>
                <w:rFonts w:eastAsia="Calibri"/>
                <w:sz w:val="20"/>
                <w:szCs w:val="20"/>
              </w:rPr>
              <w:t>Economical’s</w:t>
            </w:r>
            <w:proofErr w:type="spellEnd"/>
            <w:r w:rsidRPr="007E6A6A">
              <w:rPr>
                <w:rFonts w:eastAsia="Calibri"/>
                <w:sz w:val="20"/>
                <w:szCs w:val="20"/>
              </w:rPr>
              <w:t xml:space="preserve"> action.  It found that the position taken by </w:t>
            </w:r>
            <w:proofErr w:type="spellStart"/>
            <w:r w:rsidRPr="007E6A6A">
              <w:rPr>
                <w:rFonts w:eastAsia="Calibri"/>
                <w:sz w:val="20"/>
                <w:szCs w:val="20"/>
              </w:rPr>
              <w:t>Economical’s</w:t>
            </w:r>
            <w:proofErr w:type="spellEnd"/>
            <w:r w:rsidRPr="007E6A6A">
              <w:rPr>
                <w:rFonts w:eastAsia="Calibri"/>
                <w:sz w:val="20"/>
                <w:szCs w:val="20"/>
              </w:rPr>
              <w:t xml:space="preserve"> experts should be preferred: it was the variation in the water absorption rate among the various tank walls that had generated the internal stresses that produced the crack.  The variation was [</w:t>
            </w:r>
            <w:r w:rsidRPr="007E6A6A">
              <w:rPr>
                <w:rFonts w:eastAsia="Calibri"/>
                <w:smallCaps/>
                <w:sz w:val="20"/>
                <w:szCs w:val="20"/>
              </w:rPr>
              <w:t>translation</w:t>
            </w:r>
            <w:r w:rsidRPr="007E6A6A">
              <w:rPr>
                <w:rFonts w:eastAsia="Calibri"/>
                <w:sz w:val="20"/>
                <w:szCs w:val="20"/>
              </w:rPr>
              <w:t>] “the result of an inherent weakness in the vitreous china attributable to a defect in the manufacturing of the tank” (</w:t>
            </w:r>
            <w:proofErr w:type="spellStart"/>
            <w:r w:rsidRPr="007E6A6A">
              <w:rPr>
                <w:rFonts w:eastAsia="Calibri"/>
                <w:sz w:val="20"/>
                <w:szCs w:val="20"/>
              </w:rPr>
              <w:t>para</w:t>
            </w:r>
            <w:proofErr w:type="spellEnd"/>
            <w:r w:rsidRPr="007E6A6A">
              <w:rPr>
                <w:rFonts w:eastAsia="Calibri"/>
                <w:sz w:val="20"/>
                <w:szCs w:val="20"/>
              </w:rPr>
              <w:t>. 91).  The Court of Appeal dismissed the appeal on the ground that Crane had not been able to show that the trial judge had made an error of law or fact warranting its intervention.</w:t>
            </w:r>
          </w:p>
          <w:p w:rsidR="0009633E" w:rsidRPr="007E6A6A" w:rsidRDefault="0009633E" w:rsidP="00C14D8A">
            <w:pPr>
              <w:jc w:val="both"/>
              <w:rPr>
                <w:rFonts w:eastAsia="Calibri"/>
                <w:sz w:val="20"/>
                <w:szCs w:val="20"/>
              </w:rPr>
            </w:pPr>
          </w:p>
        </w:tc>
      </w:tr>
      <w:tr w:rsidR="0009633E" w:rsidRPr="007E6A6A" w:rsidTr="00C14D8A">
        <w:tc>
          <w:tcPr>
            <w:tcW w:w="2427" w:type="pct"/>
          </w:tcPr>
          <w:p w:rsidR="0009633E" w:rsidRPr="007E6A6A" w:rsidRDefault="0009633E" w:rsidP="00C14D8A">
            <w:pPr>
              <w:jc w:val="both"/>
              <w:rPr>
                <w:rFonts w:eastAsia="Calibri"/>
                <w:sz w:val="20"/>
                <w:szCs w:val="20"/>
              </w:rPr>
            </w:pPr>
            <w:r w:rsidRPr="007E6A6A">
              <w:rPr>
                <w:rFonts w:eastAsia="Calibri"/>
                <w:sz w:val="20"/>
                <w:szCs w:val="20"/>
              </w:rPr>
              <w:t>February 2, 2010</w:t>
            </w:r>
          </w:p>
          <w:p w:rsidR="0009633E" w:rsidRPr="007E6A6A" w:rsidRDefault="0009633E" w:rsidP="00C14D8A">
            <w:pPr>
              <w:jc w:val="both"/>
              <w:rPr>
                <w:rFonts w:eastAsia="Calibri"/>
                <w:sz w:val="20"/>
                <w:szCs w:val="20"/>
              </w:rPr>
            </w:pPr>
            <w:r w:rsidRPr="007E6A6A">
              <w:rPr>
                <w:rFonts w:eastAsia="Calibri"/>
                <w:sz w:val="20"/>
                <w:szCs w:val="20"/>
              </w:rPr>
              <w:t>Quebec Superior Court</w:t>
            </w:r>
          </w:p>
          <w:p w:rsidR="0009633E" w:rsidRPr="007E6A6A" w:rsidRDefault="0009633E" w:rsidP="00C14D8A">
            <w:pPr>
              <w:jc w:val="both"/>
              <w:rPr>
                <w:rFonts w:eastAsia="Calibri"/>
                <w:sz w:val="20"/>
                <w:szCs w:val="20"/>
              </w:rPr>
            </w:pPr>
            <w:r w:rsidRPr="007E6A6A">
              <w:rPr>
                <w:rFonts w:eastAsia="Calibri"/>
                <w:sz w:val="20"/>
                <w:szCs w:val="20"/>
              </w:rPr>
              <w:t>(</w:t>
            </w:r>
            <w:proofErr w:type="spellStart"/>
            <w:r w:rsidRPr="007E6A6A">
              <w:rPr>
                <w:rFonts w:eastAsia="Calibri"/>
                <w:sz w:val="20"/>
                <w:szCs w:val="20"/>
              </w:rPr>
              <w:t>Marcotte</w:t>
            </w:r>
            <w:proofErr w:type="spellEnd"/>
            <w:r w:rsidRPr="007E6A6A">
              <w:rPr>
                <w:rFonts w:eastAsia="Calibri"/>
                <w:sz w:val="20"/>
                <w:szCs w:val="20"/>
              </w:rPr>
              <w:t xml:space="preserve"> J.)</w:t>
            </w:r>
          </w:p>
          <w:p w:rsidR="0009633E" w:rsidRPr="007E6A6A" w:rsidRDefault="0009633E" w:rsidP="00C14D8A">
            <w:pPr>
              <w:jc w:val="both"/>
              <w:rPr>
                <w:rFonts w:eastAsia="Calibri"/>
                <w:sz w:val="20"/>
                <w:szCs w:val="20"/>
              </w:rPr>
            </w:pPr>
            <w:r w:rsidRPr="007E6A6A">
              <w:rPr>
                <w:rFonts w:eastAsia="Calibri"/>
                <w:sz w:val="20"/>
                <w:szCs w:val="20"/>
              </w:rPr>
              <w:t>2010 QCCS 328</w:t>
            </w:r>
          </w:p>
          <w:p w:rsidR="0009633E" w:rsidRPr="007E6A6A" w:rsidRDefault="0009633E" w:rsidP="00C14D8A">
            <w:pPr>
              <w:jc w:val="both"/>
              <w:rPr>
                <w:rFonts w:eastAsia="Calibri"/>
                <w:sz w:val="20"/>
                <w:szCs w:val="20"/>
              </w:rPr>
            </w:pPr>
          </w:p>
        </w:tc>
        <w:tc>
          <w:tcPr>
            <w:tcW w:w="243" w:type="pct"/>
          </w:tcPr>
          <w:p w:rsidR="0009633E" w:rsidRPr="007E6A6A" w:rsidRDefault="0009633E" w:rsidP="00C14D8A">
            <w:pPr>
              <w:jc w:val="both"/>
              <w:rPr>
                <w:rFonts w:eastAsia="Calibri"/>
                <w:sz w:val="20"/>
                <w:szCs w:val="20"/>
              </w:rPr>
            </w:pPr>
          </w:p>
        </w:tc>
        <w:tc>
          <w:tcPr>
            <w:tcW w:w="2330" w:type="pct"/>
          </w:tcPr>
          <w:p w:rsidR="0009633E" w:rsidRPr="007E6A6A" w:rsidRDefault="0009633E" w:rsidP="00C14D8A">
            <w:pPr>
              <w:jc w:val="both"/>
              <w:rPr>
                <w:rFonts w:eastAsia="Calibri"/>
                <w:sz w:val="20"/>
                <w:szCs w:val="20"/>
              </w:rPr>
            </w:pPr>
            <w:r w:rsidRPr="007E6A6A">
              <w:rPr>
                <w:rFonts w:eastAsia="Calibri"/>
                <w:sz w:val="20"/>
                <w:szCs w:val="20"/>
              </w:rPr>
              <w:t xml:space="preserve">Action in damages allowed </w:t>
            </w:r>
          </w:p>
        </w:tc>
      </w:tr>
      <w:tr w:rsidR="0009633E" w:rsidRPr="007E6A6A" w:rsidTr="00C14D8A">
        <w:tc>
          <w:tcPr>
            <w:tcW w:w="2427" w:type="pct"/>
          </w:tcPr>
          <w:p w:rsidR="0009633E" w:rsidRPr="007E6A6A" w:rsidRDefault="0009633E" w:rsidP="00C14D8A">
            <w:pPr>
              <w:jc w:val="both"/>
              <w:rPr>
                <w:rFonts w:eastAsia="Calibri"/>
                <w:sz w:val="20"/>
                <w:szCs w:val="20"/>
              </w:rPr>
            </w:pPr>
            <w:r w:rsidRPr="007E6A6A">
              <w:rPr>
                <w:rFonts w:eastAsia="Calibri"/>
                <w:sz w:val="20"/>
                <w:szCs w:val="20"/>
              </w:rPr>
              <w:t>February 13, 2012</w:t>
            </w:r>
          </w:p>
          <w:p w:rsidR="0009633E" w:rsidRPr="007E6A6A" w:rsidRDefault="0009633E" w:rsidP="00C14D8A">
            <w:pPr>
              <w:jc w:val="both"/>
              <w:rPr>
                <w:rFonts w:eastAsia="Calibri"/>
                <w:sz w:val="20"/>
                <w:szCs w:val="20"/>
              </w:rPr>
            </w:pPr>
            <w:r w:rsidRPr="007E6A6A">
              <w:rPr>
                <w:rFonts w:eastAsia="Calibri"/>
                <w:sz w:val="20"/>
                <w:szCs w:val="20"/>
              </w:rPr>
              <w:t>Quebec Court of Appeal (Montréal)</w:t>
            </w:r>
          </w:p>
          <w:p w:rsidR="0009633E" w:rsidRPr="007E6A6A" w:rsidRDefault="0009633E" w:rsidP="00C14D8A">
            <w:pPr>
              <w:jc w:val="both"/>
              <w:rPr>
                <w:rFonts w:eastAsia="Calibri"/>
                <w:sz w:val="20"/>
                <w:szCs w:val="20"/>
              </w:rPr>
            </w:pPr>
            <w:r w:rsidRPr="007E6A6A">
              <w:rPr>
                <w:rFonts w:eastAsia="Calibri"/>
                <w:sz w:val="20"/>
                <w:szCs w:val="20"/>
              </w:rPr>
              <w:t>(</w:t>
            </w:r>
            <w:proofErr w:type="spellStart"/>
            <w:r w:rsidRPr="007E6A6A">
              <w:rPr>
                <w:rFonts w:eastAsia="Calibri"/>
                <w:sz w:val="20"/>
                <w:szCs w:val="20"/>
              </w:rPr>
              <w:t>Dalphond</w:t>
            </w:r>
            <w:proofErr w:type="spellEnd"/>
            <w:r w:rsidRPr="007E6A6A">
              <w:rPr>
                <w:rFonts w:eastAsia="Calibri"/>
                <w:sz w:val="20"/>
                <w:szCs w:val="20"/>
              </w:rPr>
              <w:t xml:space="preserve">, </w:t>
            </w:r>
            <w:proofErr w:type="spellStart"/>
            <w:r w:rsidRPr="007E6A6A">
              <w:rPr>
                <w:rFonts w:eastAsia="Calibri"/>
                <w:sz w:val="20"/>
                <w:szCs w:val="20"/>
              </w:rPr>
              <w:t>Bich</w:t>
            </w:r>
            <w:proofErr w:type="spellEnd"/>
            <w:r w:rsidRPr="007E6A6A">
              <w:rPr>
                <w:rFonts w:eastAsia="Calibri"/>
                <w:sz w:val="20"/>
                <w:szCs w:val="20"/>
              </w:rPr>
              <w:t xml:space="preserve"> and Bouchard JJ.A.)</w:t>
            </w:r>
          </w:p>
          <w:p w:rsidR="0009633E" w:rsidRPr="007E6A6A" w:rsidRDefault="0009633E" w:rsidP="00C14D8A">
            <w:pPr>
              <w:jc w:val="both"/>
              <w:rPr>
                <w:rFonts w:eastAsia="Calibri"/>
                <w:sz w:val="20"/>
                <w:szCs w:val="20"/>
              </w:rPr>
            </w:pPr>
            <w:r w:rsidRPr="007E6A6A">
              <w:rPr>
                <w:rFonts w:eastAsia="Calibri"/>
                <w:sz w:val="20"/>
                <w:szCs w:val="20"/>
              </w:rPr>
              <w:t>500-09-020464-103; 2011 QCCA 2359</w:t>
            </w:r>
          </w:p>
          <w:p w:rsidR="0009633E" w:rsidRPr="007E6A6A" w:rsidRDefault="0009633E" w:rsidP="00C14D8A">
            <w:pPr>
              <w:jc w:val="both"/>
              <w:rPr>
                <w:rFonts w:eastAsia="Calibri"/>
                <w:sz w:val="20"/>
                <w:szCs w:val="20"/>
              </w:rPr>
            </w:pPr>
          </w:p>
        </w:tc>
        <w:tc>
          <w:tcPr>
            <w:tcW w:w="243" w:type="pct"/>
          </w:tcPr>
          <w:p w:rsidR="0009633E" w:rsidRPr="007E6A6A" w:rsidRDefault="0009633E" w:rsidP="00C14D8A">
            <w:pPr>
              <w:jc w:val="both"/>
              <w:rPr>
                <w:rFonts w:eastAsia="Calibri"/>
                <w:sz w:val="20"/>
                <w:szCs w:val="20"/>
              </w:rPr>
            </w:pPr>
          </w:p>
        </w:tc>
        <w:tc>
          <w:tcPr>
            <w:tcW w:w="2330" w:type="pct"/>
          </w:tcPr>
          <w:p w:rsidR="0009633E" w:rsidRPr="007E6A6A" w:rsidRDefault="0009633E" w:rsidP="00C14D8A">
            <w:pPr>
              <w:jc w:val="both"/>
              <w:rPr>
                <w:rFonts w:eastAsia="Calibri"/>
                <w:sz w:val="20"/>
                <w:szCs w:val="20"/>
              </w:rPr>
            </w:pPr>
            <w:r w:rsidRPr="007E6A6A">
              <w:rPr>
                <w:rFonts w:eastAsia="Calibri"/>
                <w:sz w:val="20"/>
                <w:szCs w:val="20"/>
              </w:rPr>
              <w:t>Appeal dismissed</w:t>
            </w:r>
          </w:p>
          <w:p w:rsidR="0009633E" w:rsidRPr="007E6A6A" w:rsidRDefault="0009633E" w:rsidP="00C14D8A">
            <w:pPr>
              <w:jc w:val="both"/>
              <w:rPr>
                <w:rFonts w:eastAsia="Calibri"/>
                <w:sz w:val="20"/>
                <w:szCs w:val="20"/>
              </w:rPr>
            </w:pPr>
          </w:p>
        </w:tc>
      </w:tr>
      <w:tr w:rsidR="0009633E" w:rsidRPr="007E6A6A" w:rsidTr="00C14D8A">
        <w:tc>
          <w:tcPr>
            <w:tcW w:w="2427" w:type="pct"/>
          </w:tcPr>
          <w:p w:rsidR="0009633E" w:rsidRPr="007E6A6A" w:rsidRDefault="0009633E" w:rsidP="00C14D8A">
            <w:pPr>
              <w:jc w:val="both"/>
              <w:rPr>
                <w:rFonts w:eastAsia="Calibri"/>
                <w:sz w:val="20"/>
                <w:szCs w:val="20"/>
              </w:rPr>
            </w:pPr>
            <w:r w:rsidRPr="007E6A6A">
              <w:rPr>
                <w:rFonts w:eastAsia="Calibri"/>
                <w:sz w:val="20"/>
                <w:szCs w:val="20"/>
              </w:rPr>
              <w:t>February 13, 2012</w:t>
            </w:r>
          </w:p>
          <w:p w:rsidR="0009633E" w:rsidRPr="007E6A6A" w:rsidRDefault="0009633E" w:rsidP="00C14D8A">
            <w:pPr>
              <w:jc w:val="both"/>
              <w:rPr>
                <w:rFonts w:eastAsia="Calibri"/>
                <w:sz w:val="20"/>
                <w:szCs w:val="20"/>
              </w:rPr>
            </w:pPr>
            <w:r w:rsidRPr="007E6A6A">
              <w:rPr>
                <w:rFonts w:eastAsia="Calibri"/>
                <w:sz w:val="20"/>
                <w:szCs w:val="20"/>
              </w:rPr>
              <w:t>Supreme Court of Canada</w:t>
            </w:r>
          </w:p>
        </w:tc>
        <w:tc>
          <w:tcPr>
            <w:tcW w:w="243" w:type="pct"/>
          </w:tcPr>
          <w:p w:rsidR="0009633E" w:rsidRPr="007E6A6A" w:rsidRDefault="0009633E" w:rsidP="00C14D8A">
            <w:pPr>
              <w:jc w:val="both"/>
              <w:rPr>
                <w:rFonts w:eastAsia="Calibri"/>
                <w:sz w:val="20"/>
                <w:szCs w:val="20"/>
              </w:rPr>
            </w:pPr>
          </w:p>
        </w:tc>
        <w:tc>
          <w:tcPr>
            <w:tcW w:w="2330" w:type="pct"/>
          </w:tcPr>
          <w:p w:rsidR="0009633E" w:rsidRPr="007E6A6A" w:rsidRDefault="0009633E" w:rsidP="00C14D8A">
            <w:pPr>
              <w:jc w:val="both"/>
              <w:rPr>
                <w:rFonts w:eastAsia="Calibri"/>
                <w:sz w:val="20"/>
                <w:szCs w:val="20"/>
              </w:rPr>
            </w:pPr>
            <w:r w:rsidRPr="007E6A6A">
              <w:rPr>
                <w:rFonts w:eastAsia="Calibri"/>
                <w:sz w:val="20"/>
                <w:szCs w:val="20"/>
              </w:rPr>
              <w:t>Application for leave to appeal filed</w:t>
            </w:r>
          </w:p>
          <w:p w:rsidR="0009633E" w:rsidRPr="007E6A6A" w:rsidRDefault="0009633E" w:rsidP="00C14D8A">
            <w:pPr>
              <w:jc w:val="both"/>
              <w:rPr>
                <w:rFonts w:eastAsia="Calibri"/>
                <w:sz w:val="20"/>
                <w:szCs w:val="20"/>
              </w:rPr>
            </w:pPr>
          </w:p>
        </w:tc>
      </w:tr>
    </w:tbl>
    <w:p w:rsidR="00F83F5A" w:rsidRPr="00C50A5C" w:rsidRDefault="00F83F5A" w:rsidP="00F83F5A">
      <w:pPr>
        <w:rPr>
          <w:sz w:val="20"/>
          <w:szCs w:val="20"/>
        </w:rPr>
      </w:pPr>
    </w:p>
    <w:p w:rsidR="00F83F5A" w:rsidRPr="00C50A5C" w:rsidRDefault="00ED3438" w:rsidP="00F83F5A">
      <w:pPr>
        <w:rPr>
          <w:sz w:val="20"/>
          <w:szCs w:val="20"/>
        </w:rPr>
      </w:pPr>
      <w:r w:rsidRPr="00ED3438">
        <w:rPr>
          <w:sz w:val="20"/>
          <w:szCs w:val="20"/>
          <w:lang w:val="fr-CA"/>
        </w:rPr>
        <w:pict>
          <v:rect id="_x0000_i1047" style="width:2in;height:1pt" o:hrpct="0" o:hralign="center" o:hrstd="t" o:hrnoshade="t" o:hr="t" fillcolor="black [3213]" stroked="f"/>
        </w:pict>
      </w:r>
    </w:p>
    <w:p w:rsidR="00F83F5A" w:rsidRDefault="00F83F5A" w:rsidP="00F83F5A">
      <w:pPr>
        <w:rPr>
          <w:sz w:val="20"/>
          <w:szCs w:val="20"/>
        </w:rPr>
      </w:pPr>
    </w:p>
    <w:p w:rsidR="00F83F5A" w:rsidRPr="001B157C" w:rsidRDefault="00F83F5A" w:rsidP="00F83F5A">
      <w:pPr>
        <w:rPr>
          <w:sz w:val="20"/>
          <w:szCs w:val="20"/>
          <w:u w:val="single"/>
          <w:lang w:val="fr-CA"/>
        </w:rPr>
      </w:pPr>
      <w:r w:rsidRPr="001B157C">
        <w:rPr>
          <w:sz w:val="20"/>
          <w:szCs w:val="20"/>
          <w:u w:val="single"/>
          <w:lang w:val="fr-CA"/>
        </w:rPr>
        <w:t>RÉSUMÉ DE L’AFFAIRE</w:t>
      </w:r>
    </w:p>
    <w:p w:rsidR="00F83F5A" w:rsidRDefault="00F83F5A" w:rsidP="00F83F5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9633E" w:rsidRPr="00017BF4" w:rsidTr="00C14D8A">
        <w:tc>
          <w:tcPr>
            <w:tcW w:w="5000" w:type="pct"/>
            <w:gridSpan w:val="3"/>
          </w:tcPr>
          <w:p w:rsidR="0009633E" w:rsidRPr="007E6A6A" w:rsidRDefault="0009633E" w:rsidP="00C14D8A">
            <w:pPr>
              <w:jc w:val="both"/>
              <w:rPr>
                <w:rFonts w:eastAsia="Calibri"/>
                <w:sz w:val="20"/>
                <w:szCs w:val="20"/>
                <w:lang w:val="fr-CA"/>
              </w:rPr>
            </w:pPr>
            <w:r w:rsidRPr="007E6A6A">
              <w:rPr>
                <w:rFonts w:eastAsia="Calibri"/>
                <w:sz w:val="20"/>
                <w:szCs w:val="20"/>
                <w:lang w:val="fr-CA"/>
              </w:rPr>
              <w:t xml:space="preserve">Responsabilité civile – Responsabilité du fabricant – Garantie de qualité – Vices cachés – Dommages subis en 1994 à la suite de la fissuration d’un réservoir de toilette fabriqué en 1984 – Les instances inférieures étaient-elles justifiées de conclure à la responsabilité du fabricant? – Le respect, par un fabricant, des règles de l’art reconnues par une industrie constitue-t-il un moyen de défense à une réclamation pour vice caché et à la présomption de connaissance du vice prévue par l’art. 1527 du </w:t>
            </w:r>
            <w:r w:rsidRPr="007E6A6A">
              <w:rPr>
                <w:rFonts w:eastAsia="Calibri"/>
                <w:i/>
                <w:sz w:val="20"/>
                <w:szCs w:val="20"/>
                <w:lang w:val="fr-CA"/>
              </w:rPr>
              <w:t>Code civil du Bas-Canada</w:t>
            </w:r>
            <w:r w:rsidRPr="007E6A6A">
              <w:rPr>
                <w:rFonts w:eastAsia="Calibri"/>
                <w:sz w:val="20"/>
                <w:szCs w:val="20"/>
                <w:lang w:val="fr-CA"/>
              </w:rPr>
              <w:t>?</w:t>
            </w:r>
          </w:p>
        </w:tc>
      </w:tr>
      <w:tr w:rsidR="0009633E" w:rsidRPr="00017BF4" w:rsidTr="00C14D8A">
        <w:tc>
          <w:tcPr>
            <w:tcW w:w="5000" w:type="pct"/>
            <w:gridSpan w:val="3"/>
          </w:tcPr>
          <w:p w:rsidR="0009633E" w:rsidRPr="007E6A6A" w:rsidRDefault="0009633E" w:rsidP="00C14D8A">
            <w:pPr>
              <w:jc w:val="both"/>
              <w:rPr>
                <w:rFonts w:eastAsia="Calibri"/>
                <w:sz w:val="20"/>
                <w:szCs w:val="20"/>
                <w:lang w:val="fr-CA"/>
              </w:rPr>
            </w:pPr>
          </w:p>
        </w:tc>
      </w:tr>
      <w:tr w:rsidR="0009633E" w:rsidRPr="00017BF4" w:rsidTr="00C14D8A">
        <w:tc>
          <w:tcPr>
            <w:tcW w:w="5000" w:type="pct"/>
            <w:gridSpan w:val="3"/>
          </w:tcPr>
          <w:p w:rsidR="0009633E" w:rsidRPr="007E6A6A" w:rsidRDefault="0009633E" w:rsidP="00C14D8A">
            <w:pPr>
              <w:jc w:val="both"/>
              <w:rPr>
                <w:rFonts w:eastAsia="Calibri"/>
                <w:sz w:val="20"/>
                <w:szCs w:val="20"/>
                <w:lang w:val="fr-CA"/>
              </w:rPr>
            </w:pPr>
            <w:r w:rsidRPr="007E6A6A">
              <w:rPr>
                <w:rFonts w:eastAsia="Calibri"/>
                <w:sz w:val="20"/>
                <w:szCs w:val="20"/>
                <w:lang w:val="fr-CA"/>
              </w:rPr>
              <w:t xml:space="preserve">L’intimée, </w:t>
            </w:r>
            <w:proofErr w:type="spellStart"/>
            <w:r w:rsidRPr="007E6A6A">
              <w:rPr>
                <w:rFonts w:eastAsia="Calibri"/>
                <w:sz w:val="20"/>
                <w:szCs w:val="20"/>
                <w:lang w:val="fr-CA"/>
              </w:rPr>
              <w:t>Economical</w:t>
            </w:r>
            <w:proofErr w:type="spellEnd"/>
            <w:r w:rsidRPr="007E6A6A">
              <w:rPr>
                <w:rFonts w:eastAsia="Calibri"/>
                <w:sz w:val="20"/>
                <w:szCs w:val="20"/>
                <w:lang w:val="fr-CA"/>
              </w:rPr>
              <w:t xml:space="preserve">, a poursuivi la demanderesse Crane et réclamé 105 195,68 $ en dommages-intérêts pour compenser des dommages subis par son assurée en 1994 à la suite de la fissuration d’un réservoir de toilette fabriqué par Crane en 1984. </w:t>
            </w:r>
            <w:proofErr w:type="spellStart"/>
            <w:r w:rsidRPr="007E6A6A">
              <w:rPr>
                <w:rFonts w:eastAsia="Calibri"/>
                <w:sz w:val="20"/>
                <w:szCs w:val="20"/>
                <w:lang w:val="fr-CA"/>
              </w:rPr>
              <w:t>Economical</w:t>
            </w:r>
            <w:proofErr w:type="spellEnd"/>
            <w:r w:rsidRPr="007E6A6A">
              <w:rPr>
                <w:rFonts w:eastAsia="Calibri"/>
                <w:sz w:val="20"/>
                <w:szCs w:val="20"/>
                <w:lang w:val="fr-CA"/>
              </w:rPr>
              <w:t xml:space="preserve"> a soutenu que la fissure résultait d’un défaut de fabrication lié au degré de porosité de la céramique utilisée dans la fabrication du réservoir. En défense, Crane a plaidé que la fissure résultait de l’utilisation inappropriée du réservoir ou de l’installation inadéquate de celui-ci. De plus, elle a soutenu que le réservoir était conforme aux normes en vigueur dans l’industrie à l’époque de sa fabrication.</w:t>
            </w:r>
          </w:p>
          <w:p w:rsidR="0009633E" w:rsidRPr="007E6A6A" w:rsidRDefault="0009633E" w:rsidP="00C14D8A">
            <w:pPr>
              <w:jc w:val="both"/>
              <w:rPr>
                <w:rFonts w:eastAsia="Calibri"/>
                <w:sz w:val="20"/>
                <w:szCs w:val="20"/>
                <w:lang w:val="fr-CA"/>
              </w:rPr>
            </w:pPr>
          </w:p>
          <w:p w:rsidR="0009633E" w:rsidRPr="007E6A6A" w:rsidRDefault="0009633E" w:rsidP="00C14D8A">
            <w:pPr>
              <w:jc w:val="both"/>
              <w:rPr>
                <w:rFonts w:eastAsia="Calibri"/>
                <w:sz w:val="20"/>
                <w:szCs w:val="20"/>
                <w:lang w:val="fr-CA"/>
              </w:rPr>
            </w:pPr>
            <w:r w:rsidRPr="007E6A6A">
              <w:rPr>
                <w:rFonts w:eastAsia="Calibri"/>
                <w:sz w:val="20"/>
                <w:szCs w:val="20"/>
                <w:lang w:val="fr-CA"/>
              </w:rPr>
              <w:t xml:space="preserve">La Cour supérieure a accueilli l’action </w:t>
            </w:r>
            <w:proofErr w:type="gramStart"/>
            <w:r w:rsidRPr="007E6A6A">
              <w:rPr>
                <w:rFonts w:eastAsia="Calibri"/>
                <w:sz w:val="20"/>
                <w:szCs w:val="20"/>
                <w:lang w:val="fr-CA"/>
              </w:rPr>
              <w:t xml:space="preserve">de </w:t>
            </w:r>
            <w:proofErr w:type="spellStart"/>
            <w:r w:rsidRPr="007E6A6A">
              <w:rPr>
                <w:rFonts w:eastAsia="Calibri"/>
                <w:sz w:val="20"/>
                <w:szCs w:val="20"/>
                <w:lang w:val="fr-CA"/>
              </w:rPr>
              <w:t>Economical</w:t>
            </w:r>
            <w:proofErr w:type="spellEnd"/>
            <w:proofErr w:type="gramEnd"/>
            <w:r w:rsidRPr="007E6A6A">
              <w:rPr>
                <w:rFonts w:eastAsia="Calibri"/>
                <w:sz w:val="20"/>
                <w:szCs w:val="20"/>
                <w:lang w:val="fr-CA"/>
              </w:rPr>
              <w:t xml:space="preserve">. Selon elle, il fallait plutôt retenir la position des experts de </w:t>
            </w:r>
            <w:proofErr w:type="spellStart"/>
            <w:r w:rsidRPr="007E6A6A">
              <w:rPr>
                <w:rFonts w:eastAsia="Calibri"/>
                <w:sz w:val="20"/>
                <w:szCs w:val="20"/>
                <w:lang w:val="fr-CA"/>
              </w:rPr>
              <w:t>Economical</w:t>
            </w:r>
            <w:proofErr w:type="spellEnd"/>
            <w:r w:rsidRPr="007E6A6A">
              <w:rPr>
                <w:rFonts w:eastAsia="Calibri"/>
                <w:sz w:val="20"/>
                <w:szCs w:val="20"/>
                <w:lang w:val="fr-CA"/>
              </w:rPr>
              <w:t> : c’est la variation du taux d’absorption de l’eau entre les différentes parois du réservoir qui avait généré les contraintes internes qui avaient produit la fissure. La variation était « le résultat d’une faiblesse inhérente de la céramique de porcelaine vitrifiée attribuable à un vice de fabrication du réservoir » (par. 91). La Cour d’appel a rejeté l’appel au motif que Crane n’avait pas réussi à démontrer que le jugement de première instance était entaché d’une erreur de droit ou de fait justifiant une intervention.</w:t>
            </w:r>
          </w:p>
          <w:p w:rsidR="0009633E" w:rsidRPr="007E6A6A" w:rsidRDefault="0009633E" w:rsidP="00C14D8A">
            <w:pPr>
              <w:jc w:val="both"/>
              <w:rPr>
                <w:rFonts w:eastAsia="Calibri"/>
                <w:sz w:val="20"/>
                <w:szCs w:val="20"/>
                <w:lang w:val="fr-CA"/>
              </w:rPr>
            </w:pPr>
          </w:p>
        </w:tc>
      </w:tr>
      <w:tr w:rsidR="0009633E" w:rsidRPr="00017BF4" w:rsidTr="00C14D8A">
        <w:tc>
          <w:tcPr>
            <w:tcW w:w="2427" w:type="pct"/>
          </w:tcPr>
          <w:p w:rsidR="0009633E" w:rsidRPr="007E6A6A" w:rsidRDefault="0009633E" w:rsidP="00C14D8A">
            <w:pPr>
              <w:jc w:val="both"/>
              <w:rPr>
                <w:rFonts w:eastAsia="Calibri"/>
                <w:sz w:val="20"/>
                <w:szCs w:val="20"/>
                <w:lang w:val="fr-CA"/>
              </w:rPr>
            </w:pPr>
            <w:r w:rsidRPr="007E6A6A">
              <w:rPr>
                <w:rFonts w:eastAsia="Calibri"/>
                <w:sz w:val="20"/>
                <w:szCs w:val="20"/>
                <w:lang w:val="fr-CA"/>
              </w:rPr>
              <w:t>Le 2 février 2010</w:t>
            </w:r>
          </w:p>
          <w:p w:rsidR="0009633E" w:rsidRPr="007E6A6A" w:rsidRDefault="0009633E" w:rsidP="00C14D8A">
            <w:pPr>
              <w:jc w:val="both"/>
              <w:rPr>
                <w:rFonts w:eastAsia="Calibri"/>
                <w:sz w:val="20"/>
                <w:szCs w:val="20"/>
                <w:lang w:val="fr-CA"/>
              </w:rPr>
            </w:pPr>
            <w:r w:rsidRPr="007E6A6A">
              <w:rPr>
                <w:rFonts w:eastAsia="Calibri"/>
                <w:sz w:val="20"/>
                <w:szCs w:val="20"/>
                <w:lang w:val="fr-CA"/>
              </w:rPr>
              <w:t>Cour supérieure du Québec</w:t>
            </w:r>
          </w:p>
          <w:p w:rsidR="0009633E" w:rsidRPr="007E6A6A" w:rsidRDefault="0009633E" w:rsidP="00C14D8A">
            <w:pPr>
              <w:jc w:val="both"/>
              <w:rPr>
                <w:rFonts w:eastAsia="Calibri"/>
                <w:sz w:val="20"/>
                <w:szCs w:val="20"/>
                <w:lang w:val="fr-CA"/>
              </w:rPr>
            </w:pPr>
            <w:r w:rsidRPr="007E6A6A">
              <w:rPr>
                <w:rFonts w:eastAsia="Calibri"/>
                <w:sz w:val="20"/>
                <w:szCs w:val="20"/>
                <w:lang w:val="fr-CA"/>
              </w:rPr>
              <w:t>(La juge Marcotte)</w:t>
            </w:r>
          </w:p>
          <w:p w:rsidR="0009633E" w:rsidRPr="007E6A6A" w:rsidRDefault="0009633E" w:rsidP="00C14D8A">
            <w:pPr>
              <w:jc w:val="both"/>
              <w:rPr>
                <w:rFonts w:eastAsia="Calibri"/>
                <w:sz w:val="20"/>
                <w:szCs w:val="20"/>
                <w:lang w:val="fr-CA"/>
              </w:rPr>
            </w:pPr>
            <w:r w:rsidRPr="007E6A6A">
              <w:rPr>
                <w:rFonts w:eastAsia="Calibri"/>
                <w:sz w:val="20"/>
                <w:szCs w:val="20"/>
                <w:lang w:val="fr-CA"/>
              </w:rPr>
              <w:t>2010 QCCS 328</w:t>
            </w:r>
          </w:p>
          <w:p w:rsidR="0009633E" w:rsidRPr="007E6A6A" w:rsidRDefault="0009633E" w:rsidP="00C14D8A">
            <w:pPr>
              <w:jc w:val="both"/>
              <w:rPr>
                <w:rFonts w:eastAsia="Calibri"/>
                <w:sz w:val="20"/>
                <w:szCs w:val="20"/>
              </w:rPr>
            </w:pPr>
          </w:p>
        </w:tc>
        <w:tc>
          <w:tcPr>
            <w:tcW w:w="243" w:type="pct"/>
          </w:tcPr>
          <w:p w:rsidR="0009633E" w:rsidRPr="007E6A6A" w:rsidRDefault="0009633E" w:rsidP="00C14D8A">
            <w:pPr>
              <w:jc w:val="both"/>
              <w:rPr>
                <w:rFonts w:eastAsia="Calibri"/>
                <w:sz w:val="20"/>
                <w:szCs w:val="20"/>
              </w:rPr>
            </w:pPr>
          </w:p>
        </w:tc>
        <w:tc>
          <w:tcPr>
            <w:tcW w:w="2330" w:type="pct"/>
          </w:tcPr>
          <w:p w:rsidR="0009633E" w:rsidRPr="007E6A6A" w:rsidRDefault="0009633E" w:rsidP="00C14D8A">
            <w:pPr>
              <w:jc w:val="both"/>
              <w:rPr>
                <w:rFonts w:eastAsia="Calibri"/>
                <w:sz w:val="20"/>
                <w:szCs w:val="20"/>
                <w:lang w:val="fr-CA"/>
              </w:rPr>
            </w:pPr>
            <w:r w:rsidRPr="007E6A6A">
              <w:rPr>
                <w:rFonts w:eastAsia="Calibri"/>
                <w:sz w:val="20"/>
                <w:szCs w:val="20"/>
                <w:lang w:val="fr-CA"/>
              </w:rPr>
              <w:t xml:space="preserve">Action en dommages-intérêts accueillie </w:t>
            </w:r>
          </w:p>
        </w:tc>
      </w:tr>
      <w:tr w:rsidR="0009633E" w:rsidRPr="007E6A6A" w:rsidTr="002E1046">
        <w:trPr>
          <w:cantSplit/>
        </w:trPr>
        <w:tc>
          <w:tcPr>
            <w:tcW w:w="2427" w:type="pct"/>
          </w:tcPr>
          <w:p w:rsidR="0009633E" w:rsidRPr="007E6A6A" w:rsidRDefault="0009633E" w:rsidP="00C14D8A">
            <w:pPr>
              <w:jc w:val="both"/>
              <w:rPr>
                <w:rFonts w:eastAsia="Calibri"/>
                <w:sz w:val="20"/>
                <w:szCs w:val="20"/>
                <w:lang w:val="fr-CA"/>
              </w:rPr>
            </w:pPr>
            <w:r w:rsidRPr="007E6A6A">
              <w:rPr>
                <w:rFonts w:eastAsia="Calibri"/>
                <w:sz w:val="20"/>
                <w:szCs w:val="20"/>
                <w:lang w:val="fr-CA"/>
              </w:rPr>
              <w:t>Le 13 février 2012</w:t>
            </w:r>
          </w:p>
          <w:p w:rsidR="0009633E" w:rsidRPr="007E6A6A" w:rsidRDefault="0009633E" w:rsidP="00C14D8A">
            <w:pPr>
              <w:jc w:val="both"/>
              <w:rPr>
                <w:rFonts w:eastAsia="Calibri"/>
                <w:sz w:val="20"/>
                <w:szCs w:val="20"/>
                <w:lang w:val="fr-CA"/>
              </w:rPr>
            </w:pPr>
            <w:r w:rsidRPr="007E6A6A">
              <w:rPr>
                <w:rFonts w:eastAsia="Calibri"/>
                <w:sz w:val="20"/>
                <w:szCs w:val="20"/>
                <w:lang w:val="fr-CA"/>
              </w:rPr>
              <w:t>Cour d’appel du Québec (Montréal)</w:t>
            </w:r>
          </w:p>
          <w:p w:rsidR="0009633E" w:rsidRPr="007E6A6A" w:rsidRDefault="0009633E" w:rsidP="00C14D8A">
            <w:pPr>
              <w:jc w:val="both"/>
              <w:rPr>
                <w:rFonts w:eastAsia="Calibri"/>
                <w:sz w:val="20"/>
                <w:szCs w:val="20"/>
                <w:lang w:val="fr-CA"/>
              </w:rPr>
            </w:pPr>
            <w:r w:rsidRPr="007E6A6A">
              <w:rPr>
                <w:rFonts w:eastAsia="Calibri"/>
                <w:sz w:val="20"/>
                <w:szCs w:val="20"/>
                <w:lang w:val="fr-CA"/>
              </w:rPr>
              <w:t xml:space="preserve">(Les juges </w:t>
            </w:r>
            <w:proofErr w:type="spellStart"/>
            <w:r w:rsidRPr="007E6A6A">
              <w:rPr>
                <w:rFonts w:eastAsia="Calibri"/>
                <w:sz w:val="20"/>
                <w:szCs w:val="20"/>
                <w:lang w:val="fr-CA"/>
              </w:rPr>
              <w:t>Dalphond</w:t>
            </w:r>
            <w:proofErr w:type="spellEnd"/>
            <w:r w:rsidRPr="007E6A6A">
              <w:rPr>
                <w:rFonts w:eastAsia="Calibri"/>
                <w:sz w:val="20"/>
                <w:szCs w:val="20"/>
                <w:lang w:val="fr-CA"/>
              </w:rPr>
              <w:t xml:space="preserve">, </w:t>
            </w:r>
            <w:proofErr w:type="spellStart"/>
            <w:r w:rsidRPr="007E6A6A">
              <w:rPr>
                <w:rFonts w:eastAsia="Calibri"/>
                <w:sz w:val="20"/>
                <w:szCs w:val="20"/>
                <w:lang w:val="fr-CA"/>
              </w:rPr>
              <w:t>Bich</w:t>
            </w:r>
            <w:proofErr w:type="spellEnd"/>
            <w:r w:rsidRPr="007E6A6A">
              <w:rPr>
                <w:rFonts w:eastAsia="Calibri"/>
                <w:sz w:val="20"/>
                <w:szCs w:val="20"/>
                <w:lang w:val="fr-CA"/>
              </w:rPr>
              <w:t xml:space="preserve"> et Bouchard)</w:t>
            </w:r>
          </w:p>
          <w:p w:rsidR="0009633E" w:rsidRPr="007E6A6A" w:rsidRDefault="0009633E" w:rsidP="00C14D8A">
            <w:pPr>
              <w:jc w:val="both"/>
              <w:rPr>
                <w:rFonts w:eastAsia="Calibri"/>
                <w:sz w:val="20"/>
                <w:szCs w:val="20"/>
                <w:lang w:val="fr-CA"/>
              </w:rPr>
            </w:pPr>
            <w:r w:rsidRPr="007E6A6A">
              <w:rPr>
                <w:rFonts w:eastAsia="Calibri"/>
                <w:sz w:val="20"/>
                <w:szCs w:val="20"/>
                <w:lang w:val="fr-CA"/>
              </w:rPr>
              <w:t>500-09-020464-103; 2011 QCCA 2359</w:t>
            </w:r>
          </w:p>
          <w:p w:rsidR="0009633E" w:rsidRPr="007E6A6A" w:rsidRDefault="0009633E" w:rsidP="00C14D8A">
            <w:pPr>
              <w:jc w:val="both"/>
              <w:rPr>
                <w:rFonts w:eastAsia="Calibri"/>
                <w:sz w:val="20"/>
                <w:szCs w:val="20"/>
                <w:lang w:val="fr-CA"/>
              </w:rPr>
            </w:pPr>
          </w:p>
        </w:tc>
        <w:tc>
          <w:tcPr>
            <w:tcW w:w="243" w:type="pct"/>
          </w:tcPr>
          <w:p w:rsidR="0009633E" w:rsidRPr="007E6A6A" w:rsidRDefault="0009633E" w:rsidP="00C14D8A">
            <w:pPr>
              <w:jc w:val="both"/>
              <w:rPr>
                <w:rFonts w:eastAsia="Calibri"/>
                <w:sz w:val="20"/>
                <w:szCs w:val="20"/>
                <w:lang w:val="fr-CA"/>
              </w:rPr>
            </w:pPr>
          </w:p>
        </w:tc>
        <w:tc>
          <w:tcPr>
            <w:tcW w:w="2330" w:type="pct"/>
          </w:tcPr>
          <w:p w:rsidR="0009633E" w:rsidRPr="007E6A6A" w:rsidRDefault="0009633E" w:rsidP="00C14D8A">
            <w:pPr>
              <w:jc w:val="both"/>
              <w:rPr>
                <w:rFonts w:eastAsia="Calibri"/>
                <w:sz w:val="20"/>
                <w:szCs w:val="20"/>
                <w:lang w:val="fr-CA"/>
              </w:rPr>
            </w:pPr>
            <w:r w:rsidRPr="007E6A6A">
              <w:rPr>
                <w:rFonts w:eastAsia="Calibri"/>
                <w:sz w:val="20"/>
                <w:szCs w:val="20"/>
                <w:lang w:val="fr-CA"/>
              </w:rPr>
              <w:t>Appel rejeté</w:t>
            </w:r>
          </w:p>
          <w:p w:rsidR="0009633E" w:rsidRPr="007E6A6A" w:rsidRDefault="0009633E" w:rsidP="00C14D8A">
            <w:pPr>
              <w:jc w:val="both"/>
              <w:rPr>
                <w:rFonts w:eastAsia="Calibri"/>
                <w:sz w:val="20"/>
                <w:szCs w:val="20"/>
                <w:lang w:val="fr-CA"/>
              </w:rPr>
            </w:pPr>
          </w:p>
        </w:tc>
      </w:tr>
      <w:tr w:rsidR="0009633E" w:rsidRPr="007E6A6A" w:rsidTr="002E1046">
        <w:trPr>
          <w:cantSplit/>
        </w:trPr>
        <w:tc>
          <w:tcPr>
            <w:tcW w:w="2427" w:type="pct"/>
          </w:tcPr>
          <w:p w:rsidR="0009633E" w:rsidRPr="007E6A6A" w:rsidRDefault="0009633E" w:rsidP="00C14D8A">
            <w:pPr>
              <w:jc w:val="both"/>
              <w:rPr>
                <w:rFonts w:eastAsia="Calibri"/>
                <w:sz w:val="20"/>
                <w:szCs w:val="20"/>
                <w:lang w:val="fr-CA"/>
              </w:rPr>
            </w:pPr>
            <w:r w:rsidRPr="007E6A6A">
              <w:rPr>
                <w:rFonts w:eastAsia="Calibri"/>
                <w:sz w:val="20"/>
                <w:szCs w:val="20"/>
                <w:lang w:val="fr-CA"/>
              </w:rPr>
              <w:t>Le 13 février 2012</w:t>
            </w:r>
          </w:p>
          <w:p w:rsidR="0009633E" w:rsidRPr="007E6A6A" w:rsidRDefault="0009633E" w:rsidP="00C14D8A">
            <w:pPr>
              <w:jc w:val="both"/>
              <w:rPr>
                <w:rFonts w:eastAsia="Calibri"/>
                <w:sz w:val="20"/>
                <w:szCs w:val="20"/>
                <w:lang w:val="fr-CA"/>
              </w:rPr>
            </w:pPr>
            <w:r w:rsidRPr="007E6A6A">
              <w:rPr>
                <w:rFonts w:eastAsia="Calibri"/>
                <w:sz w:val="20"/>
                <w:szCs w:val="20"/>
                <w:lang w:val="fr-CA"/>
              </w:rPr>
              <w:t>Cour suprême du Canada</w:t>
            </w:r>
          </w:p>
        </w:tc>
        <w:tc>
          <w:tcPr>
            <w:tcW w:w="243" w:type="pct"/>
          </w:tcPr>
          <w:p w:rsidR="0009633E" w:rsidRPr="007E6A6A" w:rsidRDefault="0009633E" w:rsidP="00C14D8A">
            <w:pPr>
              <w:jc w:val="both"/>
              <w:rPr>
                <w:rFonts w:eastAsia="Calibri"/>
                <w:sz w:val="20"/>
                <w:szCs w:val="20"/>
                <w:lang w:val="fr-CA"/>
              </w:rPr>
            </w:pPr>
          </w:p>
        </w:tc>
        <w:tc>
          <w:tcPr>
            <w:tcW w:w="2330" w:type="pct"/>
          </w:tcPr>
          <w:p w:rsidR="0009633E" w:rsidRPr="007E6A6A" w:rsidRDefault="0009633E" w:rsidP="00C14D8A">
            <w:pPr>
              <w:jc w:val="both"/>
              <w:rPr>
                <w:rFonts w:eastAsia="Calibri"/>
                <w:sz w:val="20"/>
                <w:szCs w:val="20"/>
                <w:lang w:val="fr-CA"/>
              </w:rPr>
            </w:pPr>
            <w:r w:rsidRPr="007E6A6A">
              <w:rPr>
                <w:rFonts w:eastAsia="Calibri"/>
                <w:sz w:val="20"/>
                <w:szCs w:val="20"/>
                <w:lang w:val="fr-CA"/>
              </w:rPr>
              <w:t>Demande d'autorisation d'appel déposée</w:t>
            </w:r>
          </w:p>
          <w:p w:rsidR="0009633E" w:rsidRPr="007E6A6A" w:rsidRDefault="0009633E" w:rsidP="00C14D8A">
            <w:pPr>
              <w:jc w:val="both"/>
              <w:rPr>
                <w:rFonts w:eastAsia="Calibri"/>
                <w:sz w:val="20"/>
                <w:szCs w:val="20"/>
                <w:lang w:val="fr-CA"/>
              </w:rPr>
            </w:pPr>
          </w:p>
        </w:tc>
      </w:tr>
    </w:tbl>
    <w:p w:rsidR="00F83F5A" w:rsidRDefault="00F83F5A" w:rsidP="00F83F5A">
      <w:pPr>
        <w:rPr>
          <w:sz w:val="20"/>
          <w:szCs w:val="20"/>
        </w:rPr>
      </w:pPr>
    </w:p>
    <w:p w:rsidR="00F83F5A" w:rsidRDefault="00ED3438" w:rsidP="00F83F5A">
      <w:pPr>
        <w:rPr>
          <w:sz w:val="20"/>
          <w:szCs w:val="20"/>
        </w:rPr>
      </w:pPr>
      <w:r w:rsidRPr="00ED3438">
        <w:rPr>
          <w:sz w:val="20"/>
          <w:szCs w:val="20"/>
          <w:lang w:val="fr-CA"/>
        </w:rPr>
        <w:pict>
          <v:rect id="_x0000_i1048" style="width:2in;height:1pt" o:hrpct="0" o:hralign="center" o:hrstd="t" o:hrnoshade="t" o:hr="t" fillcolor="black [3213]" stroked="f"/>
        </w:pict>
      </w:r>
    </w:p>
    <w:p w:rsidR="00F83F5A" w:rsidRDefault="00F83F5A" w:rsidP="00F83F5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E1046" w:rsidRPr="00017BF4" w:rsidTr="00B60060">
        <w:trPr>
          <w:cantSplit/>
        </w:trPr>
        <w:tc>
          <w:tcPr>
            <w:tcW w:w="1458" w:type="dxa"/>
          </w:tcPr>
          <w:p w:rsidR="002E1046" w:rsidRPr="000F5323" w:rsidRDefault="002E1046" w:rsidP="00B60060">
            <w:pPr>
              <w:rPr>
                <w:sz w:val="20"/>
                <w:szCs w:val="20"/>
              </w:rPr>
            </w:pPr>
            <w:r w:rsidRPr="000F5323">
              <w:rPr>
                <w:rStyle w:val="SCCFileNumberChar"/>
                <w:sz w:val="20"/>
                <w:szCs w:val="20"/>
              </w:rPr>
              <w:t>34667</w:t>
            </w:r>
          </w:p>
          <w:p w:rsidR="002E1046" w:rsidRPr="000F5323" w:rsidRDefault="002E1046" w:rsidP="00B60060">
            <w:pPr>
              <w:rPr>
                <w:b/>
                <w:sz w:val="20"/>
                <w:szCs w:val="20"/>
                <w:lang w:val="fr-CA"/>
              </w:rPr>
            </w:pPr>
          </w:p>
        </w:tc>
        <w:tc>
          <w:tcPr>
            <w:tcW w:w="8118" w:type="dxa"/>
          </w:tcPr>
          <w:p w:rsidR="002E1046" w:rsidRPr="000F5323" w:rsidRDefault="002E1046" w:rsidP="00B60060">
            <w:pPr>
              <w:jc w:val="both"/>
              <w:rPr>
                <w:sz w:val="20"/>
                <w:szCs w:val="20"/>
                <w:lang w:val="fr-CA"/>
              </w:rPr>
            </w:pPr>
            <w:r w:rsidRPr="000F5323">
              <w:rPr>
                <w:rStyle w:val="SCCLsocChar"/>
                <w:sz w:val="20"/>
                <w:szCs w:val="20"/>
              </w:rPr>
              <w:t>Association démocratique des ressources à l'enfance du Québec (CSD) - Mauricie-Centre-du-Québec c. Union des employées et employés de service, section locale 800 ET ENTRE Association démocratique des ressources à l'enfance du Québec (CSD) - Mauricie-Centre-du-Québec c. Fédération des familles d'accueil du Québec</w:t>
            </w:r>
            <w:r w:rsidRPr="000F5323">
              <w:rPr>
                <w:sz w:val="20"/>
                <w:szCs w:val="20"/>
                <w:lang w:val="fr-CA"/>
              </w:rPr>
              <w:t xml:space="preserve"> (</w:t>
            </w:r>
            <w:proofErr w:type="spellStart"/>
            <w:r w:rsidRPr="000F5323">
              <w:rPr>
                <w:sz w:val="20"/>
                <w:szCs w:val="20"/>
                <w:lang w:val="fr-CA"/>
              </w:rPr>
              <w:t>Qc</w:t>
            </w:r>
            <w:proofErr w:type="spellEnd"/>
            <w:r w:rsidRPr="000F5323">
              <w:rPr>
                <w:sz w:val="20"/>
                <w:szCs w:val="20"/>
                <w:lang w:val="fr-CA"/>
              </w:rPr>
              <w:t>) (Civile) (Autorisation)</w:t>
            </w:r>
          </w:p>
          <w:p w:rsidR="002E1046" w:rsidRPr="000F5323" w:rsidRDefault="002E1046" w:rsidP="00B60060">
            <w:pPr>
              <w:rPr>
                <w:sz w:val="20"/>
                <w:szCs w:val="20"/>
                <w:lang w:val="fr-CA"/>
              </w:rPr>
            </w:pPr>
          </w:p>
        </w:tc>
      </w:tr>
      <w:tr w:rsidR="002E1046" w:rsidRPr="00017BF4" w:rsidTr="00B60060">
        <w:trPr>
          <w:cantSplit/>
        </w:trPr>
        <w:tc>
          <w:tcPr>
            <w:tcW w:w="1458" w:type="dxa"/>
          </w:tcPr>
          <w:p w:rsidR="002E1046" w:rsidRPr="000F5323" w:rsidRDefault="002E1046" w:rsidP="00B60060">
            <w:pPr>
              <w:rPr>
                <w:sz w:val="20"/>
                <w:szCs w:val="20"/>
              </w:rPr>
            </w:pPr>
            <w:r w:rsidRPr="000F5323">
              <w:rPr>
                <w:sz w:val="20"/>
                <w:szCs w:val="20"/>
              </w:rPr>
              <w:t>Coram :</w:t>
            </w:r>
          </w:p>
        </w:tc>
        <w:tc>
          <w:tcPr>
            <w:tcW w:w="8118" w:type="dxa"/>
          </w:tcPr>
          <w:p w:rsidR="002E1046" w:rsidRPr="000F5323" w:rsidRDefault="002E1046" w:rsidP="00B60060">
            <w:pPr>
              <w:rPr>
                <w:sz w:val="20"/>
                <w:szCs w:val="20"/>
                <w:lang w:val="fr-CA"/>
              </w:rPr>
            </w:pPr>
            <w:r w:rsidRPr="000F5323">
              <w:rPr>
                <w:rStyle w:val="SCCCoramChar"/>
                <w:sz w:val="20"/>
                <w:szCs w:val="20"/>
              </w:rPr>
              <w:t xml:space="preserve">Les juges </w:t>
            </w:r>
            <w:proofErr w:type="spellStart"/>
            <w:r w:rsidRPr="000F5323">
              <w:rPr>
                <w:rStyle w:val="SCCCoramChar"/>
                <w:sz w:val="20"/>
                <w:szCs w:val="20"/>
              </w:rPr>
              <w:t>LeBel</w:t>
            </w:r>
            <w:proofErr w:type="spellEnd"/>
            <w:r w:rsidRPr="000F5323">
              <w:rPr>
                <w:rStyle w:val="SCCCoramChar"/>
                <w:sz w:val="20"/>
                <w:szCs w:val="20"/>
              </w:rPr>
              <w:t>, Abella et Cromwell</w:t>
            </w:r>
          </w:p>
          <w:p w:rsidR="002E1046" w:rsidRPr="000F5323" w:rsidRDefault="002E1046" w:rsidP="00B60060">
            <w:pPr>
              <w:rPr>
                <w:sz w:val="20"/>
                <w:szCs w:val="20"/>
                <w:u w:val="single"/>
                <w:lang w:val="fr-CA"/>
              </w:rPr>
            </w:pPr>
          </w:p>
        </w:tc>
      </w:tr>
      <w:tr w:rsidR="002E1046" w:rsidRPr="000F5323" w:rsidTr="00B60060">
        <w:trPr>
          <w:cantSplit/>
        </w:trPr>
        <w:tc>
          <w:tcPr>
            <w:tcW w:w="9576" w:type="dxa"/>
            <w:gridSpan w:val="2"/>
          </w:tcPr>
          <w:p w:rsidR="002E1046" w:rsidRPr="000F5323" w:rsidRDefault="002E1046" w:rsidP="00B60060">
            <w:pPr>
              <w:pStyle w:val="SCCShortJudgment"/>
              <w:rPr>
                <w:szCs w:val="20"/>
                <w:lang w:val="fr-CA"/>
              </w:rPr>
            </w:pPr>
            <w:r w:rsidRPr="000F5323">
              <w:rPr>
                <w:szCs w:val="20"/>
                <w:lang w:val="fr-CA"/>
              </w:rPr>
              <w:t>La demande d’autorisation d’appel de l’arrêt de la Cour d’appel du Québec (Québec), numéros 200-09-007141-101 et 200-09-007142-109, 2011 QCCA 2383, daté du 21 décembre 2011, est rejetée avec dépens en faveur des intimées Union des employées et employés de service, section locale 800 et Fédération des familles d’accueil du Québec.</w:t>
            </w:r>
          </w:p>
          <w:p w:rsidR="002E1046" w:rsidRPr="000F5323" w:rsidRDefault="002E1046" w:rsidP="00B60060">
            <w:pPr>
              <w:pStyle w:val="SCCShortJudgment"/>
              <w:ind w:firstLine="0"/>
              <w:rPr>
                <w:szCs w:val="20"/>
                <w:lang w:val="fr-CA"/>
              </w:rPr>
            </w:pPr>
          </w:p>
          <w:p w:rsidR="002E1046" w:rsidRPr="000F5323" w:rsidRDefault="002E1046" w:rsidP="00B60060">
            <w:pPr>
              <w:pStyle w:val="SCCShortJudgment"/>
              <w:rPr>
                <w:szCs w:val="20"/>
              </w:rPr>
            </w:pPr>
            <w:r w:rsidRPr="000F5323">
              <w:rPr>
                <w:szCs w:val="20"/>
              </w:rPr>
              <w:t xml:space="preserve">The application for leave to appeal from the judgment of the Court of Appeal of Quebec (Québec), Numbers 200-09-007141-101 and 200-09-007142-109, 2011 QCCA 2383, dated December 21, 2011, is dismissed with costs to the respondents Union des </w:t>
            </w:r>
            <w:proofErr w:type="spellStart"/>
            <w:r w:rsidRPr="000F5323">
              <w:rPr>
                <w:szCs w:val="20"/>
              </w:rPr>
              <w:t>employées</w:t>
            </w:r>
            <w:proofErr w:type="spellEnd"/>
            <w:r w:rsidRPr="000F5323">
              <w:rPr>
                <w:szCs w:val="20"/>
              </w:rPr>
              <w:t xml:space="preserve"> et </w:t>
            </w:r>
            <w:proofErr w:type="spellStart"/>
            <w:r w:rsidRPr="000F5323">
              <w:rPr>
                <w:szCs w:val="20"/>
              </w:rPr>
              <w:t>employés</w:t>
            </w:r>
            <w:proofErr w:type="spellEnd"/>
            <w:r w:rsidRPr="000F5323">
              <w:rPr>
                <w:szCs w:val="20"/>
              </w:rPr>
              <w:t xml:space="preserve"> de service, section locale 800 and </w:t>
            </w:r>
            <w:proofErr w:type="spellStart"/>
            <w:r w:rsidRPr="000F5323">
              <w:rPr>
                <w:szCs w:val="20"/>
              </w:rPr>
              <w:t>Fédération</w:t>
            </w:r>
            <w:proofErr w:type="spellEnd"/>
            <w:r w:rsidRPr="000F5323">
              <w:rPr>
                <w:szCs w:val="20"/>
              </w:rPr>
              <w:t xml:space="preserve"> des </w:t>
            </w:r>
            <w:proofErr w:type="spellStart"/>
            <w:r w:rsidRPr="000F5323">
              <w:rPr>
                <w:szCs w:val="20"/>
              </w:rPr>
              <w:t>familles</w:t>
            </w:r>
            <w:proofErr w:type="spellEnd"/>
            <w:r w:rsidRPr="000F5323">
              <w:rPr>
                <w:szCs w:val="20"/>
              </w:rPr>
              <w:t xml:space="preserve"> </w:t>
            </w:r>
            <w:proofErr w:type="spellStart"/>
            <w:r w:rsidRPr="000F5323">
              <w:rPr>
                <w:szCs w:val="20"/>
              </w:rPr>
              <w:t>d’accueil</w:t>
            </w:r>
            <w:proofErr w:type="spellEnd"/>
            <w:r w:rsidRPr="000F5323">
              <w:rPr>
                <w:szCs w:val="20"/>
              </w:rPr>
              <w:t xml:space="preserve"> du Québec.</w:t>
            </w:r>
          </w:p>
        </w:tc>
      </w:tr>
    </w:tbl>
    <w:p w:rsidR="00F83F5A" w:rsidRPr="002E1046" w:rsidRDefault="00F83F5A" w:rsidP="00F83F5A">
      <w:pPr>
        <w:rPr>
          <w:sz w:val="20"/>
          <w:szCs w:val="20"/>
        </w:rPr>
      </w:pPr>
    </w:p>
    <w:p w:rsidR="00F83F5A" w:rsidRPr="001B157C" w:rsidRDefault="00F83F5A" w:rsidP="00F83F5A">
      <w:pPr>
        <w:rPr>
          <w:sz w:val="20"/>
          <w:szCs w:val="20"/>
          <w:u w:val="single"/>
        </w:rPr>
      </w:pPr>
      <w:r w:rsidRPr="001B157C">
        <w:rPr>
          <w:sz w:val="20"/>
          <w:szCs w:val="20"/>
          <w:u w:val="single"/>
        </w:rPr>
        <w:t>CASE SUMMARY</w:t>
      </w:r>
    </w:p>
    <w:p w:rsidR="00F83F5A" w:rsidRDefault="00F83F5A" w:rsidP="00F83F5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B528E" w:rsidRPr="007E6A6A" w:rsidTr="00C14D8A">
        <w:tc>
          <w:tcPr>
            <w:tcW w:w="5000" w:type="pct"/>
            <w:gridSpan w:val="3"/>
          </w:tcPr>
          <w:p w:rsidR="008B528E" w:rsidRPr="007E6A6A" w:rsidRDefault="008B528E" w:rsidP="00C14D8A">
            <w:pPr>
              <w:jc w:val="both"/>
              <w:rPr>
                <w:rFonts w:eastAsia="Calibri"/>
                <w:sz w:val="20"/>
                <w:szCs w:val="20"/>
              </w:rPr>
            </w:pPr>
            <w:r w:rsidRPr="007E6A6A">
              <w:rPr>
                <w:rFonts w:eastAsia="Calibri"/>
                <w:sz w:val="20"/>
                <w:szCs w:val="20"/>
              </w:rPr>
              <w:t xml:space="preserve">Legislation – Interpretation – Labour relations – Autonomous certification scheme with statutory criteria for recognition of single bargaining agent in field of services for children in difficulty – Capacity to represent both “foster families and intermediate resources” – Closed window rule after filing of valid application – First application by federation of foster families – Second application by hybrid association – Third application by union during hours following first applicant’s withdrawal – Lawfulness of first application in issue in determining whether window closed for second applicant or for third – Whether criteria established by specific statutory scheme in question preclude application of general scheme of </w:t>
            </w:r>
            <w:r w:rsidRPr="007E6A6A">
              <w:rPr>
                <w:rFonts w:eastAsia="Calibri"/>
                <w:i/>
                <w:sz w:val="20"/>
                <w:szCs w:val="20"/>
              </w:rPr>
              <w:t>Labour Code</w:t>
            </w:r>
            <w:r w:rsidRPr="007E6A6A">
              <w:rPr>
                <w:rFonts w:eastAsia="Calibri"/>
                <w:sz w:val="20"/>
                <w:szCs w:val="20"/>
              </w:rPr>
              <w:t>, R.S.Q. c. C</w:t>
            </w:r>
            <w:r w:rsidRPr="007E6A6A">
              <w:rPr>
                <w:rFonts w:eastAsia="Calibri"/>
                <w:sz w:val="20"/>
                <w:szCs w:val="20"/>
              </w:rPr>
              <w:noBreakHyphen/>
              <w:t xml:space="preserve">27 – Whether criteria established by specific statutory scheme permit representation of mixed group by only one of its two components – </w:t>
            </w:r>
            <w:r w:rsidRPr="007E6A6A">
              <w:rPr>
                <w:rFonts w:eastAsia="Calibri"/>
                <w:i/>
                <w:sz w:val="20"/>
                <w:szCs w:val="20"/>
              </w:rPr>
              <w:t xml:space="preserve">Act respecting the representation of </w:t>
            </w:r>
            <w:proofErr w:type="spellStart"/>
            <w:r w:rsidRPr="007E6A6A">
              <w:rPr>
                <w:rFonts w:eastAsia="Calibri"/>
                <w:i/>
                <w:sz w:val="20"/>
                <w:szCs w:val="20"/>
              </w:rPr>
              <w:t>family</w:t>
            </w:r>
            <w:r w:rsidRPr="007E6A6A">
              <w:rPr>
                <w:rFonts w:eastAsia="Calibri"/>
                <w:i/>
                <w:sz w:val="20"/>
                <w:szCs w:val="20"/>
              </w:rPr>
              <w:noBreakHyphen/>
              <w:t>type</w:t>
            </w:r>
            <w:proofErr w:type="spellEnd"/>
            <w:r w:rsidRPr="007E6A6A">
              <w:rPr>
                <w:rFonts w:eastAsia="Calibri"/>
                <w:i/>
                <w:sz w:val="20"/>
                <w:szCs w:val="20"/>
              </w:rPr>
              <w:t xml:space="preserve"> resources and certain intermediate resources and the negotiation process for their group agreements</w:t>
            </w:r>
            <w:r w:rsidRPr="007E6A6A">
              <w:rPr>
                <w:rFonts w:eastAsia="Calibri"/>
                <w:sz w:val="20"/>
                <w:szCs w:val="20"/>
              </w:rPr>
              <w:t>, R.S.Q. c. R</w:t>
            </w:r>
            <w:r w:rsidRPr="007E6A6A">
              <w:rPr>
                <w:rFonts w:eastAsia="Calibri"/>
                <w:sz w:val="20"/>
                <w:szCs w:val="20"/>
              </w:rPr>
              <w:noBreakHyphen/>
              <w:t>24.0.2, ss. 4, 5, 59, 61.</w:t>
            </w:r>
          </w:p>
        </w:tc>
      </w:tr>
      <w:tr w:rsidR="008B528E" w:rsidRPr="007E6A6A" w:rsidTr="00C14D8A">
        <w:tc>
          <w:tcPr>
            <w:tcW w:w="5000" w:type="pct"/>
            <w:gridSpan w:val="3"/>
          </w:tcPr>
          <w:p w:rsidR="008B528E" w:rsidRPr="007E6A6A" w:rsidRDefault="008B528E" w:rsidP="00C14D8A">
            <w:pPr>
              <w:jc w:val="both"/>
              <w:rPr>
                <w:rFonts w:eastAsia="Calibri"/>
                <w:sz w:val="20"/>
                <w:szCs w:val="20"/>
              </w:rPr>
            </w:pPr>
          </w:p>
        </w:tc>
      </w:tr>
      <w:tr w:rsidR="008B528E" w:rsidRPr="007E6A6A" w:rsidTr="00C14D8A">
        <w:tc>
          <w:tcPr>
            <w:tcW w:w="5000" w:type="pct"/>
            <w:gridSpan w:val="3"/>
          </w:tcPr>
          <w:p w:rsidR="008B528E" w:rsidRPr="007E6A6A" w:rsidRDefault="008B528E" w:rsidP="00C14D8A">
            <w:pPr>
              <w:jc w:val="both"/>
              <w:rPr>
                <w:rFonts w:eastAsia="Calibri"/>
                <w:sz w:val="20"/>
                <w:szCs w:val="20"/>
              </w:rPr>
            </w:pPr>
            <w:r w:rsidRPr="007E6A6A">
              <w:rPr>
                <w:rFonts w:eastAsia="Calibri"/>
                <w:sz w:val="20"/>
                <w:szCs w:val="20"/>
              </w:rPr>
              <w:t xml:space="preserve">On July 16, 2009, the regional </w:t>
            </w:r>
            <w:proofErr w:type="spellStart"/>
            <w:r w:rsidRPr="007E6A6A">
              <w:rPr>
                <w:rFonts w:eastAsia="Calibri"/>
                <w:sz w:val="20"/>
                <w:szCs w:val="20"/>
              </w:rPr>
              <w:t>Fédération</w:t>
            </w:r>
            <w:proofErr w:type="spellEnd"/>
            <w:r w:rsidRPr="007E6A6A">
              <w:rPr>
                <w:rFonts w:eastAsia="Calibri"/>
                <w:sz w:val="20"/>
                <w:szCs w:val="20"/>
              </w:rPr>
              <w:t xml:space="preserve"> des </w:t>
            </w:r>
            <w:proofErr w:type="spellStart"/>
            <w:r w:rsidRPr="007E6A6A">
              <w:rPr>
                <w:rFonts w:eastAsia="Calibri"/>
                <w:sz w:val="20"/>
                <w:szCs w:val="20"/>
              </w:rPr>
              <w:t>familles</w:t>
            </w:r>
            <w:proofErr w:type="spellEnd"/>
            <w:r w:rsidRPr="007E6A6A">
              <w:rPr>
                <w:rFonts w:eastAsia="Calibri"/>
                <w:sz w:val="20"/>
                <w:szCs w:val="20"/>
              </w:rPr>
              <w:t xml:space="preserve"> </w:t>
            </w:r>
            <w:proofErr w:type="spellStart"/>
            <w:r w:rsidRPr="007E6A6A">
              <w:rPr>
                <w:rFonts w:eastAsia="Calibri"/>
                <w:sz w:val="20"/>
                <w:szCs w:val="20"/>
              </w:rPr>
              <w:t>d’accueil</w:t>
            </w:r>
            <w:proofErr w:type="spellEnd"/>
            <w:r w:rsidRPr="007E6A6A">
              <w:rPr>
                <w:rFonts w:eastAsia="Calibri"/>
                <w:sz w:val="20"/>
                <w:szCs w:val="20"/>
              </w:rPr>
              <w:t xml:space="preserve"> filed an application for recognition with the Commission des relations du travail so it could represent [</w:t>
            </w:r>
            <w:r w:rsidRPr="007E6A6A">
              <w:rPr>
                <w:rFonts w:eastAsia="Calibri"/>
                <w:smallCaps/>
                <w:sz w:val="20"/>
                <w:szCs w:val="20"/>
              </w:rPr>
              <w:t>translation</w:t>
            </w:r>
            <w:r w:rsidRPr="007E6A6A">
              <w:rPr>
                <w:rFonts w:eastAsia="Calibri"/>
                <w:sz w:val="20"/>
                <w:szCs w:val="20"/>
              </w:rPr>
              <w:t xml:space="preserve">] “foster families for children” attached to the Centre </w:t>
            </w:r>
            <w:proofErr w:type="spellStart"/>
            <w:r w:rsidRPr="007E6A6A">
              <w:rPr>
                <w:rFonts w:eastAsia="Calibri"/>
                <w:sz w:val="20"/>
                <w:szCs w:val="20"/>
              </w:rPr>
              <w:t>jeunesse</w:t>
            </w:r>
            <w:proofErr w:type="spellEnd"/>
            <w:r w:rsidRPr="007E6A6A">
              <w:rPr>
                <w:rFonts w:eastAsia="Calibri"/>
                <w:sz w:val="20"/>
                <w:szCs w:val="20"/>
              </w:rPr>
              <w:t xml:space="preserve"> de la </w:t>
            </w:r>
            <w:proofErr w:type="spellStart"/>
            <w:r w:rsidRPr="007E6A6A">
              <w:rPr>
                <w:rFonts w:eastAsia="Calibri"/>
                <w:sz w:val="20"/>
                <w:szCs w:val="20"/>
              </w:rPr>
              <w:t>Mauricie</w:t>
            </w:r>
            <w:proofErr w:type="spellEnd"/>
            <w:r w:rsidRPr="007E6A6A">
              <w:rPr>
                <w:rFonts w:eastAsia="Calibri"/>
                <w:sz w:val="20"/>
                <w:szCs w:val="20"/>
              </w:rPr>
              <w:t xml:space="preserve"> et du </w:t>
            </w:r>
            <w:proofErr w:type="spellStart"/>
            <w:r w:rsidRPr="007E6A6A">
              <w:rPr>
                <w:rFonts w:eastAsia="Calibri"/>
                <w:sz w:val="20"/>
                <w:szCs w:val="20"/>
              </w:rPr>
              <w:t>Centre</w:t>
            </w:r>
            <w:r w:rsidRPr="007E6A6A">
              <w:rPr>
                <w:rFonts w:eastAsia="Calibri"/>
                <w:sz w:val="20"/>
                <w:szCs w:val="20"/>
              </w:rPr>
              <w:noBreakHyphen/>
              <w:t>du</w:t>
            </w:r>
            <w:r w:rsidRPr="007E6A6A">
              <w:rPr>
                <w:rFonts w:eastAsia="Calibri"/>
                <w:sz w:val="20"/>
                <w:szCs w:val="20"/>
              </w:rPr>
              <w:noBreakHyphen/>
              <w:t>Québec</w:t>
            </w:r>
            <w:proofErr w:type="spellEnd"/>
            <w:r w:rsidRPr="007E6A6A">
              <w:rPr>
                <w:rFonts w:eastAsia="Calibri"/>
                <w:sz w:val="20"/>
                <w:szCs w:val="20"/>
              </w:rPr>
              <w:t xml:space="preserve">.  On August 24, 2009, the Association </w:t>
            </w:r>
            <w:proofErr w:type="spellStart"/>
            <w:r w:rsidRPr="007E6A6A">
              <w:rPr>
                <w:rFonts w:eastAsia="Calibri"/>
                <w:sz w:val="20"/>
                <w:szCs w:val="20"/>
              </w:rPr>
              <w:t>démocratique</w:t>
            </w:r>
            <w:proofErr w:type="spellEnd"/>
            <w:r w:rsidRPr="007E6A6A">
              <w:rPr>
                <w:rFonts w:eastAsia="Calibri"/>
                <w:sz w:val="20"/>
                <w:szCs w:val="20"/>
              </w:rPr>
              <w:t xml:space="preserve"> des </w:t>
            </w:r>
            <w:proofErr w:type="spellStart"/>
            <w:r w:rsidRPr="007E6A6A">
              <w:rPr>
                <w:rFonts w:eastAsia="Calibri"/>
                <w:sz w:val="20"/>
                <w:szCs w:val="20"/>
              </w:rPr>
              <w:t>ressources</w:t>
            </w:r>
            <w:proofErr w:type="spellEnd"/>
            <w:r w:rsidRPr="007E6A6A">
              <w:rPr>
                <w:rFonts w:eastAsia="Calibri"/>
                <w:sz w:val="20"/>
                <w:szCs w:val="20"/>
              </w:rPr>
              <w:t xml:space="preserve"> à </w:t>
            </w:r>
            <w:proofErr w:type="spellStart"/>
            <w:r w:rsidRPr="007E6A6A">
              <w:rPr>
                <w:rFonts w:eastAsia="Calibri"/>
                <w:sz w:val="20"/>
                <w:szCs w:val="20"/>
              </w:rPr>
              <w:t>l’enfance</w:t>
            </w:r>
            <w:proofErr w:type="spellEnd"/>
            <w:r w:rsidRPr="007E6A6A">
              <w:rPr>
                <w:rFonts w:eastAsia="Calibri"/>
                <w:sz w:val="20"/>
                <w:szCs w:val="20"/>
              </w:rPr>
              <w:t xml:space="preserve"> filed an application to represent [</w:t>
            </w:r>
            <w:r w:rsidRPr="007E6A6A">
              <w:rPr>
                <w:rFonts w:eastAsia="Calibri"/>
                <w:smallCaps/>
                <w:sz w:val="20"/>
                <w:szCs w:val="20"/>
              </w:rPr>
              <w:t>translation</w:t>
            </w:r>
            <w:r w:rsidRPr="007E6A6A">
              <w:rPr>
                <w:rFonts w:eastAsia="Calibri"/>
                <w:sz w:val="20"/>
                <w:szCs w:val="20"/>
              </w:rPr>
              <w:t xml:space="preserve">] “all foster families and intermediate resources for children”; it was informed that its application was inadmissible because of a previous application.  The </w:t>
            </w:r>
            <w:proofErr w:type="spellStart"/>
            <w:r w:rsidRPr="007E6A6A">
              <w:rPr>
                <w:rFonts w:eastAsia="Calibri"/>
                <w:sz w:val="20"/>
                <w:szCs w:val="20"/>
              </w:rPr>
              <w:t>Fédération</w:t>
            </w:r>
            <w:proofErr w:type="spellEnd"/>
            <w:r w:rsidRPr="007E6A6A">
              <w:rPr>
                <w:rFonts w:eastAsia="Calibri"/>
                <w:sz w:val="20"/>
                <w:szCs w:val="20"/>
              </w:rPr>
              <w:t xml:space="preserve"> withdrew on October 28; during the hours that followed, an application was filed by the Union’s local.  The Association argued that the </w:t>
            </w:r>
            <w:proofErr w:type="spellStart"/>
            <w:r w:rsidRPr="007E6A6A">
              <w:rPr>
                <w:rFonts w:eastAsia="Calibri"/>
                <w:sz w:val="20"/>
                <w:szCs w:val="20"/>
              </w:rPr>
              <w:t>Fédération’s</w:t>
            </w:r>
            <w:proofErr w:type="spellEnd"/>
            <w:r w:rsidRPr="007E6A6A">
              <w:rPr>
                <w:rFonts w:eastAsia="Calibri"/>
                <w:sz w:val="20"/>
                <w:szCs w:val="20"/>
              </w:rPr>
              <w:t xml:space="preserve"> application was unlawful because the </w:t>
            </w:r>
            <w:proofErr w:type="spellStart"/>
            <w:r w:rsidRPr="007E6A6A">
              <w:rPr>
                <w:rFonts w:eastAsia="Calibri"/>
                <w:sz w:val="20"/>
                <w:szCs w:val="20"/>
              </w:rPr>
              <w:t>Fédération</w:t>
            </w:r>
            <w:proofErr w:type="spellEnd"/>
            <w:r w:rsidRPr="007E6A6A">
              <w:rPr>
                <w:rFonts w:eastAsia="Calibri"/>
                <w:sz w:val="20"/>
                <w:szCs w:val="20"/>
              </w:rPr>
              <w:t xml:space="preserve"> did not have the capacity to represent the resources based on the various statutory requirements.</w:t>
            </w:r>
          </w:p>
          <w:p w:rsidR="008B528E" w:rsidRPr="007E6A6A" w:rsidRDefault="008B528E" w:rsidP="00C14D8A">
            <w:pPr>
              <w:jc w:val="both"/>
              <w:rPr>
                <w:rFonts w:eastAsia="Calibri"/>
                <w:sz w:val="20"/>
                <w:szCs w:val="20"/>
              </w:rPr>
            </w:pPr>
          </w:p>
        </w:tc>
      </w:tr>
      <w:tr w:rsidR="008B528E" w:rsidRPr="007E6A6A" w:rsidTr="002E1046">
        <w:trPr>
          <w:cantSplit/>
        </w:trPr>
        <w:tc>
          <w:tcPr>
            <w:tcW w:w="2427" w:type="pct"/>
          </w:tcPr>
          <w:p w:rsidR="008B528E" w:rsidRPr="007E6A6A" w:rsidRDefault="008B528E" w:rsidP="00C14D8A">
            <w:pPr>
              <w:jc w:val="both"/>
              <w:rPr>
                <w:rFonts w:eastAsia="Calibri"/>
                <w:sz w:val="20"/>
                <w:szCs w:val="20"/>
                <w:lang w:val="fr-CA"/>
              </w:rPr>
            </w:pPr>
            <w:proofErr w:type="spellStart"/>
            <w:r w:rsidRPr="007E6A6A">
              <w:rPr>
                <w:rFonts w:eastAsia="Calibri"/>
                <w:sz w:val="20"/>
                <w:szCs w:val="20"/>
                <w:lang w:val="fr-CA"/>
              </w:rPr>
              <w:t>October</w:t>
            </w:r>
            <w:proofErr w:type="spellEnd"/>
            <w:r w:rsidRPr="007E6A6A">
              <w:rPr>
                <w:rFonts w:eastAsia="Calibri"/>
                <w:sz w:val="20"/>
                <w:szCs w:val="20"/>
                <w:lang w:val="fr-CA"/>
              </w:rPr>
              <w:t xml:space="preserve"> 29, 2009</w:t>
            </w:r>
          </w:p>
          <w:p w:rsidR="008B528E" w:rsidRPr="007E6A6A" w:rsidRDefault="008B528E" w:rsidP="00C14D8A">
            <w:pPr>
              <w:jc w:val="both"/>
              <w:rPr>
                <w:rFonts w:eastAsia="Calibri"/>
                <w:sz w:val="20"/>
                <w:szCs w:val="20"/>
                <w:lang w:val="fr-CA"/>
              </w:rPr>
            </w:pPr>
            <w:r w:rsidRPr="007E6A6A">
              <w:rPr>
                <w:rFonts w:eastAsia="Calibri"/>
                <w:sz w:val="20"/>
                <w:szCs w:val="20"/>
                <w:lang w:val="fr-CA"/>
              </w:rPr>
              <w:t>Commission des relations du travail</w:t>
            </w:r>
          </w:p>
          <w:p w:rsidR="008B528E" w:rsidRPr="007E6A6A" w:rsidRDefault="008B528E" w:rsidP="00C14D8A">
            <w:pPr>
              <w:jc w:val="both"/>
              <w:rPr>
                <w:rFonts w:eastAsia="Calibri"/>
                <w:sz w:val="20"/>
                <w:szCs w:val="20"/>
              </w:rPr>
            </w:pPr>
            <w:r w:rsidRPr="007E6A6A">
              <w:rPr>
                <w:rFonts w:eastAsia="Calibri"/>
                <w:sz w:val="20"/>
                <w:szCs w:val="20"/>
              </w:rPr>
              <w:t>(Commissioner Morin)</w:t>
            </w:r>
          </w:p>
          <w:p w:rsidR="008B528E" w:rsidRPr="007E6A6A" w:rsidRDefault="008B528E" w:rsidP="00C14D8A">
            <w:pPr>
              <w:jc w:val="both"/>
              <w:rPr>
                <w:rFonts w:eastAsia="Calibri"/>
                <w:sz w:val="20"/>
                <w:szCs w:val="20"/>
              </w:rPr>
            </w:pPr>
          </w:p>
        </w:tc>
        <w:tc>
          <w:tcPr>
            <w:tcW w:w="243" w:type="pct"/>
          </w:tcPr>
          <w:p w:rsidR="008B528E" w:rsidRPr="007E6A6A" w:rsidRDefault="008B528E" w:rsidP="00C14D8A">
            <w:pPr>
              <w:jc w:val="both"/>
              <w:rPr>
                <w:rFonts w:eastAsia="Calibri"/>
                <w:sz w:val="20"/>
                <w:szCs w:val="20"/>
              </w:rPr>
            </w:pPr>
          </w:p>
        </w:tc>
        <w:tc>
          <w:tcPr>
            <w:tcW w:w="2330" w:type="pct"/>
          </w:tcPr>
          <w:p w:rsidR="008B528E" w:rsidRPr="007E6A6A" w:rsidRDefault="008B528E" w:rsidP="00C14D8A">
            <w:pPr>
              <w:jc w:val="both"/>
              <w:rPr>
                <w:rFonts w:eastAsia="Calibri"/>
                <w:sz w:val="20"/>
                <w:szCs w:val="20"/>
              </w:rPr>
            </w:pPr>
            <w:proofErr w:type="spellStart"/>
            <w:r w:rsidRPr="007E6A6A">
              <w:rPr>
                <w:rFonts w:eastAsia="Calibri"/>
                <w:sz w:val="20"/>
                <w:szCs w:val="20"/>
              </w:rPr>
              <w:t>Fédération’s</w:t>
            </w:r>
            <w:proofErr w:type="spellEnd"/>
            <w:r w:rsidRPr="007E6A6A">
              <w:rPr>
                <w:rFonts w:eastAsia="Calibri"/>
                <w:sz w:val="20"/>
                <w:szCs w:val="20"/>
              </w:rPr>
              <w:t xml:space="preserve"> application declared valid by adding intermediate resources to its wording</w:t>
            </w:r>
          </w:p>
          <w:p w:rsidR="008B528E" w:rsidRPr="007E6A6A" w:rsidRDefault="008B528E" w:rsidP="00C14D8A">
            <w:pPr>
              <w:jc w:val="both"/>
              <w:rPr>
                <w:rFonts w:eastAsia="Calibri"/>
                <w:sz w:val="20"/>
                <w:szCs w:val="20"/>
              </w:rPr>
            </w:pPr>
          </w:p>
        </w:tc>
      </w:tr>
      <w:tr w:rsidR="008B528E" w:rsidRPr="007E6A6A" w:rsidTr="002E1046">
        <w:trPr>
          <w:cantSplit/>
        </w:trPr>
        <w:tc>
          <w:tcPr>
            <w:tcW w:w="2427" w:type="pct"/>
          </w:tcPr>
          <w:p w:rsidR="008B528E" w:rsidRPr="007E6A6A" w:rsidRDefault="008B528E" w:rsidP="00C14D8A">
            <w:pPr>
              <w:jc w:val="both"/>
              <w:rPr>
                <w:rFonts w:eastAsia="Calibri"/>
                <w:sz w:val="20"/>
                <w:szCs w:val="20"/>
              </w:rPr>
            </w:pPr>
            <w:r w:rsidRPr="007E6A6A">
              <w:rPr>
                <w:rFonts w:eastAsia="Calibri"/>
                <w:sz w:val="20"/>
                <w:szCs w:val="20"/>
              </w:rPr>
              <w:t>July 28, 2010</w:t>
            </w:r>
          </w:p>
          <w:p w:rsidR="008B528E" w:rsidRPr="007E6A6A" w:rsidRDefault="008B528E" w:rsidP="00C14D8A">
            <w:pPr>
              <w:jc w:val="both"/>
              <w:rPr>
                <w:rFonts w:eastAsia="Calibri"/>
                <w:sz w:val="20"/>
                <w:szCs w:val="20"/>
              </w:rPr>
            </w:pPr>
            <w:r w:rsidRPr="007E6A6A">
              <w:rPr>
                <w:rFonts w:eastAsia="Calibri"/>
                <w:sz w:val="20"/>
                <w:szCs w:val="20"/>
              </w:rPr>
              <w:t>Quebec Superior Court</w:t>
            </w:r>
          </w:p>
          <w:p w:rsidR="008B528E" w:rsidRPr="007E6A6A" w:rsidRDefault="008B528E" w:rsidP="00C14D8A">
            <w:pPr>
              <w:jc w:val="both"/>
              <w:rPr>
                <w:rFonts w:eastAsia="Calibri"/>
                <w:sz w:val="20"/>
                <w:szCs w:val="20"/>
              </w:rPr>
            </w:pPr>
            <w:r w:rsidRPr="007E6A6A">
              <w:rPr>
                <w:rFonts w:eastAsia="Calibri"/>
                <w:sz w:val="20"/>
                <w:szCs w:val="20"/>
              </w:rPr>
              <w:t>(</w:t>
            </w:r>
            <w:proofErr w:type="spellStart"/>
            <w:r w:rsidRPr="007E6A6A">
              <w:rPr>
                <w:rFonts w:eastAsia="Calibri"/>
                <w:sz w:val="20"/>
                <w:szCs w:val="20"/>
              </w:rPr>
              <w:t>Huot</w:t>
            </w:r>
            <w:proofErr w:type="spellEnd"/>
            <w:r w:rsidRPr="007E6A6A">
              <w:rPr>
                <w:rFonts w:eastAsia="Calibri"/>
                <w:sz w:val="20"/>
                <w:szCs w:val="20"/>
              </w:rPr>
              <w:t xml:space="preserve"> J.)</w:t>
            </w:r>
          </w:p>
          <w:p w:rsidR="008B528E" w:rsidRPr="007E6A6A" w:rsidRDefault="008B528E" w:rsidP="00C14D8A">
            <w:pPr>
              <w:jc w:val="both"/>
              <w:rPr>
                <w:rFonts w:eastAsia="Calibri"/>
                <w:sz w:val="20"/>
                <w:szCs w:val="20"/>
              </w:rPr>
            </w:pPr>
            <w:r w:rsidRPr="007E6A6A">
              <w:rPr>
                <w:rFonts w:eastAsia="Calibri"/>
                <w:sz w:val="20"/>
                <w:szCs w:val="20"/>
              </w:rPr>
              <w:t>Neutral citation: 2010 QCCS 3392</w:t>
            </w:r>
          </w:p>
          <w:p w:rsidR="008B528E" w:rsidRPr="007E6A6A" w:rsidRDefault="008B528E" w:rsidP="00C14D8A">
            <w:pPr>
              <w:jc w:val="both"/>
              <w:rPr>
                <w:rFonts w:eastAsia="Calibri"/>
                <w:sz w:val="20"/>
                <w:szCs w:val="20"/>
              </w:rPr>
            </w:pPr>
          </w:p>
        </w:tc>
        <w:tc>
          <w:tcPr>
            <w:tcW w:w="243" w:type="pct"/>
          </w:tcPr>
          <w:p w:rsidR="008B528E" w:rsidRPr="007E6A6A" w:rsidRDefault="008B528E" w:rsidP="00C14D8A">
            <w:pPr>
              <w:jc w:val="both"/>
              <w:rPr>
                <w:rFonts w:eastAsia="Calibri"/>
                <w:sz w:val="20"/>
                <w:szCs w:val="20"/>
              </w:rPr>
            </w:pPr>
          </w:p>
        </w:tc>
        <w:tc>
          <w:tcPr>
            <w:tcW w:w="2330" w:type="pct"/>
          </w:tcPr>
          <w:p w:rsidR="008B528E" w:rsidRPr="007E6A6A" w:rsidRDefault="008B528E" w:rsidP="00C14D8A">
            <w:pPr>
              <w:jc w:val="both"/>
              <w:rPr>
                <w:rFonts w:eastAsia="Calibri"/>
                <w:sz w:val="20"/>
                <w:szCs w:val="20"/>
              </w:rPr>
            </w:pPr>
            <w:r w:rsidRPr="007E6A6A">
              <w:rPr>
                <w:rFonts w:eastAsia="Calibri"/>
                <w:sz w:val="20"/>
                <w:szCs w:val="20"/>
              </w:rPr>
              <w:t xml:space="preserve">CRT’s decision reversed on judicial review; </w:t>
            </w:r>
            <w:proofErr w:type="spellStart"/>
            <w:r w:rsidRPr="007E6A6A">
              <w:rPr>
                <w:rFonts w:eastAsia="Calibri"/>
                <w:sz w:val="20"/>
                <w:szCs w:val="20"/>
              </w:rPr>
              <w:t>Fédération’s</w:t>
            </w:r>
            <w:proofErr w:type="spellEnd"/>
            <w:r w:rsidRPr="007E6A6A">
              <w:rPr>
                <w:rFonts w:eastAsia="Calibri"/>
                <w:sz w:val="20"/>
                <w:szCs w:val="20"/>
              </w:rPr>
              <w:t xml:space="preserve"> application declared unlawful; interventions of </w:t>
            </w:r>
            <w:proofErr w:type="spellStart"/>
            <w:r w:rsidRPr="007E6A6A">
              <w:rPr>
                <w:rFonts w:eastAsia="Calibri"/>
                <w:sz w:val="20"/>
                <w:szCs w:val="20"/>
              </w:rPr>
              <w:t>Fédération</w:t>
            </w:r>
            <w:proofErr w:type="spellEnd"/>
            <w:r w:rsidRPr="007E6A6A">
              <w:rPr>
                <w:rFonts w:eastAsia="Calibri"/>
                <w:sz w:val="20"/>
                <w:szCs w:val="20"/>
              </w:rPr>
              <w:t xml:space="preserve"> and Union dismissed</w:t>
            </w:r>
          </w:p>
        </w:tc>
      </w:tr>
      <w:tr w:rsidR="008B528E" w:rsidRPr="007E6A6A" w:rsidTr="002E1046">
        <w:trPr>
          <w:cantSplit/>
        </w:trPr>
        <w:tc>
          <w:tcPr>
            <w:tcW w:w="2427" w:type="pct"/>
          </w:tcPr>
          <w:p w:rsidR="008B528E" w:rsidRPr="007E6A6A" w:rsidRDefault="008B528E" w:rsidP="00C14D8A">
            <w:pPr>
              <w:jc w:val="both"/>
              <w:rPr>
                <w:rFonts w:eastAsia="Calibri"/>
                <w:sz w:val="20"/>
                <w:szCs w:val="20"/>
              </w:rPr>
            </w:pPr>
            <w:r w:rsidRPr="007E6A6A">
              <w:rPr>
                <w:rFonts w:eastAsia="Calibri"/>
                <w:sz w:val="20"/>
                <w:szCs w:val="20"/>
              </w:rPr>
              <w:t>December 21, 2011</w:t>
            </w:r>
          </w:p>
          <w:p w:rsidR="008B528E" w:rsidRPr="007E6A6A" w:rsidRDefault="008B528E" w:rsidP="00C14D8A">
            <w:pPr>
              <w:jc w:val="both"/>
              <w:rPr>
                <w:rFonts w:eastAsia="Calibri"/>
                <w:sz w:val="20"/>
                <w:szCs w:val="20"/>
              </w:rPr>
            </w:pPr>
            <w:r w:rsidRPr="007E6A6A">
              <w:rPr>
                <w:rFonts w:eastAsia="Calibri"/>
                <w:sz w:val="20"/>
                <w:szCs w:val="20"/>
              </w:rPr>
              <w:t>Quebec Court of Appeal (Québec)</w:t>
            </w:r>
          </w:p>
          <w:p w:rsidR="008B528E" w:rsidRPr="007E6A6A" w:rsidRDefault="008B528E" w:rsidP="00C14D8A">
            <w:pPr>
              <w:jc w:val="both"/>
              <w:rPr>
                <w:rFonts w:eastAsia="Calibri"/>
                <w:sz w:val="20"/>
                <w:szCs w:val="20"/>
              </w:rPr>
            </w:pPr>
            <w:r w:rsidRPr="007E6A6A">
              <w:rPr>
                <w:rFonts w:eastAsia="Calibri"/>
                <w:sz w:val="20"/>
                <w:szCs w:val="20"/>
              </w:rPr>
              <w:t>(</w:t>
            </w:r>
            <w:proofErr w:type="spellStart"/>
            <w:r w:rsidRPr="007E6A6A">
              <w:rPr>
                <w:rFonts w:eastAsia="Calibri"/>
                <w:sz w:val="20"/>
                <w:szCs w:val="20"/>
              </w:rPr>
              <w:t>Bich</w:t>
            </w:r>
            <w:proofErr w:type="spellEnd"/>
            <w:r w:rsidRPr="007E6A6A">
              <w:rPr>
                <w:rFonts w:eastAsia="Calibri"/>
                <w:sz w:val="20"/>
                <w:szCs w:val="20"/>
              </w:rPr>
              <w:t xml:space="preserve">, </w:t>
            </w:r>
            <w:proofErr w:type="spellStart"/>
            <w:r w:rsidRPr="007E6A6A">
              <w:rPr>
                <w:rFonts w:eastAsia="Calibri"/>
                <w:sz w:val="20"/>
                <w:szCs w:val="20"/>
              </w:rPr>
              <w:t>Kasirer</w:t>
            </w:r>
            <w:proofErr w:type="spellEnd"/>
            <w:r w:rsidRPr="007E6A6A">
              <w:rPr>
                <w:rFonts w:eastAsia="Calibri"/>
                <w:sz w:val="20"/>
                <w:szCs w:val="20"/>
              </w:rPr>
              <w:t xml:space="preserve"> and Gagnon JJ.A.)</w:t>
            </w:r>
          </w:p>
          <w:p w:rsidR="008B528E" w:rsidRPr="007E6A6A" w:rsidRDefault="008B528E" w:rsidP="00C14D8A">
            <w:pPr>
              <w:jc w:val="both"/>
              <w:rPr>
                <w:rFonts w:eastAsia="Calibri"/>
                <w:sz w:val="20"/>
                <w:szCs w:val="20"/>
              </w:rPr>
            </w:pPr>
            <w:r w:rsidRPr="007E6A6A">
              <w:rPr>
                <w:rFonts w:eastAsia="Calibri"/>
                <w:sz w:val="20"/>
                <w:szCs w:val="20"/>
              </w:rPr>
              <w:t>Neutral citation: 2011 QCCA 2383</w:t>
            </w:r>
          </w:p>
          <w:p w:rsidR="008B528E" w:rsidRPr="007E6A6A" w:rsidRDefault="008B528E" w:rsidP="00C14D8A">
            <w:pPr>
              <w:jc w:val="both"/>
              <w:rPr>
                <w:rFonts w:eastAsia="Calibri"/>
                <w:sz w:val="20"/>
                <w:szCs w:val="20"/>
              </w:rPr>
            </w:pPr>
          </w:p>
        </w:tc>
        <w:tc>
          <w:tcPr>
            <w:tcW w:w="243" w:type="pct"/>
          </w:tcPr>
          <w:p w:rsidR="008B528E" w:rsidRPr="007E6A6A" w:rsidRDefault="008B528E" w:rsidP="00C14D8A">
            <w:pPr>
              <w:jc w:val="both"/>
              <w:rPr>
                <w:rFonts w:eastAsia="Calibri"/>
                <w:sz w:val="20"/>
                <w:szCs w:val="20"/>
              </w:rPr>
            </w:pPr>
          </w:p>
        </w:tc>
        <w:tc>
          <w:tcPr>
            <w:tcW w:w="2330" w:type="pct"/>
          </w:tcPr>
          <w:p w:rsidR="008B528E" w:rsidRPr="007E6A6A" w:rsidRDefault="008B528E" w:rsidP="00C14D8A">
            <w:pPr>
              <w:jc w:val="both"/>
              <w:rPr>
                <w:rFonts w:eastAsia="Calibri"/>
                <w:sz w:val="20"/>
                <w:szCs w:val="20"/>
              </w:rPr>
            </w:pPr>
            <w:r w:rsidRPr="007E6A6A">
              <w:rPr>
                <w:rFonts w:eastAsia="Calibri"/>
                <w:sz w:val="20"/>
                <w:szCs w:val="20"/>
              </w:rPr>
              <w:t xml:space="preserve">Appeal allowed; </w:t>
            </w:r>
            <w:proofErr w:type="spellStart"/>
            <w:r w:rsidRPr="007E6A6A">
              <w:rPr>
                <w:rFonts w:eastAsia="Calibri"/>
                <w:sz w:val="20"/>
                <w:szCs w:val="20"/>
              </w:rPr>
              <w:t>Fédération</w:t>
            </w:r>
            <w:proofErr w:type="spellEnd"/>
            <w:r w:rsidRPr="007E6A6A">
              <w:rPr>
                <w:rFonts w:eastAsia="Calibri"/>
                <w:sz w:val="20"/>
                <w:szCs w:val="20"/>
              </w:rPr>
              <w:t xml:space="preserve"> and Union declared interested; CRT’s decision restored</w:t>
            </w:r>
          </w:p>
        </w:tc>
      </w:tr>
      <w:tr w:rsidR="008B528E" w:rsidRPr="007E6A6A" w:rsidTr="002E1046">
        <w:trPr>
          <w:cantSplit/>
        </w:trPr>
        <w:tc>
          <w:tcPr>
            <w:tcW w:w="2427" w:type="pct"/>
          </w:tcPr>
          <w:p w:rsidR="008B528E" w:rsidRPr="007E6A6A" w:rsidRDefault="008B528E" w:rsidP="00C14D8A">
            <w:pPr>
              <w:jc w:val="both"/>
              <w:rPr>
                <w:rFonts w:eastAsia="Calibri"/>
                <w:sz w:val="20"/>
                <w:szCs w:val="20"/>
              </w:rPr>
            </w:pPr>
            <w:r w:rsidRPr="007E6A6A">
              <w:rPr>
                <w:rFonts w:eastAsia="Calibri"/>
                <w:sz w:val="20"/>
                <w:szCs w:val="20"/>
              </w:rPr>
              <w:t>February 9, 2012</w:t>
            </w:r>
          </w:p>
          <w:p w:rsidR="008B528E" w:rsidRPr="007E6A6A" w:rsidRDefault="008B528E" w:rsidP="00C14D8A">
            <w:pPr>
              <w:jc w:val="both"/>
              <w:rPr>
                <w:rFonts w:eastAsia="Calibri"/>
                <w:sz w:val="20"/>
                <w:szCs w:val="20"/>
              </w:rPr>
            </w:pPr>
            <w:r w:rsidRPr="007E6A6A">
              <w:rPr>
                <w:rFonts w:eastAsia="Calibri"/>
                <w:sz w:val="20"/>
                <w:szCs w:val="20"/>
              </w:rPr>
              <w:t>Supreme Court of Canada</w:t>
            </w:r>
          </w:p>
        </w:tc>
        <w:tc>
          <w:tcPr>
            <w:tcW w:w="243" w:type="pct"/>
          </w:tcPr>
          <w:p w:rsidR="008B528E" w:rsidRPr="007E6A6A" w:rsidRDefault="008B528E" w:rsidP="00C14D8A">
            <w:pPr>
              <w:jc w:val="both"/>
              <w:rPr>
                <w:rFonts w:eastAsia="Calibri"/>
                <w:sz w:val="20"/>
                <w:szCs w:val="20"/>
              </w:rPr>
            </w:pPr>
          </w:p>
        </w:tc>
        <w:tc>
          <w:tcPr>
            <w:tcW w:w="2330" w:type="pct"/>
          </w:tcPr>
          <w:p w:rsidR="008B528E" w:rsidRPr="007E6A6A" w:rsidRDefault="008B528E" w:rsidP="00C14D8A">
            <w:pPr>
              <w:jc w:val="both"/>
              <w:rPr>
                <w:rFonts w:eastAsia="Calibri"/>
                <w:sz w:val="20"/>
                <w:szCs w:val="20"/>
              </w:rPr>
            </w:pPr>
            <w:r w:rsidRPr="007E6A6A">
              <w:rPr>
                <w:rFonts w:eastAsia="Calibri"/>
                <w:sz w:val="20"/>
                <w:szCs w:val="20"/>
              </w:rPr>
              <w:t>Application for leave to appeal filed</w:t>
            </w:r>
          </w:p>
          <w:p w:rsidR="008B528E" w:rsidRPr="007E6A6A" w:rsidRDefault="008B528E" w:rsidP="00C14D8A">
            <w:pPr>
              <w:jc w:val="both"/>
              <w:rPr>
                <w:rFonts w:eastAsia="Calibri"/>
                <w:sz w:val="20"/>
                <w:szCs w:val="20"/>
              </w:rPr>
            </w:pPr>
          </w:p>
        </w:tc>
      </w:tr>
    </w:tbl>
    <w:p w:rsidR="00F83F5A" w:rsidRPr="00C50A5C" w:rsidRDefault="00F83F5A" w:rsidP="00F83F5A">
      <w:pPr>
        <w:rPr>
          <w:sz w:val="20"/>
          <w:szCs w:val="20"/>
        </w:rPr>
      </w:pPr>
    </w:p>
    <w:p w:rsidR="00F83F5A" w:rsidRPr="00C50A5C" w:rsidRDefault="00ED3438" w:rsidP="00F83F5A">
      <w:pPr>
        <w:rPr>
          <w:sz w:val="20"/>
          <w:szCs w:val="20"/>
        </w:rPr>
      </w:pPr>
      <w:r w:rsidRPr="00ED3438">
        <w:rPr>
          <w:sz w:val="20"/>
          <w:szCs w:val="20"/>
          <w:lang w:val="fr-CA"/>
        </w:rPr>
        <w:pict>
          <v:rect id="_x0000_i1049" style="width:2in;height:1pt" o:hrpct="0" o:hralign="center" o:hrstd="t" o:hrnoshade="t" o:hr="t" fillcolor="black [3213]" stroked="f"/>
        </w:pict>
      </w:r>
    </w:p>
    <w:p w:rsidR="00F83F5A" w:rsidRDefault="00F83F5A" w:rsidP="00F83F5A">
      <w:pPr>
        <w:rPr>
          <w:sz w:val="20"/>
          <w:szCs w:val="20"/>
        </w:rPr>
      </w:pPr>
    </w:p>
    <w:p w:rsidR="00F83F5A" w:rsidRPr="001B157C" w:rsidRDefault="00F83F5A" w:rsidP="00F83F5A">
      <w:pPr>
        <w:rPr>
          <w:sz w:val="20"/>
          <w:szCs w:val="20"/>
          <w:u w:val="single"/>
          <w:lang w:val="fr-CA"/>
        </w:rPr>
      </w:pPr>
      <w:r w:rsidRPr="001B157C">
        <w:rPr>
          <w:sz w:val="20"/>
          <w:szCs w:val="20"/>
          <w:u w:val="single"/>
          <w:lang w:val="fr-CA"/>
        </w:rPr>
        <w:t>RÉSUMÉ DE L’AFFAIRE</w:t>
      </w:r>
    </w:p>
    <w:p w:rsidR="00F83F5A" w:rsidRDefault="00F83F5A" w:rsidP="00F83F5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B528E" w:rsidRPr="00017BF4" w:rsidTr="00C14D8A">
        <w:tc>
          <w:tcPr>
            <w:tcW w:w="5000" w:type="pct"/>
            <w:gridSpan w:val="3"/>
          </w:tcPr>
          <w:p w:rsidR="008B528E" w:rsidRPr="007E6A6A" w:rsidRDefault="008B528E" w:rsidP="00C14D8A">
            <w:pPr>
              <w:jc w:val="both"/>
              <w:rPr>
                <w:rFonts w:eastAsia="Calibri"/>
                <w:sz w:val="20"/>
                <w:szCs w:val="20"/>
                <w:lang w:val="fr-FR"/>
              </w:rPr>
            </w:pPr>
            <w:r w:rsidRPr="007E6A6A">
              <w:rPr>
                <w:rFonts w:eastAsia="Calibri"/>
                <w:sz w:val="20"/>
                <w:szCs w:val="20"/>
                <w:lang w:val="fr-FR"/>
              </w:rPr>
              <w:t xml:space="preserve">Législation – Interprétation – Relations de travail - Régime d’accréditation autonome avec critères législatifs de reconnaissance d’agent négociateur unique dans le domaine des services aux enfants en difficulté – Capacité de représenter à la fois « les familles d’accueil et les ressources intermédiaires » – Règle du guichet fermé après le dépôt d’une demande valide - Première demande d’une fédération de familles d’accueil – Deuxième demande d’une association hybride – Troisième demande d’un syndicat dans les heures qui suivent le désistement du premier postulant – Légalité de la première demande en jeu aux fins de décider si le guichet était fermé pour le second postulant ou pour le troisième – Les critères du régime législatif spécifique en cause excluent-ils l’application du régime général du  </w:t>
            </w:r>
            <w:r w:rsidRPr="007E6A6A">
              <w:rPr>
                <w:rFonts w:eastAsia="Calibri"/>
                <w:i/>
                <w:sz w:val="20"/>
                <w:szCs w:val="20"/>
                <w:lang w:val="fr-FR"/>
              </w:rPr>
              <w:t>Code du travail</w:t>
            </w:r>
            <w:r w:rsidRPr="007E6A6A">
              <w:rPr>
                <w:rFonts w:eastAsia="Calibri"/>
                <w:sz w:val="20"/>
                <w:szCs w:val="20"/>
                <w:lang w:val="fr-FR"/>
              </w:rPr>
              <w:t xml:space="preserve">, L.R.Q. ch. C-27? - Les critères du régime législatif spécifique permettent-ils la représentation d’un groupe mixte par une seule de ses deux composantes? - </w:t>
            </w:r>
            <w:r w:rsidRPr="007E6A6A">
              <w:rPr>
                <w:rFonts w:eastAsia="Calibri"/>
                <w:i/>
                <w:sz w:val="20"/>
                <w:szCs w:val="20"/>
                <w:lang w:val="fr-FR"/>
              </w:rPr>
              <w:t>Loi sur la représentation des ressources de type familial et de certaines ressources intermédiaires et sur le régime de négociation d'une entente collective les concernant</w:t>
            </w:r>
            <w:r w:rsidRPr="007E6A6A">
              <w:rPr>
                <w:rFonts w:eastAsia="Calibri"/>
                <w:sz w:val="20"/>
                <w:szCs w:val="20"/>
                <w:lang w:val="fr-FR"/>
              </w:rPr>
              <w:t>, L.R.Q. ch. 24.0.2, art. 4, 5, 59, 61.</w:t>
            </w:r>
          </w:p>
        </w:tc>
      </w:tr>
      <w:tr w:rsidR="008B528E" w:rsidRPr="00017BF4" w:rsidTr="00C14D8A">
        <w:tc>
          <w:tcPr>
            <w:tcW w:w="5000" w:type="pct"/>
            <w:gridSpan w:val="3"/>
          </w:tcPr>
          <w:p w:rsidR="008B528E" w:rsidRPr="007E6A6A" w:rsidRDefault="008B528E" w:rsidP="00C14D8A">
            <w:pPr>
              <w:jc w:val="both"/>
              <w:rPr>
                <w:rFonts w:eastAsia="Calibri"/>
                <w:sz w:val="20"/>
                <w:szCs w:val="20"/>
                <w:lang w:val="fr-FR"/>
              </w:rPr>
            </w:pPr>
          </w:p>
        </w:tc>
      </w:tr>
      <w:tr w:rsidR="008B528E" w:rsidRPr="00017BF4" w:rsidTr="00C14D8A">
        <w:tc>
          <w:tcPr>
            <w:tcW w:w="5000" w:type="pct"/>
            <w:gridSpan w:val="3"/>
          </w:tcPr>
          <w:p w:rsidR="008B528E" w:rsidRPr="007E6A6A" w:rsidRDefault="008B528E" w:rsidP="00C14D8A">
            <w:pPr>
              <w:jc w:val="both"/>
              <w:rPr>
                <w:rFonts w:eastAsia="Calibri"/>
                <w:sz w:val="20"/>
                <w:szCs w:val="20"/>
                <w:lang w:val="fr-FR"/>
              </w:rPr>
            </w:pPr>
            <w:r w:rsidRPr="007E6A6A">
              <w:rPr>
                <w:rFonts w:eastAsia="Calibri"/>
                <w:sz w:val="20"/>
                <w:szCs w:val="20"/>
                <w:lang w:val="fr-FR"/>
              </w:rPr>
              <w:t>Le 16 juillet 2009, la Fédération des familles d’accueil régionale dépose, auprès de la Commission des relations de travail, une demande de reconnaissance afin de représenter, auprès du Centre jeunesse de la Mauricie et du Centre-du-Québec, "les familles d'accueil destinées aux enfants". Le 24 août suivant, l'Association démocratique des ressources à l’enfance dépose une demande pour représenter "toutes les familles d'accueil et les ressources intermédiaires destinées aux enfants"; elle est informée qu’une demande précédente rend la sienne irrecevable. La Fédération se désiste le 28 octobre; dans les heures qui suivent, l’Union locale dépose une demande. L’Association allègue que la demande de la Fédération était illégale à cause de l’incapacité de cette dernière de représenter les ressources selon les diverses exigences de la loi.</w:t>
            </w:r>
          </w:p>
          <w:p w:rsidR="008B528E" w:rsidRPr="007E6A6A" w:rsidRDefault="008B528E" w:rsidP="00C14D8A">
            <w:pPr>
              <w:jc w:val="both"/>
              <w:rPr>
                <w:rFonts w:eastAsia="Calibri"/>
                <w:sz w:val="20"/>
                <w:szCs w:val="20"/>
                <w:lang w:val="fr-FR"/>
              </w:rPr>
            </w:pPr>
          </w:p>
        </w:tc>
      </w:tr>
      <w:tr w:rsidR="008B528E" w:rsidRPr="00017BF4" w:rsidTr="00C14D8A">
        <w:tc>
          <w:tcPr>
            <w:tcW w:w="2427" w:type="pct"/>
          </w:tcPr>
          <w:p w:rsidR="008B528E" w:rsidRPr="007E6A6A" w:rsidRDefault="008B528E" w:rsidP="00C14D8A">
            <w:pPr>
              <w:jc w:val="both"/>
              <w:rPr>
                <w:rFonts w:eastAsia="Calibri"/>
                <w:sz w:val="20"/>
                <w:szCs w:val="20"/>
                <w:lang w:val="fr-FR"/>
              </w:rPr>
            </w:pPr>
            <w:r w:rsidRPr="007E6A6A">
              <w:rPr>
                <w:rFonts w:eastAsia="Calibri"/>
                <w:sz w:val="20"/>
                <w:szCs w:val="20"/>
                <w:lang w:val="fr-FR"/>
              </w:rPr>
              <w:t>Le 29 octobre 2009</w:t>
            </w:r>
          </w:p>
          <w:p w:rsidR="008B528E" w:rsidRPr="007E6A6A" w:rsidRDefault="008B528E" w:rsidP="00C14D8A">
            <w:pPr>
              <w:jc w:val="both"/>
              <w:rPr>
                <w:rFonts w:eastAsia="Calibri"/>
                <w:sz w:val="20"/>
                <w:szCs w:val="20"/>
                <w:lang w:val="fr-FR"/>
              </w:rPr>
            </w:pPr>
            <w:r w:rsidRPr="007E6A6A">
              <w:rPr>
                <w:rFonts w:eastAsia="Calibri"/>
                <w:sz w:val="20"/>
                <w:szCs w:val="20"/>
                <w:lang w:val="fr-FR"/>
              </w:rPr>
              <w:t>Commission des relations du travail</w:t>
            </w:r>
          </w:p>
          <w:p w:rsidR="008B528E" w:rsidRPr="007E6A6A" w:rsidRDefault="008B528E" w:rsidP="00C14D8A">
            <w:pPr>
              <w:jc w:val="both"/>
              <w:rPr>
                <w:rFonts w:eastAsia="Calibri"/>
                <w:sz w:val="20"/>
                <w:szCs w:val="20"/>
              </w:rPr>
            </w:pPr>
            <w:r w:rsidRPr="007E6A6A">
              <w:rPr>
                <w:rFonts w:eastAsia="Calibri"/>
                <w:sz w:val="20"/>
                <w:szCs w:val="20"/>
              </w:rPr>
              <w:t xml:space="preserve">(La </w:t>
            </w:r>
            <w:proofErr w:type="spellStart"/>
            <w:r w:rsidRPr="007E6A6A">
              <w:rPr>
                <w:rFonts w:eastAsia="Calibri"/>
                <w:sz w:val="20"/>
                <w:szCs w:val="20"/>
              </w:rPr>
              <w:t>commissaire</w:t>
            </w:r>
            <w:proofErr w:type="spellEnd"/>
            <w:r w:rsidRPr="007E6A6A">
              <w:rPr>
                <w:rFonts w:eastAsia="Calibri"/>
                <w:sz w:val="20"/>
                <w:szCs w:val="20"/>
              </w:rPr>
              <w:t xml:space="preserve"> Morin)</w:t>
            </w:r>
          </w:p>
        </w:tc>
        <w:tc>
          <w:tcPr>
            <w:tcW w:w="243" w:type="pct"/>
          </w:tcPr>
          <w:p w:rsidR="008B528E" w:rsidRPr="007E6A6A" w:rsidRDefault="008B528E" w:rsidP="00C14D8A">
            <w:pPr>
              <w:jc w:val="both"/>
              <w:rPr>
                <w:rFonts w:eastAsia="Calibri"/>
                <w:sz w:val="20"/>
                <w:szCs w:val="20"/>
              </w:rPr>
            </w:pPr>
          </w:p>
        </w:tc>
        <w:tc>
          <w:tcPr>
            <w:tcW w:w="2330" w:type="pct"/>
          </w:tcPr>
          <w:p w:rsidR="008B528E" w:rsidRPr="007E6A6A" w:rsidRDefault="008B528E" w:rsidP="00C14D8A">
            <w:pPr>
              <w:jc w:val="both"/>
              <w:rPr>
                <w:rFonts w:eastAsia="Calibri"/>
                <w:sz w:val="20"/>
                <w:szCs w:val="20"/>
                <w:lang w:val="fr-FR"/>
              </w:rPr>
            </w:pPr>
            <w:r w:rsidRPr="007E6A6A">
              <w:rPr>
                <w:rFonts w:eastAsia="Calibri"/>
                <w:sz w:val="20"/>
                <w:szCs w:val="20"/>
                <w:lang w:val="fr-FR"/>
              </w:rPr>
              <w:t>Déclaration de validité de la demande de la Fédération par addition des ressources intermédiaires dans son libellé.</w:t>
            </w:r>
          </w:p>
          <w:p w:rsidR="008B528E" w:rsidRPr="007E6A6A" w:rsidRDefault="008B528E" w:rsidP="00C14D8A">
            <w:pPr>
              <w:jc w:val="both"/>
              <w:rPr>
                <w:rFonts w:eastAsia="Calibri"/>
                <w:sz w:val="20"/>
                <w:szCs w:val="20"/>
                <w:lang w:val="fr-FR"/>
              </w:rPr>
            </w:pPr>
          </w:p>
        </w:tc>
      </w:tr>
      <w:tr w:rsidR="008B528E" w:rsidRPr="00017BF4" w:rsidTr="002E1046">
        <w:trPr>
          <w:cantSplit/>
        </w:trPr>
        <w:tc>
          <w:tcPr>
            <w:tcW w:w="2427" w:type="pct"/>
          </w:tcPr>
          <w:p w:rsidR="008B528E" w:rsidRPr="007E6A6A" w:rsidRDefault="008B528E" w:rsidP="00C14D8A">
            <w:pPr>
              <w:jc w:val="both"/>
              <w:rPr>
                <w:rFonts w:eastAsia="Calibri"/>
                <w:sz w:val="20"/>
                <w:szCs w:val="20"/>
                <w:lang w:val="fr-FR"/>
              </w:rPr>
            </w:pPr>
            <w:r w:rsidRPr="007E6A6A">
              <w:rPr>
                <w:rFonts w:eastAsia="Calibri"/>
                <w:sz w:val="20"/>
                <w:szCs w:val="20"/>
                <w:lang w:val="fr-FR"/>
              </w:rPr>
              <w:t>Le 28 juillet 2010</w:t>
            </w:r>
          </w:p>
          <w:p w:rsidR="008B528E" w:rsidRPr="007E6A6A" w:rsidRDefault="008B528E" w:rsidP="00C14D8A">
            <w:pPr>
              <w:jc w:val="both"/>
              <w:rPr>
                <w:rFonts w:eastAsia="Calibri"/>
                <w:sz w:val="20"/>
                <w:szCs w:val="20"/>
                <w:lang w:val="fr-FR"/>
              </w:rPr>
            </w:pPr>
            <w:r w:rsidRPr="007E6A6A">
              <w:rPr>
                <w:rFonts w:eastAsia="Calibri"/>
                <w:sz w:val="20"/>
                <w:szCs w:val="20"/>
                <w:lang w:val="fr-FR"/>
              </w:rPr>
              <w:t>Cour supérieure du Québec</w:t>
            </w:r>
          </w:p>
          <w:p w:rsidR="008B528E" w:rsidRPr="007E6A6A" w:rsidRDefault="008B528E" w:rsidP="00C14D8A">
            <w:pPr>
              <w:jc w:val="both"/>
              <w:rPr>
                <w:rFonts w:eastAsia="Calibri"/>
                <w:sz w:val="20"/>
                <w:szCs w:val="20"/>
                <w:lang w:val="fr-FR"/>
              </w:rPr>
            </w:pPr>
            <w:r w:rsidRPr="007E6A6A">
              <w:rPr>
                <w:rFonts w:eastAsia="Calibri"/>
                <w:sz w:val="20"/>
                <w:szCs w:val="20"/>
                <w:lang w:val="fr-FR"/>
              </w:rPr>
              <w:t xml:space="preserve">(Le juge </w:t>
            </w:r>
            <w:proofErr w:type="spellStart"/>
            <w:r w:rsidRPr="007E6A6A">
              <w:rPr>
                <w:rFonts w:eastAsia="Calibri"/>
                <w:sz w:val="20"/>
                <w:szCs w:val="20"/>
                <w:lang w:val="fr-FR"/>
              </w:rPr>
              <w:t>Huot</w:t>
            </w:r>
            <w:proofErr w:type="spellEnd"/>
            <w:r w:rsidRPr="007E6A6A">
              <w:rPr>
                <w:rFonts w:eastAsia="Calibri"/>
                <w:sz w:val="20"/>
                <w:szCs w:val="20"/>
                <w:lang w:val="fr-FR"/>
              </w:rPr>
              <w:t>)</w:t>
            </w:r>
          </w:p>
          <w:p w:rsidR="008B528E" w:rsidRPr="007E6A6A" w:rsidRDefault="008B528E" w:rsidP="00C14D8A">
            <w:pPr>
              <w:jc w:val="both"/>
              <w:rPr>
                <w:rFonts w:eastAsia="Calibri"/>
                <w:sz w:val="20"/>
                <w:szCs w:val="20"/>
                <w:lang w:val="fr-FR"/>
              </w:rPr>
            </w:pPr>
            <w:r w:rsidRPr="007E6A6A">
              <w:rPr>
                <w:rFonts w:eastAsia="Calibri"/>
                <w:sz w:val="20"/>
                <w:szCs w:val="20"/>
                <w:lang w:val="fr-FR"/>
              </w:rPr>
              <w:t>Référence neutre : 2010 QCCS 3392</w:t>
            </w:r>
          </w:p>
          <w:p w:rsidR="008B528E" w:rsidRPr="007E6A6A" w:rsidRDefault="008B528E" w:rsidP="00C14D8A">
            <w:pPr>
              <w:jc w:val="both"/>
              <w:rPr>
                <w:rFonts w:eastAsia="Calibri"/>
                <w:sz w:val="20"/>
                <w:szCs w:val="20"/>
                <w:lang w:val="fr-FR"/>
              </w:rPr>
            </w:pPr>
          </w:p>
        </w:tc>
        <w:tc>
          <w:tcPr>
            <w:tcW w:w="243" w:type="pct"/>
          </w:tcPr>
          <w:p w:rsidR="008B528E" w:rsidRPr="007E6A6A" w:rsidRDefault="008B528E" w:rsidP="00C14D8A">
            <w:pPr>
              <w:jc w:val="both"/>
              <w:rPr>
                <w:rFonts w:eastAsia="Calibri"/>
                <w:sz w:val="20"/>
                <w:szCs w:val="20"/>
                <w:lang w:val="fr-FR"/>
              </w:rPr>
            </w:pPr>
          </w:p>
        </w:tc>
        <w:tc>
          <w:tcPr>
            <w:tcW w:w="2330" w:type="pct"/>
          </w:tcPr>
          <w:p w:rsidR="008B528E" w:rsidRPr="007E6A6A" w:rsidRDefault="008B528E" w:rsidP="00C14D8A">
            <w:pPr>
              <w:jc w:val="both"/>
              <w:rPr>
                <w:rFonts w:eastAsia="Calibri"/>
                <w:sz w:val="20"/>
                <w:szCs w:val="20"/>
                <w:lang w:val="fr-FR"/>
              </w:rPr>
            </w:pPr>
            <w:r w:rsidRPr="007E6A6A">
              <w:rPr>
                <w:rFonts w:eastAsia="Calibri"/>
                <w:sz w:val="20"/>
                <w:szCs w:val="20"/>
                <w:lang w:val="fr-FR"/>
              </w:rPr>
              <w:t>Décision de la CRT renversée en contrôle judiciaire; déclaration d’illégalité de la demande de la Fédération ; rejet des interventions de la Fédération et de l’Union.</w:t>
            </w:r>
          </w:p>
        </w:tc>
      </w:tr>
      <w:tr w:rsidR="008B528E" w:rsidRPr="00017BF4" w:rsidTr="002E1046">
        <w:trPr>
          <w:cantSplit/>
        </w:trPr>
        <w:tc>
          <w:tcPr>
            <w:tcW w:w="2427" w:type="pct"/>
          </w:tcPr>
          <w:p w:rsidR="008B528E" w:rsidRPr="007E6A6A" w:rsidRDefault="008B528E" w:rsidP="00C14D8A">
            <w:pPr>
              <w:jc w:val="both"/>
              <w:rPr>
                <w:rFonts w:eastAsia="Calibri"/>
                <w:sz w:val="20"/>
                <w:szCs w:val="20"/>
                <w:lang w:val="fr-FR"/>
              </w:rPr>
            </w:pPr>
            <w:r w:rsidRPr="007E6A6A">
              <w:rPr>
                <w:rFonts w:eastAsia="Calibri"/>
                <w:sz w:val="20"/>
                <w:szCs w:val="20"/>
                <w:lang w:val="fr-FR"/>
              </w:rPr>
              <w:t>Le 21 décembre 2011</w:t>
            </w:r>
          </w:p>
          <w:p w:rsidR="008B528E" w:rsidRPr="007E6A6A" w:rsidRDefault="008B528E" w:rsidP="00C14D8A">
            <w:pPr>
              <w:jc w:val="both"/>
              <w:rPr>
                <w:rFonts w:eastAsia="Calibri"/>
                <w:sz w:val="20"/>
                <w:szCs w:val="20"/>
                <w:lang w:val="fr-FR"/>
              </w:rPr>
            </w:pPr>
            <w:r w:rsidRPr="007E6A6A">
              <w:rPr>
                <w:rFonts w:eastAsia="Calibri"/>
                <w:sz w:val="20"/>
                <w:szCs w:val="20"/>
                <w:lang w:val="fr-FR"/>
              </w:rPr>
              <w:t>Cour d’appel du Québec (Québec)</w:t>
            </w:r>
          </w:p>
          <w:p w:rsidR="008B528E" w:rsidRPr="007E6A6A" w:rsidRDefault="008B528E" w:rsidP="00C14D8A">
            <w:pPr>
              <w:jc w:val="both"/>
              <w:rPr>
                <w:rFonts w:eastAsia="Calibri"/>
                <w:sz w:val="20"/>
                <w:szCs w:val="20"/>
                <w:lang w:val="fr-FR"/>
              </w:rPr>
            </w:pPr>
            <w:r w:rsidRPr="007E6A6A">
              <w:rPr>
                <w:rFonts w:eastAsia="Calibri"/>
                <w:sz w:val="20"/>
                <w:szCs w:val="20"/>
                <w:lang w:val="fr-FR"/>
              </w:rPr>
              <w:t xml:space="preserve">(Les juges </w:t>
            </w:r>
            <w:proofErr w:type="spellStart"/>
            <w:r w:rsidRPr="007E6A6A">
              <w:rPr>
                <w:rFonts w:eastAsia="Calibri"/>
                <w:sz w:val="20"/>
                <w:szCs w:val="20"/>
                <w:lang w:val="fr-FR"/>
              </w:rPr>
              <w:t>Bich</w:t>
            </w:r>
            <w:proofErr w:type="spellEnd"/>
            <w:r w:rsidRPr="007E6A6A">
              <w:rPr>
                <w:rFonts w:eastAsia="Calibri"/>
                <w:sz w:val="20"/>
                <w:szCs w:val="20"/>
                <w:lang w:val="fr-FR"/>
              </w:rPr>
              <w:t xml:space="preserve">, </w:t>
            </w:r>
            <w:proofErr w:type="spellStart"/>
            <w:r w:rsidRPr="007E6A6A">
              <w:rPr>
                <w:rFonts w:eastAsia="Calibri"/>
                <w:sz w:val="20"/>
                <w:szCs w:val="20"/>
                <w:lang w:val="fr-FR"/>
              </w:rPr>
              <w:t>Kasirer</w:t>
            </w:r>
            <w:proofErr w:type="spellEnd"/>
            <w:r w:rsidRPr="007E6A6A">
              <w:rPr>
                <w:rFonts w:eastAsia="Calibri"/>
                <w:sz w:val="20"/>
                <w:szCs w:val="20"/>
                <w:lang w:val="fr-FR"/>
              </w:rPr>
              <w:t xml:space="preserve"> et Gagnon)</w:t>
            </w:r>
          </w:p>
          <w:p w:rsidR="008B528E" w:rsidRPr="007E6A6A" w:rsidRDefault="008B528E" w:rsidP="00C14D8A">
            <w:pPr>
              <w:jc w:val="both"/>
              <w:rPr>
                <w:rFonts w:eastAsia="Calibri"/>
                <w:sz w:val="20"/>
                <w:szCs w:val="20"/>
              </w:rPr>
            </w:pPr>
            <w:proofErr w:type="spellStart"/>
            <w:r w:rsidRPr="007E6A6A">
              <w:rPr>
                <w:rFonts w:eastAsia="Calibri"/>
                <w:sz w:val="20"/>
                <w:szCs w:val="20"/>
              </w:rPr>
              <w:t>Référence</w:t>
            </w:r>
            <w:proofErr w:type="spellEnd"/>
            <w:r w:rsidRPr="007E6A6A">
              <w:rPr>
                <w:rFonts w:eastAsia="Calibri"/>
                <w:sz w:val="20"/>
                <w:szCs w:val="20"/>
              </w:rPr>
              <w:t xml:space="preserve"> </w:t>
            </w:r>
            <w:proofErr w:type="spellStart"/>
            <w:r w:rsidRPr="007E6A6A">
              <w:rPr>
                <w:rFonts w:eastAsia="Calibri"/>
                <w:sz w:val="20"/>
                <w:szCs w:val="20"/>
              </w:rPr>
              <w:t>neutre</w:t>
            </w:r>
            <w:proofErr w:type="spellEnd"/>
            <w:r w:rsidRPr="007E6A6A">
              <w:rPr>
                <w:rFonts w:eastAsia="Calibri"/>
                <w:sz w:val="20"/>
                <w:szCs w:val="20"/>
              </w:rPr>
              <w:t xml:space="preserve"> : 2011 QCCA 2383</w:t>
            </w:r>
          </w:p>
          <w:p w:rsidR="008B528E" w:rsidRPr="007E6A6A" w:rsidRDefault="008B528E" w:rsidP="00C14D8A">
            <w:pPr>
              <w:jc w:val="both"/>
              <w:rPr>
                <w:rFonts w:eastAsia="Calibri"/>
                <w:sz w:val="20"/>
                <w:szCs w:val="20"/>
                <w:lang w:val="fr-FR"/>
              </w:rPr>
            </w:pPr>
          </w:p>
        </w:tc>
        <w:tc>
          <w:tcPr>
            <w:tcW w:w="243" w:type="pct"/>
          </w:tcPr>
          <w:p w:rsidR="008B528E" w:rsidRPr="007E6A6A" w:rsidRDefault="008B528E" w:rsidP="00C14D8A">
            <w:pPr>
              <w:jc w:val="both"/>
              <w:rPr>
                <w:rFonts w:eastAsia="Calibri"/>
                <w:sz w:val="20"/>
                <w:szCs w:val="20"/>
                <w:lang w:val="fr-FR"/>
              </w:rPr>
            </w:pPr>
          </w:p>
        </w:tc>
        <w:tc>
          <w:tcPr>
            <w:tcW w:w="2330" w:type="pct"/>
          </w:tcPr>
          <w:p w:rsidR="008B528E" w:rsidRPr="007E6A6A" w:rsidRDefault="008B528E" w:rsidP="00C14D8A">
            <w:pPr>
              <w:jc w:val="both"/>
              <w:rPr>
                <w:rFonts w:eastAsia="Calibri"/>
                <w:sz w:val="20"/>
                <w:szCs w:val="20"/>
                <w:lang w:val="fr-FR"/>
              </w:rPr>
            </w:pPr>
            <w:r w:rsidRPr="007E6A6A">
              <w:rPr>
                <w:rFonts w:eastAsia="Calibri"/>
                <w:sz w:val="20"/>
                <w:szCs w:val="20"/>
                <w:lang w:val="fr-FR"/>
              </w:rPr>
              <w:t>Appel accueilli; intérêt de la Fédération et de l’Union déclaré; décision de la CRT rétablie.</w:t>
            </w:r>
          </w:p>
        </w:tc>
      </w:tr>
      <w:tr w:rsidR="008B528E" w:rsidRPr="007E6A6A" w:rsidTr="002E1046">
        <w:trPr>
          <w:cantSplit/>
        </w:trPr>
        <w:tc>
          <w:tcPr>
            <w:tcW w:w="2427" w:type="pct"/>
          </w:tcPr>
          <w:p w:rsidR="008B528E" w:rsidRPr="007E6A6A" w:rsidRDefault="008B528E" w:rsidP="00C14D8A">
            <w:pPr>
              <w:jc w:val="both"/>
              <w:rPr>
                <w:rFonts w:eastAsia="Calibri"/>
                <w:sz w:val="20"/>
                <w:szCs w:val="20"/>
                <w:lang w:val="fr-CA"/>
              </w:rPr>
            </w:pPr>
            <w:r w:rsidRPr="007E6A6A">
              <w:rPr>
                <w:rFonts w:eastAsia="Calibri"/>
                <w:sz w:val="20"/>
                <w:szCs w:val="20"/>
                <w:lang w:val="fr-CA"/>
              </w:rPr>
              <w:t>Le 9 février 2012</w:t>
            </w:r>
          </w:p>
          <w:p w:rsidR="008B528E" w:rsidRPr="007E6A6A" w:rsidRDefault="008B528E" w:rsidP="00C14D8A">
            <w:pPr>
              <w:jc w:val="both"/>
              <w:rPr>
                <w:rFonts w:eastAsia="Calibri"/>
                <w:sz w:val="20"/>
                <w:szCs w:val="20"/>
                <w:lang w:val="fr-CA"/>
              </w:rPr>
            </w:pPr>
            <w:r w:rsidRPr="007E6A6A">
              <w:rPr>
                <w:rFonts w:eastAsia="Calibri"/>
                <w:sz w:val="20"/>
                <w:szCs w:val="20"/>
                <w:lang w:val="fr-CA"/>
              </w:rPr>
              <w:t>Cour suprême du Canada</w:t>
            </w:r>
          </w:p>
        </w:tc>
        <w:tc>
          <w:tcPr>
            <w:tcW w:w="243" w:type="pct"/>
          </w:tcPr>
          <w:p w:rsidR="008B528E" w:rsidRPr="007E6A6A" w:rsidRDefault="008B528E" w:rsidP="00C14D8A">
            <w:pPr>
              <w:jc w:val="both"/>
              <w:rPr>
                <w:rFonts w:eastAsia="Calibri"/>
                <w:sz w:val="20"/>
                <w:szCs w:val="20"/>
                <w:lang w:val="fr-CA"/>
              </w:rPr>
            </w:pPr>
          </w:p>
        </w:tc>
        <w:tc>
          <w:tcPr>
            <w:tcW w:w="2330" w:type="pct"/>
          </w:tcPr>
          <w:p w:rsidR="008B528E" w:rsidRPr="007E6A6A" w:rsidRDefault="008B528E" w:rsidP="00C14D8A">
            <w:pPr>
              <w:jc w:val="both"/>
              <w:rPr>
                <w:rFonts w:eastAsia="Calibri"/>
                <w:sz w:val="20"/>
                <w:szCs w:val="20"/>
              </w:rPr>
            </w:pPr>
            <w:proofErr w:type="spellStart"/>
            <w:r w:rsidRPr="007E6A6A">
              <w:rPr>
                <w:rFonts w:eastAsia="Calibri"/>
                <w:sz w:val="20"/>
                <w:szCs w:val="20"/>
              </w:rPr>
              <w:t>Demande</w:t>
            </w:r>
            <w:proofErr w:type="spellEnd"/>
            <w:r w:rsidRPr="007E6A6A">
              <w:rPr>
                <w:rFonts w:eastAsia="Calibri"/>
                <w:sz w:val="20"/>
                <w:szCs w:val="20"/>
              </w:rPr>
              <w:t xml:space="preserve"> </w:t>
            </w:r>
            <w:proofErr w:type="spellStart"/>
            <w:r w:rsidRPr="007E6A6A">
              <w:rPr>
                <w:rFonts w:eastAsia="Calibri"/>
                <w:sz w:val="20"/>
                <w:szCs w:val="20"/>
              </w:rPr>
              <w:t>d'autorisation</w:t>
            </w:r>
            <w:proofErr w:type="spellEnd"/>
            <w:r w:rsidRPr="007E6A6A">
              <w:rPr>
                <w:rFonts w:eastAsia="Calibri"/>
                <w:sz w:val="20"/>
                <w:szCs w:val="20"/>
              </w:rPr>
              <w:t xml:space="preserve"> </w:t>
            </w:r>
            <w:proofErr w:type="spellStart"/>
            <w:r w:rsidRPr="007E6A6A">
              <w:rPr>
                <w:rFonts w:eastAsia="Calibri"/>
                <w:sz w:val="20"/>
                <w:szCs w:val="20"/>
              </w:rPr>
              <w:t>d'appel</w:t>
            </w:r>
            <w:proofErr w:type="spellEnd"/>
            <w:r w:rsidRPr="007E6A6A">
              <w:rPr>
                <w:rFonts w:eastAsia="Calibri"/>
                <w:sz w:val="20"/>
                <w:szCs w:val="20"/>
              </w:rPr>
              <w:t xml:space="preserve"> </w:t>
            </w:r>
            <w:proofErr w:type="spellStart"/>
            <w:r w:rsidRPr="007E6A6A">
              <w:rPr>
                <w:rFonts w:eastAsia="Calibri"/>
                <w:sz w:val="20"/>
                <w:szCs w:val="20"/>
              </w:rPr>
              <w:t>déposée</w:t>
            </w:r>
            <w:proofErr w:type="spellEnd"/>
            <w:r w:rsidRPr="007E6A6A">
              <w:rPr>
                <w:rFonts w:eastAsia="Calibri"/>
                <w:sz w:val="20"/>
                <w:szCs w:val="20"/>
              </w:rPr>
              <w:t>.</w:t>
            </w:r>
          </w:p>
          <w:p w:rsidR="008B528E" w:rsidRPr="007E6A6A" w:rsidRDefault="008B528E" w:rsidP="00C14D8A">
            <w:pPr>
              <w:jc w:val="both"/>
              <w:rPr>
                <w:rFonts w:eastAsia="Calibri"/>
                <w:sz w:val="20"/>
                <w:szCs w:val="20"/>
              </w:rPr>
            </w:pPr>
          </w:p>
        </w:tc>
      </w:tr>
    </w:tbl>
    <w:p w:rsidR="00F83F5A" w:rsidRDefault="00F83F5A" w:rsidP="00F83F5A">
      <w:pPr>
        <w:rPr>
          <w:sz w:val="20"/>
          <w:szCs w:val="20"/>
        </w:rPr>
      </w:pPr>
    </w:p>
    <w:p w:rsidR="00F83F5A" w:rsidRDefault="00ED3438" w:rsidP="00F83F5A">
      <w:pPr>
        <w:rPr>
          <w:sz w:val="20"/>
          <w:szCs w:val="20"/>
        </w:rPr>
      </w:pPr>
      <w:r w:rsidRPr="00ED3438">
        <w:rPr>
          <w:sz w:val="20"/>
          <w:szCs w:val="20"/>
          <w:lang w:val="fr-CA"/>
        </w:rPr>
        <w:pict>
          <v:rect id="_x0000_i1050" style="width:2in;height:1pt" o:hrpct="0" o:hralign="center" o:hrstd="t" o:hrnoshade="t" o:hr="t" fillcolor="black [3213]" stroked="f"/>
        </w:pict>
      </w:r>
    </w:p>
    <w:p w:rsidR="00F83F5A" w:rsidRDefault="00F83F5A" w:rsidP="00F83F5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B275D" w:rsidRPr="0047561F" w:rsidTr="00B60060">
        <w:trPr>
          <w:cantSplit/>
        </w:trPr>
        <w:tc>
          <w:tcPr>
            <w:tcW w:w="1458" w:type="dxa"/>
          </w:tcPr>
          <w:p w:rsidR="00FB275D" w:rsidRPr="0047561F" w:rsidRDefault="00FB275D" w:rsidP="00B60060">
            <w:pPr>
              <w:rPr>
                <w:sz w:val="20"/>
                <w:szCs w:val="20"/>
              </w:rPr>
            </w:pPr>
            <w:r w:rsidRPr="0047561F">
              <w:rPr>
                <w:rStyle w:val="SCCFileNumberChar"/>
                <w:sz w:val="20"/>
                <w:szCs w:val="20"/>
              </w:rPr>
              <w:t>34674</w:t>
            </w:r>
          </w:p>
          <w:p w:rsidR="00FB275D" w:rsidRPr="0047561F" w:rsidRDefault="00FB275D" w:rsidP="00B60060">
            <w:pPr>
              <w:rPr>
                <w:b/>
                <w:sz w:val="20"/>
                <w:szCs w:val="20"/>
                <w:lang w:val="fr-CA"/>
              </w:rPr>
            </w:pPr>
          </w:p>
        </w:tc>
        <w:tc>
          <w:tcPr>
            <w:tcW w:w="8118" w:type="dxa"/>
          </w:tcPr>
          <w:p w:rsidR="00FB275D" w:rsidRPr="0047561F" w:rsidRDefault="00FB275D" w:rsidP="00B60060">
            <w:pPr>
              <w:rPr>
                <w:sz w:val="20"/>
                <w:szCs w:val="20"/>
              </w:rPr>
            </w:pPr>
            <w:r w:rsidRPr="0047561F">
              <w:rPr>
                <w:rStyle w:val="SCCLsocChar"/>
                <w:sz w:val="20"/>
                <w:szCs w:val="20"/>
              </w:rPr>
              <w:t xml:space="preserve">Madeleine </w:t>
            </w:r>
            <w:proofErr w:type="spellStart"/>
            <w:r w:rsidRPr="0047561F">
              <w:rPr>
                <w:rStyle w:val="SCCLsocChar"/>
                <w:sz w:val="20"/>
                <w:szCs w:val="20"/>
              </w:rPr>
              <w:t>Grandchamp</w:t>
            </w:r>
            <w:proofErr w:type="spellEnd"/>
            <w:r w:rsidRPr="0047561F">
              <w:rPr>
                <w:rStyle w:val="SCCLsocChar"/>
                <w:sz w:val="20"/>
                <w:szCs w:val="20"/>
              </w:rPr>
              <w:t xml:space="preserve"> c. </w:t>
            </w:r>
            <w:proofErr w:type="spellStart"/>
            <w:r w:rsidRPr="0047561F">
              <w:rPr>
                <w:rStyle w:val="SCCLsocChar"/>
                <w:sz w:val="20"/>
                <w:szCs w:val="20"/>
              </w:rPr>
              <w:t>Transamerica</w:t>
            </w:r>
            <w:proofErr w:type="spellEnd"/>
            <w:r w:rsidRPr="0047561F">
              <w:rPr>
                <w:rStyle w:val="SCCLsocChar"/>
                <w:sz w:val="20"/>
                <w:szCs w:val="20"/>
              </w:rPr>
              <w:t xml:space="preserve"> Vie Canada</w:t>
            </w:r>
            <w:r w:rsidRPr="0047561F">
              <w:rPr>
                <w:sz w:val="20"/>
                <w:szCs w:val="20"/>
              </w:rPr>
              <w:t xml:space="preserve"> (Qc) (</w:t>
            </w:r>
            <w:proofErr w:type="spellStart"/>
            <w:r w:rsidRPr="0047561F">
              <w:rPr>
                <w:sz w:val="20"/>
                <w:szCs w:val="20"/>
              </w:rPr>
              <w:t>Civile</w:t>
            </w:r>
            <w:proofErr w:type="spellEnd"/>
            <w:r w:rsidRPr="0047561F">
              <w:rPr>
                <w:sz w:val="20"/>
                <w:szCs w:val="20"/>
              </w:rPr>
              <w:t>) (</w:t>
            </w:r>
            <w:proofErr w:type="spellStart"/>
            <w:r w:rsidRPr="0047561F">
              <w:rPr>
                <w:sz w:val="20"/>
                <w:szCs w:val="20"/>
              </w:rPr>
              <w:t>Autorisation</w:t>
            </w:r>
            <w:proofErr w:type="spellEnd"/>
            <w:r w:rsidRPr="0047561F">
              <w:rPr>
                <w:sz w:val="20"/>
                <w:szCs w:val="20"/>
              </w:rPr>
              <w:t>)</w:t>
            </w:r>
          </w:p>
          <w:p w:rsidR="00FB275D" w:rsidRPr="0047561F" w:rsidRDefault="00FB275D" w:rsidP="00B60060">
            <w:pPr>
              <w:rPr>
                <w:sz w:val="20"/>
                <w:szCs w:val="20"/>
              </w:rPr>
            </w:pPr>
          </w:p>
        </w:tc>
      </w:tr>
      <w:tr w:rsidR="00FB275D" w:rsidRPr="00017BF4" w:rsidTr="00B60060">
        <w:trPr>
          <w:cantSplit/>
        </w:trPr>
        <w:tc>
          <w:tcPr>
            <w:tcW w:w="1458" w:type="dxa"/>
          </w:tcPr>
          <w:p w:rsidR="00FB275D" w:rsidRPr="0047561F" w:rsidRDefault="00FB275D" w:rsidP="00B60060">
            <w:pPr>
              <w:rPr>
                <w:sz w:val="20"/>
                <w:szCs w:val="20"/>
              </w:rPr>
            </w:pPr>
            <w:r w:rsidRPr="0047561F">
              <w:rPr>
                <w:sz w:val="20"/>
                <w:szCs w:val="20"/>
              </w:rPr>
              <w:t>Coram :</w:t>
            </w:r>
          </w:p>
        </w:tc>
        <w:tc>
          <w:tcPr>
            <w:tcW w:w="8118" w:type="dxa"/>
          </w:tcPr>
          <w:p w:rsidR="00FB275D" w:rsidRPr="0047561F" w:rsidRDefault="00FB275D" w:rsidP="00B60060">
            <w:pPr>
              <w:rPr>
                <w:sz w:val="20"/>
                <w:szCs w:val="20"/>
                <w:lang w:val="fr-CA"/>
              </w:rPr>
            </w:pPr>
            <w:r w:rsidRPr="0047561F">
              <w:rPr>
                <w:rStyle w:val="SCCCoramChar"/>
                <w:sz w:val="20"/>
                <w:szCs w:val="20"/>
              </w:rPr>
              <w:t xml:space="preserve">Les juges </w:t>
            </w:r>
            <w:proofErr w:type="spellStart"/>
            <w:r w:rsidRPr="0047561F">
              <w:rPr>
                <w:rStyle w:val="SCCCoramChar"/>
                <w:sz w:val="20"/>
                <w:szCs w:val="20"/>
              </w:rPr>
              <w:t>LeBel</w:t>
            </w:r>
            <w:proofErr w:type="spellEnd"/>
            <w:r w:rsidRPr="0047561F">
              <w:rPr>
                <w:rStyle w:val="SCCCoramChar"/>
                <w:sz w:val="20"/>
                <w:szCs w:val="20"/>
              </w:rPr>
              <w:t>, Abella et Cromwell</w:t>
            </w:r>
          </w:p>
          <w:p w:rsidR="00FB275D" w:rsidRPr="0047561F" w:rsidRDefault="00FB275D" w:rsidP="00B60060">
            <w:pPr>
              <w:rPr>
                <w:sz w:val="20"/>
                <w:szCs w:val="20"/>
                <w:u w:val="single"/>
                <w:lang w:val="fr-CA"/>
              </w:rPr>
            </w:pPr>
          </w:p>
        </w:tc>
      </w:tr>
      <w:tr w:rsidR="00FB275D" w:rsidRPr="0047561F" w:rsidTr="00B60060">
        <w:trPr>
          <w:cantSplit/>
        </w:trPr>
        <w:tc>
          <w:tcPr>
            <w:tcW w:w="9576" w:type="dxa"/>
            <w:gridSpan w:val="2"/>
          </w:tcPr>
          <w:p w:rsidR="00FB275D" w:rsidRPr="0047561F" w:rsidRDefault="00FB275D" w:rsidP="00B60060">
            <w:pPr>
              <w:pStyle w:val="SCCShortJudgment"/>
              <w:rPr>
                <w:szCs w:val="20"/>
                <w:lang w:val="fr-CA"/>
              </w:rPr>
            </w:pPr>
            <w:r w:rsidRPr="0047561F">
              <w:rPr>
                <w:szCs w:val="20"/>
                <w:lang w:val="fr-CA"/>
              </w:rPr>
              <w:t>La demande d’autorisation d’appel de l’arrêt de la Cour d’appel du Québec (Montréal), numéro 500-09-020686-101, 2011 QCCA 2391, daté du 22 décembre 2011, est rejetée sans dépens.</w:t>
            </w:r>
          </w:p>
          <w:p w:rsidR="00FB275D" w:rsidRPr="0047561F" w:rsidRDefault="00FB275D" w:rsidP="00B60060">
            <w:pPr>
              <w:pStyle w:val="SCCShortJudgment"/>
              <w:ind w:firstLine="0"/>
              <w:rPr>
                <w:szCs w:val="20"/>
                <w:lang w:val="fr-CA"/>
              </w:rPr>
            </w:pPr>
          </w:p>
          <w:p w:rsidR="00FB275D" w:rsidRPr="0047561F" w:rsidRDefault="00FB275D" w:rsidP="00B60060">
            <w:pPr>
              <w:pStyle w:val="SCCShortJudgment"/>
              <w:rPr>
                <w:szCs w:val="20"/>
              </w:rPr>
            </w:pPr>
            <w:r w:rsidRPr="0047561F">
              <w:rPr>
                <w:szCs w:val="20"/>
              </w:rPr>
              <w:t>The application for leave to appeal from the judgment of the Court of Appeal of Quebec (Montréal), Number 500-09-020686-101, 2011 QCCA 2391, dated December 22, 2011, is dismissed without costs.</w:t>
            </w:r>
          </w:p>
        </w:tc>
      </w:tr>
    </w:tbl>
    <w:p w:rsidR="00F83F5A" w:rsidRPr="00FB275D" w:rsidRDefault="00F83F5A" w:rsidP="00F83F5A">
      <w:pPr>
        <w:rPr>
          <w:sz w:val="20"/>
          <w:szCs w:val="20"/>
        </w:rPr>
      </w:pPr>
    </w:p>
    <w:p w:rsidR="00F83F5A" w:rsidRPr="001B157C" w:rsidRDefault="00F83F5A" w:rsidP="00F83F5A">
      <w:pPr>
        <w:rPr>
          <w:sz w:val="20"/>
          <w:szCs w:val="20"/>
          <w:u w:val="single"/>
        </w:rPr>
      </w:pPr>
      <w:r w:rsidRPr="001B157C">
        <w:rPr>
          <w:sz w:val="20"/>
          <w:szCs w:val="20"/>
          <w:u w:val="single"/>
        </w:rPr>
        <w:t>CASE SUMMARY</w:t>
      </w:r>
    </w:p>
    <w:p w:rsidR="00F83F5A" w:rsidRDefault="00F83F5A" w:rsidP="00F83F5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B528E" w:rsidRPr="007E6A6A" w:rsidTr="00C14D8A">
        <w:tc>
          <w:tcPr>
            <w:tcW w:w="5000" w:type="pct"/>
            <w:gridSpan w:val="3"/>
          </w:tcPr>
          <w:p w:rsidR="008B528E" w:rsidRPr="007E6A6A" w:rsidRDefault="008B528E" w:rsidP="00C14D8A">
            <w:pPr>
              <w:jc w:val="both"/>
              <w:rPr>
                <w:rFonts w:eastAsia="Calibri"/>
                <w:sz w:val="20"/>
                <w:szCs w:val="20"/>
              </w:rPr>
            </w:pPr>
            <w:r w:rsidRPr="007E6A6A">
              <w:rPr>
                <w:rFonts w:eastAsia="Calibri"/>
                <w:sz w:val="20"/>
                <w:szCs w:val="20"/>
              </w:rPr>
              <w:t xml:space="preserve">Insurance — Personal insurance — Disability insurance contract — Cost of living adjustment rider — Interpretation of rider — Whether principles of contract interpretation based on provisions of </w:t>
            </w:r>
            <w:r w:rsidRPr="007E6A6A">
              <w:rPr>
                <w:rFonts w:eastAsia="Calibri"/>
                <w:i/>
                <w:sz w:val="20"/>
                <w:szCs w:val="20"/>
              </w:rPr>
              <w:t>Civil Code of Québec</w:t>
            </w:r>
            <w:r w:rsidRPr="007E6A6A">
              <w:rPr>
                <w:rFonts w:eastAsia="Calibri"/>
                <w:sz w:val="20"/>
                <w:szCs w:val="20"/>
              </w:rPr>
              <w:t>, S.Q. 1991, c. 64, were complied with — Whether Court of Appeal erred in failing to analyse and take account of marketing guide — Whether trial judge’s analysis and conclusion concerning clauses of cost of living adjustment rider were illogical.</w:t>
            </w:r>
          </w:p>
        </w:tc>
      </w:tr>
      <w:tr w:rsidR="008B528E" w:rsidRPr="007E6A6A" w:rsidTr="00C14D8A">
        <w:tc>
          <w:tcPr>
            <w:tcW w:w="5000" w:type="pct"/>
            <w:gridSpan w:val="3"/>
          </w:tcPr>
          <w:p w:rsidR="008B528E" w:rsidRPr="007E6A6A" w:rsidRDefault="008B528E" w:rsidP="00C14D8A">
            <w:pPr>
              <w:jc w:val="both"/>
              <w:rPr>
                <w:rFonts w:eastAsia="Calibri"/>
                <w:sz w:val="20"/>
                <w:szCs w:val="20"/>
              </w:rPr>
            </w:pPr>
          </w:p>
        </w:tc>
      </w:tr>
      <w:tr w:rsidR="008B528E" w:rsidRPr="007E6A6A" w:rsidTr="00C14D8A">
        <w:tc>
          <w:tcPr>
            <w:tcW w:w="5000" w:type="pct"/>
            <w:gridSpan w:val="3"/>
          </w:tcPr>
          <w:p w:rsidR="008B528E" w:rsidRPr="007E6A6A" w:rsidRDefault="008B528E" w:rsidP="00C14D8A">
            <w:pPr>
              <w:jc w:val="both"/>
              <w:rPr>
                <w:rFonts w:eastAsia="Calibri"/>
                <w:sz w:val="20"/>
                <w:szCs w:val="20"/>
              </w:rPr>
            </w:pPr>
            <w:r w:rsidRPr="007E6A6A">
              <w:rPr>
                <w:rFonts w:eastAsia="Calibri"/>
                <w:sz w:val="20"/>
                <w:szCs w:val="20"/>
              </w:rPr>
              <w:t>Ms. </w:t>
            </w:r>
            <w:proofErr w:type="spellStart"/>
            <w:r w:rsidRPr="007E6A6A">
              <w:rPr>
                <w:rFonts w:eastAsia="Calibri"/>
                <w:sz w:val="20"/>
                <w:szCs w:val="20"/>
              </w:rPr>
              <w:t>Grandchamp</w:t>
            </w:r>
            <w:proofErr w:type="spellEnd"/>
            <w:r w:rsidRPr="007E6A6A">
              <w:rPr>
                <w:rFonts w:eastAsia="Calibri"/>
                <w:sz w:val="20"/>
                <w:szCs w:val="20"/>
              </w:rPr>
              <w:t xml:space="preserve"> has been receiving disability insurance benefits since 2006 under an insurance policy issued by NN Life Insurance Company of Canada.  The respondent Transamerica Life Canada is the successor to that company.  As the policy provided in cases of total disability, Ms. </w:t>
            </w:r>
            <w:proofErr w:type="spellStart"/>
            <w:r w:rsidRPr="007E6A6A">
              <w:rPr>
                <w:rFonts w:eastAsia="Calibri"/>
                <w:sz w:val="20"/>
                <w:szCs w:val="20"/>
              </w:rPr>
              <w:t>Grandchamp</w:t>
            </w:r>
            <w:proofErr w:type="spellEnd"/>
            <w:r w:rsidRPr="007E6A6A">
              <w:rPr>
                <w:rFonts w:eastAsia="Calibri"/>
                <w:sz w:val="20"/>
                <w:szCs w:val="20"/>
              </w:rPr>
              <w:t xml:space="preserve"> began receiving a monthly benefit of $2,800 following a 30</w:t>
            </w:r>
            <w:r w:rsidRPr="007E6A6A">
              <w:rPr>
                <w:rFonts w:eastAsia="Calibri"/>
                <w:sz w:val="20"/>
                <w:szCs w:val="20"/>
              </w:rPr>
              <w:noBreakHyphen/>
              <w:t>day waiting period.  On February 21, 2007, the first anniversary of the beginning of the disability, the benefit was adjusted in accordance with a policy rider.  The interpretation of that [</w:t>
            </w:r>
            <w:r w:rsidRPr="007E6A6A">
              <w:rPr>
                <w:rFonts w:eastAsia="Calibri"/>
                <w:smallCaps/>
                <w:sz w:val="20"/>
                <w:szCs w:val="20"/>
              </w:rPr>
              <w:t>translation</w:t>
            </w:r>
            <w:r w:rsidRPr="007E6A6A">
              <w:rPr>
                <w:rFonts w:eastAsia="Calibri"/>
                <w:sz w:val="20"/>
                <w:szCs w:val="20"/>
              </w:rPr>
              <w:t>] “10% cost of living adjustment rider” is what is in issue in this case.  According to Ms. </w:t>
            </w:r>
            <w:proofErr w:type="spellStart"/>
            <w:r w:rsidRPr="007E6A6A">
              <w:rPr>
                <w:rFonts w:eastAsia="Calibri"/>
                <w:sz w:val="20"/>
                <w:szCs w:val="20"/>
              </w:rPr>
              <w:t>Grandchamp</w:t>
            </w:r>
            <w:proofErr w:type="spellEnd"/>
            <w:r w:rsidRPr="007E6A6A">
              <w:rPr>
                <w:rFonts w:eastAsia="Calibri"/>
                <w:sz w:val="20"/>
                <w:szCs w:val="20"/>
              </w:rPr>
              <w:t>, the rider provides for an annual compound indexed increase in her benefits of a minimum of 4% a year.  According to the respondent, after the first anniversary, the increase must instead be calculated on the basis of the consumer price index in effect on the date the disability began.  Because of the parties’ disagreement, Ms. </w:t>
            </w:r>
            <w:proofErr w:type="spellStart"/>
            <w:r w:rsidRPr="007E6A6A">
              <w:rPr>
                <w:rFonts w:eastAsia="Calibri"/>
                <w:sz w:val="20"/>
                <w:szCs w:val="20"/>
              </w:rPr>
              <w:t>Grandchamp</w:t>
            </w:r>
            <w:proofErr w:type="spellEnd"/>
            <w:r w:rsidRPr="007E6A6A">
              <w:rPr>
                <w:rFonts w:eastAsia="Calibri"/>
                <w:sz w:val="20"/>
                <w:szCs w:val="20"/>
              </w:rPr>
              <w:t xml:space="preserve"> brought a motion for a declaratory judgment in the Superior Court to have the rider interpreted.</w:t>
            </w:r>
          </w:p>
          <w:p w:rsidR="008B528E" w:rsidRPr="007E6A6A" w:rsidRDefault="008B528E" w:rsidP="00C14D8A">
            <w:pPr>
              <w:jc w:val="both"/>
              <w:rPr>
                <w:rFonts w:eastAsia="Calibri"/>
                <w:sz w:val="20"/>
                <w:szCs w:val="20"/>
              </w:rPr>
            </w:pPr>
          </w:p>
        </w:tc>
      </w:tr>
      <w:tr w:rsidR="008B528E" w:rsidRPr="007E6A6A" w:rsidTr="00C14D8A">
        <w:tc>
          <w:tcPr>
            <w:tcW w:w="2427" w:type="pct"/>
          </w:tcPr>
          <w:p w:rsidR="008B528E" w:rsidRPr="007E6A6A" w:rsidRDefault="008B528E" w:rsidP="00C14D8A">
            <w:pPr>
              <w:jc w:val="both"/>
              <w:rPr>
                <w:rFonts w:eastAsia="Calibri"/>
                <w:sz w:val="20"/>
                <w:szCs w:val="20"/>
              </w:rPr>
            </w:pPr>
            <w:r w:rsidRPr="007E6A6A">
              <w:rPr>
                <w:rFonts w:eastAsia="Calibri"/>
                <w:sz w:val="20"/>
                <w:szCs w:val="20"/>
              </w:rPr>
              <w:t>April 23, 2010</w:t>
            </w:r>
          </w:p>
          <w:p w:rsidR="008B528E" w:rsidRPr="007E6A6A" w:rsidRDefault="008B528E" w:rsidP="00C14D8A">
            <w:pPr>
              <w:jc w:val="both"/>
              <w:rPr>
                <w:rFonts w:eastAsia="Calibri"/>
                <w:sz w:val="20"/>
                <w:szCs w:val="20"/>
              </w:rPr>
            </w:pPr>
            <w:r w:rsidRPr="007E6A6A">
              <w:rPr>
                <w:rFonts w:eastAsia="Calibri"/>
                <w:sz w:val="20"/>
                <w:szCs w:val="20"/>
              </w:rPr>
              <w:t>Quebec Superior Court</w:t>
            </w:r>
          </w:p>
          <w:p w:rsidR="008B528E" w:rsidRPr="007E6A6A" w:rsidRDefault="008B528E" w:rsidP="00C14D8A">
            <w:pPr>
              <w:jc w:val="both"/>
              <w:rPr>
                <w:rFonts w:eastAsia="Calibri"/>
                <w:sz w:val="20"/>
                <w:szCs w:val="20"/>
              </w:rPr>
            </w:pPr>
            <w:r w:rsidRPr="007E6A6A">
              <w:rPr>
                <w:rFonts w:eastAsia="Calibri"/>
                <w:sz w:val="20"/>
                <w:szCs w:val="20"/>
              </w:rPr>
              <w:t>(</w:t>
            </w:r>
            <w:proofErr w:type="spellStart"/>
            <w:r w:rsidRPr="007E6A6A">
              <w:rPr>
                <w:rFonts w:eastAsia="Calibri"/>
                <w:sz w:val="20"/>
                <w:szCs w:val="20"/>
              </w:rPr>
              <w:t>Dallaire</w:t>
            </w:r>
            <w:proofErr w:type="spellEnd"/>
            <w:r w:rsidRPr="007E6A6A">
              <w:rPr>
                <w:rFonts w:eastAsia="Calibri"/>
                <w:sz w:val="20"/>
                <w:szCs w:val="20"/>
              </w:rPr>
              <w:t xml:space="preserve"> J.)</w:t>
            </w:r>
          </w:p>
          <w:p w:rsidR="008B528E" w:rsidRPr="007E6A6A" w:rsidRDefault="008B528E" w:rsidP="00C14D8A">
            <w:pPr>
              <w:jc w:val="both"/>
              <w:rPr>
                <w:rFonts w:eastAsia="Calibri"/>
                <w:sz w:val="20"/>
                <w:szCs w:val="20"/>
              </w:rPr>
            </w:pPr>
            <w:r w:rsidRPr="007E6A6A">
              <w:rPr>
                <w:rFonts w:eastAsia="Calibri"/>
                <w:sz w:val="20"/>
                <w:szCs w:val="20"/>
              </w:rPr>
              <w:t>Neutral citation: 2010 QCCS 1809</w:t>
            </w:r>
          </w:p>
          <w:p w:rsidR="008B528E" w:rsidRPr="007E6A6A" w:rsidRDefault="008B528E" w:rsidP="00C14D8A">
            <w:pPr>
              <w:jc w:val="both"/>
              <w:rPr>
                <w:rFonts w:eastAsia="Calibri"/>
                <w:sz w:val="20"/>
                <w:szCs w:val="20"/>
              </w:rPr>
            </w:pPr>
          </w:p>
        </w:tc>
        <w:tc>
          <w:tcPr>
            <w:tcW w:w="243" w:type="pct"/>
          </w:tcPr>
          <w:p w:rsidR="008B528E" w:rsidRPr="007E6A6A" w:rsidRDefault="008B528E" w:rsidP="00C14D8A">
            <w:pPr>
              <w:jc w:val="both"/>
              <w:rPr>
                <w:rFonts w:eastAsia="Calibri"/>
                <w:sz w:val="20"/>
                <w:szCs w:val="20"/>
              </w:rPr>
            </w:pPr>
          </w:p>
        </w:tc>
        <w:tc>
          <w:tcPr>
            <w:tcW w:w="2330" w:type="pct"/>
          </w:tcPr>
          <w:p w:rsidR="008B528E" w:rsidRPr="007E6A6A" w:rsidRDefault="008B528E" w:rsidP="00C14D8A">
            <w:pPr>
              <w:jc w:val="both"/>
              <w:rPr>
                <w:rFonts w:eastAsia="Calibri"/>
                <w:sz w:val="20"/>
                <w:szCs w:val="20"/>
              </w:rPr>
            </w:pPr>
            <w:r w:rsidRPr="007E6A6A">
              <w:rPr>
                <w:rFonts w:eastAsia="Calibri"/>
                <w:sz w:val="20"/>
                <w:szCs w:val="20"/>
              </w:rPr>
              <w:t>Motion for declaratory judgment allowed</w:t>
            </w:r>
          </w:p>
          <w:p w:rsidR="008B528E" w:rsidRPr="007E6A6A" w:rsidRDefault="008B528E" w:rsidP="00C14D8A">
            <w:pPr>
              <w:jc w:val="both"/>
              <w:rPr>
                <w:rFonts w:eastAsia="Calibri"/>
                <w:sz w:val="20"/>
                <w:szCs w:val="20"/>
              </w:rPr>
            </w:pPr>
          </w:p>
        </w:tc>
      </w:tr>
      <w:tr w:rsidR="008B528E" w:rsidRPr="007E6A6A" w:rsidTr="005703FF">
        <w:trPr>
          <w:cantSplit/>
        </w:trPr>
        <w:tc>
          <w:tcPr>
            <w:tcW w:w="2427" w:type="pct"/>
          </w:tcPr>
          <w:p w:rsidR="008B528E" w:rsidRPr="007E6A6A" w:rsidRDefault="008B528E" w:rsidP="00C14D8A">
            <w:pPr>
              <w:jc w:val="both"/>
              <w:rPr>
                <w:rFonts w:eastAsia="Calibri"/>
                <w:sz w:val="20"/>
                <w:szCs w:val="20"/>
              </w:rPr>
            </w:pPr>
            <w:r w:rsidRPr="007E6A6A">
              <w:rPr>
                <w:rFonts w:eastAsia="Calibri"/>
                <w:sz w:val="20"/>
                <w:szCs w:val="20"/>
              </w:rPr>
              <w:t>December 22, 2011</w:t>
            </w:r>
          </w:p>
          <w:p w:rsidR="008B528E" w:rsidRPr="007E6A6A" w:rsidRDefault="008B528E" w:rsidP="00C14D8A">
            <w:pPr>
              <w:jc w:val="both"/>
              <w:rPr>
                <w:rFonts w:eastAsia="Calibri"/>
                <w:sz w:val="20"/>
                <w:szCs w:val="20"/>
              </w:rPr>
            </w:pPr>
            <w:r w:rsidRPr="007E6A6A">
              <w:rPr>
                <w:rFonts w:eastAsia="Calibri"/>
                <w:sz w:val="20"/>
                <w:szCs w:val="20"/>
              </w:rPr>
              <w:t xml:space="preserve">Quebec Court of Appeal (Montréal) </w:t>
            </w:r>
          </w:p>
          <w:p w:rsidR="008B528E" w:rsidRPr="007E6A6A" w:rsidRDefault="008B528E" w:rsidP="00C14D8A">
            <w:pPr>
              <w:jc w:val="both"/>
              <w:rPr>
                <w:rFonts w:eastAsia="Calibri"/>
                <w:sz w:val="20"/>
                <w:szCs w:val="20"/>
              </w:rPr>
            </w:pPr>
            <w:r w:rsidRPr="007E6A6A">
              <w:rPr>
                <w:rFonts w:eastAsia="Calibri"/>
                <w:sz w:val="20"/>
                <w:szCs w:val="20"/>
              </w:rPr>
              <w:t xml:space="preserve">(Beauregard, </w:t>
            </w:r>
            <w:proofErr w:type="spellStart"/>
            <w:r w:rsidRPr="007E6A6A">
              <w:rPr>
                <w:rFonts w:eastAsia="Calibri"/>
                <w:sz w:val="20"/>
                <w:szCs w:val="20"/>
              </w:rPr>
              <w:t>Rochette</w:t>
            </w:r>
            <w:proofErr w:type="spellEnd"/>
            <w:r w:rsidRPr="007E6A6A">
              <w:rPr>
                <w:rFonts w:eastAsia="Calibri"/>
                <w:sz w:val="20"/>
                <w:szCs w:val="20"/>
              </w:rPr>
              <w:t xml:space="preserve"> and Giroux JJ.A.)</w:t>
            </w:r>
          </w:p>
          <w:p w:rsidR="008B528E" w:rsidRPr="007E6A6A" w:rsidRDefault="008B528E" w:rsidP="00C14D8A">
            <w:pPr>
              <w:jc w:val="both"/>
              <w:rPr>
                <w:rFonts w:eastAsia="Calibri"/>
                <w:sz w:val="20"/>
                <w:szCs w:val="20"/>
              </w:rPr>
            </w:pPr>
            <w:r w:rsidRPr="007E6A6A">
              <w:rPr>
                <w:rFonts w:eastAsia="Calibri"/>
                <w:sz w:val="20"/>
                <w:szCs w:val="20"/>
              </w:rPr>
              <w:t>Neutral citation: 2011 QCCA 2391</w:t>
            </w:r>
          </w:p>
          <w:p w:rsidR="008B528E" w:rsidRPr="007E6A6A" w:rsidRDefault="008B528E" w:rsidP="00C14D8A">
            <w:pPr>
              <w:jc w:val="both"/>
              <w:rPr>
                <w:rFonts w:eastAsia="Calibri"/>
                <w:sz w:val="20"/>
                <w:szCs w:val="20"/>
              </w:rPr>
            </w:pPr>
            <w:r w:rsidRPr="007E6A6A">
              <w:rPr>
                <w:rFonts w:eastAsia="Calibri"/>
                <w:sz w:val="20"/>
                <w:szCs w:val="20"/>
              </w:rPr>
              <w:t xml:space="preserve"> </w:t>
            </w:r>
          </w:p>
        </w:tc>
        <w:tc>
          <w:tcPr>
            <w:tcW w:w="243" w:type="pct"/>
          </w:tcPr>
          <w:p w:rsidR="008B528E" w:rsidRPr="007E6A6A" w:rsidRDefault="008B528E" w:rsidP="00C14D8A">
            <w:pPr>
              <w:jc w:val="both"/>
              <w:rPr>
                <w:rFonts w:eastAsia="Calibri"/>
                <w:sz w:val="20"/>
                <w:szCs w:val="20"/>
              </w:rPr>
            </w:pPr>
          </w:p>
        </w:tc>
        <w:tc>
          <w:tcPr>
            <w:tcW w:w="2330" w:type="pct"/>
          </w:tcPr>
          <w:p w:rsidR="008B528E" w:rsidRPr="007E6A6A" w:rsidRDefault="008B528E" w:rsidP="00C14D8A">
            <w:pPr>
              <w:jc w:val="both"/>
              <w:rPr>
                <w:rFonts w:eastAsia="Calibri"/>
                <w:sz w:val="20"/>
                <w:szCs w:val="20"/>
              </w:rPr>
            </w:pPr>
            <w:r w:rsidRPr="007E6A6A">
              <w:rPr>
                <w:rFonts w:eastAsia="Calibri"/>
                <w:sz w:val="20"/>
                <w:szCs w:val="20"/>
              </w:rPr>
              <w:t>Appeal allowed</w:t>
            </w:r>
          </w:p>
        </w:tc>
      </w:tr>
      <w:tr w:rsidR="008B528E" w:rsidRPr="007E6A6A" w:rsidTr="005703FF">
        <w:trPr>
          <w:cantSplit/>
        </w:trPr>
        <w:tc>
          <w:tcPr>
            <w:tcW w:w="2427" w:type="pct"/>
          </w:tcPr>
          <w:p w:rsidR="008B528E" w:rsidRPr="007E6A6A" w:rsidRDefault="008B528E" w:rsidP="00C14D8A">
            <w:pPr>
              <w:jc w:val="both"/>
              <w:rPr>
                <w:rFonts w:eastAsia="Calibri"/>
                <w:sz w:val="20"/>
                <w:szCs w:val="20"/>
              </w:rPr>
            </w:pPr>
            <w:r w:rsidRPr="007E6A6A">
              <w:rPr>
                <w:rFonts w:eastAsia="Calibri"/>
                <w:sz w:val="20"/>
                <w:szCs w:val="20"/>
              </w:rPr>
              <w:t>February 17, 2012</w:t>
            </w:r>
          </w:p>
          <w:p w:rsidR="008B528E" w:rsidRPr="007E6A6A" w:rsidRDefault="008B528E" w:rsidP="00C14D8A">
            <w:pPr>
              <w:jc w:val="both"/>
              <w:rPr>
                <w:rFonts w:eastAsia="Calibri"/>
                <w:sz w:val="20"/>
                <w:szCs w:val="20"/>
              </w:rPr>
            </w:pPr>
            <w:r w:rsidRPr="007E6A6A">
              <w:rPr>
                <w:rFonts w:eastAsia="Calibri"/>
                <w:sz w:val="20"/>
                <w:szCs w:val="20"/>
              </w:rPr>
              <w:t>Supreme Court of Canada</w:t>
            </w:r>
          </w:p>
        </w:tc>
        <w:tc>
          <w:tcPr>
            <w:tcW w:w="243" w:type="pct"/>
          </w:tcPr>
          <w:p w:rsidR="008B528E" w:rsidRPr="007E6A6A" w:rsidRDefault="008B528E" w:rsidP="00C14D8A">
            <w:pPr>
              <w:jc w:val="both"/>
              <w:rPr>
                <w:rFonts w:eastAsia="Calibri"/>
                <w:sz w:val="20"/>
                <w:szCs w:val="20"/>
              </w:rPr>
            </w:pPr>
          </w:p>
        </w:tc>
        <w:tc>
          <w:tcPr>
            <w:tcW w:w="2330" w:type="pct"/>
          </w:tcPr>
          <w:p w:rsidR="008B528E" w:rsidRPr="007E6A6A" w:rsidRDefault="008B528E" w:rsidP="00C14D8A">
            <w:pPr>
              <w:jc w:val="both"/>
              <w:rPr>
                <w:rFonts w:eastAsia="Calibri"/>
                <w:sz w:val="20"/>
                <w:szCs w:val="20"/>
              </w:rPr>
            </w:pPr>
            <w:r w:rsidRPr="007E6A6A">
              <w:rPr>
                <w:rFonts w:eastAsia="Calibri"/>
                <w:sz w:val="20"/>
                <w:szCs w:val="20"/>
              </w:rPr>
              <w:t>Application for leave to appeal filed</w:t>
            </w:r>
          </w:p>
          <w:p w:rsidR="008B528E" w:rsidRPr="007E6A6A" w:rsidRDefault="008B528E" w:rsidP="00C14D8A">
            <w:pPr>
              <w:jc w:val="both"/>
              <w:rPr>
                <w:rFonts w:eastAsia="Calibri"/>
                <w:sz w:val="20"/>
                <w:szCs w:val="20"/>
              </w:rPr>
            </w:pPr>
          </w:p>
        </w:tc>
      </w:tr>
    </w:tbl>
    <w:p w:rsidR="00F83F5A" w:rsidRPr="00C50A5C" w:rsidRDefault="00F83F5A" w:rsidP="00F83F5A">
      <w:pPr>
        <w:rPr>
          <w:sz w:val="20"/>
          <w:szCs w:val="20"/>
        </w:rPr>
      </w:pPr>
    </w:p>
    <w:p w:rsidR="00F83F5A" w:rsidRPr="00C50A5C" w:rsidRDefault="00ED3438" w:rsidP="00F83F5A">
      <w:pPr>
        <w:rPr>
          <w:sz w:val="20"/>
          <w:szCs w:val="20"/>
        </w:rPr>
      </w:pPr>
      <w:r w:rsidRPr="00ED3438">
        <w:rPr>
          <w:sz w:val="20"/>
          <w:szCs w:val="20"/>
          <w:lang w:val="fr-CA"/>
        </w:rPr>
        <w:pict>
          <v:rect id="_x0000_i1051" style="width:2in;height:1pt" o:hrpct="0" o:hralign="center" o:hrstd="t" o:hrnoshade="t" o:hr="t" fillcolor="black [3213]" stroked="f"/>
        </w:pict>
      </w:r>
    </w:p>
    <w:p w:rsidR="00F83F5A" w:rsidRDefault="00F83F5A" w:rsidP="00F83F5A">
      <w:pPr>
        <w:rPr>
          <w:sz w:val="20"/>
          <w:szCs w:val="20"/>
        </w:rPr>
      </w:pPr>
    </w:p>
    <w:p w:rsidR="00F83F5A" w:rsidRPr="001B157C" w:rsidRDefault="00F83F5A" w:rsidP="00F83F5A">
      <w:pPr>
        <w:rPr>
          <w:sz w:val="20"/>
          <w:szCs w:val="20"/>
          <w:u w:val="single"/>
          <w:lang w:val="fr-CA"/>
        </w:rPr>
      </w:pPr>
      <w:r w:rsidRPr="001B157C">
        <w:rPr>
          <w:sz w:val="20"/>
          <w:szCs w:val="20"/>
          <w:u w:val="single"/>
          <w:lang w:val="fr-CA"/>
        </w:rPr>
        <w:t>RÉSUMÉ DE L’AFFAIRE</w:t>
      </w:r>
    </w:p>
    <w:p w:rsidR="00F83F5A" w:rsidRDefault="00F83F5A" w:rsidP="00F83F5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B528E" w:rsidRPr="00017BF4" w:rsidTr="00C14D8A">
        <w:tc>
          <w:tcPr>
            <w:tcW w:w="5000" w:type="pct"/>
            <w:gridSpan w:val="3"/>
          </w:tcPr>
          <w:p w:rsidR="008B528E" w:rsidRPr="007E6A6A" w:rsidRDefault="008B528E" w:rsidP="00C14D8A">
            <w:pPr>
              <w:jc w:val="both"/>
              <w:rPr>
                <w:rFonts w:eastAsia="Calibri"/>
                <w:sz w:val="20"/>
                <w:szCs w:val="20"/>
                <w:lang w:val="fr-CA"/>
              </w:rPr>
            </w:pPr>
            <w:r w:rsidRPr="007E6A6A">
              <w:rPr>
                <w:rFonts w:eastAsia="Calibri"/>
                <w:sz w:val="20"/>
                <w:szCs w:val="20"/>
                <w:lang w:val="fr-CA"/>
              </w:rPr>
              <w:t xml:space="preserve">Assurances — Assurances de personnes — Contrat d’assurance invalidité — Avenant de rajustement selon le coût de la vie — Interprétation de l’avenant — Les principes d’interprétation des contrats selon les dispositions du </w:t>
            </w:r>
            <w:r w:rsidRPr="007E6A6A">
              <w:rPr>
                <w:rFonts w:eastAsia="Calibri"/>
                <w:i/>
                <w:sz w:val="20"/>
                <w:szCs w:val="20"/>
                <w:lang w:val="fr-CA"/>
              </w:rPr>
              <w:t>Code civil du Québec</w:t>
            </w:r>
            <w:r w:rsidRPr="007E6A6A">
              <w:rPr>
                <w:rFonts w:eastAsia="Calibri"/>
                <w:sz w:val="20"/>
                <w:szCs w:val="20"/>
                <w:lang w:val="fr-CA"/>
              </w:rPr>
              <w:t>, L.Q. 1991, ch. 64, ont-ils été respectés? — La Cour d’appel a-t-elle erré en omettant d’analyser et de tenir compte du Guide de marketing? — L’analyse et la conclusion du juge de première instance en regard des clauses de l’avenant de rajustement du coût de la vie étaient-elles illogiques?</w:t>
            </w:r>
          </w:p>
        </w:tc>
      </w:tr>
      <w:tr w:rsidR="008B528E" w:rsidRPr="00017BF4" w:rsidTr="00C14D8A">
        <w:tc>
          <w:tcPr>
            <w:tcW w:w="5000" w:type="pct"/>
            <w:gridSpan w:val="3"/>
          </w:tcPr>
          <w:p w:rsidR="008B528E" w:rsidRPr="007E6A6A" w:rsidRDefault="008B528E" w:rsidP="00C14D8A">
            <w:pPr>
              <w:jc w:val="both"/>
              <w:rPr>
                <w:rFonts w:eastAsia="Calibri"/>
                <w:sz w:val="20"/>
                <w:szCs w:val="20"/>
                <w:lang w:val="fr-CA"/>
              </w:rPr>
            </w:pPr>
          </w:p>
        </w:tc>
      </w:tr>
      <w:tr w:rsidR="008B528E" w:rsidRPr="00017BF4" w:rsidTr="00C14D8A">
        <w:tc>
          <w:tcPr>
            <w:tcW w:w="5000" w:type="pct"/>
            <w:gridSpan w:val="3"/>
          </w:tcPr>
          <w:p w:rsidR="008B528E" w:rsidRPr="007E6A6A" w:rsidRDefault="008B528E" w:rsidP="00C14D8A">
            <w:pPr>
              <w:jc w:val="both"/>
              <w:rPr>
                <w:rFonts w:eastAsia="Calibri"/>
                <w:sz w:val="20"/>
                <w:szCs w:val="20"/>
                <w:lang w:val="fr-CA"/>
              </w:rPr>
            </w:pPr>
            <w:r w:rsidRPr="007E6A6A">
              <w:rPr>
                <w:rFonts w:eastAsia="Calibri"/>
                <w:sz w:val="20"/>
                <w:szCs w:val="20"/>
                <w:lang w:val="fr-CA"/>
              </w:rPr>
              <w:t xml:space="preserve">Mme </w:t>
            </w:r>
            <w:proofErr w:type="spellStart"/>
            <w:r w:rsidRPr="007E6A6A">
              <w:rPr>
                <w:rFonts w:eastAsia="Calibri"/>
                <w:sz w:val="20"/>
                <w:szCs w:val="20"/>
                <w:lang w:val="fr-CA"/>
              </w:rPr>
              <w:t>Grandchamp</w:t>
            </w:r>
            <w:proofErr w:type="spellEnd"/>
            <w:r w:rsidRPr="007E6A6A">
              <w:rPr>
                <w:rFonts w:eastAsia="Calibri"/>
                <w:sz w:val="20"/>
                <w:szCs w:val="20"/>
                <w:lang w:val="fr-CA"/>
              </w:rPr>
              <w:t xml:space="preserve"> reçoit des prestations d’assurance invalidité depuis 2006 aux termes d’une police d’assurance émise par NN Compagnie d’Assurance-vie du Canada. L’intimée </w:t>
            </w:r>
            <w:proofErr w:type="spellStart"/>
            <w:r w:rsidRPr="007E6A6A">
              <w:rPr>
                <w:rFonts w:eastAsia="Calibri"/>
                <w:sz w:val="20"/>
                <w:szCs w:val="20"/>
                <w:lang w:val="fr-CA"/>
              </w:rPr>
              <w:t>Transamerica</w:t>
            </w:r>
            <w:proofErr w:type="spellEnd"/>
            <w:r w:rsidRPr="007E6A6A">
              <w:rPr>
                <w:rFonts w:eastAsia="Calibri"/>
                <w:sz w:val="20"/>
                <w:szCs w:val="20"/>
                <w:lang w:val="fr-CA"/>
              </w:rPr>
              <w:t xml:space="preserve"> Vie Canada est aux droits de cette dernière. Tel que prévu à la police en cas d’invalidité totale, Mme </w:t>
            </w:r>
            <w:proofErr w:type="spellStart"/>
            <w:r w:rsidRPr="007E6A6A">
              <w:rPr>
                <w:rFonts w:eastAsia="Calibri"/>
                <w:sz w:val="20"/>
                <w:szCs w:val="20"/>
                <w:lang w:val="fr-CA"/>
              </w:rPr>
              <w:t>Grandchamp</w:t>
            </w:r>
            <w:proofErr w:type="spellEnd"/>
            <w:r w:rsidRPr="007E6A6A">
              <w:rPr>
                <w:rFonts w:eastAsia="Calibri"/>
                <w:sz w:val="20"/>
                <w:szCs w:val="20"/>
                <w:lang w:val="fr-CA"/>
              </w:rPr>
              <w:t xml:space="preserve"> a commencé à recevoir une prestation mensuelle de 2  800$ après un délai de carence de trente jours. Le 21 février 2007, soit au premier anniversaire du début de l’invalidité, la prestation a été ajustée selon un avenant contenu à la police. C’est l’interprétation de cet « Avenant de rajustement selon le coût de la vie de 10% » qui fait l’objet du présent litige. Selon Mme </w:t>
            </w:r>
            <w:proofErr w:type="spellStart"/>
            <w:r w:rsidRPr="007E6A6A">
              <w:rPr>
                <w:rFonts w:eastAsia="Calibri"/>
                <w:sz w:val="20"/>
                <w:szCs w:val="20"/>
                <w:lang w:val="fr-CA"/>
              </w:rPr>
              <w:t>Grandchamp</w:t>
            </w:r>
            <w:proofErr w:type="spellEnd"/>
            <w:r w:rsidRPr="007E6A6A">
              <w:rPr>
                <w:rFonts w:eastAsia="Calibri"/>
                <w:sz w:val="20"/>
                <w:szCs w:val="20"/>
                <w:lang w:val="fr-CA"/>
              </w:rPr>
              <w:t xml:space="preserve">, l’avenant prévoit une augmentation annuelle indexée et composée de ses prestations d’un minimum de 4% par année. Selon l’intimée, au-delà du premier anniversaire, l’augmentation doit plutôt se calculer en fonction de l’indice des prix à la consommation en vigueur à la date du début de l’invalidité. Compte tenu du désaccord entre les parties, Mme </w:t>
            </w:r>
            <w:proofErr w:type="spellStart"/>
            <w:r w:rsidRPr="007E6A6A">
              <w:rPr>
                <w:rFonts w:eastAsia="Calibri"/>
                <w:sz w:val="20"/>
                <w:szCs w:val="20"/>
                <w:lang w:val="fr-CA"/>
              </w:rPr>
              <w:t>Grandchamp</w:t>
            </w:r>
            <w:proofErr w:type="spellEnd"/>
            <w:r w:rsidRPr="007E6A6A">
              <w:rPr>
                <w:rFonts w:eastAsia="Calibri"/>
                <w:sz w:val="20"/>
                <w:szCs w:val="20"/>
                <w:lang w:val="fr-CA"/>
              </w:rPr>
              <w:t xml:space="preserve"> s’adresse à la Cour supérieure au moyen d’une requête pour jugement déclaratoire afin de faire interpréter l’avenant.</w:t>
            </w:r>
          </w:p>
          <w:p w:rsidR="008B528E" w:rsidRPr="007E6A6A" w:rsidRDefault="008B528E" w:rsidP="00C14D8A">
            <w:pPr>
              <w:jc w:val="both"/>
              <w:rPr>
                <w:rFonts w:eastAsia="Calibri"/>
                <w:sz w:val="20"/>
                <w:szCs w:val="20"/>
                <w:lang w:val="fr-CA"/>
              </w:rPr>
            </w:pPr>
          </w:p>
        </w:tc>
      </w:tr>
      <w:tr w:rsidR="008B528E" w:rsidRPr="007E6A6A" w:rsidTr="00C14D8A">
        <w:tc>
          <w:tcPr>
            <w:tcW w:w="2427" w:type="pct"/>
          </w:tcPr>
          <w:p w:rsidR="008B528E" w:rsidRPr="007E6A6A" w:rsidRDefault="008B528E" w:rsidP="00C14D8A">
            <w:pPr>
              <w:jc w:val="both"/>
              <w:rPr>
                <w:rFonts w:eastAsia="Calibri"/>
                <w:sz w:val="20"/>
                <w:szCs w:val="20"/>
                <w:lang w:val="fr-CA"/>
              </w:rPr>
            </w:pPr>
            <w:r w:rsidRPr="007E6A6A">
              <w:rPr>
                <w:rFonts w:eastAsia="Calibri"/>
                <w:sz w:val="20"/>
                <w:szCs w:val="20"/>
                <w:lang w:val="fr-CA"/>
              </w:rPr>
              <w:t>Le 23 avril 2010</w:t>
            </w:r>
          </w:p>
          <w:p w:rsidR="008B528E" w:rsidRPr="007E6A6A" w:rsidRDefault="008B528E" w:rsidP="00C14D8A">
            <w:pPr>
              <w:jc w:val="both"/>
              <w:rPr>
                <w:rFonts w:eastAsia="Calibri"/>
                <w:sz w:val="20"/>
                <w:szCs w:val="20"/>
                <w:lang w:val="fr-CA"/>
              </w:rPr>
            </w:pPr>
            <w:r w:rsidRPr="007E6A6A">
              <w:rPr>
                <w:rFonts w:eastAsia="Calibri"/>
                <w:sz w:val="20"/>
                <w:szCs w:val="20"/>
                <w:lang w:val="fr-CA"/>
              </w:rPr>
              <w:t>Cour supérieure du Québec</w:t>
            </w:r>
          </w:p>
          <w:p w:rsidR="008B528E" w:rsidRPr="007E6A6A" w:rsidRDefault="008B528E" w:rsidP="00C14D8A">
            <w:pPr>
              <w:jc w:val="both"/>
              <w:rPr>
                <w:rFonts w:eastAsia="Calibri"/>
                <w:sz w:val="20"/>
                <w:szCs w:val="20"/>
                <w:lang w:val="fr-CA"/>
              </w:rPr>
            </w:pPr>
            <w:r w:rsidRPr="007E6A6A">
              <w:rPr>
                <w:rFonts w:eastAsia="Calibri"/>
                <w:sz w:val="20"/>
                <w:szCs w:val="20"/>
                <w:lang w:val="fr-CA"/>
              </w:rPr>
              <w:t xml:space="preserve">(La juge </w:t>
            </w:r>
            <w:proofErr w:type="spellStart"/>
            <w:r w:rsidRPr="007E6A6A">
              <w:rPr>
                <w:rFonts w:eastAsia="Calibri"/>
                <w:sz w:val="20"/>
                <w:szCs w:val="20"/>
                <w:lang w:val="fr-CA"/>
              </w:rPr>
              <w:t>Dallaire</w:t>
            </w:r>
            <w:proofErr w:type="spellEnd"/>
            <w:r w:rsidRPr="007E6A6A">
              <w:rPr>
                <w:rFonts w:eastAsia="Calibri"/>
                <w:sz w:val="20"/>
                <w:szCs w:val="20"/>
                <w:lang w:val="fr-CA"/>
              </w:rPr>
              <w:t>)</w:t>
            </w:r>
          </w:p>
          <w:p w:rsidR="008B528E" w:rsidRPr="007E6A6A" w:rsidRDefault="008B528E" w:rsidP="00C14D8A">
            <w:pPr>
              <w:jc w:val="both"/>
              <w:rPr>
                <w:rFonts w:eastAsia="Calibri"/>
                <w:sz w:val="20"/>
                <w:szCs w:val="20"/>
                <w:lang w:val="fr-CA"/>
              </w:rPr>
            </w:pPr>
            <w:r w:rsidRPr="007E6A6A">
              <w:rPr>
                <w:rFonts w:eastAsia="Calibri"/>
                <w:sz w:val="20"/>
                <w:szCs w:val="20"/>
                <w:lang w:val="fr-CA"/>
              </w:rPr>
              <w:t>Référence neutre : 2010 QCCS 1809</w:t>
            </w:r>
          </w:p>
          <w:p w:rsidR="008B528E" w:rsidRPr="007E6A6A" w:rsidRDefault="008B528E" w:rsidP="00C14D8A">
            <w:pPr>
              <w:jc w:val="both"/>
              <w:rPr>
                <w:rFonts w:eastAsia="Calibri"/>
                <w:sz w:val="20"/>
                <w:szCs w:val="20"/>
                <w:lang w:val="fr-CA"/>
              </w:rPr>
            </w:pPr>
          </w:p>
        </w:tc>
        <w:tc>
          <w:tcPr>
            <w:tcW w:w="243" w:type="pct"/>
          </w:tcPr>
          <w:p w:rsidR="008B528E" w:rsidRPr="007E6A6A" w:rsidRDefault="008B528E" w:rsidP="00C14D8A">
            <w:pPr>
              <w:jc w:val="both"/>
              <w:rPr>
                <w:rFonts w:eastAsia="Calibri"/>
                <w:sz w:val="20"/>
                <w:szCs w:val="20"/>
                <w:lang w:val="fr-CA"/>
              </w:rPr>
            </w:pPr>
          </w:p>
        </w:tc>
        <w:tc>
          <w:tcPr>
            <w:tcW w:w="2330" w:type="pct"/>
          </w:tcPr>
          <w:p w:rsidR="008B528E" w:rsidRPr="007E6A6A" w:rsidRDefault="008B528E" w:rsidP="00C14D8A">
            <w:pPr>
              <w:jc w:val="both"/>
              <w:rPr>
                <w:rFonts w:eastAsia="Calibri"/>
                <w:sz w:val="20"/>
                <w:szCs w:val="20"/>
                <w:lang w:val="fr-CA"/>
              </w:rPr>
            </w:pPr>
            <w:r w:rsidRPr="007E6A6A">
              <w:rPr>
                <w:rFonts w:eastAsia="Calibri"/>
                <w:sz w:val="20"/>
                <w:szCs w:val="20"/>
                <w:lang w:val="fr-CA"/>
              </w:rPr>
              <w:t>Requête en jugement déclaratoire accordée</w:t>
            </w:r>
          </w:p>
          <w:p w:rsidR="008B528E" w:rsidRPr="007E6A6A" w:rsidRDefault="008B528E" w:rsidP="00C14D8A">
            <w:pPr>
              <w:jc w:val="both"/>
              <w:rPr>
                <w:rFonts w:eastAsia="Calibri"/>
                <w:sz w:val="20"/>
                <w:szCs w:val="20"/>
                <w:lang w:val="fr-CA"/>
              </w:rPr>
            </w:pPr>
          </w:p>
        </w:tc>
      </w:tr>
      <w:tr w:rsidR="008B528E" w:rsidRPr="007E6A6A" w:rsidTr="00C14D8A">
        <w:tc>
          <w:tcPr>
            <w:tcW w:w="2427" w:type="pct"/>
          </w:tcPr>
          <w:p w:rsidR="008B528E" w:rsidRPr="007E6A6A" w:rsidRDefault="008B528E" w:rsidP="00C14D8A">
            <w:pPr>
              <w:jc w:val="both"/>
              <w:rPr>
                <w:rFonts w:eastAsia="Calibri"/>
                <w:sz w:val="20"/>
                <w:szCs w:val="20"/>
                <w:lang w:val="fr-CA"/>
              </w:rPr>
            </w:pPr>
            <w:r w:rsidRPr="007E6A6A">
              <w:rPr>
                <w:rFonts w:eastAsia="Calibri"/>
                <w:sz w:val="20"/>
                <w:szCs w:val="20"/>
                <w:lang w:val="fr-CA"/>
              </w:rPr>
              <w:t>Le 22 décembre 2011</w:t>
            </w:r>
          </w:p>
          <w:p w:rsidR="008B528E" w:rsidRPr="007E6A6A" w:rsidRDefault="008B528E" w:rsidP="00C14D8A">
            <w:pPr>
              <w:jc w:val="both"/>
              <w:rPr>
                <w:rFonts w:eastAsia="Calibri"/>
                <w:sz w:val="20"/>
                <w:szCs w:val="20"/>
                <w:lang w:val="fr-CA"/>
              </w:rPr>
            </w:pPr>
            <w:r w:rsidRPr="007E6A6A">
              <w:rPr>
                <w:rFonts w:eastAsia="Calibri"/>
                <w:sz w:val="20"/>
                <w:szCs w:val="20"/>
                <w:lang w:val="fr-CA"/>
              </w:rPr>
              <w:t xml:space="preserve">Cour d’appel du Québec (Montréal) </w:t>
            </w:r>
          </w:p>
          <w:p w:rsidR="008B528E" w:rsidRPr="007E6A6A" w:rsidRDefault="008B528E" w:rsidP="00C14D8A">
            <w:pPr>
              <w:jc w:val="both"/>
              <w:rPr>
                <w:rFonts w:eastAsia="Calibri"/>
                <w:sz w:val="20"/>
                <w:szCs w:val="20"/>
                <w:lang w:val="fr-CA"/>
              </w:rPr>
            </w:pPr>
            <w:r w:rsidRPr="007E6A6A">
              <w:rPr>
                <w:rFonts w:eastAsia="Calibri"/>
                <w:sz w:val="20"/>
                <w:szCs w:val="20"/>
                <w:lang w:val="fr-CA"/>
              </w:rPr>
              <w:t>(Les juges Beauregard, Rochette et Giroux)</w:t>
            </w:r>
          </w:p>
          <w:p w:rsidR="008B528E" w:rsidRPr="007E6A6A" w:rsidRDefault="008B528E" w:rsidP="00C14D8A">
            <w:pPr>
              <w:jc w:val="both"/>
              <w:rPr>
                <w:rFonts w:eastAsia="Calibri"/>
                <w:sz w:val="20"/>
                <w:szCs w:val="20"/>
                <w:lang w:val="fr-CA"/>
              </w:rPr>
            </w:pPr>
            <w:r w:rsidRPr="007E6A6A">
              <w:rPr>
                <w:rFonts w:eastAsia="Calibri"/>
                <w:sz w:val="20"/>
                <w:szCs w:val="20"/>
                <w:lang w:val="fr-CA"/>
              </w:rPr>
              <w:t>Référence neutre : 2011 QCCA 2391</w:t>
            </w:r>
          </w:p>
          <w:p w:rsidR="008B528E" w:rsidRPr="007E6A6A" w:rsidRDefault="008B528E" w:rsidP="00C14D8A">
            <w:pPr>
              <w:jc w:val="both"/>
              <w:rPr>
                <w:rFonts w:eastAsia="Calibri"/>
                <w:sz w:val="20"/>
                <w:szCs w:val="20"/>
                <w:lang w:val="fr-CA"/>
              </w:rPr>
            </w:pPr>
            <w:r w:rsidRPr="007E6A6A">
              <w:rPr>
                <w:rFonts w:eastAsia="Calibri"/>
                <w:sz w:val="20"/>
                <w:szCs w:val="20"/>
                <w:lang w:val="fr-FR"/>
              </w:rPr>
              <w:t xml:space="preserve"> </w:t>
            </w:r>
          </w:p>
        </w:tc>
        <w:tc>
          <w:tcPr>
            <w:tcW w:w="243" w:type="pct"/>
          </w:tcPr>
          <w:p w:rsidR="008B528E" w:rsidRPr="007E6A6A" w:rsidRDefault="008B528E" w:rsidP="00C14D8A">
            <w:pPr>
              <w:jc w:val="both"/>
              <w:rPr>
                <w:rFonts w:eastAsia="Calibri"/>
                <w:sz w:val="20"/>
                <w:szCs w:val="20"/>
                <w:lang w:val="fr-FR"/>
              </w:rPr>
            </w:pPr>
          </w:p>
        </w:tc>
        <w:tc>
          <w:tcPr>
            <w:tcW w:w="2330" w:type="pct"/>
          </w:tcPr>
          <w:p w:rsidR="008B528E" w:rsidRPr="007E6A6A" w:rsidRDefault="008B528E" w:rsidP="00C14D8A">
            <w:pPr>
              <w:jc w:val="both"/>
              <w:rPr>
                <w:rFonts w:eastAsia="Calibri"/>
                <w:sz w:val="20"/>
                <w:szCs w:val="20"/>
                <w:lang w:val="fr-CA"/>
              </w:rPr>
            </w:pPr>
            <w:r w:rsidRPr="007E6A6A">
              <w:rPr>
                <w:rFonts w:eastAsia="Calibri"/>
                <w:sz w:val="20"/>
                <w:szCs w:val="20"/>
                <w:lang w:val="fr-CA"/>
              </w:rPr>
              <w:t>Pourvoi accueilli</w:t>
            </w:r>
          </w:p>
        </w:tc>
      </w:tr>
      <w:tr w:rsidR="008B528E" w:rsidRPr="007E6A6A" w:rsidTr="00C14D8A">
        <w:tc>
          <w:tcPr>
            <w:tcW w:w="2427" w:type="pct"/>
          </w:tcPr>
          <w:p w:rsidR="008B528E" w:rsidRPr="007E6A6A" w:rsidRDefault="008B528E" w:rsidP="00C14D8A">
            <w:pPr>
              <w:jc w:val="both"/>
              <w:rPr>
                <w:rFonts w:eastAsia="Calibri"/>
                <w:sz w:val="20"/>
                <w:szCs w:val="20"/>
                <w:lang w:val="fr-CA"/>
              </w:rPr>
            </w:pPr>
            <w:r w:rsidRPr="007E6A6A">
              <w:rPr>
                <w:rFonts w:eastAsia="Calibri"/>
                <w:sz w:val="20"/>
                <w:szCs w:val="20"/>
                <w:lang w:val="fr-CA"/>
              </w:rPr>
              <w:t>Le 17 février 2012</w:t>
            </w:r>
          </w:p>
          <w:p w:rsidR="008B528E" w:rsidRPr="007E6A6A" w:rsidRDefault="008B528E" w:rsidP="00C14D8A">
            <w:pPr>
              <w:jc w:val="both"/>
              <w:rPr>
                <w:rFonts w:eastAsia="Calibri"/>
                <w:sz w:val="20"/>
                <w:szCs w:val="20"/>
                <w:lang w:val="fr-FR"/>
              </w:rPr>
            </w:pPr>
            <w:r w:rsidRPr="007E6A6A">
              <w:rPr>
                <w:rFonts w:eastAsia="Calibri"/>
                <w:sz w:val="20"/>
                <w:szCs w:val="20"/>
                <w:lang w:val="fr-CA"/>
              </w:rPr>
              <w:t>Cour suprême du Canada</w:t>
            </w:r>
          </w:p>
        </w:tc>
        <w:tc>
          <w:tcPr>
            <w:tcW w:w="243" w:type="pct"/>
          </w:tcPr>
          <w:p w:rsidR="008B528E" w:rsidRPr="007E6A6A" w:rsidRDefault="008B528E" w:rsidP="00C14D8A">
            <w:pPr>
              <w:jc w:val="both"/>
              <w:rPr>
                <w:rFonts w:eastAsia="Calibri"/>
                <w:sz w:val="20"/>
                <w:szCs w:val="20"/>
                <w:lang w:val="fr-FR"/>
              </w:rPr>
            </w:pPr>
          </w:p>
        </w:tc>
        <w:tc>
          <w:tcPr>
            <w:tcW w:w="2330" w:type="pct"/>
          </w:tcPr>
          <w:p w:rsidR="008B528E" w:rsidRPr="007E6A6A" w:rsidRDefault="008B528E" w:rsidP="00C14D8A">
            <w:pPr>
              <w:jc w:val="both"/>
              <w:rPr>
                <w:rFonts w:eastAsia="Calibri"/>
                <w:sz w:val="20"/>
                <w:szCs w:val="20"/>
                <w:lang w:val="fr-CA"/>
              </w:rPr>
            </w:pPr>
            <w:r w:rsidRPr="007E6A6A">
              <w:rPr>
                <w:rFonts w:eastAsia="Calibri"/>
                <w:sz w:val="20"/>
                <w:szCs w:val="20"/>
                <w:lang w:val="fr-CA"/>
              </w:rPr>
              <w:t>Demande d'autorisation d'appel déposée</w:t>
            </w:r>
          </w:p>
          <w:p w:rsidR="008B528E" w:rsidRPr="007E6A6A" w:rsidRDefault="008B528E" w:rsidP="00C14D8A">
            <w:pPr>
              <w:jc w:val="both"/>
              <w:rPr>
                <w:rFonts w:eastAsia="Calibri"/>
                <w:sz w:val="20"/>
                <w:szCs w:val="20"/>
                <w:lang w:val="fr-CA"/>
              </w:rPr>
            </w:pPr>
          </w:p>
        </w:tc>
      </w:tr>
    </w:tbl>
    <w:p w:rsidR="00F83F5A" w:rsidRDefault="00F83F5A" w:rsidP="00F83F5A">
      <w:pPr>
        <w:rPr>
          <w:sz w:val="20"/>
          <w:szCs w:val="20"/>
        </w:rPr>
      </w:pPr>
    </w:p>
    <w:p w:rsidR="00F83F5A" w:rsidRDefault="00ED3438" w:rsidP="00F83F5A">
      <w:pPr>
        <w:rPr>
          <w:sz w:val="20"/>
          <w:szCs w:val="20"/>
        </w:rPr>
      </w:pPr>
      <w:r w:rsidRPr="00ED3438">
        <w:rPr>
          <w:sz w:val="20"/>
          <w:szCs w:val="20"/>
          <w:lang w:val="fr-CA"/>
        </w:rPr>
        <w:pict>
          <v:rect id="_x0000_i1052" style="width:2in;height:1pt" o:hrpct="0" o:hralign="center" o:hrstd="t" o:hrnoshade="t" o:hr="t" fillcolor="black [3213]" stroked="f"/>
        </w:pict>
      </w:r>
    </w:p>
    <w:p w:rsidR="00F83F5A" w:rsidRDefault="00F83F5A" w:rsidP="00F83F5A">
      <w:pPr>
        <w:rPr>
          <w:sz w:val="20"/>
          <w:szCs w:val="20"/>
        </w:rPr>
      </w:pPr>
    </w:p>
    <w:p w:rsidR="00AF2C44" w:rsidRDefault="00AF2C44">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703FF" w:rsidRPr="0047561F" w:rsidTr="00B60060">
        <w:trPr>
          <w:cantSplit/>
        </w:trPr>
        <w:tc>
          <w:tcPr>
            <w:tcW w:w="1458" w:type="dxa"/>
          </w:tcPr>
          <w:p w:rsidR="005703FF" w:rsidRPr="0047561F" w:rsidRDefault="005703FF" w:rsidP="00B60060">
            <w:pPr>
              <w:rPr>
                <w:sz w:val="20"/>
                <w:szCs w:val="20"/>
              </w:rPr>
            </w:pPr>
            <w:r w:rsidRPr="0047561F">
              <w:rPr>
                <w:rStyle w:val="SCCFileNumberChar"/>
                <w:sz w:val="20"/>
                <w:szCs w:val="20"/>
              </w:rPr>
              <w:t>34681</w:t>
            </w:r>
          </w:p>
          <w:p w:rsidR="005703FF" w:rsidRPr="0047561F" w:rsidRDefault="005703FF" w:rsidP="00B60060">
            <w:pPr>
              <w:rPr>
                <w:b/>
                <w:sz w:val="20"/>
                <w:szCs w:val="20"/>
                <w:lang w:val="fr-CA"/>
              </w:rPr>
            </w:pPr>
          </w:p>
        </w:tc>
        <w:tc>
          <w:tcPr>
            <w:tcW w:w="8118" w:type="dxa"/>
          </w:tcPr>
          <w:p w:rsidR="005703FF" w:rsidRPr="0047561F" w:rsidRDefault="005703FF" w:rsidP="00B60060">
            <w:pPr>
              <w:jc w:val="both"/>
              <w:rPr>
                <w:sz w:val="20"/>
                <w:szCs w:val="20"/>
              </w:rPr>
            </w:pPr>
            <w:r w:rsidRPr="005703FF">
              <w:rPr>
                <w:rStyle w:val="SCCLsocChar"/>
                <w:sz w:val="20"/>
                <w:szCs w:val="20"/>
                <w:lang w:val="en-CA"/>
              </w:rPr>
              <w:t xml:space="preserve">Merck &amp; Co., Inc. and Merck </w:t>
            </w:r>
            <w:proofErr w:type="spellStart"/>
            <w:r w:rsidRPr="005703FF">
              <w:rPr>
                <w:rStyle w:val="SCCLsocChar"/>
                <w:sz w:val="20"/>
                <w:szCs w:val="20"/>
                <w:lang w:val="en-CA"/>
              </w:rPr>
              <w:t>Frosst</w:t>
            </w:r>
            <w:proofErr w:type="spellEnd"/>
            <w:r w:rsidRPr="005703FF">
              <w:rPr>
                <w:rStyle w:val="SCCLsocChar"/>
                <w:sz w:val="20"/>
                <w:szCs w:val="20"/>
                <w:lang w:val="en-CA"/>
              </w:rPr>
              <w:t xml:space="preserve"> Canada Co. v. </w:t>
            </w:r>
            <w:proofErr w:type="spellStart"/>
            <w:r w:rsidRPr="005703FF">
              <w:rPr>
                <w:rStyle w:val="SCCLsocChar"/>
                <w:sz w:val="20"/>
                <w:szCs w:val="20"/>
                <w:lang w:val="en-CA"/>
              </w:rPr>
              <w:t>Apotex</w:t>
            </w:r>
            <w:proofErr w:type="spellEnd"/>
            <w:r w:rsidRPr="005703FF">
              <w:rPr>
                <w:rStyle w:val="SCCLsocChar"/>
                <w:sz w:val="20"/>
                <w:szCs w:val="20"/>
                <w:lang w:val="en-CA"/>
              </w:rPr>
              <w:t xml:space="preserve"> Inc. AND BETWEEN Merck &amp; Co., Inc. and Merck </w:t>
            </w:r>
            <w:proofErr w:type="spellStart"/>
            <w:r w:rsidRPr="005703FF">
              <w:rPr>
                <w:rStyle w:val="SCCLsocChar"/>
                <w:sz w:val="20"/>
                <w:szCs w:val="20"/>
                <w:lang w:val="en-CA"/>
              </w:rPr>
              <w:t>Frosst</w:t>
            </w:r>
            <w:proofErr w:type="spellEnd"/>
            <w:r w:rsidRPr="005703FF">
              <w:rPr>
                <w:rStyle w:val="SCCLsocChar"/>
                <w:sz w:val="20"/>
                <w:szCs w:val="20"/>
                <w:lang w:val="en-CA"/>
              </w:rPr>
              <w:t xml:space="preserve"> Canada Co. v. </w:t>
            </w:r>
            <w:proofErr w:type="spellStart"/>
            <w:r w:rsidRPr="005703FF">
              <w:rPr>
                <w:rStyle w:val="SCCLsocChar"/>
                <w:sz w:val="20"/>
                <w:szCs w:val="20"/>
                <w:lang w:val="en-CA"/>
              </w:rPr>
              <w:t>Apotex</w:t>
            </w:r>
            <w:proofErr w:type="spellEnd"/>
            <w:r w:rsidRPr="005703FF">
              <w:rPr>
                <w:rStyle w:val="SCCLsocChar"/>
                <w:sz w:val="20"/>
                <w:szCs w:val="20"/>
                <w:lang w:val="en-CA"/>
              </w:rPr>
              <w:t xml:space="preserve"> Inc. and Her Majesty the Queen in Right of Canada as represented by the Attorney General of Canada</w:t>
            </w:r>
            <w:r w:rsidRPr="0047561F">
              <w:rPr>
                <w:sz w:val="20"/>
                <w:szCs w:val="20"/>
              </w:rPr>
              <w:t xml:space="preserve"> (F.C.) (Civil) (By Leave)</w:t>
            </w:r>
          </w:p>
          <w:p w:rsidR="005703FF" w:rsidRPr="0047561F" w:rsidRDefault="005703FF" w:rsidP="00B60060">
            <w:pPr>
              <w:rPr>
                <w:sz w:val="20"/>
                <w:szCs w:val="20"/>
              </w:rPr>
            </w:pPr>
          </w:p>
        </w:tc>
      </w:tr>
      <w:tr w:rsidR="005703FF" w:rsidRPr="0047561F" w:rsidTr="00B60060">
        <w:trPr>
          <w:cantSplit/>
        </w:trPr>
        <w:tc>
          <w:tcPr>
            <w:tcW w:w="1458" w:type="dxa"/>
          </w:tcPr>
          <w:p w:rsidR="005703FF" w:rsidRPr="0047561F" w:rsidRDefault="005703FF" w:rsidP="00B60060">
            <w:pPr>
              <w:rPr>
                <w:sz w:val="20"/>
                <w:szCs w:val="20"/>
              </w:rPr>
            </w:pPr>
            <w:r w:rsidRPr="0047561F">
              <w:rPr>
                <w:sz w:val="20"/>
                <w:szCs w:val="20"/>
              </w:rPr>
              <w:t>Coram :</w:t>
            </w:r>
          </w:p>
        </w:tc>
        <w:tc>
          <w:tcPr>
            <w:tcW w:w="8118" w:type="dxa"/>
          </w:tcPr>
          <w:p w:rsidR="005703FF" w:rsidRPr="0047561F" w:rsidRDefault="005703FF" w:rsidP="00B60060">
            <w:pPr>
              <w:rPr>
                <w:sz w:val="20"/>
                <w:szCs w:val="20"/>
              </w:rPr>
            </w:pPr>
            <w:proofErr w:type="spellStart"/>
            <w:r w:rsidRPr="005703FF">
              <w:rPr>
                <w:rStyle w:val="SCCCoramChar"/>
                <w:sz w:val="20"/>
                <w:szCs w:val="20"/>
                <w:lang w:val="en-CA"/>
              </w:rPr>
              <w:t>LeBel</w:t>
            </w:r>
            <w:proofErr w:type="spellEnd"/>
            <w:r w:rsidRPr="005703FF">
              <w:rPr>
                <w:rStyle w:val="SCCCoramChar"/>
                <w:sz w:val="20"/>
                <w:szCs w:val="20"/>
                <w:lang w:val="en-CA"/>
              </w:rPr>
              <w:t xml:space="preserve">, </w:t>
            </w:r>
            <w:proofErr w:type="spellStart"/>
            <w:r w:rsidRPr="005703FF">
              <w:rPr>
                <w:rStyle w:val="SCCCoramChar"/>
                <w:sz w:val="20"/>
                <w:szCs w:val="20"/>
                <w:lang w:val="en-CA"/>
              </w:rPr>
              <w:t>Abella</w:t>
            </w:r>
            <w:proofErr w:type="spellEnd"/>
            <w:r w:rsidRPr="005703FF">
              <w:rPr>
                <w:rStyle w:val="SCCCoramChar"/>
                <w:sz w:val="20"/>
                <w:szCs w:val="20"/>
                <w:lang w:val="en-CA"/>
              </w:rPr>
              <w:t xml:space="preserve"> and Cromwell JJ.</w:t>
            </w:r>
          </w:p>
          <w:p w:rsidR="005703FF" w:rsidRPr="0047561F" w:rsidRDefault="005703FF" w:rsidP="00B60060">
            <w:pPr>
              <w:rPr>
                <w:sz w:val="20"/>
                <w:szCs w:val="20"/>
                <w:u w:val="single"/>
              </w:rPr>
            </w:pPr>
          </w:p>
        </w:tc>
      </w:tr>
      <w:tr w:rsidR="005703FF" w:rsidRPr="00017BF4" w:rsidTr="00B60060">
        <w:trPr>
          <w:cantSplit/>
        </w:trPr>
        <w:tc>
          <w:tcPr>
            <w:tcW w:w="9576" w:type="dxa"/>
            <w:gridSpan w:val="2"/>
          </w:tcPr>
          <w:p w:rsidR="005703FF" w:rsidRPr="0047561F" w:rsidRDefault="005703FF" w:rsidP="00B60060">
            <w:pPr>
              <w:pStyle w:val="SCCShortJudgment"/>
              <w:rPr>
                <w:szCs w:val="20"/>
              </w:rPr>
            </w:pPr>
            <w:r w:rsidRPr="0047561F">
              <w:rPr>
                <w:szCs w:val="20"/>
              </w:rPr>
              <w:t xml:space="preserve">The application for leave to appeal from the judgment of the Federal Court of Appeal, Number A-10-11, 2011 FCA 364, dated December 19, 2011, is dismissed with costs to the respondent </w:t>
            </w:r>
            <w:proofErr w:type="spellStart"/>
            <w:r w:rsidRPr="0047561F">
              <w:rPr>
                <w:szCs w:val="20"/>
              </w:rPr>
              <w:t>Apotex</w:t>
            </w:r>
            <w:proofErr w:type="spellEnd"/>
            <w:r w:rsidRPr="0047561F">
              <w:rPr>
                <w:szCs w:val="20"/>
              </w:rPr>
              <w:t xml:space="preserve"> Inc.</w:t>
            </w:r>
          </w:p>
          <w:p w:rsidR="005703FF" w:rsidRPr="0047561F" w:rsidRDefault="005703FF" w:rsidP="00B60060">
            <w:pPr>
              <w:pStyle w:val="SCCShortJudgment"/>
              <w:ind w:firstLine="0"/>
              <w:rPr>
                <w:szCs w:val="20"/>
              </w:rPr>
            </w:pPr>
          </w:p>
          <w:p w:rsidR="005703FF" w:rsidRPr="0047561F" w:rsidRDefault="005703FF" w:rsidP="00B60060">
            <w:pPr>
              <w:pStyle w:val="SCCShortJudgment"/>
              <w:rPr>
                <w:szCs w:val="20"/>
                <w:lang w:val="fr-CA"/>
              </w:rPr>
            </w:pPr>
            <w:r w:rsidRPr="0047561F">
              <w:rPr>
                <w:szCs w:val="20"/>
                <w:lang w:val="fr-CA"/>
              </w:rPr>
              <w:t xml:space="preserve">La demande d’autorisation d’appel de l’arrêt de la Cour d’appel fédérale, numéro A-10-11, 2011 CAF 364, daté du 19 décembre 2011, est rejetée avec dépens en faveur de l’intimée </w:t>
            </w:r>
            <w:proofErr w:type="spellStart"/>
            <w:r w:rsidRPr="0047561F">
              <w:rPr>
                <w:szCs w:val="20"/>
                <w:lang w:val="fr-CA"/>
              </w:rPr>
              <w:t>Apotex</w:t>
            </w:r>
            <w:proofErr w:type="spellEnd"/>
            <w:r w:rsidRPr="0047561F">
              <w:rPr>
                <w:szCs w:val="20"/>
                <w:lang w:val="fr-CA"/>
              </w:rPr>
              <w:t xml:space="preserve"> Inc.</w:t>
            </w:r>
          </w:p>
        </w:tc>
      </w:tr>
    </w:tbl>
    <w:p w:rsidR="00F83F5A" w:rsidRPr="00F83F5A" w:rsidRDefault="00F83F5A" w:rsidP="00F83F5A">
      <w:pPr>
        <w:rPr>
          <w:sz w:val="20"/>
          <w:szCs w:val="20"/>
          <w:lang w:val="fr-CA"/>
        </w:rPr>
      </w:pPr>
    </w:p>
    <w:p w:rsidR="00F83F5A" w:rsidRPr="001B157C" w:rsidRDefault="00F83F5A" w:rsidP="00F83F5A">
      <w:pPr>
        <w:rPr>
          <w:sz w:val="20"/>
          <w:szCs w:val="20"/>
          <w:u w:val="single"/>
        </w:rPr>
      </w:pPr>
      <w:r w:rsidRPr="001B157C">
        <w:rPr>
          <w:sz w:val="20"/>
          <w:szCs w:val="20"/>
          <w:u w:val="single"/>
        </w:rPr>
        <w:t>CASE SUMMARY</w:t>
      </w:r>
    </w:p>
    <w:p w:rsidR="00F83F5A" w:rsidRDefault="00F83F5A" w:rsidP="00F83F5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B528E" w:rsidRPr="007E6A6A" w:rsidTr="00C14D8A">
        <w:tc>
          <w:tcPr>
            <w:tcW w:w="5000" w:type="pct"/>
            <w:gridSpan w:val="3"/>
          </w:tcPr>
          <w:p w:rsidR="008B528E" w:rsidRPr="007E6A6A" w:rsidRDefault="008B528E" w:rsidP="00C14D8A">
            <w:pPr>
              <w:jc w:val="both"/>
              <w:rPr>
                <w:rFonts w:eastAsia="Calibri"/>
                <w:sz w:val="20"/>
                <w:szCs w:val="20"/>
              </w:rPr>
            </w:pPr>
            <w:r w:rsidRPr="007E6A6A">
              <w:rPr>
                <w:rFonts w:eastAsia="Calibri"/>
                <w:sz w:val="20"/>
                <w:szCs w:val="20"/>
              </w:rPr>
              <w:t>Intellectual property – Patents – Medicines –</w:t>
            </w:r>
            <w:r w:rsidRPr="007E6A6A">
              <w:rPr>
                <w:rFonts w:eastAsia="Calibri"/>
                <w:i/>
                <w:sz w:val="20"/>
                <w:szCs w:val="20"/>
              </w:rPr>
              <w:t>Patented Medicines (Notice of Compliance) Regulations</w:t>
            </w:r>
            <w:r w:rsidRPr="007E6A6A">
              <w:rPr>
                <w:rFonts w:eastAsia="Calibri"/>
                <w:sz w:val="20"/>
                <w:szCs w:val="20"/>
              </w:rPr>
              <w:t>, SOR/93-133 – Does the existence of the discretion to hear a moot case create in the Federal Court a correlative or inherent power to grant a remedy despite the fact the statutory remedy is impossible to grant, precisely because the case is moot? – Is a case still “pending” when the only remedy it can seek is extinguished?</w:t>
            </w:r>
          </w:p>
        </w:tc>
      </w:tr>
      <w:tr w:rsidR="008B528E" w:rsidRPr="007E6A6A" w:rsidTr="00C14D8A">
        <w:tc>
          <w:tcPr>
            <w:tcW w:w="5000" w:type="pct"/>
            <w:gridSpan w:val="3"/>
          </w:tcPr>
          <w:p w:rsidR="008B528E" w:rsidRPr="007E6A6A" w:rsidRDefault="008B528E" w:rsidP="00C14D8A">
            <w:pPr>
              <w:jc w:val="both"/>
              <w:rPr>
                <w:rFonts w:eastAsia="Calibri"/>
                <w:sz w:val="20"/>
                <w:szCs w:val="20"/>
              </w:rPr>
            </w:pPr>
          </w:p>
        </w:tc>
      </w:tr>
      <w:tr w:rsidR="008B528E" w:rsidRPr="007E6A6A" w:rsidTr="00C14D8A">
        <w:tc>
          <w:tcPr>
            <w:tcW w:w="5000" w:type="pct"/>
            <w:gridSpan w:val="3"/>
          </w:tcPr>
          <w:p w:rsidR="008B528E" w:rsidRPr="007E6A6A" w:rsidRDefault="008B528E" w:rsidP="00C14D8A">
            <w:pPr>
              <w:jc w:val="both"/>
              <w:rPr>
                <w:color w:val="000000"/>
                <w:sz w:val="20"/>
                <w:szCs w:val="20"/>
              </w:rPr>
            </w:pPr>
            <w:r w:rsidRPr="007E6A6A">
              <w:rPr>
                <w:color w:val="000000"/>
                <w:sz w:val="20"/>
                <w:szCs w:val="20"/>
              </w:rPr>
              <w:t xml:space="preserve">The Applicants (collectively, “Merck”) held the rights to the ‘380 patent that related to the process for manufacturing the drug, </w:t>
            </w:r>
            <w:proofErr w:type="spellStart"/>
            <w:r w:rsidRPr="007E6A6A">
              <w:rPr>
                <w:color w:val="000000"/>
                <w:sz w:val="20"/>
                <w:szCs w:val="20"/>
              </w:rPr>
              <w:t>lovastatin</w:t>
            </w:r>
            <w:proofErr w:type="spellEnd"/>
            <w:r w:rsidRPr="007E6A6A">
              <w:rPr>
                <w:color w:val="000000"/>
                <w:sz w:val="20"/>
                <w:szCs w:val="20"/>
              </w:rPr>
              <w:t xml:space="preserve">.  The patent was granted in 1984 and expired in 2001. In 1993, </w:t>
            </w:r>
            <w:proofErr w:type="spellStart"/>
            <w:r w:rsidRPr="007E6A6A">
              <w:rPr>
                <w:color w:val="000000"/>
                <w:sz w:val="20"/>
                <w:szCs w:val="20"/>
              </w:rPr>
              <w:t>Apotex</w:t>
            </w:r>
            <w:proofErr w:type="spellEnd"/>
            <w:r w:rsidRPr="007E6A6A">
              <w:rPr>
                <w:color w:val="000000"/>
                <w:sz w:val="20"/>
                <w:szCs w:val="20"/>
              </w:rPr>
              <w:t xml:space="preserve"> Inc. (“</w:t>
            </w:r>
            <w:proofErr w:type="spellStart"/>
            <w:r w:rsidRPr="007E6A6A">
              <w:rPr>
                <w:color w:val="000000"/>
                <w:sz w:val="20"/>
                <w:szCs w:val="20"/>
              </w:rPr>
              <w:t>Apotex</w:t>
            </w:r>
            <w:proofErr w:type="spellEnd"/>
            <w:r w:rsidRPr="007E6A6A">
              <w:rPr>
                <w:color w:val="000000"/>
                <w:sz w:val="20"/>
                <w:szCs w:val="20"/>
              </w:rPr>
              <w:t xml:space="preserve">”) applied for a Notice of Compliance (“NOC”) from the Minister of Health in order to enter the market with its generic version of </w:t>
            </w:r>
            <w:proofErr w:type="spellStart"/>
            <w:r w:rsidRPr="007E6A6A">
              <w:rPr>
                <w:color w:val="000000"/>
                <w:sz w:val="20"/>
                <w:szCs w:val="20"/>
              </w:rPr>
              <w:t>lovastatin</w:t>
            </w:r>
            <w:proofErr w:type="spellEnd"/>
            <w:r w:rsidRPr="007E6A6A">
              <w:rPr>
                <w:color w:val="000000"/>
                <w:sz w:val="20"/>
                <w:szCs w:val="20"/>
              </w:rPr>
              <w:t xml:space="preserve">, alleging that it would not infringe the ‘380 patent.  </w:t>
            </w:r>
            <w:proofErr w:type="spellStart"/>
            <w:r w:rsidRPr="007E6A6A">
              <w:rPr>
                <w:color w:val="000000"/>
                <w:sz w:val="20"/>
                <w:szCs w:val="20"/>
              </w:rPr>
              <w:t>Apotex</w:t>
            </w:r>
            <w:proofErr w:type="spellEnd"/>
            <w:r w:rsidRPr="007E6A6A">
              <w:rPr>
                <w:color w:val="000000"/>
                <w:sz w:val="20"/>
                <w:szCs w:val="20"/>
              </w:rPr>
              <w:t xml:space="preserve"> asserted that it would not use a process to manufacture its version of </w:t>
            </w:r>
            <w:proofErr w:type="spellStart"/>
            <w:r w:rsidRPr="007E6A6A">
              <w:rPr>
                <w:color w:val="000000"/>
                <w:sz w:val="20"/>
                <w:szCs w:val="20"/>
              </w:rPr>
              <w:t>lovastatin</w:t>
            </w:r>
            <w:proofErr w:type="spellEnd"/>
            <w:r w:rsidRPr="007E6A6A">
              <w:rPr>
                <w:color w:val="000000"/>
                <w:sz w:val="20"/>
                <w:szCs w:val="20"/>
              </w:rPr>
              <w:t xml:space="preserve"> that came within the scope of the ‘380 patent.  Merck responded with an application to prohibit the Minister from issuing the NOC to </w:t>
            </w:r>
            <w:proofErr w:type="spellStart"/>
            <w:r w:rsidRPr="007E6A6A">
              <w:rPr>
                <w:color w:val="000000"/>
                <w:sz w:val="20"/>
                <w:szCs w:val="20"/>
              </w:rPr>
              <w:t>Apotex</w:t>
            </w:r>
            <w:proofErr w:type="spellEnd"/>
            <w:r w:rsidRPr="007E6A6A">
              <w:rPr>
                <w:color w:val="000000"/>
                <w:sz w:val="20"/>
                <w:szCs w:val="20"/>
              </w:rPr>
              <w:t xml:space="preserve">, triggering the imposition of the statutory stay that prevented </w:t>
            </w:r>
            <w:proofErr w:type="spellStart"/>
            <w:r w:rsidRPr="007E6A6A">
              <w:rPr>
                <w:color w:val="000000"/>
                <w:sz w:val="20"/>
                <w:szCs w:val="20"/>
              </w:rPr>
              <w:t>Apotex</w:t>
            </w:r>
            <w:proofErr w:type="spellEnd"/>
            <w:r w:rsidRPr="007E6A6A">
              <w:rPr>
                <w:color w:val="000000"/>
                <w:sz w:val="20"/>
                <w:szCs w:val="20"/>
              </w:rPr>
              <w:t xml:space="preserve"> from obtaining the NOC for a period of 30 months while a determination was made as to whether </w:t>
            </w:r>
            <w:proofErr w:type="spellStart"/>
            <w:r w:rsidRPr="007E6A6A">
              <w:rPr>
                <w:color w:val="000000"/>
                <w:sz w:val="20"/>
                <w:szCs w:val="20"/>
              </w:rPr>
              <w:t>Apotex’s</w:t>
            </w:r>
            <w:proofErr w:type="spellEnd"/>
            <w:r w:rsidRPr="007E6A6A">
              <w:rPr>
                <w:color w:val="000000"/>
                <w:sz w:val="20"/>
                <w:szCs w:val="20"/>
              </w:rPr>
              <w:t xml:space="preserve"> allegations of non-infringement were justified.  However, that stay period expired on December 1, 1996, without any hearing on the merits.  In March, 1997, the court refused to extend the statutory stay or to issue a prohibition order (“</w:t>
            </w:r>
            <w:r w:rsidRPr="007E6A6A">
              <w:rPr>
                <w:i/>
                <w:color w:val="000000"/>
                <w:sz w:val="20"/>
                <w:szCs w:val="20"/>
              </w:rPr>
              <w:t>Merck FC 1997</w:t>
            </w:r>
            <w:r w:rsidRPr="007E6A6A">
              <w:rPr>
                <w:color w:val="000000"/>
                <w:sz w:val="20"/>
                <w:szCs w:val="20"/>
              </w:rPr>
              <w:t xml:space="preserve">”), holding that it had no jurisdiction to extend a statutory stay after it had expired and that it  could not issue a prohibition order after the expiry of the statutory stay.  </w:t>
            </w:r>
            <w:proofErr w:type="spellStart"/>
            <w:r w:rsidRPr="007E6A6A">
              <w:rPr>
                <w:color w:val="000000"/>
                <w:sz w:val="20"/>
                <w:szCs w:val="20"/>
              </w:rPr>
              <w:t>Apotex</w:t>
            </w:r>
            <w:proofErr w:type="spellEnd"/>
            <w:r w:rsidRPr="007E6A6A">
              <w:rPr>
                <w:color w:val="000000"/>
                <w:sz w:val="20"/>
                <w:szCs w:val="20"/>
              </w:rPr>
              <w:t xml:space="preserve"> obtained its NOC to market its version of </w:t>
            </w:r>
            <w:proofErr w:type="spellStart"/>
            <w:r w:rsidRPr="007E6A6A">
              <w:rPr>
                <w:color w:val="000000"/>
                <w:sz w:val="20"/>
                <w:szCs w:val="20"/>
              </w:rPr>
              <w:t>lovastatin</w:t>
            </w:r>
            <w:proofErr w:type="spellEnd"/>
            <w:r w:rsidRPr="007E6A6A">
              <w:rPr>
                <w:color w:val="000000"/>
                <w:sz w:val="20"/>
                <w:szCs w:val="20"/>
              </w:rPr>
              <w:t xml:space="preserve"> the following day.  Merck’s appeal from that decision was dismissed as being moot in April 1999 (“</w:t>
            </w:r>
            <w:r w:rsidRPr="007E6A6A">
              <w:rPr>
                <w:i/>
                <w:color w:val="000000"/>
                <w:sz w:val="20"/>
                <w:szCs w:val="20"/>
              </w:rPr>
              <w:t>Merck FCA 1999</w:t>
            </w:r>
            <w:r w:rsidRPr="007E6A6A">
              <w:rPr>
                <w:color w:val="000000"/>
                <w:sz w:val="20"/>
                <w:szCs w:val="20"/>
              </w:rPr>
              <w:t xml:space="preserve">”). </w:t>
            </w:r>
          </w:p>
          <w:p w:rsidR="008B528E" w:rsidRPr="007E6A6A" w:rsidRDefault="008B528E" w:rsidP="00C14D8A">
            <w:pPr>
              <w:spacing w:before="182"/>
              <w:jc w:val="both"/>
              <w:rPr>
                <w:color w:val="000000"/>
                <w:sz w:val="20"/>
                <w:szCs w:val="20"/>
              </w:rPr>
            </w:pPr>
            <w:r w:rsidRPr="007E6A6A">
              <w:rPr>
                <w:color w:val="000000"/>
                <w:sz w:val="20"/>
                <w:szCs w:val="20"/>
              </w:rPr>
              <w:t xml:space="preserve">Following this decision, two actions were commenced.  Merck brought an infringement action against </w:t>
            </w:r>
            <w:proofErr w:type="spellStart"/>
            <w:r w:rsidRPr="007E6A6A">
              <w:rPr>
                <w:color w:val="000000"/>
                <w:sz w:val="20"/>
                <w:szCs w:val="20"/>
              </w:rPr>
              <w:t>Apotex</w:t>
            </w:r>
            <w:proofErr w:type="spellEnd"/>
            <w:r w:rsidRPr="007E6A6A">
              <w:rPr>
                <w:color w:val="000000"/>
                <w:sz w:val="20"/>
                <w:szCs w:val="20"/>
              </w:rPr>
              <w:t xml:space="preserve"> in 1997, and obtained a ruling that some, but not all of </w:t>
            </w:r>
            <w:proofErr w:type="spellStart"/>
            <w:r w:rsidRPr="007E6A6A">
              <w:rPr>
                <w:color w:val="000000"/>
                <w:sz w:val="20"/>
                <w:szCs w:val="20"/>
              </w:rPr>
              <w:t>Apotex's</w:t>
            </w:r>
            <w:proofErr w:type="spellEnd"/>
            <w:r w:rsidRPr="007E6A6A">
              <w:rPr>
                <w:color w:val="000000"/>
                <w:sz w:val="20"/>
                <w:szCs w:val="20"/>
              </w:rPr>
              <w:t xml:space="preserve"> tablets had been made by an infringing process.  In 2001, </w:t>
            </w:r>
            <w:proofErr w:type="spellStart"/>
            <w:r w:rsidRPr="007E6A6A">
              <w:rPr>
                <w:color w:val="000000"/>
                <w:sz w:val="20"/>
                <w:szCs w:val="20"/>
              </w:rPr>
              <w:t>Apotex</w:t>
            </w:r>
            <w:proofErr w:type="spellEnd"/>
            <w:r w:rsidRPr="007E6A6A">
              <w:rPr>
                <w:color w:val="000000"/>
                <w:sz w:val="20"/>
                <w:szCs w:val="20"/>
              </w:rPr>
              <w:t xml:space="preserve"> brought an action against Merck, seeking compensation under s. 8 of the </w:t>
            </w:r>
            <w:r w:rsidRPr="007E6A6A">
              <w:rPr>
                <w:i/>
                <w:color w:val="000000"/>
                <w:sz w:val="20"/>
                <w:szCs w:val="20"/>
              </w:rPr>
              <w:t>Patented Medicines (Notice of Compliance) Regulations</w:t>
            </w:r>
            <w:r w:rsidRPr="007E6A6A">
              <w:rPr>
                <w:color w:val="000000"/>
                <w:sz w:val="20"/>
                <w:szCs w:val="20"/>
              </w:rPr>
              <w:t xml:space="preserve">, for having been kept from the </w:t>
            </w:r>
            <w:proofErr w:type="spellStart"/>
            <w:r w:rsidRPr="007E6A6A">
              <w:rPr>
                <w:color w:val="000000"/>
                <w:sz w:val="20"/>
                <w:szCs w:val="20"/>
              </w:rPr>
              <w:t>lovastatin</w:t>
            </w:r>
            <w:proofErr w:type="spellEnd"/>
            <w:r w:rsidRPr="007E6A6A">
              <w:rPr>
                <w:color w:val="000000"/>
                <w:sz w:val="20"/>
                <w:szCs w:val="20"/>
              </w:rPr>
              <w:t xml:space="preserve"> market for the period between April 30, 1996 and March 27, 1997.  Both actions were heard together at a trial that commenced in 2010.  At issue was whether the 1993 or the 1998 version of the </w:t>
            </w:r>
            <w:r w:rsidRPr="007E6A6A">
              <w:rPr>
                <w:i/>
                <w:color w:val="000000"/>
                <w:sz w:val="20"/>
                <w:szCs w:val="20"/>
              </w:rPr>
              <w:t>Regulations</w:t>
            </w:r>
            <w:r w:rsidRPr="007E6A6A">
              <w:rPr>
                <w:color w:val="000000"/>
                <w:sz w:val="20"/>
                <w:szCs w:val="20"/>
              </w:rPr>
              <w:t xml:space="preserve"> applied and whether, and for what period, under either version, </w:t>
            </w:r>
            <w:proofErr w:type="spellStart"/>
            <w:r w:rsidRPr="007E6A6A">
              <w:rPr>
                <w:color w:val="000000"/>
                <w:sz w:val="20"/>
                <w:szCs w:val="20"/>
              </w:rPr>
              <w:t>Apotex</w:t>
            </w:r>
            <w:proofErr w:type="spellEnd"/>
            <w:r w:rsidRPr="007E6A6A">
              <w:rPr>
                <w:color w:val="000000"/>
                <w:sz w:val="20"/>
                <w:szCs w:val="20"/>
              </w:rPr>
              <w:t xml:space="preserve"> was entitled to compensation.</w:t>
            </w:r>
          </w:p>
          <w:p w:rsidR="008B528E" w:rsidRPr="007E6A6A" w:rsidRDefault="008B528E" w:rsidP="00C14D8A">
            <w:pPr>
              <w:jc w:val="both"/>
              <w:rPr>
                <w:sz w:val="20"/>
                <w:szCs w:val="20"/>
              </w:rPr>
            </w:pPr>
          </w:p>
        </w:tc>
      </w:tr>
      <w:tr w:rsidR="008B528E" w:rsidRPr="007E6A6A" w:rsidTr="00C14D8A">
        <w:tc>
          <w:tcPr>
            <w:tcW w:w="2427" w:type="pct"/>
          </w:tcPr>
          <w:p w:rsidR="008B528E" w:rsidRPr="007E6A6A" w:rsidRDefault="008B528E" w:rsidP="00C14D8A">
            <w:pPr>
              <w:jc w:val="both"/>
              <w:rPr>
                <w:rFonts w:eastAsia="Calibri"/>
                <w:sz w:val="20"/>
                <w:szCs w:val="20"/>
              </w:rPr>
            </w:pPr>
            <w:r w:rsidRPr="007E6A6A">
              <w:rPr>
                <w:rFonts w:eastAsia="Calibri"/>
                <w:sz w:val="20"/>
                <w:szCs w:val="20"/>
              </w:rPr>
              <w:t>December 22, 2010</w:t>
            </w:r>
          </w:p>
          <w:p w:rsidR="008B528E" w:rsidRPr="007E6A6A" w:rsidRDefault="008B528E" w:rsidP="00C14D8A">
            <w:pPr>
              <w:jc w:val="both"/>
              <w:rPr>
                <w:rFonts w:eastAsia="Calibri"/>
                <w:sz w:val="20"/>
                <w:szCs w:val="20"/>
              </w:rPr>
            </w:pPr>
            <w:r w:rsidRPr="007E6A6A">
              <w:rPr>
                <w:rFonts w:eastAsia="Calibri"/>
                <w:sz w:val="20"/>
                <w:szCs w:val="20"/>
              </w:rPr>
              <w:t>Federal Court</w:t>
            </w:r>
          </w:p>
          <w:p w:rsidR="008B528E" w:rsidRPr="007E6A6A" w:rsidRDefault="008B528E" w:rsidP="00C14D8A">
            <w:pPr>
              <w:jc w:val="both"/>
              <w:rPr>
                <w:rFonts w:eastAsia="Calibri"/>
                <w:sz w:val="20"/>
                <w:szCs w:val="20"/>
              </w:rPr>
            </w:pPr>
            <w:r w:rsidRPr="007E6A6A">
              <w:rPr>
                <w:rFonts w:eastAsia="Calibri"/>
                <w:sz w:val="20"/>
                <w:szCs w:val="20"/>
              </w:rPr>
              <w:t>(Snider J.)</w:t>
            </w:r>
          </w:p>
          <w:p w:rsidR="008B528E" w:rsidRPr="007E6A6A" w:rsidRDefault="008B528E" w:rsidP="00C14D8A">
            <w:pPr>
              <w:jc w:val="both"/>
              <w:rPr>
                <w:rFonts w:eastAsia="Calibri"/>
                <w:sz w:val="20"/>
                <w:szCs w:val="20"/>
              </w:rPr>
            </w:pPr>
            <w:r w:rsidRPr="007E6A6A">
              <w:rPr>
                <w:rFonts w:eastAsia="Calibri"/>
                <w:sz w:val="20"/>
                <w:szCs w:val="20"/>
              </w:rPr>
              <w:t>2010 FC 1264</w:t>
            </w:r>
          </w:p>
          <w:p w:rsidR="008B528E" w:rsidRPr="007E6A6A" w:rsidRDefault="008B528E" w:rsidP="00C14D8A">
            <w:pPr>
              <w:jc w:val="both"/>
              <w:rPr>
                <w:rFonts w:eastAsia="Calibri"/>
                <w:sz w:val="20"/>
                <w:szCs w:val="20"/>
              </w:rPr>
            </w:pPr>
          </w:p>
        </w:tc>
        <w:tc>
          <w:tcPr>
            <w:tcW w:w="243" w:type="pct"/>
          </w:tcPr>
          <w:p w:rsidR="008B528E" w:rsidRPr="007E6A6A" w:rsidRDefault="008B528E" w:rsidP="00C14D8A">
            <w:pPr>
              <w:jc w:val="both"/>
              <w:rPr>
                <w:rFonts w:eastAsia="Calibri"/>
                <w:sz w:val="20"/>
                <w:szCs w:val="20"/>
              </w:rPr>
            </w:pPr>
          </w:p>
        </w:tc>
        <w:tc>
          <w:tcPr>
            <w:tcW w:w="2330" w:type="pct"/>
          </w:tcPr>
          <w:p w:rsidR="008B528E" w:rsidRPr="007E6A6A" w:rsidRDefault="008B528E" w:rsidP="00C14D8A">
            <w:pPr>
              <w:jc w:val="both"/>
              <w:rPr>
                <w:rFonts w:eastAsia="Calibri"/>
                <w:sz w:val="20"/>
                <w:szCs w:val="20"/>
              </w:rPr>
            </w:pPr>
            <w:proofErr w:type="spellStart"/>
            <w:r w:rsidRPr="007E6A6A">
              <w:rPr>
                <w:rFonts w:eastAsia="Calibri"/>
                <w:sz w:val="20"/>
                <w:szCs w:val="20"/>
              </w:rPr>
              <w:t>Apotex’s</w:t>
            </w:r>
            <w:proofErr w:type="spellEnd"/>
            <w:r w:rsidRPr="007E6A6A">
              <w:rPr>
                <w:rFonts w:eastAsia="Calibri"/>
                <w:sz w:val="20"/>
                <w:szCs w:val="20"/>
              </w:rPr>
              <w:t xml:space="preserve"> claim for s. 8 damages dismissed. Merck’s counter-claim dismissed.</w:t>
            </w:r>
          </w:p>
          <w:p w:rsidR="008B528E" w:rsidRPr="007E6A6A" w:rsidRDefault="008B528E" w:rsidP="00C14D8A">
            <w:pPr>
              <w:jc w:val="both"/>
              <w:rPr>
                <w:rFonts w:eastAsia="Calibri"/>
                <w:sz w:val="20"/>
                <w:szCs w:val="20"/>
              </w:rPr>
            </w:pPr>
          </w:p>
        </w:tc>
      </w:tr>
      <w:tr w:rsidR="008B528E" w:rsidRPr="007E6A6A" w:rsidTr="00C14D8A">
        <w:tc>
          <w:tcPr>
            <w:tcW w:w="2427" w:type="pct"/>
          </w:tcPr>
          <w:p w:rsidR="008B528E" w:rsidRPr="007E6A6A" w:rsidRDefault="008B528E" w:rsidP="00C14D8A">
            <w:pPr>
              <w:jc w:val="both"/>
              <w:rPr>
                <w:rFonts w:eastAsia="Calibri"/>
                <w:sz w:val="20"/>
                <w:szCs w:val="20"/>
              </w:rPr>
            </w:pPr>
            <w:r w:rsidRPr="007E6A6A">
              <w:rPr>
                <w:rFonts w:eastAsia="Calibri"/>
                <w:sz w:val="20"/>
                <w:szCs w:val="20"/>
              </w:rPr>
              <w:t>December 19, 2011</w:t>
            </w:r>
          </w:p>
          <w:p w:rsidR="008B528E" w:rsidRPr="007E6A6A" w:rsidRDefault="008B528E" w:rsidP="00C14D8A">
            <w:pPr>
              <w:jc w:val="both"/>
              <w:rPr>
                <w:rFonts w:eastAsia="Calibri"/>
                <w:sz w:val="20"/>
                <w:szCs w:val="20"/>
              </w:rPr>
            </w:pPr>
            <w:r w:rsidRPr="007E6A6A">
              <w:rPr>
                <w:rFonts w:eastAsia="Calibri"/>
                <w:sz w:val="20"/>
                <w:szCs w:val="20"/>
              </w:rPr>
              <w:t>Federal Court of Appeal</w:t>
            </w:r>
          </w:p>
          <w:p w:rsidR="008B528E" w:rsidRPr="007E6A6A" w:rsidRDefault="008B528E" w:rsidP="00C14D8A">
            <w:pPr>
              <w:jc w:val="both"/>
              <w:rPr>
                <w:rFonts w:eastAsia="Calibri"/>
                <w:sz w:val="20"/>
                <w:szCs w:val="20"/>
              </w:rPr>
            </w:pPr>
            <w:r w:rsidRPr="007E6A6A">
              <w:rPr>
                <w:rFonts w:eastAsia="Calibri"/>
                <w:sz w:val="20"/>
                <w:szCs w:val="20"/>
              </w:rPr>
              <w:t xml:space="preserve">(Evans, Gauthier and </w:t>
            </w:r>
            <w:proofErr w:type="spellStart"/>
            <w:r w:rsidRPr="007E6A6A">
              <w:rPr>
                <w:rFonts w:eastAsia="Calibri"/>
                <w:sz w:val="20"/>
                <w:szCs w:val="20"/>
              </w:rPr>
              <w:t>Stratas</w:t>
            </w:r>
            <w:proofErr w:type="spellEnd"/>
            <w:r w:rsidRPr="007E6A6A">
              <w:rPr>
                <w:rFonts w:eastAsia="Calibri"/>
                <w:sz w:val="20"/>
                <w:szCs w:val="20"/>
              </w:rPr>
              <w:t xml:space="preserve"> JJ.A.)</w:t>
            </w:r>
          </w:p>
          <w:p w:rsidR="008B528E" w:rsidRPr="007E6A6A" w:rsidRDefault="008B528E" w:rsidP="00C14D8A">
            <w:pPr>
              <w:jc w:val="both"/>
              <w:rPr>
                <w:rFonts w:eastAsia="Calibri"/>
                <w:sz w:val="20"/>
                <w:szCs w:val="20"/>
              </w:rPr>
            </w:pPr>
            <w:r w:rsidRPr="007E6A6A">
              <w:rPr>
                <w:rFonts w:eastAsia="Calibri"/>
                <w:sz w:val="20"/>
                <w:szCs w:val="20"/>
              </w:rPr>
              <w:t>2011 FCA 364</w:t>
            </w:r>
          </w:p>
          <w:p w:rsidR="008B528E" w:rsidRPr="007E6A6A" w:rsidRDefault="008B528E" w:rsidP="00C14D8A">
            <w:pPr>
              <w:jc w:val="both"/>
              <w:rPr>
                <w:rFonts w:eastAsia="Calibri"/>
                <w:sz w:val="20"/>
                <w:szCs w:val="20"/>
              </w:rPr>
            </w:pPr>
          </w:p>
        </w:tc>
        <w:tc>
          <w:tcPr>
            <w:tcW w:w="243" w:type="pct"/>
          </w:tcPr>
          <w:p w:rsidR="008B528E" w:rsidRPr="007E6A6A" w:rsidRDefault="008B528E" w:rsidP="00C14D8A">
            <w:pPr>
              <w:jc w:val="both"/>
              <w:rPr>
                <w:rFonts w:eastAsia="Calibri"/>
                <w:sz w:val="20"/>
                <w:szCs w:val="20"/>
              </w:rPr>
            </w:pPr>
          </w:p>
        </w:tc>
        <w:tc>
          <w:tcPr>
            <w:tcW w:w="2330" w:type="pct"/>
          </w:tcPr>
          <w:p w:rsidR="008B528E" w:rsidRPr="007E6A6A" w:rsidRDefault="008B528E" w:rsidP="00C14D8A">
            <w:pPr>
              <w:jc w:val="both"/>
              <w:rPr>
                <w:rFonts w:eastAsia="Calibri"/>
                <w:sz w:val="20"/>
                <w:szCs w:val="20"/>
              </w:rPr>
            </w:pPr>
            <w:proofErr w:type="spellStart"/>
            <w:r w:rsidRPr="007E6A6A">
              <w:rPr>
                <w:rFonts w:eastAsia="Calibri"/>
                <w:sz w:val="20"/>
                <w:szCs w:val="20"/>
              </w:rPr>
              <w:t>Apotex’s</w:t>
            </w:r>
            <w:proofErr w:type="spellEnd"/>
            <w:r w:rsidRPr="007E6A6A">
              <w:rPr>
                <w:rFonts w:eastAsia="Calibri"/>
                <w:sz w:val="20"/>
                <w:szCs w:val="20"/>
              </w:rPr>
              <w:t xml:space="preserve"> appeal allowed; matter remitted to judge for determination in accordance with reasons</w:t>
            </w:r>
          </w:p>
          <w:p w:rsidR="008B528E" w:rsidRPr="007E6A6A" w:rsidRDefault="008B528E" w:rsidP="00C14D8A">
            <w:pPr>
              <w:jc w:val="both"/>
              <w:rPr>
                <w:rFonts w:eastAsia="Calibri"/>
                <w:sz w:val="20"/>
                <w:szCs w:val="20"/>
              </w:rPr>
            </w:pPr>
          </w:p>
        </w:tc>
      </w:tr>
      <w:tr w:rsidR="008B528E" w:rsidRPr="007E6A6A" w:rsidTr="00AF2C44">
        <w:trPr>
          <w:cantSplit/>
        </w:trPr>
        <w:tc>
          <w:tcPr>
            <w:tcW w:w="2427" w:type="pct"/>
          </w:tcPr>
          <w:p w:rsidR="008B528E" w:rsidRPr="007E6A6A" w:rsidRDefault="008B528E" w:rsidP="00C14D8A">
            <w:pPr>
              <w:jc w:val="both"/>
              <w:rPr>
                <w:rFonts w:eastAsia="Calibri"/>
                <w:sz w:val="20"/>
                <w:szCs w:val="20"/>
              </w:rPr>
            </w:pPr>
            <w:r w:rsidRPr="007E6A6A">
              <w:rPr>
                <w:rFonts w:eastAsia="Calibri"/>
                <w:sz w:val="20"/>
                <w:szCs w:val="20"/>
              </w:rPr>
              <w:t>February 17, 2012</w:t>
            </w:r>
          </w:p>
          <w:p w:rsidR="008B528E" w:rsidRPr="007E6A6A" w:rsidRDefault="008B528E" w:rsidP="00C14D8A">
            <w:pPr>
              <w:jc w:val="both"/>
              <w:rPr>
                <w:rFonts w:eastAsia="Calibri"/>
                <w:sz w:val="20"/>
                <w:szCs w:val="20"/>
              </w:rPr>
            </w:pPr>
            <w:r w:rsidRPr="007E6A6A">
              <w:rPr>
                <w:rFonts w:eastAsia="Calibri"/>
                <w:sz w:val="20"/>
                <w:szCs w:val="20"/>
              </w:rPr>
              <w:t>Supreme Court of Canada</w:t>
            </w:r>
          </w:p>
        </w:tc>
        <w:tc>
          <w:tcPr>
            <w:tcW w:w="243" w:type="pct"/>
          </w:tcPr>
          <w:p w:rsidR="008B528E" w:rsidRPr="007E6A6A" w:rsidRDefault="008B528E" w:rsidP="00C14D8A">
            <w:pPr>
              <w:jc w:val="both"/>
              <w:rPr>
                <w:rFonts w:eastAsia="Calibri"/>
                <w:sz w:val="20"/>
                <w:szCs w:val="20"/>
              </w:rPr>
            </w:pPr>
          </w:p>
        </w:tc>
        <w:tc>
          <w:tcPr>
            <w:tcW w:w="2330" w:type="pct"/>
          </w:tcPr>
          <w:p w:rsidR="008B528E" w:rsidRPr="007E6A6A" w:rsidRDefault="008B528E" w:rsidP="00C14D8A">
            <w:pPr>
              <w:jc w:val="both"/>
              <w:rPr>
                <w:rFonts w:eastAsia="Calibri"/>
                <w:sz w:val="20"/>
                <w:szCs w:val="20"/>
              </w:rPr>
            </w:pPr>
            <w:r w:rsidRPr="007E6A6A">
              <w:rPr>
                <w:rFonts w:eastAsia="Calibri"/>
                <w:sz w:val="20"/>
                <w:szCs w:val="20"/>
              </w:rPr>
              <w:t>Application for leave to appeal filed</w:t>
            </w:r>
          </w:p>
          <w:p w:rsidR="008B528E" w:rsidRPr="007E6A6A" w:rsidRDefault="008B528E" w:rsidP="00C14D8A">
            <w:pPr>
              <w:jc w:val="both"/>
              <w:rPr>
                <w:rFonts w:eastAsia="Calibri"/>
                <w:sz w:val="20"/>
                <w:szCs w:val="20"/>
              </w:rPr>
            </w:pPr>
          </w:p>
        </w:tc>
      </w:tr>
    </w:tbl>
    <w:p w:rsidR="00F83F5A" w:rsidRPr="00C50A5C" w:rsidRDefault="00F83F5A" w:rsidP="00F83F5A">
      <w:pPr>
        <w:rPr>
          <w:sz w:val="20"/>
          <w:szCs w:val="20"/>
        </w:rPr>
      </w:pPr>
    </w:p>
    <w:p w:rsidR="00F83F5A" w:rsidRPr="00C50A5C" w:rsidRDefault="00ED3438" w:rsidP="00F83F5A">
      <w:pPr>
        <w:rPr>
          <w:sz w:val="20"/>
          <w:szCs w:val="20"/>
        </w:rPr>
      </w:pPr>
      <w:r w:rsidRPr="00ED3438">
        <w:rPr>
          <w:sz w:val="20"/>
          <w:szCs w:val="20"/>
          <w:lang w:val="fr-CA"/>
        </w:rPr>
        <w:pict>
          <v:rect id="_x0000_i1053" style="width:2in;height:1pt" o:hrpct="0" o:hralign="center" o:hrstd="t" o:hrnoshade="t" o:hr="t" fillcolor="black [3213]" stroked="f"/>
        </w:pict>
      </w:r>
    </w:p>
    <w:p w:rsidR="00F83F5A" w:rsidRDefault="00F83F5A" w:rsidP="00F83F5A">
      <w:pPr>
        <w:rPr>
          <w:sz w:val="20"/>
          <w:szCs w:val="20"/>
        </w:rPr>
      </w:pPr>
    </w:p>
    <w:p w:rsidR="00F83F5A" w:rsidRPr="001B157C" w:rsidRDefault="00F83F5A" w:rsidP="00F83F5A">
      <w:pPr>
        <w:rPr>
          <w:sz w:val="20"/>
          <w:szCs w:val="20"/>
          <w:u w:val="single"/>
          <w:lang w:val="fr-CA"/>
        </w:rPr>
      </w:pPr>
      <w:r w:rsidRPr="001B157C">
        <w:rPr>
          <w:sz w:val="20"/>
          <w:szCs w:val="20"/>
          <w:u w:val="single"/>
          <w:lang w:val="fr-CA"/>
        </w:rPr>
        <w:t>RÉSUMÉ DE L’AFFAIRE</w:t>
      </w:r>
    </w:p>
    <w:p w:rsidR="00F83F5A" w:rsidRDefault="00F83F5A" w:rsidP="00F83F5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8B528E" w:rsidRPr="00017BF4" w:rsidTr="00C14D8A">
        <w:tc>
          <w:tcPr>
            <w:tcW w:w="5000" w:type="pct"/>
            <w:gridSpan w:val="3"/>
          </w:tcPr>
          <w:p w:rsidR="008B528E" w:rsidRPr="007E6A6A" w:rsidRDefault="008B528E" w:rsidP="00C14D8A">
            <w:pPr>
              <w:jc w:val="both"/>
              <w:rPr>
                <w:rFonts w:eastAsia="Calibri"/>
                <w:sz w:val="20"/>
                <w:szCs w:val="20"/>
                <w:lang w:val="fr-CA"/>
              </w:rPr>
            </w:pPr>
            <w:r w:rsidRPr="007E6A6A">
              <w:rPr>
                <w:rFonts w:eastAsia="Calibri"/>
                <w:sz w:val="20"/>
                <w:szCs w:val="20"/>
                <w:lang w:val="fr-CA"/>
              </w:rPr>
              <w:t>Propriété intellectuelle – Brevets – Médicaments –</w:t>
            </w:r>
            <w:r w:rsidRPr="007E6A6A">
              <w:rPr>
                <w:rFonts w:eastAsia="Calibri"/>
                <w:i/>
                <w:sz w:val="20"/>
                <w:szCs w:val="20"/>
                <w:lang w:val="fr-CA"/>
              </w:rPr>
              <w:t xml:space="preserve"> Règlement sur les médicaments brevetés (avis de conformité)</w:t>
            </w:r>
            <w:r w:rsidRPr="007E6A6A">
              <w:rPr>
                <w:rFonts w:eastAsia="Calibri"/>
                <w:sz w:val="20"/>
                <w:szCs w:val="20"/>
                <w:lang w:val="fr-CA"/>
              </w:rPr>
              <w:t>, DORS/93-133 – L'existence du pouvoir discrétionnaire d'entendre une affaire théorique confère-t-elle à la Cour fédérale un pouvoir corrélatif ou inhérent d'accorder une réparation même si la réparation prévue par la loi est impossible à accorder, justement parce que l'affaire est théorique? – Une affaire est-elle toujours « en instance » lorsque la seule réparation susceptible d'être demandée est éteinte?</w:t>
            </w:r>
          </w:p>
        </w:tc>
      </w:tr>
      <w:tr w:rsidR="008B528E" w:rsidRPr="00017BF4" w:rsidTr="00C14D8A">
        <w:tc>
          <w:tcPr>
            <w:tcW w:w="5000" w:type="pct"/>
            <w:gridSpan w:val="3"/>
          </w:tcPr>
          <w:p w:rsidR="008B528E" w:rsidRPr="007E6A6A" w:rsidRDefault="008B528E" w:rsidP="00C14D8A">
            <w:pPr>
              <w:jc w:val="both"/>
              <w:rPr>
                <w:rFonts w:eastAsia="Calibri"/>
                <w:sz w:val="20"/>
                <w:szCs w:val="20"/>
                <w:lang w:val="fr-CA"/>
              </w:rPr>
            </w:pPr>
          </w:p>
        </w:tc>
      </w:tr>
      <w:tr w:rsidR="008B528E" w:rsidRPr="00017BF4" w:rsidTr="00C14D8A">
        <w:tc>
          <w:tcPr>
            <w:tcW w:w="5000" w:type="pct"/>
            <w:gridSpan w:val="3"/>
          </w:tcPr>
          <w:p w:rsidR="008B528E" w:rsidRPr="007E6A6A" w:rsidRDefault="008B528E" w:rsidP="00C14D8A">
            <w:pPr>
              <w:jc w:val="both"/>
              <w:rPr>
                <w:color w:val="000000"/>
                <w:sz w:val="20"/>
                <w:szCs w:val="20"/>
                <w:lang w:val="fr-CA"/>
              </w:rPr>
            </w:pPr>
            <w:r w:rsidRPr="007E6A6A">
              <w:rPr>
                <w:color w:val="000000"/>
                <w:sz w:val="20"/>
                <w:szCs w:val="20"/>
                <w:lang w:val="fr-CA"/>
              </w:rPr>
              <w:t xml:space="preserve">Les </w:t>
            </w:r>
            <w:proofErr w:type="spellStart"/>
            <w:r w:rsidRPr="007E6A6A">
              <w:rPr>
                <w:color w:val="000000"/>
                <w:sz w:val="20"/>
                <w:szCs w:val="20"/>
                <w:lang w:val="fr-CA"/>
              </w:rPr>
              <w:t>demanderesses</w:t>
            </w:r>
            <w:proofErr w:type="spellEnd"/>
            <w:r w:rsidRPr="007E6A6A">
              <w:rPr>
                <w:color w:val="000000"/>
                <w:sz w:val="20"/>
                <w:szCs w:val="20"/>
                <w:lang w:val="fr-CA"/>
              </w:rPr>
              <w:t xml:space="preserve"> (collectivement, « </w:t>
            </w:r>
            <w:proofErr w:type="spellStart"/>
            <w:r w:rsidRPr="007E6A6A">
              <w:rPr>
                <w:color w:val="000000"/>
                <w:sz w:val="20"/>
                <w:szCs w:val="20"/>
                <w:lang w:val="fr-CA"/>
              </w:rPr>
              <w:t>Merck</w:t>
            </w:r>
            <w:proofErr w:type="spellEnd"/>
            <w:r w:rsidRPr="007E6A6A">
              <w:rPr>
                <w:color w:val="000000"/>
                <w:sz w:val="20"/>
                <w:szCs w:val="20"/>
                <w:lang w:val="fr-CA"/>
              </w:rPr>
              <w:t xml:space="preserve"> ») détenaient les droits à l'égard du brevet 380 qui avait trait au procédé de fabrication de la </w:t>
            </w:r>
            <w:proofErr w:type="spellStart"/>
            <w:r w:rsidRPr="007E6A6A">
              <w:rPr>
                <w:color w:val="000000"/>
                <w:sz w:val="20"/>
                <w:szCs w:val="20"/>
                <w:lang w:val="fr-CA"/>
              </w:rPr>
              <w:t>lovastatine</w:t>
            </w:r>
            <w:proofErr w:type="spellEnd"/>
            <w:r w:rsidRPr="007E6A6A">
              <w:rPr>
                <w:color w:val="000000"/>
                <w:sz w:val="20"/>
                <w:szCs w:val="20"/>
                <w:lang w:val="fr-CA"/>
              </w:rPr>
              <w:t xml:space="preserve">, un médicament. Le brevet fut accordé en 1984 et a expiré en 2001. En 1993, </w:t>
            </w:r>
            <w:proofErr w:type="spellStart"/>
            <w:r w:rsidRPr="007E6A6A">
              <w:rPr>
                <w:color w:val="000000"/>
                <w:sz w:val="20"/>
                <w:szCs w:val="20"/>
                <w:lang w:val="fr-CA"/>
              </w:rPr>
              <w:t>Apotex</w:t>
            </w:r>
            <w:proofErr w:type="spellEnd"/>
            <w:r w:rsidRPr="007E6A6A">
              <w:rPr>
                <w:color w:val="000000"/>
                <w:sz w:val="20"/>
                <w:szCs w:val="20"/>
                <w:lang w:val="fr-CA"/>
              </w:rPr>
              <w:t xml:space="preserve"> Inc. (« </w:t>
            </w:r>
            <w:proofErr w:type="spellStart"/>
            <w:r w:rsidRPr="007E6A6A">
              <w:rPr>
                <w:color w:val="000000"/>
                <w:sz w:val="20"/>
                <w:szCs w:val="20"/>
                <w:lang w:val="fr-CA"/>
              </w:rPr>
              <w:t>Apotex</w:t>
            </w:r>
            <w:proofErr w:type="spellEnd"/>
            <w:r w:rsidRPr="007E6A6A">
              <w:rPr>
                <w:color w:val="000000"/>
                <w:sz w:val="20"/>
                <w:szCs w:val="20"/>
                <w:lang w:val="fr-CA"/>
              </w:rPr>
              <w:t xml:space="preserve"> ») a demandé un avis de conformité (« AC ») du ministre de la Santé pour pouvoir commercialiser sa version générique de la </w:t>
            </w:r>
            <w:proofErr w:type="spellStart"/>
            <w:r w:rsidRPr="007E6A6A">
              <w:rPr>
                <w:color w:val="000000"/>
                <w:sz w:val="20"/>
                <w:szCs w:val="20"/>
                <w:lang w:val="fr-CA"/>
              </w:rPr>
              <w:t>lovastatine</w:t>
            </w:r>
            <w:proofErr w:type="spellEnd"/>
            <w:r w:rsidRPr="007E6A6A">
              <w:rPr>
                <w:color w:val="000000"/>
                <w:sz w:val="20"/>
                <w:szCs w:val="20"/>
                <w:lang w:val="fr-CA"/>
              </w:rPr>
              <w:t xml:space="preserve">, alléguant qu'elle ne violerait pas le brevet 380.  </w:t>
            </w:r>
            <w:proofErr w:type="spellStart"/>
            <w:r w:rsidRPr="007E6A6A">
              <w:rPr>
                <w:color w:val="000000"/>
                <w:sz w:val="20"/>
                <w:szCs w:val="20"/>
                <w:lang w:val="fr-CA"/>
              </w:rPr>
              <w:t>Apotex</w:t>
            </w:r>
            <w:proofErr w:type="spellEnd"/>
            <w:r w:rsidRPr="007E6A6A">
              <w:rPr>
                <w:color w:val="000000"/>
                <w:sz w:val="20"/>
                <w:szCs w:val="20"/>
                <w:lang w:val="fr-CA"/>
              </w:rPr>
              <w:t xml:space="preserve"> a affirmé qu'elle n'emploierait pas de procédé compris dans la portée du brevet 380 pour fabriquer sa version de la </w:t>
            </w:r>
            <w:proofErr w:type="spellStart"/>
            <w:r w:rsidRPr="007E6A6A">
              <w:rPr>
                <w:color w:val="000000"/>
                <w:sz w:val="20"/>
                <w:szCs w:val="20"/>
                <w:lang w:val="fr-CA"/>
              </w:rPr>
              <w:t>lovastatine</w:t>
            </w:r>
            <w:proofErr w:type="spellEnd"/>
            <w:r w:rsidRPr="007E6A6A">
              <w:rPr>
                <w:color w:val="000000"/>
                <w:sz w:val="20"/>
                <w:szCs w:val="20"/>
                <w:lang w:val="fr-CA"/>
              </w:rPr>
              <w:t xml:space="preserve">. </w:t>
            </w:r>
            <w:proofErr w:type="spellStart"/>
            <w:r w:rsidRPr="007E6A6A">
              <w:rPr>
                <w:color w:val="000000"/>
                <w:sz w:val="20"/>
                <w:szCs w:val="20"/>
                <w:lang w:val="fr-CA"/>
              </w:rPr>
              <w:t>Merck</w:t>
            </w:r>
            <w:proofErr w:type="spellEnd"/>
            <w:r w:rsidRPr="007E6A6A">
              <w:rPr>
                <w:color w:val="000000"/>
                <w:sz w:val="20"/>
                <w:szCs w:val="20"/>
                <w:lang w:val="fr-CA"/>
              </w:rPr>
              <w:t xml:space="preserve"> a réagi en présentant une demande pour interdire au ministre de délivrer un AC à </w:t>
            </w:r>
            <w:proofErr w:type="spellStart"/>
            <w:r w:rsidRPr="007E6A6A">
              <w:rPr>
                <w:color w:val="000000"/>
                <w:sz w:val="20"/>
                <w:szCs w:val="20"/>
                <w:lang w:val="fr-CA"/>
              </w:rPr>
              <w:t>Apotex</w:t>
            </w:r>
            <w:proofErr w:type="spellEnd"/>
            <w:r w:rsidRPr="007E6A6A">
              <w:rPr>
                <w:color w:val="000000"/>
                <w:sz w:val="20"/>
                <w:szCs w:val="20"/>
                <w:lang w:val="fr-CA"/>
              </w:rPr>
              <w:t xml:space="preserve">, déclenchant l'imposition du sursis d'origine législative qui a empêché </w:t>
            </w:r>
            <w:proofErr w:type="spellStart"/>
            <w:r w:rsidRPr="007E6A6A">
              <w:rPr>
                <w:color w:val="000000"/>
                <w:sz w:val="20"/>
                <w:szCs w:val="20"/>
                <w:lang w:val="fr-CA"/>
              </w:rPr>
              <w:t>Apotex</w:t>
            </w:r>
            <w:proofErr w:type="spellEnd"/>
            <w:r w:rsidRPr="007E6A6A">
              <w:rPr>
                <w:color w:val="000000"/>
                <w:sz w:val="20"/>
                <w:szCs w:val="20"/>
                <w:lang w:val="fr-CA"/>
              </w:rPr>
              <w:t xml:space="preserve"> d'obtenir l’AC pendant une période de 30 mois pendant que l'on statuait sur le bien-fondé des allégations de non-contrefaçon présentées par </w:t>
            </w:r>
            <w:proofErr w:type="spellStart"/>
            <w:r w:rsidRPr="007E6A6A">
              <w:rPr>
                <w:color w:val="000000"/>
                <w:sz w:val="20"/>
                <w:szCs w:val="20"/>
                <w:lang w:val="fr-CA"/>
              </w:rPr>
              <w:t>Apotex</w:t>
            </w:r>
            <w:proofErr w:type="spellEnd"/>
            <w:r w:rsidRPr="007E6A6A">
              <w:rPr>
                <w:color w:val="000000"/>
                <w:sz w:val="20"/>
                <w:szCs w:val="20"/>
                <w:lang w:val="fr-CA"/>
              </w:rPr>
              <w:t>. Toutefois, la période de sursis a expiré le 1</w:t>
            </w:r>
            <w:r w:rsidRPr="007E6A6A">
              <w:rPr>
                <w:color w:val="000000"/>
                <w:sz w:val="20"/>
                <w:szCs w:val="20"/>
                <w:vertAlign w:val="superscript"/>
                <w:lang w:val="fr-CA"/>
              </w:rPr>
              <w:t>er</w:t>
            </w:r>
            <w:r w:rsidRPr="007E6A6A">
              <w:rPr>
                <w:color w:val="000000"/>
                <w:sz w:val="20"/>
                <w:szCs w:val="20"/>
                <w:lang w:val="fr-CA"/>
              </w:rPr>
              <w:t xml:space="preserve"> décembre 1996, sans que l'affaire n'ait été entendue sur le fond. En mars 1997, le tribunal a refusé de prolonger le sursis d'origine législative ou de délivrer une ordonnance d'interdiction (« </w:t>
            </w:r>
            <w:proofErr w:type="spellStart"/>
            <w:r w:rsidRPr="007E6A6A">
              <w:rPr>
                <w:i/>
                <w:color w:val="000000"/>
                <w:sz w:val="20"/>
                <w:szCs w:val="20"/>
                <w:lang w:val="fr-CA"/>
              </w:rPr>
              <w:t>Merck</w:t>
            </w:r>
            <w:proofErr w:type="spellEnd"/>
            <w:r w:rsidRPr="007E6A6A">
              <w:rPr>
                <w:i/>
                <w:color w:val="000000"/>
                <w:sz w:val="20"/>
                <w:szCs w:val="20"/>
                <w:lang w:val="fr-CA"/>
              </w:rPr>
              <w:t xml:space="preserve"> CF 1997</w:t>
            </w:r>
            <w:r w:rsidRPr="007E6A6A">
              <w:rPr>
                <w:color w:val="000000"/>
                <w:sz w:val="20"/>
                <w:szCs w:val="20"/>
                <w:lang w:val="fr-CA"/>
              </w:rPr>
              <w:t xml:space="preserve"> »), statuant qu'il n'avait pas compétence pour prolonger le sursis d'origine législative après son expiration et qu'il ne pouvait délivrer d'ordonnance d'interdiction après l'expiration du sursis. </w:t>
            </w:r>
            <w:proofErr w:type="spellStart"/>
            <w:r w:rsidRPr="007E6A6A">
              <w:rPr>
                <w:color w:val="000000"/>
                <w:sz w:val="20"/>
                <w:szCs w:val="20"/>
                <w:lang w:val="fr-CA"/>
              </w:rPr>
              <w:t>Apotex</w:t>
            </w:r>
            <w:proofErr w:type="spellEnd"/>
            <w:r w:rsidRPr="007E6A6A">
              <w:rPr>
                <w:color w:val="000000"/>
                <w:sz w:val="20"/>
                <w:szCs w:val="20"/>
                <w:lang w:val="fr-CA"/>
              </w:rPr>
              <w:t xml:space="preserve"> a obtenu son AC pour commercialiser sa version de la </w:t>
            </w:r>
            <w:proofErr w:type="spellStart"/>
            <w:r w:rsidRPr="007E6A6A">
              <w:rPr>
                <w:color w:val="000000"/>
                <w:sz w:val="20"/>
                <w:szCs w:val="20"/>
                <w:lang w:val="fr-CA"/>
              </w:rPr>
              <w:t>lovastatine</w:t>
            </w:r>
            <w:proofErr w:type="spellEnd"/>
            <w:r w:rsidRPr="007E6A6A">
              <w:rPr>
                <w:color w:val="000000"/>
                <w:sz w:val="20"/>
                <w:szCs w:val="20"/>
                <w:lang w:val="fr-CA"/>
              </w:rPr>
              <w:t xml:space="preserve"> le jour suivant.  L'appel de cette décision interjeté par </w:t>
            </w:r>
            <w:proofErr w:type="spellStart"/>
            <w:r w:rsidRPr="007E6A6A">
              <w:rPr>
                <w:color w:val="000000"/>
                <w:sz w:val="20"/>
                <w:szCs w:val="20"/>
                <w:lang w:val="fr-CA"/>
              </w:rPr>
              <w:t>Merck</w:t>
            </w:r>
            <w:proofErr w:type="spellEnd"/>
            <w:r w:rsidRPr="007E6A6A">
              <w:rPr>
                <w:color w:val="000000"/>
                <w:sz w:val="20"/>
                <w:szCs w:val="20"/>
                <w:lang w:val="fr-CA"/>
              </w:rPr>
              <w:t xml:space="preserve"> a été rejeté en raison de son caractère théorique en avril 1999 (« </w:t>
            </w:r>
            <w:proofErr w:type="spellStart"/>
            <w:r w:rsidRPr="007E6A6A">
              <w:rPr>
                <w:i/>
                <w:color w:val="000000"/>
                <w:sz w:val="20"/>
                <w:szCs w:val="20"/>
                <w:lang w:val="fr-CA"/>
              </w:rPr>
              <w:t>Merck</w:t>
            </w:r>
            <w:proofErr w:type="spellEnd"/>
            <w:r w:rsidRPr="007E6A6A">
              <w:rPr>
                <w:i/>
                <w:color w:val="000000"/>
                <w:sz w:val="20"/>
                <w:szCs w:val="20"/>
                <w:lang w:val="fr-CA"/>
              </w:rPr>
              <w:t xml:space="preserve"> CAF 1999</w:t>
            </w:r>
            <w:r w:rsidRPr="007E6A6A">
              <w:rPr>
                <w:color w:val="000000"/>
                <w:sz w:val="20"/>
                <w:szCs w:val="20"/>
                <w:lang w:val="fr-CA"/>
              </w:rPr>
              <w:t xml:space="preserve"> »). </w:t>
            </w:r>
          </w:p>
          <w:p w:rsidR="008B528E" w:rsidRPr="007E6A6A" w:rsidRDefault="008B528E" w:rsidP="00C14D8A">
            <w:pPr>
              <w:spacing w:before="182"/>
              <w:jc w:val="both"/>
              <w:rPr>
                <w:color w:val="000000"/>
                <w:sz w:val="20"/>
                <w:szCs w:val="20"/>
                <w:lang w:val="fr-CA"/>
              </w:rPr>
            </w:pPr>
            <w:r w:rsidRPr="007E6A6A">
              <w:rPr>
                <w:color w:val="000000"/>
                <w:sz w:val="20"/>
                <w:szCs w:val="20"/>
                <w:lang w:val="fr-CA"/>
              </w:rPr>
              <w:t xml:space="preserve">À la suite de cette décision, deux actions ont été intentées. </w:t>
            </w:r>
            <w:proofErr w:type="spellStart"/>
            <w:r w:rsidRPr="007E6A6A">
              <w:rPr>
                <w:color w:val="000000"/>
                <w:sz w:val="20"/>
                <w:szCs w:val="20"/>
                <w:lang w:val="fr-CA"/>
              </w:rPr>
              <w:t>Merck</w:t>
            </w:r>
            <w:proofErr w:type="spellEnd"/>
            <w:r w:rsidRPr="007E6A6A">
              <w:rPr>
                <w:color w:val="000000"/>
                <w:sz w:val="20"/>
                <w:szCs w:val="20"/>
                <w:lang w:val="fr-CA"/>
              </w:rPr>
              <w:t xml:space="preserve"> a intenté une action en contrefaçon contre </w:t>
            </w:r>
            <w:proofErr w:type="spellStart"/>
            <w:r w:rsidRPr="007E6A6A">
              <w:rPr>
                <w:color w:val="000000"/>
                <w:sz w:val="20"/>
                <w:szCs w:val="20"/>
                <w:lang w:val="fr-CA"/>
              </w:rPr>
              <w:t>Apotex</w:t>
            </w:r>
            <w:proofErr w:type="spellEnd"/>
            <w:r w:rsidRPr="007E6A6A">
              <w:rPr>
                <w:color w:val="000000"/>
                <w:sz w:val="20"/>
                <w:szCs w:val="20"/>
                <w:lang w:val="fr-CA"/>
              </w:rPr>
              <w:t xml:space="preserve"> en 1997, et a obtenu un jugement statuant que certains comprimés d’</w:t>
            </w:r>
            <w:proofErr w:type="spellStart"/>
            <w:r w:rsidRPr="007E6A6A">
              <w:rPr>
                <w:color w:val="000000"/>
                <w:sz w:val="20"/>
                <w:szCs w:val="20"/>
                <w:lang w:val="fr-CA"/>
              </w:rPr>
              <w:t>Apotex</w:t>
            </w:r>
            <w:proofErr w:type="spellEnd"/>
            <w:r w:rsidRPr="007E6A6A">
              <w:rPr>
                <w:color w:val="000000"/>
                <w:sz w:val="20"/>
                <w:szCs w:val="20"/>
                <w:lang w:val="fr-CA"/>
              </w:rPr>
              <w:t xml:space="preserve">, mais non pas tous, avaient été fabriqués au moyen d'un procédé contrefait.  En 2001, </w:t>
            </w:r>
            <w:proofErr w:type="spellStart"/>
            <w:r w:rsidRPr="007E6A6A">
              <w:rPr>
                <w:color w:val="000000"/>
                <w:sz w:val="20"/>
                <w:szCs w:val="20"/>
                <w:lang w:val="fr-CA"/>
              </w:rPr>
              <w:t>Apotex</w:t>
            </w:r>
            <w:proofErr w:type="spellEnd"/>
            <w:r w:rsidRPr="007E6A6A">
              <w:rPr>
                <w:color w:val="000000"/>
                <w:sz w:val="20"/>
                <w:szCs w:val="20"/>
                <w:lang w:val="fr-CA"/>
              </w:rPr>
              <w:t xml:space="preserve"> a intenté une action contre </w:t>
            </w:r>
            <w:proofErr w:type="spellStart"/>
            <w:r w:rsidRPr="007E6A6A">
              <w:rPr>
                <w:color w:val="000000"/>
                <w:sz w:val="20"/>
                <w:szCs w:val="20"/>
                <w:lang w:val="fr-CA"/>
              </w:rPr>
              <w:t>Merck</w:t>
            </w:r>
            <w:proofErr w:type="spellEnd"/>
            <w:r w:rsidRPr="007E6A6A">
              <w:rPr>
                <w:color w:val="000000"/>
                <w:sz w:val="20"/>
                <w:szCs w:val="20"/>
                <w:lang w:val="fr-CA"/>
              </w:rPr>
              <w:t>, sollicitant une indemnité en vertu de l'art. 8 du</w:t>
            </w:r>
            <w:r w:rsidRPr="007E6A6A">
              <w:rPr>
                <w:i/>
                <w:color w:val="000000"/>
                <w:sz w:val="20"/>
                <w:szCs w:val="20"/>
                <w:lang w:val="fr-CA"/>
              </w:rPr>
              <w:t xml:space="preserve"> Règlement sur les médicaments brevetés (avis de conformité)</w:t>
            </w:r>
            <w:r w:rsidRPr="007E6A6A">
              <w:rPr>
                <w:color w:val="000000"/>
                <w:sz w:val="20"/>
                <w:szCs w:val="20"/>
                <w:lang w:val="fr-CA"/>
              </w:rPr>
              <w:t xml:space="preserve">, pour avoir été exclue du marché de la </w:t>
            </w:r>
            <w:proofErr w:type="spellStart"/>
            <w:r w:rsidRPr="007E6A6A">
              <w:rPr>
                <w:color w:val="000000"/>
                <w:sz w:val="20"/>
                <w:szCs w:val="20"/>
                <w:lang w:val="fr-CA"/>
              </w:rPr>
              <w:t>lovastatine</w:t>
            </w:r>
            <w:proofErr w:type="spellEnd"/>
            <w:r w:rsidRPr="007E6A6A">
              <w:rPr>
                <w:color w:val="000000"/>
                <w:sz w:val="20"/>
                <w:szCs w:val="20"/>
                <w:lang w:val="fr-CA"/>
              </w:rPr>
              <w:t xml:space="preserve"> du 30 avril 1996 au 27 mars 1997. Les deux actions ont été instruites ensemble à un procès qui a commencé en 2010. La question en litige était de savoir laquelle des versions du </w:t>
            </w:r>
            <w:r w:rsidRPr="007E6A6A">
              <w:rPr>
                <w:i/>
                <w:color w:val="000000"/>
                <w:sz w:val="20"/>
                <w:szCs w:val="20"/>
                <w:lang w:val="fr-CA"/>
              </w:rPr>
              <w:t>Règlement</w:t>
            </w:r>
            <w:r w:rsidRPr="007E6A6A">
              <w:rPr>
                <w:color w:val="000000"/>
                <w:sz w:val="20"/>
                <w:szCs w:val="20"/>
                <w:lang w:val="fr-CA"/>
              </w:rPr>
              <w:t xml:space="preserve"> s'appliquait, celle de 1993 ou celle de 1998 et si, selon la version qui appliquait, </w:t>
            </w:r>
            <w:proofErr w:type="spellStart"/>
            <w:r w:rsidRPr="007E6A6A">
              <w:rPr>
                <w:color w:val="000000"/>
                <w:sz w:val="20"/>
                <w:szCs w:val="20"/>
                <w:lang w:val="fr-CA"/>
              </w:rPr>
              <w:t>Apotex</w:t>
            </w:r>
            <w:proofErr w:type="spellEnd"/>
            <w:r w:rsidRPr="007E6A6A">
              <w:rPr>
                <w:color w:val="000000"/>
                <w:sz w:val="20"/>
                <w:szCs w:val="20"/>
                <w:lang w:val="fr-CA"/>
              </w:rPr>
              <w:t xml:space="preserve"> avait droit à une indemnité et pour quelle période, le cas échéant.</w:t>
            </w:r>
          </w:p>
          <w:p w:rsidR="008B528E" w:rsidRPr="007E6A6A" w:rsidRDefault="008B528E" w:rsidP="00C14D8A">
            <w:pPr>
              <w:jc w:val="both"/>
              <w:rPr>
                <w:sz w:val="20"/>
                <w:szCs w:val="20"/>
                <w:lang w:val="fr-CA"/>
              </w:rPr>
            </w:pPr>
          </w:p>
        </w:tc>
      </w:tr>
      <w:tr w:rsidR="008B528E" w:rsidRPr="00017BF4" w:rsidTr="00C14D8A">
        <w:tc>
          <w:tcPr>
            <w:tcW w:w="2427" w:type="pct"/>
          </w:tcPr>
          <w:p w:rsidR="008B528E" w:rsidRPr="007E6A6A" w:rsidRDefault="008B528E" w:rsidP="00C14D8A">
            <w:pPr>
              <w:jc w:val="both"/>
              <w:rPr>
                <w:rFonts w:eastAsia="Calibri"/>
                <w:sz w:val="20"/>
                <w:szCs w:val="20"/>
                <w:lang w:val="fr-CA"/>
              </w:rPr>
            </w:pPr>
            <w:r w:rsidRPr="007E6A6A">
              <w:rPr>
                <w:rFonts w:eastAsia="Calibri"/>
                <w:sz w:val="20"/>
                <w:szCs w:val="20"/>
                <w:lang w:val="fr-CA"/>
              </w:rPr>
              <w:t>22 décembre 2010</w:t>
            </w:r>
          </w:p>
          <w:p w:rsidR="008B528E" w:rsidRPr="007E6A6A" w:rsidRDefault="008B528E" w:rsidP="00C14D8A">
            <w:pPr>
              <w:jc w:val="both"/>
              <w:rPr>
                <w:rFonts w:eastAsia="Calibri"/>
                <w:sz w:val="20"/>
                <w:szCs w:val="20"/>
                <w:lang w:val="fr-CA"/>
              </w:rPr>
            </w:pPr>
            <w:r w:rsidRPr="007E6A6A">
              <w:rPr>
                <w:rFonts w:eastAsia="Calibri"/>
                <w:sz w:val="20"/>
                <w:szCs w:val="20"/>
                <w:lang w:val="fr-CA"/>
              </w:rPr>
              <w:t xml:space="preserve">Cour fédérale </w:t>
            </w:r>
          </w:p>
          <w:p w:rsidR="008B528E" w:rsidRPr="007E6A6A" w:rsidRDefault="008B528E" w:rsidP="00C14D8A">
            <w:pPr>
              <w:jc w:val="both"/>
              <w:rPr>
                <w:rFonts w:eastAsia="Calibri"/>
                <w:sz w:val="20"/>
                <w:szCs w:val="20"/>
                <w:lang w:val="fr-CA"/>
              </w:rPr>
            </w:pPr>
            <w:r w:rsidRPr="007E6A6A">
              <w:rPr>
                <w:rFonts w:eastAsia="Calibri"/>
                <w:sz w:val="20"/>
                <w:szCs w:val="20"/>
                <w:lang w:val="fr-CA"/>
              </w:rPr>
              <w:t xml:space="preserve">(Juge </w:t>
            </w:r>
            <w:proofErr w:type="spellStart"/>
            <w:r w:rsidRPr="007E6A6A">
              <w:rPr>
                <w:rFonts w:eastAsia="Calibri"/>
                <w:sz w:val="20"/>
                <w:szCs w:val="20"/>
                <w:lang w:val="fr-CA"/>
              </w:rPr>
              <w:t>Snider</w:t>
            </w:r>
            <w:proofErr w:type="spellEnd"/>
            <w:r w:rsidRPr="007E6A6A">
              <w:rPr>
                <w:rFonts w:eastAsia="Calibri"/>
                <w:sz w:val="20"/>
                <w:szCs w:val="20"/>
                <w:lang w:val="fr-CA"/>
              </w:rPr>
              <w:t>)</w:t>
            </w:r>
          </w:p>
          <w:p w:rsidR="008B528E" w:rsidRPr="007E6A6A" w:rsidRDefault="008B528E" w:rsidP="00C14D8A">
            <w:pPr>
              <w:jc w:val="both"/>
              <w:rPr>
                <w:rFonts w:eastAsia="Calibri"/>
                <w:sz w:val="20"/>
                <w:szCs w:val="20"/>
                <w:lang w:val="fr-CA"/>
              </w:rPr>
            </w:pPr>
            <w:r w:rsidRPr="007E6A6A">
              <w:rPr>
                <w:rFonts w:eastAsia="Calibri"/>
                <w:sz w:val="20"/>
                <w:szCs w:val="20"/>
                <w:lang w:val="fr-CA"/>
              </w:rPr>
              <w:t>2010 FC 1264</w:t>
            </w:r>
          </w:p>
          <w:p w:rsidR="008B528E" w:rsidRPr="007E6A6A" w:rsidRDefault="008B528E" w:rsidP="00C14D8A">
            <w:pPr>
              <w:jc w:val="both"/>
              <w:rPr>
                <w:rFonts w:eastAsia="Calibri"/>
                <w:sz w:val="20"/>
                <w:szCs w:val="20"/>
                <w:lang w:val="fr-CA"/>
              </w:rPr>
            </w:pPr>
          </w:p>
        </w:tc>
        <w:tc>
          <w:tcPr>
            <w:tcW w:w="243" w:type="pct"/>
          </w:tcPr>
          <w:p w:rsidR="008B528E" w:rsidRPr="007E6A6A" w:rsidRDefault="008B528E" w:rsidP="00C14D8A">
            <w:pPr>
              <w:jc w:val="both"/>
              <w:rPr>
                <w:rFonts w:eastAsia="Calibri"/>
                <w:sz w:val="20"/>
                <w:szCs w:val="20"/>
                <w:lang w:val="fr-CA"/>
              </w:rPr>
            </w:pPr>
          </w:p>
        </w:tc>
        <w:tc>
          <w:tcPr>
            <w:tcW w:w="2330" w:type="pct"/>
          </w:tcPr>
          <w:p w:rsidR="008B528E" w:rsidRPr="007E6A6A" w:rsidRDefault="008B528E" w:rsidP="00C14D8A">
            <w:pPr>
              <w:jc w:val="both"/>
              <w:rPr>
                <w:rFonts w:eastAsia="Calibri"/>
                <w:sz w:val="20"/>
                <w:szCs w:val="20"/>
                <w:lang w:val="fr-CA"/>
              </w:rPr>
            </w:pPr>
            <w:r w:rsidRPr="007E6A6A">
              <w:rPr>
                <w:rFonts w:eastAsia="Calibri"/>
                <w:sz w:val="20"/>
                <w:szCs w:val="20"/>
                <w:lang w:val="fr-CA"/>
              </w:rPr>
              <w:t>Demande d’</w:t>
            </w:r>
            <w:proofErr w:type="spellStart"/>
            <w:r w:rsidRPr="007E6A6A">
              <w:rPr>
                <w:rFonts w:eastAsia="Calibri"/>
                <w:sz w:val="20"/>
                <w:szCs w:val="20"/>
                <w:lang w:val="fr-CA"/>
              </w:rPr>
              <w:t>Apotex</w:t>
            </w:r>
            <w:proofErr w:type="spellEnd"/>
            <w:r w:rsidRPr="007E6A6A">
              <w:rPr>
                <w:rFonts w:eastAsia="Calibri"/>
                <w:sz w:val="20"/>
                <w:szCs w:val="20"/>
                <w:lang w:val="fr-CA"/>
              </w:rPr>
              <w:t xml:space="preserve"> en dommages-intérêts fondée sur l'art. 8, rejetée. Demande reconventionnelle de </w:t>
            </w:r>
            <w:proofErr w:type="spellStart"/>
            <w:r w:rsidRPr="007E6A6A">
              <w:rPr>
                <w:rFonts w:eastAsia="Calibri"/>
                <w:sz w:val="20"/>
                <w:szCs w:val="20"/>
                <w:lang w:val="fr-CA"/>
              </w:rPr>
              <w:t>Merck</w:t>
            </w:r>
            <w:proofErr w:type="spellEnd"/>
            <w:r w:rsidRPr="007E6A6A">
              <w:rPr>
                <w:rFonts w:eastAsia="Calibri"/>
                <w:sz w:val="20"/>
                <w:szCs w:val="20"/>
                <w:lang w:val="fr-CA"/>
              </w:rPr>
              <w:t>, rejetée.</w:t>
            </w:r>
          </w:p>
          <w:p w:rsidR="008B528E" w:rsidRPr="007E6A6A" w:rsidRDefault="008B528E" w:rsidP="00C14D8A">
            <w:pPr>
              <w:jc w:val="both"/>
              <w:rPr>
                <w:rFonts w:eastAsia="Calibri"/>
                <w:sz w:val="20"/>
                <w:szCs w:val="20"/>
                <w:lang w:val="fr-CA"/>
              </w:rPr>
            </w:pPr>
          </w:p>
        </w:tc>
      </w:tr>
      <w:tr w:rsidR="008B528E" w:rsidRPr="00017BF4" w:rsidTr="00C14D8A">
        <w:tc>
          <w:tcPr>
            <w:tcW w:w="2427" w:type="pct"/>
          </w:tcPr>
          <w:p w:rsidR="008B528E" w:rsidRPr="007E6A6A" w:rsidRDefault="008B528E" w:rsidP="00C14D8A">
            <w:pPr>
              <w:jc w:val="both"/>
              <w:rPr>
                <w:rFonts w:eastAsia="Calibri"/>
                <w:sz w:val="20"/>
                <w:szCs w:val="20"/>
                <w:lang w:val="fr-CA"/>
              </w:rPr>
            </w:pPr>
            <w:r w:rsidRPr="007E6A6A">
              <w:rPr>
                <w:rFonts w:eastAsia="Calibri"/>
                <w:sz w:val="20"/>
                <w:szCs w:val="20"/>
                <w:lang w:val="fr-CA"/>
              </w:rPr>
              <w:t>19 décembre 2011</w:t>
            </w:r>
          </w:p>
          <w:p w:rsidR="008B528E" w:rsidRPr="007E6A6A" w:rsidRDefault="008B528E" w:rsidP="00C14D8A">
            <w:pPr>
              <w:jc w:val="both"/>
              <w:rPr>
                <w:rFonts w:eastAsia="Calibri"/>
                <w:sz w:val="20"/>
                <w:szCs w:val="20"/>
                <w:lang w:val="fr-CA"/>
              </w:rPr>
            </w:pPr>
            <w:r w:rsidRPr="007E6A6A">
              <w:rPr>
                <w:rFonts w:eastAsia="Calibri"/>
                <w:sz w:val="20"/>
                <w:szCs w:val="20"/>
                <w:lang w:val="fr-CA"/>
              </w:rPr>
              <w:t xml:space="preserve">Cour d'appel fédérale </w:t>
            </w:r>
          </w:p>
          <w:p w:rsidR="008B528E" w:rsidRPr="007E6A6A" w:rsidRDefault="008B528E" w:rsidP="00C14D8A">
            <w:pPr>
              <w:jc w:val="both"/>
              <w:rPr>
                <w:rFonts w:eastAsia="Calibri"/>
                <w:sz w:val="20"/>
                <w:szCs w:val="20"/>
                <w:lang w:val="fr-CA"/>
              </w:rPr>
            </w:pPr>
            <w:r w:rsidRPr="007E6A6A">
              <w:rPr>
                <w:rFonts w:eastAsia="Calibri"/>
                <w:sz w:val="20"/>
                <w:szCs w:val="20"/>
                <w:lang w:val="fr-CA"/>
              </w:rPr>
              <w:t xml:space="preserve">(Juges Evans, Gauthier et </w:t>
            </w:r>
            <w:proofErr w:type="spellStart"/>
            <w:r w:rsidRPr="007E6A6A">
              <w:rPr>
                <w:rFonts w:eastAsia="Calibri"/>
                <w:sz w:val="20"/>
                <w:szCs w:val="20"/>
                <w:lang w:val="fr-CA"/>
              </w:rPr>
              <w:t>Stratas</w:t>
            </w:r>
            <w:proofErr w:type="spellEnd"/>
            <w:r w:rsidRPr="007E6A6A">
              <w:rPr>
                <w:rFonts w:eastAsia="Calibri"/>
                <w:sz w:val="20"/>
                <w:szCs w:val="20"/>
                <w:lang w:val="fr-CA"/>
              </w:rPr>
              <w:t>)</w:t>
            </w:r>
          </w:p>
          <w:p w:rsidR="008B528E" w:rsidRPr="007E6A6A" w:rsidRDefault="008B528E" w:rsidP="00C14D8A">
            <w:pPr>
              <w:jc w:val="both"/>
              <w:rPr>
                <w:rFonts w:eastAsia="Calibri"/>
                <w:sz w:val="20"/>
                <w:szCs w:val="20"/>
                <w:lang w:val="fr-CA"/>
              </w:rPr>
            </w:pPr>
            <w:r w:rsidRPr="007E6A6A">
              <w:rPr>
                <w:rFonts w:eastAsia="Calibri"/>
                <w:sz w:val="20"/>
                <w:szCs w:val="20"/>
                <w:lang w:val="fr-CA"/>
              </w:rPr>
              <w:t>2011 FCA 364</w:t>
            </w:r>
          </w:p>
          <w:p w:rsidR="008B528E" w:rsidRPr="007E6A6A" w:rsidRDefault="008B528E" w:rsidP="00C14D8A">
            <w:pPr>
              <w:jc w:val="both"/>
              <w:rPr>
                <w:rFonts w:eastAsia="Calibri"/>
                <w:sz w:val="20"/>
                <w:szCs w:val="20"/>
                <w:lang w:val="fr-CA"/>
              </w:rPr>
            </w:pPr>
          </w:p>
        </w:tc>
        <w:tc>
          <w:tcPr>
            <w:tcW w:w="243" w:type="pct"/>
          </w:tcPr>
          <w:p w:rsidR="008B528E" w:rsidRPr="007E6A6A" w:rsidRDefault="008B528E" w:rsidP="00C14D8A">
            <w:pPr>
              <w:jc w:val="both"/>
              <w:rPr>
                <w:rFonts w:eastAsia="Calibri"/>
                <w:sz w:val="20"/>
                <w:szCs w:val="20"/>
                <w:lang w:val="fr-CA"/>
              </w:rPr>
            </w:pPr>
          </w:p>
        </w:tc>
        <w:tc>
          <w:tcPr>
            <w:tcW w:w="2330" w:type="pct"/>
          </w:tcPr>
          <w:p w:rsidR="008B528E" w:rsidRPr="007E6A6A" w:rsidRDefault="008B528E" w:rsidP="00C14D8A">
            <w:pPr>
              <w:jc w:val="both"/>
              <w:rPr>
                <w:rFonts w:eastAsia="Calibri"/>
                <w:sz w:val="20"/>
                <w:szCs w:val="20"/>
                <w:lang w:val="fr-CA"/>
              </w:rPr>
            </w:pPr>
            <w:r w:rsidRPr="007E6A6A">
              <w:rPr>
                <w:rFonts w:eastAsia="Calibri"/>
                <w:sz w:val="20"/>
                <w:szCs w:val="20"/>
                <w:lang w:val="fr-CA"/>
              </w:rPr>
              <w:t>Appel d’</w:t>
            </w:r>
            <w:proofErr w:type="spellStart"/>
            <w:r w:rsidRPr="007E6A6A">
              <w:rPr>
                <w:rFonts w:eastAsia="Calibri"/>
                <w:sz w:val="20"/>
                <w:szCs w:val="20"/>
                <w:lang w:val="fr-CA"/>
              </w:rPr>
              <w:t>Apotex</w:t>
            </w:r>
            <w:proofErr w:type="spellEnd"/>
            <w:r w:rsidRPr="007E6A6A">
              <w:rPr>
                <w:rFonts w:eastAsia="Calibri"/>
                <w:sz w:val="20"/>
                <w:szCs w:val="20"/>
                <w:lang w:val="fr-CA"/>
              </w:rPr>
              <w:t>, accueilli; affaire renvoyée au juge pour qu'il statue conformément aux motifs</w:t>
            </w:r>
          </w:p>
          <w:p w:rsidR="008B528E" w:rsidRPr="007E6A6A" w:rsidRDefault="008B528E" w:rsidP="00C14D8A">
            <w:pPr>
              <w:jc w:val="both"/>
              <w:rPr>
                <w:rFonts w:eastAsia="Calibri"/>
                <w:sz w:val="20"/>
                <w:szCs w:val="20"/>
                <w:lang w:val="fr-CA"/>
              </w:rPr>
            </w:pPr>
          </w:p>
        </w:tc>
      </w:tr>
      <w:tr w:rsidR="008B528E" w:rsidRPr="007E6A6A" w:rsidTr="00C14D8A">
        <w:tc>
          <w:tcPr>
            <w:tcW w:w="2427" w:type="pct"/>
          </w:tcPr>
          <w:p w:rsidR="008B528E" w:rsidRPr="007E6A6A" w:rsidRDefault="008B528E" w:rsidP="00C14D8A">
            <w:pPr>
              <w:jc w:val="both"/>
              <w:rPr>
                <w:rFonts w:eastAsia="Calibri"/>
                <w:sz w:val="20"/>
                <w:szCs w:val="20"/>
                <w:lang w:val="fr-CA"/>
              </w:rPr>
            </w:pPr>
            <w:r w:rsidRPr="007E6A6A">
              <w:rPr>
                <w:rFonts w:eastAsia="Calibri"/>
                <w:sz w:val="20"/>
                <w:szCs w:val="20"/>
                <w:lang w:val="fr-CA"/>
              </w:rPr>
              <w:t>17 février 2012</w:t>
            </w:r>
          </w:p>
          <w:p w:rsidR="008B528E" w:rsidRPr="007E6A6A" w:rsidRDefault="008B528E" w:rsidP="00C14D8A">
            <w:pPr>
              <w:jc w:val="both"/>
              <w:rPr>
                <w:rFonts w:eastAsia="Calibri"/>
                <w:sz w:val="20"/>
                <w:szCs w:val="20"/>
                <w:lang w:val="fr-CA"/>
              </w:rPr>
            </w:pPr>
            <w:r w:rsidRPr="007E6A6A">
              <w:rPr>
                <w:rFonts w:eastAsia="Calibri"/>
                <w:sz w:val="20"/>
                <w:szCs w:val="20"/>
                <w:lang w:val="fr-CA"/>
              </w:rPr>
              <w:t>Cour suprême du Canada</w:t>
            </w:r>
          </w:p>
        </w:tc>
        <w:tc>
          <w:tcPr>
            <w:tcW w:w="243" w:type="pct"/>
          </w:tcPr>
          <w:p w:rsidR="008B528E" w:rsidRPr="007E6A6A" w:rsidRDefault="008B528E" w:rsidP="00C14D8A">
            <w:pPr>
              <w:jc w:val="both"/>
              <w:rPr>
                <w:rFonts w:eastAsia="Calibri"/>
                <w:sz w:val="20"/>
                <w:szCs w:val="20"/>
                <w:lang w:val="fr-CA"/>
              </w:rPr>
            </w:pPr>
          </w:p>
        </w:tc>
        <w:tc>
          <w:tcPr>
            <w:tcW w:w="2330" w:type="pct"/>
          </w:tcPr>
          <w:p w:rsidR="008B528E" w:rsidRPr="007E6A6A" w:rsidRDefault="008B528E" w:rsidP="00C14D8A">
            <w:pPr>
              <w:jc w:val="both"/>
              <w:rPr>
                <w:rFonts w:eastAsia="Calibri"/>
                <w:sz w:val="20"/>
                <w:szCs w:val="20"/>
                <w:lang w:val="fr-CA"/>
              </w:rPr>
            </w:pPr>
            <w:r w:rsidRPr="007E6A6A">
              <w:rPr>
                <w:rFonts w:eastAsia="Calibri"/>
                <w:sz w:val="20"/>
                <w:szCs w:val="20"/>
                <w:lang w:val="fr-CA"/>
              </w:rPr>
              <w:t>Demande d'autorisation d'appel, déposée</w:t>
            </w:r>
          </w:p>
          <w:p w:rsidR="008B528E" w:rsidRPr="007E6A6A" w:rsidRDefault="008B528E" w:rsidP="00C14D8A">
            <w:pPr>
              <w:jc w:val="both"/>
              <w:rPr>
                <w:rFonts w:eastAsia="Calibri"/>
                <w:sz w:val="20"/>
                <w:szCs w:val="20"/>
                <w:lang w:val="fr-CA"/>
              </w:rPr>
            </w:pPr>
          </w:p>
        </w:tc>
      </w:tr>
    </w:tbl>
    <w:p w:rsidR="00F83F5A" w:rsidRDefault="00F83F5A" w:rsidP="00F83F5A">
      <w:pPr>
        <w:rPr>
          <w:sz w:val="20"/>
          <w:szCs w:val="20"/>
        </w:rPr>
      </w:pPr>
    </w:p>
    <w:p w:rsidR="00F83F5A" w:rsidRDefault="00ED3438" w:rsidP="00F83F5A">
      <w:pPr>
        <w:rPr>
          <w:sz w:val="20"/>
          <w:szCs w:val="20"/>
        </w:rPr>
      </w:pPr>
      <w:r w:rsidRPr="00ED3438">
        <w:rPr>
          <w:sz w:val="20"/>
          <w:szCs w:val="20"/>
          <w:lang w:val="fr-CA"/>
        </w:rPr>
        <w:pict>
          <v:rect id="_x0000_i1054" style="width:2in;height:1pt" o:hrpct="0" o:hralign="center" o:hrstd="t" o:hrnoshade="t" o:hr="t" fillcolor="black [3213]" stroked="f"/>
        </w:pict>
      </w:r>
    </w:p>
    <w:p w:rsidR="00F83F5A" w:rsidRDefault="00F83F5A" w:rsidP="00F83F5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703FF" w:rsidRPr="0047561F" w:rsidTr="00B60060">
        <w:trPr>
          <w:cantSplit/>
        </w:trPr>
        <w:tc>
          <w:tcPr>
            <w:tcW w:w="1458" w:type="dxa"/>
          </w:tcPr>
          <w:p w:rsidR="005703FF" w:rsidRPr="0047561F" w:rsidRDefault="005703FF" w:rsidP="00B60060">
            <w:pPr>
              <w:rPr>
                <w:sz w:val="20"/>
                <w:szCs w:val="20"/>
              </w:rPr>
            </w:pPr>
            <w:r w:rsidRPr="0047561F">
              <w:rPr>
                <w:rStyle w:val="SCCFileNumberChar"/>
                <w:sz w:val="20"/>
                <w:szCs w:val="20"/>
              </w:rPr>
              <w:t>34683</w:t>
            </w:r>
          </w:p>
          <w:p w:rsidR="005703FF" w:rsidRPr="0047561F" w:rsidRDefault="005703FF" w:rsidP="00B60060">
            <w:pPr>
              <w:rPr>
                <w:b/>
                <w:sz w:val="20"/>
                <w:szCs w:val="20"/>
                <w:lang w:val="fr-CA"/>
              </w:rPr>
            </w:pPr>
          </w:p>
        </w:tc>
        <w:tc>
          <w:tcPr>
            <w:tcW w:w="8118" w:type="dxa"/>
          </w:tcPr>
          <w:p w:rsidR="005703FF" w:rsidRPr="0047561F" w:rsidRDefault="005703FF" w:rsidP="00B60060">
            <w:pPr>
              <w:jc w:val="both"/>
              <w:rPr>
                <w:sz w:val="20"/>
                <w:szCs w:val="20"/>
              </w:rPr>
            </w:pPr>
            <w:proofErr w:type="spellStart"/>
            <w:r w:rsidRPr="005703FF">
              <w:rPr>
                <w:rStyle w:val="SCCLsocChar"/>
                <w:sz w:val="20"/>
                <w:szCs w:val="20"/>
                <w:lang w:val="en-CA"/>
              </w:rPr>
              <w:t>Rakel</w:t>
            </w:r>
            <w:proofErr w:type="spellEnd"/>
            <w:r w:rsidRPr="005703FF">
              <w:rPr>
                <w:rStyle w:val="SCCLsocChar"/>
                <w:sz w:val="20"/>
                <w:szCs w:val="20"/>
                <w:lang w:val="en-CA"/>
              </w:rPr>
              <w:t xml:space="preserve"> </w:t>
            </w:r>
            <w:proofErr w:type="spellStart"/>
            <w:r w:rsidRPr="005703FF">
              <w:rPr>
                <w:rStyle w:val="SCCLsocChar"/>
                <w:sz w:val="20"/>
                <w:szCs w:val="20"/>
                <w:lang w:val="en-CA"/>
              </w:rPr>
              <w:t>Elbilia</w:t>
            </w:r>
            <w:proofErr w:type="spellEnd"/>
            <w:r w:rsidRPr="005703FF">
              <w:rPr>
                <w:rStyle w:val="SCCLsocChar"/>
                <w:sz w:val="20"/>
                <w:szCs w:val="20"/>
                <w:lang w:val="en-CA"/>
              </w:rPr>
              <w:t xml:space="preserve"> v. National Automobile, Aerospace, Transportation and General Workers Union of Canada (CAW-Canada), Local 2002 and Air Canada</w:t>
            </w:r>
            <w:r w:rsidRPr="0047561F">
              <w:rPr>
                <w:sz w:val="20"/>
                <w:szCs w:val="20"/>
              </w:rPr>
              <w:t xml:space="preserve"> (F.C.) (Civil) (By Leave)</w:t>
            </w:r>
          </w:p>
          <w:p w:rsidR="005703FF" w:rsidRPr="0047561F" w:rsidRDefault="005703FF" w:rsidP="00B60060">
            <w:pPr>
              <w:rPr>
                <w:sz w:val="20"/>
                <w:szCs w:val="20"/>
              </w:rPr>
            </w:pPr>
          </w:p>
        </w:tc>
      </w:tr>
      <w:tr w:rsidR="005703FF" w:rsidRPr="0047561F" w:rsidTr="00B60060">
        <w:trPr>
          <w:cantSplit/>
        </w:trPr>
        <w:tc>
          <w:tcPr>
            <w:tcW w:w="1458" w:type="dxa"/>
          </w:tcPr>
          <w:p w:rsidR="005703FF" w:rsidRPr="0047561F" w:rsidRDefault="005703FF" w:rsidP="00B60060">
            <w:pPr>
              <w:rPr>
                <w:sz w:val="20"/>
                <w:szCs w:val="20"/>
              </w:rPr>
            </w:pPr>
            <w:r w:rsidRPr="0047561F">
              <w:rPr>
                <w:sz w:val="20"/>
                <w:szCs w:val="20"/>
              </w:rPr>
              <w:t>Coram :</w:t>
            </w:r>
          </w:p>
        </w:tc>
        <w:tc>
          <w:tcPr>
            <w:tcW w:w="8118" w:type="dxa"/>
          </w:tcPr>
          <w:p w:rsidR="005703FF" w:rsidRPr="0047561F" w:rsidRDefault="005703FF" w:rsidP="00B60060">
            <w:pPr>
              <w:rPr>
                <w:sz w:val="20"/>
                <w:szCs w:val="20"/>
              </w:rPr>
            </w:pPr>
            <w:proofErr w:type="spellStart"/>
            <w:r w:rsidRPr="005703FF">
              <w:rPr>
                <w:rStyle w:val="SCCCoramChar"/>
                <w:sz w:val="20"/>
                <w:szCs w:val="20"/>
                <w:lang w:val="en-CA"/>
              </w:rPr>
              <w:t>Deschamps</w:t>
            </w:r>
            <w:proofErr w:type="spellEnd"/>
            <w:r w:rsidRPr="005703FF">
              <w:rPr>
                <w:rStyle w:val="SCCCoramChar"/>
                <w:sz w:val="20"/>
                <w:szCs w:val="20"/>
                <w:lang w:val="en-CA"/>
              </w:rPr>
              <w:t xml:space="preserve">, Fish and </w:t>
            </w:r>
            <w:proofErr w:type="spellStart"/>
            <w:r w:rsidRPr="005703FF">
              <w:rPr>
                <w:rStyle w:val="SCCCoramChar"/>
                <w:sz w:val="20"/>
                <w:szCs w:val="20"/>
                <w:lang w:val="en-CA"/>
              </w:rPr>
              <w:t>Karakatsanis</w:t>
            </w:r>
            <w:proofErr w:type="spellEnd"/>
            <w:r w:rsidRPr="005703FF">
              <w:rPr>
                <w:rStyle w:val="SCCCoramChar"/>
                <w:sz w:val="20"/>
                <w:szCs w:val="20"/>
                <w:lang w:val="en-CA"/>
              </w:rPr>
              <w:t> JJ.</w:t>
            </w:r>
          </w:p>
          <w:p w:rsidR="005703FF" w:rsidRPr="0047561F" w:rsidRDefault="005703FF" w:rsidP="00B60060">
            <w:pPr>
              <w:rPr>
                <w:sz w:val="20"/>
                <w:szCs w:val="20"/>
                <w:u w:val="single"/>
              </w:rPr>
            </w:pPr>
          </w:p>
        </w:tc>
      </w:tr>
      <w:tr w:rsidR="005703FF" w:rsidRPr="00017BF4" w:rsidTr="00B60060">
        <w:trPr>
          <w:cantSplit/>
        </w:trPr>
        <w:tc>
          <w:tcPr>
            <w:tcW w:w="9576" w:type="dxa"/>
            <w:gridSpan w:val="2"/>
          </w:tcPr>
          <w:p w:rsidR="005703FF" w:rsidRPr="0047561F" w:rsidRDefault="005703FF" w:rsidP="00B60060">
            <w:pPr>
              <w:pStyle w:val="SCCShortJudgment"/>
              <w:rPr>
                <w:szCs w:val="20"/>
              </w:rPr>
            </w:pPr>
            <w:r w:rsidRPr="0047561F">
              <w:rPr>
                <w:szCs w:val="20"/>
              </w:rPr>
              <w:t>The application for leave to appeal from the judgment of the Federal Court of Appeal, Number A-70-09, 2011 FCA 356, dated December 16, 2011, is dismissed with costs to the respondent National Automobile, Aerospace, Transportation and General Workers Union of Canada (CAW-Canada), Local 2002.</w:t>
            </w:r>
          </w:p>
          <w:p w:rsidR="005703FF" w:rsidRPr="0047561F" w:rsidRDefault="005703FF" w:rsidP="00B60060">
            <w:pPr>
              <w:pStyle w:val="SCCShortJudgment"/>
              <w:ind w:firstLine="0"/>
              <w:rPr>
                <w:szCs w:val="20"/>
              </w:rPr>
            </w:pPr>
          </w:p>
          <w:p w:rsidR="005703FF" w:rsidRPr="0047561F" w:rsidRDefault="005703FF" w:rsidP="00B60060">
            <w:pPr>
              <w:pStyle w:val="SCCShortJudgment"/>
              <w:rPr>
                <w:szCs w:val="20"/>
                <w:lang w:val="fr-CA"/>
              </w:rPr>
            </w:pPr>
            <w:r w:rsidRPr="0047561F">
              <w:rPr>
                <w:szCs w:val="20"/>
                <w:lang w:val="fr-CA"/>
              </w:rPr>
              <w:t>La demande d’autorisation d’appel de l’arrêt de la Cour d’appel fédérale, numéro A-70-09, 2011 CAF 356, daté du 16 décembre 2011, est rejetée avec dépens en faveur de l’intimé Syndicat national de l’automobile, de l’aérospatiale, du transport et des autres travailleurs et travailleuses du Canada (TCA-Canada), Section Locale 2002.</w:t>
            </w:r>
          </w:p>
        </w:tc>
      </w:tr>
    </w:tbl>
    <w:p w:rsidR="00F83F5A" w:rsidRPr="00F83F5A" w:rsidRDefault="00F83F5A" w:rsidP="00F83F5A">
      <w:pPr>
        <w:rPr>
          <w:sz w:val="20"/>
          <w:szCs w:val="20"/>
          <w:lang w:val="fr-CA"/>
        </w:rPr>
      </w:pPr>
    </w:p>
    <w:p w:rsidR="00F83F5A" w:rsidRPr="001B157C" w:rsidRDefault="00F83F5A" w:rsidP="00F83F5A">
      <w:pPr>
        <w:rPr>
          <w:sz w:val="20"/>
          <w:szCs w:val="20"/>
          <w:u w:val="single"/>
        </w:rPr>
      </w:pPr>
      <w:r w:rsidRPr="001B157C">
        <w:rPr>
          <w:sz w:val="20"/>
          <w:szCs w:val="20"/>
          <w:u w:val="single"/>
        </w:rPr>
        <w:t>CASE SUMMARY</w:t>
      </w:r>
    </w:p>
    <w:p w:rsidR="00F83F5A" w:rsidRDefault="00F83F5A" w:rsidP="00F83F5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14D8A" w:rsidRPr="007E6A6A" w:rsidTr="00C14D8A">
        <w:tc>
          <w:tcPr>
            <w:tcW w:w="5000" w:type="pct"/>
            <w:gridSpan w:val="3"/>
          </w:tcPr>
          <w:p w:rsidR="00C14D8A" w:rsidRPr="007E6A6A" w:rsidRDefault="00C14D8A" w:rsidP="00C14D8A">
            <w:pPr>
              <w:jc w:val="both"/>
              <w:rPr>
                <w:rFonts w:eastAsia="Calibri"/>
                <w:smallCaps/>
                <w:sz w:val="20"/>
                <w:szCs w:val="20"/>
              </w:rPr>
            </w:pPr>
            <w:r w:rsidRPr="007E6A6A">
              <w:rPr>
                <w:rFonts w:eastAsia="Calibri"/>
                <w:smallCaps/>
                <w:sz w:val="20"/>
                <w:szCs w:val="20"/>
              </w:rPr>
              <w:t>(Court File Contains Information that Is not Available for Inspection by the Public)</w:t>
            </w:r>
          </w:p>
          <w:p w:rsidR="00C14D8A" w:rsidRPr="007E6A6A" w:rsidRDefault="00C14D8A" w:rsidP="00C14D8A">
            <w:pPr>
              <w:jc w:val="both"/>
              <w:rPr>
                <w:rFonts w:eastAsia="Calibri"/>
                <w:sz w:val="20"/>
                <w:szCs w:val="20"/>
              </w:rPr>
            </w:pPr>
          </w:p>
        </w:tc>
      </w:tr>
      <w:tr w:rsidR="00C14D8A" w:rsidRPr="007E6A6A" w:rsidTr="00C14D8A">
        <w:tc>
          <w:tcPr>
            <w:tcW w:w="5000" w:type="pct"/>
            <w:gridSpan w:val="3"/>
          </w:tcPr>
          <w:p w:rsidR="00C14D8A" w:rsidRPr="007E6A6A" w:rsidRDefault="00C14D8A" w:rsidP="00C14D8A">
            <w:pPr>
              <w:jc w:val="both"/>
              <w:rPr>
                <w:rFonts w:eastAsia="Calibri"/>
                <w:sz w:val="20"/>
                <w:szCs w:val="20"/>
              </w:rPr>
            </w:pPr>
            <w:r w:rsidRPr="007E6A6A">
              <w:rPr>
                <w:rFonts w:eastAsia="Calibri"/>
                <w:sz w:val="20"/>
                <w:szCs w:val="20"/>
              </w:rPr>
              <w:t>Labour law – Trade union – Duty of fair representation – Whether Board could find that record did not show that union had handled grievance in unfair and arbitrary way – Whether Court of Appeal, on judicial review, should have intervened – Whether procedural fairness was breached by decision to proceed without oral hearing.</w:t>
            </w:r>
          </w:p>
          <w:p w:rsidR="00C14D8A" w:rsidRPr="007E6A6A" w:rsidRDefault="00C14D8A" w:rsidP="00C14D8A">
            <w:pPr>
              <w:jc w:val="both"/>
              <w:rPr>
                <w:rFonts w:eastAsia="Calibri"/>
                <w:sz w:val="20"/>
                <w:szCs w:val="20"/>
              </w:rPr>
            </w:pPr>
          </w:p>
        </w:tc>
      </w:tr>
      <w:tr w:rsidR="00C14D8A" w:rsidRPr="007E6A6A" w:rsidTr="00C14D8A">
        <w:tc>
          <w:tcPr>
            <w:tcW w:w="5000" w:type="pct"/>
            <w:gridSpan w:val="3"/>
          </w:tcPr>
          <w:p w:rsidR="00C14D8A" w:rsidRPr="007E6A6A" w:rsidRDefault="00C14D8A" w:rsidP="00C14D8A">
            <w:pPr>
              <w:jc w:val="both"/>
              <w:rPr>
                <w:rFonts w:eastAsia="Calibri"/>
                <w:sz w:val="20"/>
                <w:szCs w:val="20"/>
              </w:rPr>
            </w:pPr>
            <w:r w:rsidRPr="007E6A6A">
              <w:rPr>
                <w:rFonts w:eastAsia="Calibri"/>
                <w:sz w:val="20"/>
                <w:szCs w:val="20"/>
              </w:rPr>
              <w:t xml:space="preserve">In January 2006, Ms. </w:t>
            </w:r>
            <w:proofErr w:type="spellStart"/>
            <w:r w:rsidRPr="007E6A6A">
              <w:rPr>
                <w:rFonts w:eastAsia="Calibri"/>
                <w:sz w:val="20"/>
                <w:szCs w:val="20"/>
              </w:rPr>
              <w:t>Elbilia</w:t>
            </w:r>
            <w:proofErr w:type="spellEnd"/>
            <w:r w:rsidRPr="007E6A6A">
              <w:rPr>
                <w:rFonts w:eastAsia="Calibri"/>
                <w:sz w:val="20"/>
                <w:szCs w:val="20"/>
              </w:rPr>
              <w:t xml:space="preserve"> went on sick leave. Her physician declared her fit to return to work as of April 24, 2006, but her employer, the respondent Air Canada, imposed conditions upon her return (notably a transfer to a different department and requests for medical information and examination). After her counsel intervened, Ms. </w:t>
            </w:r>
            <w:proofErr w:type="spellStart"/>
            <w:r w:rsidRPr="007E6A6A">
              <w:rPr>
                <w:rFonts w:eastAsia="Calibri"/>
                <w:sz w:val="20"/>
                <w:szCs w:val="20"/>
              </w:rPr>
              <w:t>Elbilia</w:t>
            </w:r>
            <w:proofErr w:type="spellEnd"/>
            <w:r w:rsidRPr="007E6A6A">
              <w:rPr>
                <w:rFonts w:eastAsia="Calibri"/>
                <w:sz w:val="20"/>
                <w:szCs w:val="20"/>
              </w:rPr>
              <w:t xml:space="preserve"> returned to work on February 7, 2007. </w:t>
            </w:r>
          </w:p>
          <w:p w:rsidR="00C14D8A" w:rsidRPr="007E6A6A" w:rsidRDefault="00C14D8A" w:rsidP="00C14D8A">
            <w:pPr>
              <w:jc w:val="both"/>
              <w:rPr>
                <w:rFonts w:eastAsia="Calibri"/>
                <w:sz w:val="20"/>
                <w:szCs w:val="20"/>
              </w:rPr>
            </w:pPr>
          </w:p>
          <w:p w:rsidR="00C14D8A" w:rsidRPr="007E6A6A" w:rsidRDefault="00C14D8A" w:rsidP="00C14D8A">
            <w:pPr>
              <w:jc w:val="both"/>
              <w:rPr>
                <w:rFonts w:eastAsia="Calibri"/>
                <w:sz w:val="20"/>
                <w:szCs w:val="20"/>
              </w:rPr>
            </w:pPr>
            <w:r w:rsidRPr="007E6A6A">
              <w:rPr>
                <w:rFonts w:eastAsia="Calibri"/>
                <w:sz w:val="20"/>
                <w:szCs w:val="20"/>
              </w:rPr>
              <w:t xml:space="preserve">Ms. </w:t>
            </w:r>
            <w:proofErr w:type="spellStart"/>
            <w:r w:rsidRPr="007E6A6A">
              <w:rPr>
                <w:rFonts w:eastAsia="Calibri"/>
                <w:sz w:val="20"/>
                <w:szCs w:val="20"/>
              </w:rPr>
              <w:t>Elbilia</w:t>
            </w:r>
            <w:proofErr w:type="spellEnd"/>
            <w:r w:rsidRPr="007E6A6A">
              <w:rPr>
                <w:rFonts w:eastAsia="Calibri"/>
                <w:sz w:val="20"/>
                <w:szCs w:val="20"/>
              </w:rPr>
              <w:t xml:space="preserve"> asked the respondent union to file a grievance on her behalf with respect to her delayed return to work. She claimed that her absence between April 2006 and February 2007 was a form a constructive dismissal. On February 26, 2007, during a meeting called by counsel for Ms. </w:t>
            </w:r>
            <w:proofErr w:type="spellStart"/>
            <w:r w:rsidRPr="007E6A6A">
              <w:rPr>
                <w:rFonts w:eastAsia="Calibri"/>
                <w:sz w:val="20"/>
                <w:szCs w:val="20"/>
              </w:rPr>
              <w:t>Elbilia</w:t>
            </w:r>
            <w:proofErr w:type="spellEnd"/>
            <w:r w:rsidRPr="007E6A6A">
              <w:rPr>
                <w:rFonts w:eastAsia="Calibri"/>
                <w:sz w:val="20"/>
                <w:szCs w:val="20"/>
              </w:rPr>
              <w:t xml:space="preserve">, the union confirmed that it had filed a grievance. On April 11, 2007, it confirmed that the arbitration hearing was to be scheduled in September 2007. Before the grievance was heard in arbitration, Ms. </w:t>
            </w:r>
            <w:proofErr w:type="spellStart"/>
            <w:r w:rsidRPr="007E6A6A">
              <w:rPr>
                <w:rFonts w:eastAsia="Calibri"/>
                <w:sz w:val="20"/>
                <w:szCs w:val="20"/>
              </w:rPr>
              <w:t>Elbilia</w:t>
            </w:r>
            <w:proofErr w:type="spellEnd"/>
            <w:r w:rsidRPr="007E6A6A">
              <w:rPr>
                <w:rFonts w:eastAsia="Calibri"/>
                <w:sz w:val="20"/>
                <w:szCs w:val="20"/>
              </w:rPr>
              <w:t xml:space="preserve">, then assisted by counsel, filed a complaint to the Canada Industrial Relations Board against her union, alleging that the union had handled her grievance in an unfair and arbitrary way. </w:t>
            </w:r>
          </w:p>
          <w:p w:rsidR="00C14D8A" w:rsidRPr="007E6A6A" w:rsidRDefault="00C14D8A" w:rsidP="00C14D8A">
            <w:pPr>
              <w:jc w:val="both"/>
              <w:rPr>
                <w:rFonts w:eastAsia="Calibri"/>
                <w:sz w:val="20"/>
                <w:szCs w:val="20"/>
              </w:rPr>
            </w:pPr>
          </w:p>
          <w:p w:rsidR="00C14D8A" w:rsidRPr="007E6A6A" w:rsidRDefault="00C14D8A" w:rsidP="00C14D8A">
            <w:pPr>
              <w:jc w:val="both"/>
              <w:rPr>
                <w:rFonts w:eastAsia="Calibri"/>
                <w:sz w:val="20"/>
                <w:szCs w:val="20"/>
              </w:rPr>
            </w:pPr>
            <w:r w:rsidRPr="007E6A6A">
              <w:rPr>
                <w:rFonts w:eastAsia="Calibri"/>
                <w:sz w:val="20"/>
                <w:szCs w:val="20"/>
              </w:rPr>
              <w:t xml:space="preserve">The Board dismissed Ms. </w:t>
            </w:r>
            <w:proofErr w:type="spellStart"/>
            <w:r w:rsidRPr="007E6A6A">
              <w:rPr>
                <w:rFonts w:eastAsia="Calibri"/>
                <w:sz w:val="20"/>
                <w:szCs w:val="20"/>
              </w:rPr>
              <w:t>Elbilia’s</w:t>
            </w:r>
            <w:proofErr w:type="spellEnd"/>
            <w:r w:rsidRPr="007E6A6A">
              <w:rPr>
                <w:rFonts w:eastAsia="Calibri"/>
                <w:sz w:val="20"/>
                <w:szCs w:val="20"/>
              </w:rPr>
              <w:t xml:space="preserve"> complaint. It held that the evidence on file did not show that the union had acted in an arbitrary, discriminatory or bad faith manner toward Ms. </w:t>
            </w:r>
            <w:proofErr w:type="spellStart"/>
            <w:r w:rsidRPr="007E6A6A">
              <w:rPr>
                <w:rFonts w:eastAsia="Calibri"/>
                <w:sz w:val="20"/>
                <w:szCs w:val="20"/>
              </w:rPr>
              <w:t>Elbilia</w:t>
            </w:r>
            <w:proofErr w:type="spellEnd"/>
            <w:r w:rsidRPr="007E6A6A">
              <w:rPr>
                <w:rFonts w:eastAsia="Calibri"/>
                <w:sz w:val="20"/>
                <w:szCs w:val="20"/>
              </w:rPr>
              <w:t xml:space="preserve">, and found that the union took the necessary steps to enforce Ms. </w:t>
            </w:r>
            <w:proofErr w:type="spellStart"/>
            <w:r w:rsidRPr="007E6A6A">
              <w:rPr>
                <w:rFonts w:eastAsia="Calibri"/>
                <w:sz w:val="20"/>
                <w:szCs w:val="20"/>
              </w:rPr>
              <w:t>Elbilia’s</w:t>
            </w:r>
            <w:proofErr w:type="spellEnd"/>
            <w:r w:rsidRPr="007E6A6A">
              <w:rPr>
                <w:rFonts w:eastAsia="Calibri"/>
                <w:sz w:val="20"/>
                <w:szCs w:val="20"/>
              </w:rPr>
              <w:t xml:space="preserve"> rights. The Federal Court of Appeal, on the basis of the record and the parties’ written representations, dismissed the appeal, noting that nothing in the record supported the proposition that “an informed person, viewing the matter realistically and practically, would find that the Board ruled on the applicant’s complaint unfairly or without due impartiality” (</w:t>
            </w:r>
            <w:proofErr w:type="spellStart"/>
            <w:r w:rsidRPr="007E6A6A">
              <w:rPr>
                <w:rFonts w:eastAsia="Calibri"/>
                <w:sz w:val="20"/>
                <w:szCs w:val="20"/>
              </w:rPr>
              <w:t>para</w:t>
            </w:r>
            <w:proofErr w:type="spellEnd"/>
            <w:r w:rsidRPr="007E6A6A">
              <w:rPr>
                <w:rFonts w:eastAsia="Calibri"/>
                <w:sz w:val="20"/>
                <w:szCs w:val="20"/>
              </w:rPr>
              <w:t>. 21)</w:t>
            </w:r>
          </w:p>
          <w:p w:rsidR="00C14D8A" w:rsidRPr="007E6A6A" w:rsidRDefault="00C14D8A" w:rsidP="00C14D8A">
            <w:pPr>
              <w:jc w:val="both"/>
              <w:rPr>
                <w:rFonts w:eastAsia="Calibri"/>
                <w:sz w:val="20"/>
                <w:szCs w:val="20"/>
              </w:rPr>
            </w:pPr>
          </w:p>
        </w:tc>
      </w:tr>
      <w:tr w:rsidR="00C14D8A" w:rsidRPr="007E6A6A" w:rsidTr="00C14D8A">
        <w:tc>
          <w:tcPr>
            <w:tcW w:w="2427" w:type="pct"/>
          </w:tcPr>
          <w:p w:rsidR="00C14D8A" w:rsidRPr="007E6A6A" w:rsidRDefault="00C14D8A" w:rsidP="00C14D8A">
            <w:pPr>
              <w:jc w:val="both"/>
              <w:rPr>
                <w:rFonts w:eastAsia="Calibri"/>
                <w:sz w:val="20"/>
                <w:szCs w:val="20"/>
              </w:rPr>
            </w:pPr>
            <w:r w:rsidRPr="007E6A6A">
              <w:rPr>
                <w:rFonts w:eastAsia="Calibri"/>
                <w:sz w:val="20"/>
                <w:szCs w:val="20"/>
              </w:rPr>
              <w:t>January 16, 2009</w:t>
            </w:r>
          </w:p>
          <w:p w:rsidR="00C14D8A" w:rsidRPr="007E6A6A" w:rsidRDefault="00C14D8A" w:rsidP="00C14D8A">
            <w:pPr>
              <w:jc w:val="both"/>
              <w:rPr>
                <w:rFonts w:eastAsia="Calibri"/>
                <w:sz w:val="20"/>
                <w:szCs w:val="20"/>
              </w:rPr>
            </w:pPr>
            <w:r w:rsidRPr="007E6A6A">
              <w:rPr>
                <w:rFonts w:eastAsia="Calibri"/>
                <w:sz w:val="20"/>
                <w:szCs w:val="20"/>
              </w:rPr>
              <w:t>Canada Industrial Relations Board</w:t>
            </w:r>
          </w:p>
          <w:p w:rsidR="00C14D8A" w:rsidRPr="007E6A6A" w:rsidRDefault="00C14D8A" w:rsidP="00C14D8A">
            <w:pPr>
              <w:jc w:val="both"/>
              <w:rPr>
                <w:rFonts w:eastAsia="Calibri"/>
                <w:sz w:val="20"/>
                <w:szCs w:val="20"/>
              </w:rPr>
            </w:pPr>
          </w:p>
        </w:tc>
        <w:tc>
          <w:tcPr>
            <w:tcW w:w="243" w:type="pct"/>
          </w:tcPr>
          <w:p w:rsidR="00C14D8A" w:rsidRPr="007E6A6A" w:rsidRDefault="00C14D8A" w:rsidP="00C14D8A">
            <w:pPr>
              <w:jc w:val="both"/>
              <w:rPr>
                <w:rFonts w:eastAsia="Calibri"/>
                <w:sz w:val="20"/>
                <w:szCs w:val="20"/>
              </w:rPr>
            </w:pPr>
          </w:p>
        </w:tc>
        <w:tc>
          <w:tcPr>
            <w:tcW w:w="2330" w:type="pct"/>
          </w:tcPr>
          <w:p w:rsidR="00C14D8A" w:rsidRPr="007E6A6A" w:rsidRDefault="00C14D8A" w:rsidP="00C14D8A">
            <w:pPr>
              <w:jc w:val="both"/>
              <w:rPr>
                <w:rFonts w:eastAsia="Calibri"/>
                <w:sz w:val="20"/>
                <w:szCs w:val="20"/>
              </w:rPr>
            </w:pPr>
            <w:r w:rsidRPr="007E6A6A">
              <w:rPr>
                <w:rFonts w:eastAsia="Calibri"/>
                <w:sz w:val="20"/>
                <w:szCs w:val="20"/>
              </w:rPr>
              <w:t>Complaint dismissed</w:t>
            </w:r>
          </w:p>
        </w:tc>
      </w:tr>
      <w:tr w:rsidR="00C14D8A" w:rsidRPr="007E6A6A" w:rsidTr="00C14D8A">
        <w:tc>
          <w:tcPr>
            <w:tcW w:w="2427" w:type="pct"/>
          </w:tcPr>
          <w:p w:rsidR="00C14D8A" w:rsidRPr="007E6A6A" w:rsidRDefault="00C14D8A" w:rsidP="00C14D8A">
            <w:pPr>
              <w:jc w:val="both"/>
              <w:rPr>
                <w:rFonts w:eastAsia="Calibri"/>
                <w:sz w:val="20"/>
                <w:szCs w:val="20"/>
              </w:rPr>
            </w:pPr>
            <w:r w:rsidRPr="007E6A6A">
              <w:rPr>
                <w:rFonts w:eastAsia="Calibri"/>
                <w:sz w:val="20"/>
                <w:szCs w:val="20"/>
              </w:rPr>
              <w:t>December 16, 2011</w:t>
            </w:r>
          </w:p>
          <w:p w:rsidR="00C14D8A" w:rsidRPr="007E6A6A" w:rsidRDefault="00C14D8A" w:rsidP="00C14D8A">
            <w:pPr>
              <w:jc w:val="both"/>
              <w:rPr>
                <w:rFonts w:eastAsia="Calibri"/>
                <w:sz w:val="20"/>
                <w:szCs w:val="20"/>
              </w:rPr>
            </w:pPr>
            <w:r w:rsidRPr="007E6A6A">
              <w:rPr>
                <w:rFonts w:eastAsia="Calibri"/>
                <w:sz w:val="20"/>
                <w:szCs w:val="20"/>
              </w:rPr>
              <w:t>Federal Court of Appeal</w:t>
            </w:r>
          </w:p>
          <w:p w:rsidR="00C14D8A" w:rsidRPr="007E6A6A" w:rsidRDefault="00C14D8A" w:rsidP="00C14D8A">
            <w:pPr>
              <w:jc w:val="both"/>
              <w:rPr>
                <w:rFonts w:eastAsia="Calibri"/>
                <w:sz w:val="20"/>
                <w:szCs w:val="20"/>
              </w:rPr>
            </w:pPr>
            <w:r w:rsidRPr="007E6A6A">
              <w:rPr>
                <w:rFonts w:eastAsia="Calibri"/>
                <w:sz w:val="20"/>
                <w:szCs w:val="20"/>
              </w:rPr>
              <w:t xml:space="preserve">(Noël, Pelletier and </w:t>
            </w:r>
            <w:proofErr w:type="spellStart"/>
            <w:r w:rsidRPr="007E6A6A">
              <w:rPr>
                <w:rFonts w:eastAsia="Calibri"/>
                <w:sz w:val="20"/>
                <w:szCs w:val="20"/>
              </w:rPr>
              <w:t>Trudel</w:t>
            </w:r>
            <w:proofErr w:type="spellEnd"/>
            <w:r w:rsidRPr="007E6A6A">
              <w:rPr>
                <w:rFonts w:eastAsia="Calibri"/>
                <w:sz w:val="20"/>
                <w:szCs w:val="20"/>
              </w:rPr>
              <w:t xml:space="preserve"> JJ.A.)</w:t>
            </w:r>
          </w:p>
          <w:p w:rsidR="00C14D8A" w:rsidRPr="007E6A6A" w:rsidRDefault="00C14D8A" w:rsidP="00AF2C44">
            <w:pPr>
              <w:jc w:val="both"/>
              <w:rPr>
                <w:rFonts w:eastAsia="Calibri"/>
                <w:sz w:val="20"/>
                <w:szCs w:val="20"/>
              </w:rPr>
            </w:pPr>
            <w:r w:rsidRPr="007E6A6A">
              <w:rPr>
                <w:rFonts w:eastAsia="Calibri"/>
                <w:sz w:val="20"/>
                <w:szCs w:val="20"/>
              </w:rPr>
              <w:t>A-70-09; 2011 FCA 356</w:t>
            </w:r>
          </w:p>
        </w:tc>
        <w:tc>
          <w:tcPr>
            <w:tcW w:w="243" w:type="pct"/>
          </w:tcPr>
          <w:p w:rsidR="00C14D8A" w:rsidRPr="007E6A6A" w:rsidRDefault="00C14D8A" w:rsidP="00C14D8A">
            <w:pPr>
              <w:jc w:val="both"/>
              <w:rPr>
                <w:rFonts w:eastAsia="Calibri"/>
                <w:sz w:val="20"/>
                <w:szCs w:val="20"/>
              </w:rPr>
            </w:pPr>
          </w:p>
        </w:tc>
        <w:tc>
          <w:tcPr>
            <w:tcW w:w="2330" w:type="pct"/>
          </w:tcPr>
          <w:p w:rsidR="00C14D8A" w:rsidRPr="007E6A6A" w:rsidRDefault="00C14D8A" w:rsidP="00C14D8A">
            <w:pPr>
              <w:jc w:val="both"/>
              <w:rPr>
                <w:rFonts w:eastAsia="Calibri"/>
                <w:sz w:val="20"/>
                <w:szCs w:val="20"/>
              </w:rPr>
            </w:pPr>
            <w:r w:rsidRPr="007E6A6A">
              <w:rPr>
                <w:rFonts w:eastAsia="Calibri"/>
                <w:sz w:val="20"/>
                <w:szCs w:val="20"/>
              </w:rPr>
              <w:t>Application for judicial review dismissed</w:t>
            </w:r>
          </w:p>
          <w:p w:rsidR="00C14D8A" w:rsidRPr="007E6A6A" w:rsidRDefault="00C14D8A" w:rsidP="00C14D8A">
            <w:pPr>
              <w:jc w:val="both"/>
              <w:rPr>
                <w:rFonts w:eastAsia="Calibri"/>
                <w:sz w:val="20"/>
                <w:szCs w:val="20"/>
              </w:rPr>
            </w:pPr>
          </w:p>
        </w:tc>
      </w:tr>
    </w:tbl>
    <w:p w:rsidR="00AF2C44" w:rsidRDefault="00AF2C44"/>
    <w:p w:rsidR="00AF2C44" w:rsidRDefault="00AF2C44">
      <w:r>
        <w:br w:type="page"/>
      </w:r>
    </w:p>
    <w:tbl>
      <w:tblPr>
        <w:tblW w:w="4952" w:type="pct"/>
        <w:tblLayout w:type="fixed"/>
        <w:tblCellMar>
          <w:left w:w="0" w:type="dxa"/>
          <w:bottom w:w="99" w:type="dxa"/>
          <w:right w:w="0" w:type="dxa"/>
        </w:tblCellMar>
        <w:tblLook w:val="04A0"/>
      </w:tblPr>
      <w:tblGrid>
        <w:gridCol w:w="4624"/>
        <w:gridCol w:w="463"/>
        <w:gridCol w:w="4440"/>
      </w:tblGrid>
      <w:tr w:rsidR="00C14D8A" w:rsidRPr="007E6A6A" w:rsidTr="00AF2C44">
        <w:trPr>
          <w:cantSplit/>
        </w:trPr>
        <w:tc>
          <w:tcPr>
            <w:tcW w:w="2427" w:type="pct"/>
          </w:tcPr>
          <w:p w:rsidR="00C14D8A" w:rsidRPr="007E6A6A" w:rsidRDefault="00C14D8A" w:rsidP="00C14D8A">
            <w:pPr>
              <w:jc w:val="both"/>
              <w:rPr>
                <w:rFonts w:eastAsia="Calibri"/>
                <w:sz w:val="20"/>
                <w:szCs w:val="20"/>
              </w:rPr>
            </w:pPr>
            <w:r w:rsidRPr="007E6A6A">
              <w:rPr>
                <w:rFonts w:eastAsia="Calibri"/>
                <w:sz w:val="20"/>
                <w:szCs w:val="20"/>
              </w:rPr>
              <w:t>February 14, 2012</w:t>
            </w:r>
          </w:p>
          <w:p w:rsidR="00C14D8A" w:rsidRPr="007E6A6A" w:rsidRDefault="00C14D8A" w:rsidP="00C14D8A">
            <w:pPr>
              <w:jc w:val="both"/>
              <w:rPr>
                <w:rFonts w:eastAsia="Calibri"/>
                <w:sz w:val="20"/>
                <w:szCs w:val="20"/>
              </w:rPr>
            </w:pPr>
            <w:r w:rsidRPr="007E6A6A">
              <w:rPr>
                <w:rFonts w:eastAsia="Calibri"/>
                <w:sz w:val="20"/>
                <w:szCs w:val="20"/>
              </w:rPr>
              <w:t>Supreme Court of Canada</w:t>
            </w:r>
          </w:p>
        </w:tc>
        <w:tc>
          <w:tcPr>
            <w:tcW w:w="243" w:type="pct"/>
          </w:tcPr>
          <w:p w:rsidR="00C14D8A" w:rsidRPr="007E6A6A" w:rsidRDefault="00C14D8A" w:rsidP="00C14D8A">
            <w:pPr>
              <w:jc w:val="both"/>
              <w:rPr>
                <w:rFonts w:eastAsia="Calibri"/>
                <w:sz w:val="20"/>
                <w:szCs w:val="20"/>
              </w:rPr>
            </w:pPr>
          </w:p>
        </w:tc>
        <w:tc>
          <w:tcPr>
            <w:tcW w:w="2330" w:type="pct"/>
          </w:tcPr>
          <w:p w:rsidR="00C14D8A" w:rsidRPr="007E6A6A" w:rsidRDefault="00C14D8A" w:rsidP="00C14D8A">
            <w:pPr>
              <w:jc w:val="both"/>
              <w:rPr>
                <w:rFonts w:eastAsia="Calibri"/>
                <w:sz w:val="20"/>
                <w:szCs w:val="20"/>
              </w:rPr>
            </w:pPr>
            <w:r w:rsidRPr="007E6A6A">
              <w:rPr>
                <w:rFonts w:eastAsia="Calibri"/>
                <w:sz w:val="20"/>
                <w:szCs w:val="20"/>
              </w:rPr>
              <w:t>Application for leave to appeal filed</w:t>
            </w:r>
          </w:p>
          <w:p w:rsidR="00C14D8A" w:rsidRPr="007E6A6A" w:rsidRDefault="00C14D8A" w:rsidP="00C14D8A">
            <w:pPr>
              <w:jc w:val="both"/>
              <w:rPr>
                <w:rFonts w:eastAsia="Calibri"/>
                <w:sz w:val="20"/>
                <w:szCs w:val="20"/>
              </w:rPr>
            </w:pPr>
          </w:p>
        </w:tc>
      </w:tr>
    </w:tbl>
    <w:p w:rsidR="00F83F5A" w:rsidRPr="00C50A5C" w:rsidRDefault="00F83F5A" w:rsidP="00F83F5A">
      <w:pPr>
        <w:rPr>
          <w:sz w:val="20"/>
          <w:szCs w:val="20"/>
        </w:rPr>
      </w:pPr>
    </w:p>
    <w:p w:rsidR="00F83F5A" w:rsidRPr="00C50A5C" w:rsidRDefault="00ED3438" w:rsidP="00F83F5A">
      <w:pPr>
        <w:rPr>
          <w:sz w:val="20"/>
          <w:szCs w:val="20"/>
        </w:rPr>
      </w:pPr>
      <w:r w:rsidRPr="00ED3438">
        <w:rPr>
          <w:sz w:val="20"/>
          <w:szCs w:val="20"/>
          <w:lang w:val="fr-CA"/>
        </w:rPr>
        <w:pict>
          <v:rect id="_x0000_i1055" style="width:2in;height:1pt" o:hrpct="0" o:hralign="center" o:hrstd="t" o:hrnoshade="t" o:hr="t" fillcolor="black [3213]" stroked="f"/>
        </w:pict>
      </w:r>
    </w:p>
    <w:p w:rsidR="00F83F5A" w:rsidRDefault="00F83F5A" w:rsidP="00F83F5A">
      <w:pPr>
        <w:rPr>
          <w:sz w:val="20"/>
          <w:szCs w:val="20"/>
        </w:rPr>
      </w:pPr>
    </w:p>
    <w:p w:rsidR="00F83F5A" w:rsidRPr="001B157C" w:rsidRDefault="00F83F5A" w:rsidP="00F83F5A">
      <w:pPr>
        <w:rPr>
          <w:sz w:val="20"/>
          <w:szCs w:val="20"/>
          <w:u w:val="single"/>
          <w:lang w:val="fr-CA"/>
        </w:rPr>
      </w:pPr>
      <w:r w:rsidRPr="001B157C">
        <w:rPr>
          <w:sz w:val="20"/>
          <w:szCs w:val="20"/>
          <w:u w:val="single"/>
          <w:lang w:val="fr-CA"/>
        </w:rPr>
        <w:t>RÉSUMÉ DE L’AFFAIRE</w:t>
      </w:r>
    </w:p>
    <w:p w:rsidR="00F83F5A" w:rsidRDefault="00F83F5A" w:rsidP="00F83F5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14D8A" w:rsidRPr="00017BF4" w:rsidTr="00C14D8A">
        <w:tc>
          <w:tcPr>
            <w:tcW w:w="5000" w:type="pct"/>
            <w:gridSpan w:val="3"/>
          </w:tcPr>
          <w:p w:rsidR="00C14D8A" w:rsidRPr="007E6A6A" w:rsidRDefault="00C14D8A" w:rsidP="00C14D8A">
            <w:pPr>
              <w:jc w:val="both"/>
              <w:rPr>
                <w:rFonts w:eastAsia="Calibri"/>
                <w:smallCaps/>
                <w:sz w:val="20"/>
                <w:lang w:val="fr-CA"/>
              </w:rPr>
            </w:pPr>
            <w:r w:rsidRPr="007E6A6A">
              <w:rPr>
                <w:rFonts w:eastAsia="Calibri"/>
                <w:smallCaps/>
                <w:sz w:val="20"/>
                <w:lang w:val="fr-CA"/>
              </w:rPr>
              <w:t>(Le dossier de la cour renferme des données que le public n’est pas autorisé à consulter)</w:t>
            </w:r>
          </w:p>
          <w:p w:rsidR="00C14D8A" w:rsidRPr="007E6A6A" w:rsidRDefault="00C14D8A" w:rsidP="00C14D8A">
            <w:pPr>
              <w:jc w:val="both"/>
              <w:rPr>
                <w:rFonts w:eastAsia="Calibri"/>
                <w:sz w:val="20"/>
                <w:lang w:val="fr-CA"/>
              </w:rPr>
            </w:pPr>
          </w:p>
        </w:tc>
      </w:tr>
      <w:tr w:rsidR="00C14D8A" w:rsidRPr="00017BF4" w:rsidTr="00C14D8A">
        <w:tc>
          <w:tcPr>
            <w:tcW w:w="5000" w:type="pct"/>
            <w:gridSpan w:val="3"/>
          </w:tcPr>
          <w:p w:rsidR="00C14D8A" w:rsidRPr="007E6A6A" w:rsidRDefault="00C14D8A" w:rsidP="00C14D8A">
            <w:pPr>
              <w:jc w:val="both"/>
              <w:rPr>
                <w:rFonts w:eastAsia="Calibri"/>
                <w:sz w:val="20"/>
                <w:lang w:val="fr-CA"/>
              </w:rPr>
            </w:pPr>
            <w:r w:rsidRPr="007E6A6A">
              <w:rPr>
                <w:rFonts w:eastAsia="Calibri"/>
                <w:sz w:val="20"/>
                <w:lang w:val="fr-CA"/>
              </w:rPr>
              <w:t>Droit du travail – Syndicat – Devoir de juste représentation  – Le Conseil pouvait-il conclure que rien au dossier n’indiquait que le syndicat avait traité le grief de façon injuste et arbitraire? – La Cour d’appel, dans le cadre d’un contrôle judiciaire, aurait-elle dû intervenir? – La décision d’instruire l’affaire sans tenir d’audience constituait-elle un manquement à l’équité procédurale?</w:t>
            </w:r>
          </w:p>
          <w:p w:rsidR="00C14D8A" w:rsidRPr="007E6A6A" w:rsidRDefault="00C14D8A" w:rsidP="00C14D8A">
            <w:pPr>
              <w:jc w:val="both"/>
              <w:rPr>
                <w:rFonts w:eastAsia="Calibri"/>
                <w:sz w:val="20"/>
                <w:lang w:val="fr-CA"/>
              </w:rPr>
            </w:pPr>
          </w:p>
        </w:tc>
      </w:tr>
      <w:tr w:rsidR="00C14D8A" w:rsidRPr="00017BF4" w:rsidTr="00C14D8A">
        <w:tc>
          <w:tcPr>
            <w:tcW w:w="5000" w:type="pct"/>
            <w:gridSpan w:val="3"/>
          </w:tcPr>
          <w:p w:rsidR="00C14D8A" w:rsidRPr="007E6A6A" w:rsidRDefault="00C14D8A" w:rsidP="00C14D8A">
            <w:pPr>
              <w:jc w:val="both"/>
              <w:rPr>
                <w:rFonts w:eastAsia="Calibri"/>
                <w:sz w:val="20"/>
                <w:lang w:val="fr-CA"/>
              </w:rPr>
            </w:pPr>
            <w:r w:rsidRPr="007E6A6A">
              <w:rPr>
                <w:rFonts w:eastAsia="Calibri"/>
                <w:sz w:val="20"/>
                <w:lang w:val="fr-CA"/>
              </w:rPr>
              <w:t>En janvier 2006, Mme </w:t>
            </w:r>
            <w:proofErr w:type="spellStart"/>
            <w:r w:rsidRPr="007E6A6A">
              <w:rPr>
                <w:rFonts w:eastAsia="Calibri"/>
                <w:sz w:val="20"/>
                <w:lang w:val="fr-CA"/>
              </w:rPr>
              <w:t>Elbilia</w:t>
            </w:r>
            <w:proofErr w:type="spellEnd"/>
            <w:r w:rsidRPr="007E6A6A">
              <w:rPr>
                <w:rFonts w:eastAsia="Calibri"/>
                <w:sz w:val="20"/>
                <w:lang w:val="fr-CA"/>
              </w:rPr>
              <w:t xml:space="preserve"> a pris un congé de maladie. Son médecin l’a déclarée apte à retourner au travail le 24 avril 2006, mais son employeur, l’intimée Air Canada, lui a imposé des conditions relativement à son retour (notamment une mutation vers un autre service et des demandes de renseignements et d’examens médicaux). Après l’intervention de son avocat, Mme </w:t>
            </w:r>
            <w:proofErr w:type="spellStart"/>
            <w:r w:rsidRPr="007E6A6A">
              <w:rPr>
                <w:rFonts w:eastAsia="Calibri"/>
                <w:sz w:val="20"/>
                <w:lang w:val="fr-CA"/>
              </w:rPr>
              <w:t>Elbilia</w:t>
            </w:r>
            <w:proofErr w:type="spellEnd"/>
            <w:r w:rsidRPr="007E6A6A">
              <w:rPr>
                <w:rFonts w:eastAsia="Calibri"/>
                <w:sz w:val="20"/>
                <w:lang w:val="fr-CA"/>
              </w:rPr>
              <w:t xml:space="preserve"> est retournée au travail le 7 février 2007. </w:t>
            </w:r>
          </w:p>
          <w:p w:rsidR="00C14D8A" w:rsidRPr="007E6A6A" w:rsidRDefault="00C14D8A" w:rsidP="00C14D8A">
            <w:pPr>
              <w:jc w:val="both"/>
              <w:rPr>
                <w:rFonts w:eastAsia="Calibri"/>
                <w:sz w:val="20"/>
                <w:lang w:val="fr-CA"/>
              </w:rPr>
            </w:pPr>
          </w:p>
          <w:p w:rsidR="00C14D8A" w:rsidRPr="007E6A6A" w:rsidRDefault="00C14D8A" w:rsidP="00C14D8A">
            <w:pPr>
              <w:jc w:val="both"/>
              <w:rPr>
                <w:rFonts w:eastAsia="Calibri"/>
                <w:sz w:val="20"/>
                <w:lang w:val="fr-CA"/>
              </w:rPr>
            </w:pPr>
            <w:r w:rsidRPr="007E6A6A">
              <w:rPr>
                <w:rFonts w:eastAsia="Calibri"/>
                <w:sz w:val="20"/>
                <w:lang w:val="fr-CA"/>
              </w:rPr>
              <w:t xml:space="preserve">Madame </w:t>
            </w:r>
            <w:proofErr w:type="spellStart"/>
            <w:r w:rsidRPr="007E6A6A">
              <w:rPr>
                <w:rFonts w:eastAsia="Calibri"/>
                <w:sz w:val="20"/>
                <w:lang w:val="fr-CA"/>
              </w:rPr>
              <w:t>Elbilia</w:t>
            </w:r>
            <w:proofErr w:type="spellEnd"/>
            <w:r w:rsidRPr="007E6A6A">
              <w:rPr>
                <w:rFonts w:eastAsia="Calibri"/>
                <w:sz w:val="20"/>
                <w:lang w:val="fr-CA"/>
              </w:rPr>
              <w:t xml:space="preserve"> a demandé au syndicat intimé de déposer en son nom un grief concernant le fait que son retour au travail avait été retardé. Elle a prétendu que son absence entre avril 2006 et février 2007 était une forme de congédiement déguisé. Le 26 février 2007, au cours d’une réunion convoquée par l’avocat de Mme </w:t>
            </w:r>
            <w:proofErr w:type="spellStart"/>
            <w:r w:rsidRPr="007E6A6A">
              <w:rPr>
                <w:rFonts w:eastAsia="Calibri"/>
                <w:sz w:val="20"/>
                <w:lang w:val="fr-CA"/>
              </w:rPr>
              <w:t>Elbilia</w:t>
            </w:r>
            <w:proofErr w:type="spellEnd"/>
            <w:r w:rsidRPr="007E6A6A">
              <w:rPr>
                <w:rFonts w:eastAsia="Calibri"/>
                <w:sz w:val="20"/>
                <w:lang w:val="fr-CA"/>
              </w:rPr>
              <w:t xml:space="preserve">, le syndicat a confirmé qu’il avait déposé un grief. Le 11 avril 2007, il a confirmé que l’audience d’arbitrage devait avoir lieu en septembre 2007. Avant la tenue de l’audience d’arbitrage, Mme </w:t>
            </w:r>
            <w:proofErr w:type="spellStart"/>
            <w:r w:rsidRPr="007E6A6A">
              <w:rPr>
                <w:rFonts w:eastAsia="Calibri"/>
                <w:sz w:val="20"/>
                <w:lang w:val="fr-CA"/>
              </w:rPr>
              <w:t>Elbilia</w:t>
            </w:r>
            <w:proofErr w:type="spellEnd"/>
            <w:r w:rsidRPr="007E6A6A">
              <w:rPr>
                <w:rFonts w:eastAsia="Calibri"/>
                <w:sz w:val="20"/>
                <w:lang w:val="fr-CA"/>
              </w:rPr>
              <w:t xml:space="preserve">, alors assistée d’un avocat, a déposé une plainte au Conseil canadien des relations industrielles contre le syndicat, alléguant que le syndicat avait traité son grief de façon injuste et arbitraire. </w:t>
            </w:r>
          </w:p>
          <w:p w:rsidR="00C14D8A" w:rsidRPr="007E6A6A" w:rsidRDefault="00C14D8A" w:rsidP="00C14D8A">
            <w:pPr>
              <w:jc w:val="both"/>
              <w:rPr>
                <w:rFonts w:eastAsia="Calibri"/>
                <w:sz w:val="20"/>
                <w:lang w:val="fr-CA"/>
              </w:rPr>
            </w:pPr>
          </w:p>
          <w:p w:rsidR="00C14D8A" w:rsidRPr="007E6A6A" w:rsidRDefault="00C14D8A" w:rsidP="00C14D8A">
            <w:pPr>
              <w:jc w:val="both"/>
              <w:rPr>
                <w:rFonts w:eastAsia="Calibri"/>
                <w:sz w:val="20"/>
                <w:lang w:val="fr-CA"/>
              </w:rPr>
            </w:pPr>
            <w:r w:rsidRPr="007E6A6A">
              <w:rPr>
                <w:rFonts w:eastAsia="Calibri"/>
                <w:sz w:val="20"/>
                <w:lang w:val="fr-CA"/>
              </w:rPr>
              <w:t xml:space="preserve">Le Conseil a rejeté la plainte de Mme </w:t>
            </w:r>
            <w:proofErr w:type="spellStart"/>
            <w:r w:rsidRPr="007E6A6A">
              <w:rPr>
                <w:rFonts w:eastAsia="Calibri"/>
                <w:sz w:val="20"/>
                <w:lang w:val="fr-CA"/>
              </w:rPr>
              <w:t>Elbilia</w:t>
            </w:r>
            <w:proofErr w:type="spellEnd"/>
            <w:r w:rsidRPr="007E6A6A">
              <w:rPr>
                <w:rFonts w:eastAsia="Calibri"/>
                <w:sz w:val="20"/>
                <w:lang w:val="fr-CA"/>
              </w:rPr>
              <w:t xml:space="preserve">. Il a statué que la preuve au dossier ne montrait pas que le syndicat avait agi de façon arbitraire, discriminatoire ou de mauvaise foi à l’égard de Mme </w:t>
            </w:r>
            <w:proofErr w:type="spellStart"/>
            <w:r w:rsidRPr="007E6A6A">
              <w:rPr>
                <w:rFonts w:eastAsia="Calibri"/>
                <w:sz w:val="20"/>
                <w:lang w:val="fr-CA"/>
              </w:rPr>
              <w:t>Elbilia</w:t>
            </w:r>
            <w:proofErr w:type="spellEnd"/>
            <w:r w:rsidRPr="007E6A6A">
              <w:rPr>
                <w:rFonts w:eastAsia="Calibri"/>
                <w:sz w:val="20"/>
                <w:lang w:val="fr-CA"/>
              </w:rPr>
              <w:t xml:space="preserve"> et il a conclu que le syndicat avait pris les mesures nécessaires pour faire respecter les droits de Mme </w:t>
            </w:r>
            <w:proofErr w:type="spellStart"/>
            <w:r w:rsidRPr="007E6A6A">
              <w:rPr>
                <w:rFonts w:eastAsia="Calibri"/>
                <w:sz w:val="20"/>
                <w:lang w:val="fr-CA"/>
              </w:rPr>
              <w:t>Elbilia</w:t>
            </w:r>
            <w:proofErr w:type="spellEnd"/>
            <w:r w:rsidRPr="007E6A6A">
              <w:rPr>
                <w:rFonts w:eastAsia="Calibri"/>
                <w:sz w:val="20"/>
                <w:lang w:val="fr-CA"/>
              </w:rPr>
              <w:t>. La Cour d’appel fédérale, en se fondant sur le dossier et les observations écrites des parties, a rejeté l’appel, notant que rien dans ce dossier n’appuyait la proposition qu’« une personne bien renseignée qui étudierait la question en profondeur, de façon réaliste et pratique, arriverait à la conclusion que la décision du Conseil à l’égard de la plainte de la demanderesse était injuste ou qu’elle manquait d’impartialité » (par. 21).</w:t>
            </w:r>
          </w:p>
          <w:p w:rsidR="00C14D8A" w:rsidRPr="007E6A6A" w:rsidRDefault="00C14D8A" w:rsidP="00C14D8A">
            <w:pPr>
              <w:jc w:val="both"/>
              <w:rPr>
                <w:rFonts w:eastAsia="Calibri"/>
                <w:sz w:val="20"/>
                <w:lang w:val="fr-CA"/>
              </w:rPr>
            </w:pPr>
          </w:p>
        </w:tc>
      </w:tr>
      <w:tr w:rsidR="00C14D8A" w:rsidRPr="007E6A6A" w:rsidTr="00C14D8A">
        <w:tc>
          <w:tcPr>
            <w:tcW w:w="2427" w:type="pct"/>
          </w:tcPr>
          <w:p w:rsidR="00C14D8A" w:rsidRPr="007E6A6A" w:rsidRDefault="00C14D8A" w:rsidP="00C14D8A">
            <w:pPr>
              <w:jc w:val="both"/>
              <w:rPr>
                <w:rFonts w:eastAsia="Calibri"/>
                <w:sz w:val="20"/>
                <w:lang w:val="fr-CA"/>
              </w:rPr>
            </w:pPr>
            <w:r w:rsidRPr="007E6A6A">
              <w:rPr>
                <w:rFonts w:eastAsia="Calibri"/>
                <w:sz w:val="20"/>
                <w:lang w:val="fr-CA"/>
              </w:rPr>
              <w:t>16 janvier 2009</w:t>
            </w:r>
          </w:p>
          <w:p w:rsidR="00C14D8A" w:rsidRPr="007E6A6A" w:rsidRDefault="00C14D8A" w:rsidP="00C14D8A">
            <w:pPr>
              <w:jc w:val="both"/>
              <w:rPr>
                <w:rFonts w:eastAsia="Calibri"/>
                <w:sz w:val="20"/>
                <w:lang w:val="fr-CA"/>
              </w:rPr>
            </w:pPr>
            <w:r w:rsidRPr="007E6A6A">
              <w:rPr>
                <w:rFonts w:eastAsia="Calibri"/>
                <w:sz w:val="20"/>
                <w:lang w:val="fr-CA"/>
              </w:rPr>
              <w:t>Conseil canadien des relations industrielles</w:t>
            </w:r>
          </w:p>
          <w:p w:rsidR="00C14D8A" w:rsidRPr="007E6A6A" w:rsidRDefault="00C14D8A" w:rsidP="00C14D8A">
            <w:pPr>
              <w:jc w:val="both"/>
              <w:rPr>
                <w:rFonts w:eastAsia="Calibri"/>
                <w:sz w:val="20"/>
                <w:lang w:val="fr-CA"/>
              </w:rPr>
            </w:pPr>
          </w:p>
        </w:tc>
        <w:tc>
          <w:tcPr>
            <w:tcW w:w="243" w:type="pct"/>
          </w:tcPr>
          <w:p w:rsidR="00C14D8A" w:rsidRPr="007E6A6A" w:rsidRDefault="00C14D8A" w:rsidP="00C14D8A">
            <w:pPr>
              <w:jc w:val="both"/>
              <w:rPr>
                <w:rFonts w:eastAsia="Calibri"/>
                <w:sz w:val="20"/>
                <w:lang w:val="fr-CA"/>
              </w:rPr>
            </w:pPr>
          </w:p>
        </w:tc>
        <w:tc>
          <w:tcPr>
            <w:tcW w:w="2330" w:type="pct"/>
          </w:tcPr>
          <w:p w:rsidR="00C14D8A" w:rsidRPr="007E6A6A" w:rsidRDefault="00C14D8A" w:rsidP="00C14D8A">
            <w:pPr>
              <w:jc w:val="both"/>
              <w:rPr>
                <w:rFonts w:eastAsia="Calibri"/>
                <w:sz w:val="20"/>
                <w:lang w:val="fr-CA"/>
              </w:rPr>
            </w:pPr>
            <w:r w:rsidRPr="007E6A6A">
              <w:rPr>
                <w:rFonts w:eastAsia="Calibri"/>
                <w:sz w:val="20"/>
                <w:lang w:val="fr-CA"/>
              </w:rPr>
              <w:t>Plainte rejetée</w:t>
            </w:r>
          </w:p>
        </w:tc>
      </w:tr>
      <w:tr w:rsidR="00C14D8A" w:rsidRPr="007E6A6A" w:rsidTr="00C14D8A">
        <w:tc>
          <w:tcPr>
            <w:tcW w:w="2427" w:type="pct"/>
          </w:tcPr>
          <w:p w:rsidR="00C14D8A" w:rsidRPr="007E6A6A" w:rsidRDefault="00C14D8A" w:rsidP="00C14D8A">
            <w:pPr>
              <w:jc w:val="both"/>
              <w:rPr>
                <w:rFonts w:eastAsia="Calibri"/>
                <w:sz w:val="20"/>
                <w:lang w:val="fr-CA"/>
              </w:rPr>
            </w:pPr>
            <w:r w:rsidRPr="007E6A6A">
              <w:rPr>
                <w:rFonts w:eastAsia="Calibri"/>
                <w:sz w:val="20"/>
                <w:lang w:val="fr-CA"/>
              </w:rPr>
              <w:t>16 décembre 2011</w:t>
            </w:r>
          </w:p>
          <w:p w:rsidR="00C14D8A" w:rsidRPr="007E6A6A" w:rsidRDefault="00C14D8A" w:rsidP="00C14D8A">
            <w:pPr>
              <w:jc w:val="both"/>
              <w:rPr>
                <w:rFonts w:eastAsia="Calibri"/>
                <w:sz w:val="20"/>
                <w:lang w:val="fr-CA"/>
              </w:rPr>
            </w:pPr>
            <w:r w:rsidRPr="007E6A6A">
              <w:rPr>
                <w:rFonts w:eastAsia="Calibri"/>
                <w:sz w:val="20"/>
                <w:lang w:val="fr-CA"/>
              </w:rPr>
              <w:t>Cour d’appel fédérale</w:t>
            </w:r>
          </w:p>
          <w:p w:rsidR="00C14D8A" w:rsidRPr="007E6A6A" w:rsidRDefault="00C14D8A" w:rsidP="00C14D8A">
            <w:pPr>
              <w:jc w:val="both"/>
              <w:rPr>
                <w:rFonts w:eastAsia="Calibri"/>
                <w:sz w:val="20"/>
                <w:lang w:val="fr-CA"/>
              </w:rPr>
            </w:pPr>
            <w:r w:rsidRPr="007E6A6A">
              <w:rPr>
                <w:rFonts w:eastAsia="Calibri"/>
                <w:sz w:val="20"/>
                <w:lang w:val="fr-CA"/>
              </w:rPr>
              <w:t>(Juges Noël, Pelletier et Trudel)</w:t>
            </w:r>
          </w:p>
          <w:p w:rsidR="00C14D8A" w:rsidRPr="007E6A6A" w:rsidRDefault="00C14D8A" w:rsidP="00C14D8A">
            <w:pPr>
              <w:jc w:val="both"/>
              <w:rPr>
                <w:rFonts w:eastAsia="Calibri"/>
                <w:sz w:val="20"/>
                <w:lang w:val="fr-CA"/>
              </w:rPr>
            </w:pPr>
            <w:r w:rsidRPr="007E6A6A">
              <w:rPr>
                <w:rFonts w:eastAsia="Calibri"/>
                <w:sz w:val="20"/>
                <w:lang w:val="fr-CA"/>
              </w:rPr>
              <w:t>A-70-09; 2011 FCA 356</w:t>
            </w:r>
          </w:p>
          <w:p w:rsidR="00C14D8A" w:rsidRPr="007E6A6A" w:rsidRDefault="00C14D8A" w:rsidP="00C14D8A">
            <w:pPr>
              <w:jc w:val="both"/>
              <w:rPr>
                <w:rFonts w:eastAsia="Calibri"/>
                <w:sz w:val="20"/>
                <w:lang w:val="fr-CA"/>
              </w:rPr>
            </w:pPr>
          </w:p>
        </w:tc>
        <w:tc>
          <w:tcPr>
            <w:tcW w:w="243" w:type="pct"/>
          </w:tcPr>
          <w:p w:rsidR="00C14D8A" w:rsidRPr="007E6A6A" w:rsidRDefault="00C14D8A" w:rsidP="00C14D8A">
            <w:pPr>
              <w:jc w:val="both"/>
              <w:rPr>
                <w:rFonts w:eastAsia="Calibri"/>
                <w:sz w:val="20"/>
                <w:lang w:val="fr-CA"/>
              </w:rPr>
            </w:pPr>
          </w:p>
        </w:tc>
        <w:tc>
          <w:tcPr>
            <w:tcW w:w="2330" w:type="pct"/>
          </w:tcPr>
          <w:p w:rsidR="00C14D8A" w:rsidRPr="007E6A6A" w:rsidRDefault="00C14D8A" w:rsidP="00C14D8A">
            <w:pPr>
              <w:jc w:val="both"/>
              <w:rPr>
                <w:rFonts w:eastAsia="Calibri"/>
                <w:sz w:val="20"/>
                <w:lang w:val="fr-CA"/>
              </w:rPr>
            </w:pPr>
            <w:r w:rsidRPr="007E6A6A">
              <w:rPr>
                <w:rFonts w:eastAsia="Calibri"/>
                <w:sz w:val="20"/>
                <w:lang w:val="fr-CA"/>
              </w:rPr>
              <w:t>Demande de contrôle judiciaire, rejetée</w:t>
            </w:r>
          </w:p>
          <w:p w:rsidR="00C14D8A" w:rsidRPr="007E6A6A" w:rsidRDefault="00C14D8A" w:rsidP="00C14D8A">
            <w:pPr>
              <w:jc w:val="both"/>
              <w:rPr>
                <w:rFonts w:eastAsia="Calibri"/>
                <w:sz w:val="20"/>
                <w:lang w:val="fr-CA"/>
              </w:rPr>
            </w:pPr>
          </w:p>
        </w:tc>
      </w:tr>
      <w:tr w:rsidR="00C14D8A" w:rsidRPr="007E6A6A" w:rsidTr="00C14D8A">
        <w:tc>
          <w:tcPr>
            <w:tcW w:w="2427" w:type="pct"/>
          </w:tcPr>
          <w:p w:rsidR="00C14D8A" w:rsidRPr="007E6A6A" w:rsidRDefault="00C14D8A" w:rsidP="00C14D8A">
            <w:pPr>
              <w:jc w:val="both"/>
              <w:rPr>
                <w:rFonts w:eastAsia="Calibri"/>
                <w:sz w:val="20"/>
                <w:lang w:val="fr-CA"/>
              </w:rPr>
            </w:pPr>
            <w:r w:rsidRPr="007E6A6A">
              <w:rPr>
                <w:rFonts w:eastAsia="Calibri"/>
                <w:sz w:val="20"/>
                <w:lang w:val="fr-CA"/>
              </w:rPr>
              <w:t>14 février 2012</w:t>
            </w:r>
          </w:p>
          <w:p w:rsidR="00C14D8A" w:rsidRPr="007E6A6A" w:rsidRDefault="00C14D8A" w:rsidP="00C14D8A">
            <w:pPr>
              <w:jc w:val="both"/>
              <w:rPr>
                <w:rFonts w:eastAsia="Calibri"/>
                <w:sz w:val="20"/>
                <w:lang w:val="fr-CA"/>
              </w:rPr>
            </w:pPr>
            <w:r w:rsidRPr="007E6A6A">
              <w:rPr>
                <w:rFonts w:eastAsia="Calibri"/>
                <w:sz w:val="20"/>
                <w:lang w:val="fr-CA"/>
              </w:rPr>
              <w:t>Cour suprême du Canada</w:t>
            </w:r>
          </w:p>
        </w:tc>
        <w:tc>
          <w:tcPr>
            <w:tcW w:w="243" w:type="pct"/>
          </w:tcPr>
          <w:p w:rsidR="00C14D8A" w:rsidRPr="007E6A6A" w:rsidRDefault="00C14D8A" w:rsidP="00C14D8A">
            <w:pPr>
              <w:jc w:val="both"/>
              <w:rPr>
                <w:rFonts w:eastAsia="Calibri"/>
                <w:sz w:val="20"/>
                <w:lang w:val="fr-CA"/>
              </w:rPr>
            </w:pPr>
          </w:p>
        </w:tc>
        <w:tc>
          <w:tcPr>
            <w:tcW w:w="2330" w:type="pct"/>
          </w:tcPr>
          <w:p w:rsidR="00C14D8A" w:rsidRPr="007E6A6A" w:rsidRDefault="00C14D8A" w:rsidP="00C14D8A">
            <w:pPr>
              <w:jc w:val="both"/>
              <w:rPr>
                <w:rFonts w:eastAsia="Calibri"/>
                <w:sz w:val="20"/>
                <w:lang w:val="fr-CA"/>
              </w:rPr>
            </w:pPr>
            <w:r w:rsidRPr="007E6A6A">
              <w:rPr>
                <w:rFonts w:eastAsia="Calibri"/>
                <w:sz w:val="20"/>
                <w:lang w:val="fr-CA"/>
              </w:rPr>
              <w:t>Demande d’autorisation d’appel, déposée</w:t>
            </w:r>
          </w:p>
          <w:p w:rsidR="00C14D8A" w:rsidRPr="007E6A6A" w:rsidRDefault="00C14D8A" w:rsidP="00C14D8A">
            <w:pPr>
              <w:jc w:val="both"/>
              <w:rPr>
                <w:rFonts w:eastAsia="Calibri"/>
                <w:sz w:val="20"/>
                <w:lang w:val="fr-CA"/>
              </w:rPr>
            </w:pPr>
          </w:p>
        </w:tc>
      </w:tr>
    </w:tbl>
    <w:p w:rsidR="00F83F5A" w:rsidRDefault="00F83F5A" w:rsidP="00F83F5A">
      <w:pPr>
        <w:rPr>
          <w:sz w:val="20"/>
          <w:szCs w:val="20"/>
        </w:rPr>
      </w:pPr>
    </w:p>
    <w:p w:rsidR="00F83F5A" w:rsidRDefault="00ED3438" w:rsidP="00F83F5A">
      <w:pPr>
        <w:rPr>
          <w:sz w:val="20"/>
          <w:szCs w:val="20"/>
        </w:rPr>
      </w:pPr>
      <w:r w:rsidRPr="00ED3438">
        <w:rPr>
          <w:sz w:val="20"/>
          <w:szCs w:val="20"/>
          <w:lang w:val="fr-CA"/>
        </w:rPr>
        <w:pict>
          <v:rect id="_x0000_i1056" style="width:2in;height:1pt" o:hrpct="0" o:hralign="center" o:hrstd="t" o:hrnoshade="t" o:hr="t" fillcolor="black [3213]" stroked="f"/>
        </w:pict>
      </w:r>
    </w:p>
    <w:p w:rsidR="00AF2C44" w:rsidRDefault="00AF2C44">
      <w:pPr>
        <w:rPr>
          <w:sz w:val="20"/>
          <w:szCs w:val="20"/>
        </w:rPr>
      </w:pPr>
    </w:p>
    <w:p w:rsidR="00AF2C44" w:rsidRDefault="00AF2C44">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C2CB7" w:rsidRPr="00017BF4" w:rsidTr="00B60060">
        <w:trPr>
          <w:cantSplit/>
        </w:trPr>
        <w:tc>
          <w:tcPr>
            <w:tcW w:w="1458" w:type="dxa"/>
          </w:tcPr>
          <w:p w:rsidR="003C2CB7" w:rsidRPr="0047561F" w:rsidRDefault="003C2CB7" w:rsidP="00B60060">
            <w:pPr>
              <w:rPr>
                <w:sz w:val="20"/>
                <w:szCs w:val="20"/>
              </w:rPr>
            </w:pPr>
            <w:r w:rsidRPr="0047561F">
              <w:rPr>
                <w:rStyle w:val="SCCFileNumberChar"/>
                <w:sz w:val="20"/>
                <w:szCs w:val="20"/>
              </w:rPr>
              <w:t>34707</w:t>
            </w:r>
          </w:p>
          <w:p w:rsidR="003C2CB7" w:rsidRPr="0047561F" w:rsidRDefault="003C2CB7" w:rsidP="00B60060">
            <w:pPr>
              <w:rPr>
                <w:b/>
                <w:sz w:val="20"/>
                <w:szCs w:val="20"/>
                <w:lang w:val="fr-CA"/>
              </w:rPr>
            </w:pPr>
          </w:p>
        </w:tc>
        <w:tc>
          <w:tcPr>
            <w:tcW w:w="8118" w:type="dxa"/>
          </w:tcPr>
          <w:p w:rsidR="003C2CB7" w:rsidRPr="0047561F" w:rsidRDefault="003C2CB7" w:rsidP="00B60060">
            <w:pPr>
              <w:jc w:val="both"/>
              <w:rPr>
                <w:sz w:val="20"/>
                <w:szCs w:val="20"/>
                <w:lang w:val="fr-CA"/>
              </w:rPr>
            </w:pPr>
            <w:proofErr w:type="spellStart"/>
            <w:r w:rsidRPr="0047561F">
              <w:rPr>
                <w:rStyle w:val="SCCLsocChar"/>
                <w:sz w:val="20"/>
                <w:szCs w:val="20"/>
              </w:rPr>
              <w:t>Munger</w:t>
            </w:r>
            <w:proofErr w:type="spellEnd"/>
            <w:r w:rsidRPr="0047561F">
              <w:rPr>
                <w:rStyle w:val="SCCLsocChar"/>
                <w:sz w:val="20"/>
                <w:szCs w:val="20"/>
              </w:rPr>
              <w:t xml:space="preserve"> Pontiac Buick Inc. c. Syndicat démocratique des employés de garage Saguenay-Lac-Saint-Jean (CSD)</w:t>
            </w:r>
            <w:r w:rsidRPr="0047561F">
              <w:rPr>
                <w:sz w:val="20"/>
                <w:szCs w:val="20"/>
                <w:lang w:val="fr-CA"/>
              </w:rPr>
              <w:t xml:space="preserve"> (</w:t>
            </w:r>
            <w:proofErr w:type="spellStart"/>
            <w:r w:rsidRPr="0047561F">
              <w:rPr>
                <w:sz w:val="20"/>
                <w:szCs w:val="20"/>
                <w:lang w:val="fr-CA"/>
              </w:rPr>
              <w:t>Qc</w:t>
            </w:r>
            <w:proofErr w:type="spellEnd"/>
            <w:r w:rsidRPr="0047561F">
              <w:rPr>
                <w:sz w:val="20"/>
                <w:szCs w:val="20"/>
                <w:lang w:val="fr-CA"/>
              </w:rPr>
              <w:t>) (Civile) (Autorisation)</w:t>
            </w:r>
          </w:p>
          <w:p w:rsidR="003C2CB7" w:rsidRPr="0047561F" w:rsidRDefault="003C2CB7" w:rsidP="00B60060">
            <w:pPr>
              <w:rPr>
                <w:sz w:val="20"/>
                <w:szCs w:val="20"/>
                <w:lang w:val="fr-CA"/>
              </w:rPr>
            </w:pPr>
          </w:p>
        </w:tc>
      </w:tr>
      <w:tr w:rsidR="003C2CB7" w:rsidRPr="00017BF4" w:rsidTr="00B60060">
        <w:trPr>
          <w:cantSplit/>
        </w:trPr>
        <w:tc>
          <w:tcPr>
            <w:tcW w:w="1458" w:type="dxa"/>
          </w:tcPr>
          <w:p w:rsidR="003C2CB7" w:rsidRPr="0047561F" w:rsidRDefault="003C2CB7" w:rsidP="00B60060">
            <w:pPr>
              <w:rPr>
                <w:sz w:val="20"/>
                <w:szCs w:val="20"/>
              </w:rPr>
            </w:pPr>
            <w:r w:rsidRPr="0047561F">
              <w:rPr>
                <w:sz w:val="20"/>
                <w:szCs w:val="20"/>
              </w:rPr>
              <w:t>Coram :</w:t>
            </w:r>
          </w:p>
        </w:tc>
        <w:tc>
          <w:tcPr>
            <w:tcW w:w="8118" w:type="dxa"/>
          </w:tcPr>
          <w:p w:rsidR="003C2CB7" w:rsidRPr="0047561F" w:rsidRDefault="003C2CB7" w:rsidP="00B60060">
            <w:pPr>
              <w:rPr>
                <w:sz w:val="20"/>
                <w:szCs w:val="20"/>
                <w:lang w:val="fr-CA"/>
              </w:rPr>
            </w:pPr>
            <w:r w:rsidRPr="0047561F">
              <w:rPr>
                <w:rStyle w:val="SCCCoramChar"/>
                <w:sz w:val="20"/>
                <w:szCs w:val="20"/>
              </w:rPr>
              <w:t xml:space="preserve">Les juges </w:t>
            </w:r>
            <w:proofErr w:type="spellStart"/>
            <w:r w:rsidRPr="0047561F">
              <w:rPr>
                <w:rStyle w:val="SCCCoramChar"/>
                <w:sz w:val="20"/>
                <w:szCs w:val="20"/>
              </w:rPr>
              <w:t>LeBel</w:t>
            </w:r>
            <w:proofErr w:type="spellEnd"/>
            <w:r w:rsidRPr="0047561F">
              <w:rPr>
                <w:rStyle w:val="SCCCoramChar"/>
                <w:sz w:val="20"/>
                <w:szCs w:val="20"/>
              </w:rPr>
              <w:t>, Abella et Cromwell</w:t>
            </w:r>
          </w:p>
          <w:p w:rsidR="003C2CB7" w:rsidRPr="0047561F" w:rsidRDefault="003C2CB7" w:rsidP="00B60060">
            <w:pPr>
              <w:rPr>
                <w:sz w:val="20"/>
                <w:szCs w:val="20"/>
                <w:u w:val="single"/>
                <w:lang w:val="fr-CA"/>
              </w:rPr>
            </w:pPr>
          </w:p>
        </w:tc>
      </w:tr>
      <w:tr w:rsidR="003C2CB7" w:rsidRPr="0047561F" w:rsidTr="00B60060">
        <w:trPr>
          <w:cantSplit/>
        </w:trPr>
        <w:tc>
          <w:tcPr>
            <w:tcW w:w="9576" w:type="dxa"/>
            <w:gridSpan w:val="2"/>
          </w:tcPr>
          <w:p w:rsidR="003C2CB7" w:rsidRPr="0047561F" w:rsidRDefault="003C2CB7" w:rsidP="00B60060">
            <w:pPr>
              <w:pStyle w:val="SCCShortJudgment"/>
              <w:rPr>
                <w:szCs w:val="20"/>
                <w:lang w:val="fr-CA"/>
              </w:rPr>
            </w:pPr>
            <w:r w:rsidRPr="0047561F">
              <w:rPr>
                <w:szCs w:val="20"/>
                <w:lang w:val="fr-CA"/>
              </w:rPr>
              <w:t>La demande d’autorisation d’appel de l’arrêt de la Cour d’appel du Québec (Québec), numéro 200-09-007315-119, 2012 QCCA 36, daté du 11 janvier 2012, est rejetée avec dépens en faveur de l’intimé Syndicat démocratique des employés de garage Saguenay-Lac-Saint-Jean (CSD).</w:t>
            </w:r>
          </w:p>
          <w:p w:rsidR="003C2CB7" w:rsidRPr="0047561F" w:rsidRDefault="003C2CB7" w:rsidP="00B60060">
            <w:pPr>
              <w:pStyle w:val="SCCShortJudgment"/>
              <w:ind w:firstLine="0"/>
              <w:rPr>
                <w:szCs w:val="20"/>
                <w:lang w:val="fr-CA"/>
              </w:rPr>
            </w:pPr>
          </w:p>
          <w:p w:rsidR="003C2CB7" w:rsidRPr="0047561F" w:rsidRDefault="003C2CB7" w:rsidP="00B60060">
            <w:pPr>
              <w:pStyle w:val="SCCShortJudgment"/>
              <w:rPr>
                <w:szCs w:val="20"/>
              </w:rPr>
            </w:pPr>
            <w:r w:rsidRPr="0047561F">
              <w:rPr>
                <w:szCs w:val="20"/>
              </w:rPr>
              <w:t xml:space="preserve">The application for leave to appeal from the judgment of the Court of Appeal of Quebec (Québec), Number 200-09-007315-119, 2012 QCCA 36, dated January 11, 2012, is dismissed with costs to the respondent </w:t>
            </w:r>
            <w:proofErr w:type="spellStart"/>
            <w:r w:rsidRPr="0047561F">
              <w:rPr>
                <w:szCs w:val="20"/>
              </w:rPr>
              <w:t>Syndicat</w:t>
            </w:r>
            <w:proofErr w:type="spellEnd"/>
            <w:r w:rsidRPr="0047561F">
              <w:rPr>
                <w:szCs w:val="20"/>
              </w:rPr>
              <w:t xml:space="preserve"> </w:t>
            </w:r>
            <w:proofErr w:type="spellStart"/>
            <w:r w:rsidRPr="0047561F">
              <w:rPr>
                <w:szCs w:val="20"/>
              </w:rPr>
              <w:t>démocratique</w:t>
            </w:r>
            <w:proofErr w:type="spellEnd"/>
            <w:r w:rsidRPr="0047561F">
              <w:rPr>
                <w:szCs w:val="20"/>
              </w:rPr>
              <w:t xml:space="preserve"> des </w:t>
            </w:r>
            <w:proofErr w:type="spellStart"/>
            <w:r w:rsidRPr="0047561F">
              <w:rPr>
                <w:szCs w:val="20"/>
              </w:rPr>
              <w:t>employés</w:t>
            </w:r>
            <w:proofErr w:type="spellEnd"/>
            <w:r w:rsidRPr="0047561F">
              <w:rPr>
                <w:szCs w:val="20"/>
              </w:rPr>
              <w:t xml:space="preserve"> de garage Saguenay-Lac-Saint-Jean (CSD).</w:t>
            </w:r>
          </w:p>
        </w:tc>
      </w:tr>
    </w:tbl>
    <w:p w:rsidR="00F83F5A" w:rsidRPr="003C2CB7" w:rsidRDefault="00F83F5A" w:rsidP="00F83F5A">
      <w:pPr>
        <w:rPr>
          <w:sz w:val="20"/>
          <w:szCs w:val="20"/>
        </w:rPr>
      </w:pPr>
    </w:p>
    <w:p w:rsidR="00F83F5A" w:rsidRPr="001B157C" w:rsidRDefault="00F83F5A" w:rsidP="00F83F5A">
      <w:pPr>
        <w:rPr>
          <w:sz w:val="20"/>
          <w:szCs w:val="20"/>
          <w:u w:val="single"/>
        </w:rPr>
      </w:pPr>
      <w:r w:rsidRPr="001B157C">
        <w:rPr>
          <w:sz w:val="20"/>
          <w:szCs w:val="20"/>
          <w:u w:val="single"/>
        </w:rPr>
        <w:t>CASE SUMMARY</w:t>
      </w:r>
    </w:p>
    <w:p w:rsidR="00F83F5A" w:rsidRDefault="00F83F5A" w:rsidP="00F83F5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14D8A" w:rsidRPr="007E6A6A" w:rsidTr="00C14D8A">
        <w:tc>
          <w:tcPr>
            <w:tcW w:w="5000" w:type="pct"/>
            <w:gridSpan w:val="3"/>
          </w:tcPr>
          <w:p w:rsidR="00C14D8A" w:rsidRPr="007E6A6A" w:rsidRDefault="00C14D8A" w:rsidP="00C14D8A">
            <w:pPr>
              <w:jc w:val="both"/>
              <w:rPr>
                <w:rFonts w:eastAsia="Calibri"/>
                <w:sz w:val="20"/>
              </w:rPr>
            </w:pPr>
            <w:r w:rsidRPr="007E6A6A">
              <w:rPr>
                <w:rFonts w:eastAsia="Calibri"/>
                <w:sz w:val="20"/>
              </w:rPr>
              <w:t xml:space="preserve">Labour relations – Grievances – Notice of termination – Judicial review – Whether Court of Appeal erred in law in concluding that, pursuant to </w:t>
            </w:r>
            <w:proofErr w:type="spellStart"/>
            <w:r w:rsidRPr="007E6A6A">
              <w:rPr>
                <w:rFonts w:eastAsia="Calibri"/>
                <w:i/>
                <w:sz w:val="20"/>
              </w:rPr>
              <w:t>Isidore</w:t>
            </w:r>
            <w:proofErr w:type="spellEnd"/>
            <w:r w:rsidRPr="007E6A6A">
              <w:rPr>
                <w:rFonts w:eastAsia="Calibri"/>
                <w:i/>
                <w:sz w:val="20"/>
              </w:rPr>
              <w:t xml:space="preserve"> </w:t>
            </w:r>
            <w:proofErr w:type="spellStart"/>
            <w:r w:rsidRPr="007E6A6A">
              <w:rPr>
                <w:rFonts w:eastAsia="Calibri"/>
                <w:i/>
                <w:sz w:val="20"/>
              </w:rPr>
              <w:t>Garon</w:t>
            </w:r>
            <w:proofErr w:type="spellEnd"/>
            <w:r w:rsidRPr="007E6A6A">
              <w:rPr>
                <w:rFonts w:eastAsia="Calibri"/>
                <w:i/>
                <w:sz w:val="20"/>
              </w:rPr>
              <w:t xml:space="preserve"> </w:t>
            </w:r>
            <w:proofErr w:type="spellStart"/>
            <w:r w:rsidRPr="007E6A6A">
              <w:rPr>
                <w:rFonts w:eastAsia="Calibri"/>
                <w:i/>
                <w:sz w:val="20"/>
              </w:rPr>
              <w:t>ltée</w:t>
            </w:r>
            <w:proofErr w:type="spellEnd"/>
            <w:r w:rsidRPr="007E6A6A">
              <w:rPr>
                <w:rFonts w:eastAsia="Calibri"/>
                <w:i/>
                <w:sz w:val="20"/>
              </w:rPr>
              <w:t xml:space="preserve"> v. Tremblay; </w:t>
            </w:r>
            <w:proofErr w:type="spellStart"/>
            <w:r w:rsidRPr="007E6A6A">
              <w:rPr>
                <w:rFonts w:eastAsia="Calibri"/>
                <w:i/>
                <w:sz w:val="20"/>
              </w:rPr>
              <w:t>Fillion</w:t>
            </w:r>
            <w:proofErr w:type="spellEnd"/>
            <w:r w:rsidRPr="007E6A6A">
              <w:rPr>
                <w:rFonts w:eastAsia="Calibri"/>
                <w:i/>
                <w:sz w:val="20"/>
              </w:rPr>
              <w:t xml:space="preserve"> et Frères (1976) inc. v. </w:t>
            </w:r>
            <w:proofErr w:type="spellStart"/>
            <w:r w:rsidRPr="007E6A6A">
              <w:rPr>
                <w:rFonts w:eastAsia="Calibri"/>
                <w:i/>
                <w:sz w:val="20"/>
              </w:rPr>
              <w:t>Syndicat</w:t>
            </w:r>
            <w:proofErr w:type="spellEnd"/>
            <w:r w:rsidRPr="007E6A6A">
              <w:rPr>
                <w:rFonts w:eastAsia="Calibri"/>
                <w:i/>
                <w:sz w:val="20"/>
              </w:rPr>
              <w:t xml:space="preserve"> national des </w:t>
            </w:r>
            <w:proofErr w:type="spellStart"/>
            <w:r w:rsidRPr="007E6A6A">
              <w:rPr>
                <w:rFonts w:eastAsia="Calibri"/>
                <w:i/>
                <w:sz w:val="20"/>
              </w:rPr>
              <w:t>employés</w:t>
            </w:r>
            <w:proofErr w:type="spellEnd"/>
            <w:r w:rsidRPr="007E6A6A">
              <w:rPr>
                <w:rFonts w:eastAsia="Calibri"/>
                <w:i/>
                <w:sz w:val="20"/>
              </w:rPr>
              <w:t xml:space="preserve"> de garage du Québec inc.</w:t>
            </w:r>
            <w:r w:rsidRPr="007E6A6A">
              <w:rPr>
                <w:rFonts w:eastAsia="Calibri"/>
                <w:sz w:val="20"/>
              </w:rPr>
              <w:t xml:space="preserve">, [2006] 1 S.C.R. 27, 2006 SCC 2, parties could expressly include arts. 2091 and 2092 of </w:t>
            </w:r>
            <w:r w:rsidRPr="007E6A6A">
              <w:rPr>
                <w:rFonts w:eastAsia="Calibri"/>
                <w:i/>
                <w:sz w:val="20"/>
              </w:rPr>
              <w:t>Civil Code of Québec</w:t>
            </w:r>
            <w:r w:rsidRPr="007E6A6A">
              <w:rPr>
                <w:rFonts w:eastAsia="Calibri"/>
                <w:sz w:val="20"/>
              </w:rPr>
              <w:t xml:space="preserve">, S.Q. 1991, c. 64 (“ C.C.Q.”), in collective agreement even though Supreme Court had declared those articles incompatible with collective labour relations scheme – Whether Court of Appeal erred in law in concluding that s. 62 of </w:t>
            </w:r>
            <w:r w:rsidRPr="007E6A6A">
              <w:rPr>
                <w:rFonts w:eastAsia="Calibri"/>
                <w:i/>
                <w:sz w:val="20"/>
              </w:rPr>
              <w:t>Labour Code</w:t>
            </w:r>
            <w:r w:rsidRPr="007E6A6A">
              <w:rPr>
                <w:rFonts w:eastAsia="Calibri"/>
                <w:sz w:val="20"/>
              </w:rPr>
              <w:t>, R.S.Q., c. C</w:t>
            </w:r>
            <w:r w:rsidRPr="007E6A6A">
              <w:rPr>
                <w:rFonts w:eastAsia="Calibri"/>
                <w:sz w:val="20"/>
              </w:rPr>
              <w:noBreakHyphen/>
              <w:t xml:space="preserve">27 (“L.C.”), and parties’ freedom of contract allowed them to include provision declared incompatible with collective labour relations scheme by Supreme Court in collective agreement – Whether Court of Appeal erred in law in concluding that objective of continuity of employment was upheld in this case because art. 2094 C.C.Q. not incorporated into collective agreement, even though art. 2091 C.C.Q. in itself permitted employer to </w:t>
            </w:r>
            <w:proofErr w:type="spellStart"/>
            <w:r w:rsidRPr="007E6A6A">
              <w:rPr>
                <w:rFonts w:eastAsia="Calibri"/>
                <w:sz w:val="20"/>
              </w:rPr>
              <w:t>resiliate</w:t>
            </w:r>
            <w:proofErr w:type="spellEnd"/>
            <w:r w:rsidRPr="007E6A6A">
              <w:rPr>
                <w:rFonts w:eastAsia="Calibri"/>
                <w:sz w:val="20"/>
              </w:rPr>
              <w:t xml:space="preserve"> contract of employment.</w:t>
            </w:r>
          </w:p>
        </w:tc>
      </w:tr>
      <w:tr w:rsidR="00C14D8A" w:rsidRPr="007E6A6A" w:rsidTr="00C14D8A">
        <w:tc>
          <w:tcPr>
            <w:tcW w:w="5000" w:type="pct"/>
            <w:gridSpan w:val="3"/>
          </w:tcPr>
          <w:p w:rsidR="00C14D8A" w:rsidRPr="007E6A6A" w:rsidRDefault="00C14D8A" w:rsidP="00C14D8A">
            <w:pPr>
              <w:jc w:val="both"/>
              <w:rPr>
                <w:rFonts w:eastAsia="Calibri"/>
                <w:sz w:val="20"/>
              </w:rPr>
            </w:pPr>
          </w:p>
        </w:tc>
      </w:tr>
      <w:tr w:rsidR="00C14D8A" w:rsidRPr="007E6A6A" w:rsidTr="00C14D8A">
        <w:tc>
          <w:tcPr>
            <w:tcW w:w="5000" w:type="pct"/>
            <w:gridSpan w:val="3"/>
          </w:tcPr>
          <w:p w:rsidR="00C14D8A" w:rsidRPr="007E6A6A" w:rsidRDefault="00C14D8A" w:rsidP="00C14D8A">
            <w:pPr>
              <w:jc w:val="both"/>
              <w:rPr>
                <w:rFonts w:eastAsia="Calibri"/>
                <w:sz w:val="20"/>
              </w:rPr>
            </w:pPr>
            <w:r w:rsidRPr="007E6A6A">
              <w:rPr>
                <w:rFonts w:eastAsia="Calibri"/>
                <w:sz w:val="20"/>
              </w:rPr>
              <w:t>The applicant, which at the time was a car dealership that held a franchise from General Motors to sell Pontiac Buick vehicles, was notified on May 31, 2009 that General Motors would cease delivering motor vehicles to it.  On June 3, 2009, the applicant sent the Minister of Employment and Social Solidarity and the respondent a notice of collective dismissal of its employees with a view to the permanent closure of its enterprise on October 2, 2009.</w:t>
            </w:r>
          </w:p>
          <w:p w:rsidR="00C14D8A" w:rsidRPr="007E6A6A" w:rsidRDefault="00C14D8A" w:rsidP="00C14D8A">
            <w:pPr>
              <w:jc w:val="both"/>
              <w:rPr>
                <w:rFonts w:eastAsia="Calibri"/>
                <w:sz w:val="20"/>
              </w:rPr>
            </w:pPr>
          </w:p>
          <w:p w:rsidR="00C14D8A" w:rsidRPr="007E6A6A" w:rsidRDefault="00C14D8A" w:rsidP="00C14D8A">
            <w:pPr>
              <w:jc w:val="both"/>
              <w:rPr>
                <w:rFonts w:eastAsia="Calibri"/>
                <w:sz w:val="20"/>
              </w:rPr>
            </w:pPr>
            <w:r w:rsidRPr="007E6A6A">
              <w:rPr>
                <w:rFonts w:eastAsia="Calibri"/>
                <w:sz w:val="20"/>
              </w:rPr>
              <w:t xml:space="preserve">The respondent, on behalf of its employees, filed a series of grievances against the notice of dismissal on the ground that it did not comply with various provisions of the parties’ collective agreement, including art. 17.05 </w:t>
            </w:r>
            <w:proofErr w:type="gramStart"/>
            <w:r w:rsidRPr="007E6A6A">
              <w:rPr>
                <w:rFonts w:eastAsia="Calibri"/>
                <w:sz w:val="20"/>
              </w:rPr>
              <w:t>on</w:t>
            </w:r>
            <w:proofErr w:type="gramEnd"/>
            <w:r w:rsidRPr="007E6A6A">
              <w:rPr>
                <w:rFonts w:eastAsia="Calibri"/>
                <w:sz w:val="20"/>
              </w:rPr>
              <w:t xml:space="preserve"> reasonable notice of termination, which expressly stated that [</w:t>
            </w:r>
            <w:r w:rsidRPr="007E6A6A">
              <w:rPr>
                <w:rFonts w:eastAsia="Calibri"/>
                <w:smallCaps/>
                <w:sz w:val="20"/>
              </w:rPr>
              <w:t>translation</w:t>
            </w:r>
            <w:r w:rsidRPr="007E6A6A">
              <w:rPr>
                <w:rFonts w:eastAsia="Calibri"/>
                <w:sz w:val="20"/>
              </w:rPr>
              <w:t xml:space="preserve">] “articles 2091 and 2092 of the </w:t>
            </w:r>
            <w:r w:rsidRPr="007E6A6A">
              <w:rPr>
                <w:rFonts w:eastAsia="Calibri"/>
                <w:i/>
                <w:sz w:val="20"/>
              </w:rPr>
              <w:t>Civil Code of Québec</w:t>
            </w:r>
            <w:r w:rsidRPr="007E6A6A">
              <w:rPr>
                <w:rFonts w:eastAsia="Calibri"/>
                <w:sz w:val="20"/>
              </w:rPr>
              <w:t xml:space="preserve"> are an integral part of this collective agreement and apply to the employees covered by this agreement”.</w:t>
            </w:r>
          </w:p>
          <w:p w:rsidR="00C14D8A" w:rsidRPr="007E6A6A" w:rsidRDefault="00C14D8A" w:rsidP="00C14D8A">
            <w:pPr>
              <w:jc w:val="both"/>
              <w:rPr>
                <w:rFonts w:eastAsia="Calibri"/>
                <w:sz w:val="20"/>
              </w:rPr>
            </w:pPr>
          </w:p>
          <w:p w:rsidR="00C14D8A" w:rsidRPr="007E6A6A" w:rsidRDefault="00C14D8A" w:rsidP="00C14D8A">
            <w:pPr>
              <w:jc w:val="both"/>
              <w:rPr>
                <w:rFonts w:eastAsia="Calibri"/>
                <w:sz w:val="20"/>
              </w:rPr>
            </w:pPr>
            <w:r w:rsidRPr="007E6A6A">
              <w:rPr>
                <w:rFonts w:eastAsia="Calibri"/>
                <w:sz w:val="20"/>
              </w:rPr>
              <w:t xml:space="preserve">The grievances were submitted to arbitrator Denis Gagnon, before whom the applicant urged a preliminary exception concerning the applicability of art. 17.05 </w:t>
            </w:r>
            <w:proofErr w:type="gramStart"/>
            <w:r w:rsidRPr="007E6A6A">
              <w:rPr>
                <w:rFonts w:eastAsia="Calibri"/>
                <w:sz w:val="20"/>
              </w:rPr>
              <w:t>of</w:t>
            </w:r>
            <w:proofErr w:type="gramEnd"/>
            <w:r w:rsidRPr="007E6A6A">
              <w:rPr>
                <w:rFonts w:eastAsia="Calibri"/>
                <w:sz w:val="20"/>
              </w:rPr>
              <w:t xml:space="preserve"> the collective agreement.  The exception was based on the Supreme Court’s decision in </w:t>
            </w:r>
            <w:proofErr w:type="spellStart"/>
            <w:r w:rsidRPr="007E6A6A">
              <w:rPr>
                <w:rFonts w:eastAsia="Calibri"/>
                <w:i/>
                <w:sz w:val="20"/>
              </w:rPr>
              <w:t>Isidore</w:t>
            </w:r>
            <w:proofErr w:type="spellEnd"/>
            <w:r w:rsidRPr="007E6A6A">
              <w:rPr>
                <w:rFonts w:eastAsia="Calibri"/>
                <w:i/>
                <w:sz w:val="20"/>
              </w:rPr>
              <w:t xml:space="preserve"> </w:t>
            </w:r>
            <w:proofErr w:type="spellStart"/>
            <w:r w:rsidRPr="007E6A6A">
              <w:rPr>
                <w:rFonts w:eastAsia="Calibri"/>
                <w:i/>
                <w:sz w:val="20"/>
              </w:rPr>
              <w:t>Garon</w:t>
            </w:r>
            <w:proofErr w:type="spellEnd"/>
            <w:r w:rsidRPr="007E6A6A">
              <w:rPr>
                <w:rFonts w:eastAsia="Calibri"/>
                <w:i/>
                <w:sz w:val="20"/>
              </w:rPr>
              <w:t xml:space="preserve"> </w:t>
            </w:r>
            <w:proofErr w:type="spellStart"/>
            <w:r w:rsidRPr="007E6A6A">
              <w:rPr>
                <w:rFonts w:eastAsia="Calibri"/>
                <w:i/>
                <w:sz w:val="20"/>
              </w:rPr>
              <w:t>ltée</w:t>
            </w:r>
            <w:proofErr w:type="spellEnd"/>
            <w:r w:rsidRPr="007E6A6A">
              <w:rPr>
                <w:rFonts w:eastAsia="Calibri"/>
                <w:i/>
                <w:sz w:val="20"/>
              </w:rPr>
              <w:t xml:space="preserve"> v. Tremblay; </w:t>
            </w:r>
            <w:proofErr w:type="spellStart"/>
            <w:r w:rsidRPr="007E6A6A">
              <w:rPr>
                <w:rFonts w:eastAsia="Calibri"/>
                <w:i/>
                <w:sz w:val="20"/>
              </w:rPr>
              <w:t>Fillion</w:t>
            </w:r>
            <w:proofErr w:type="spellEnd"/>
            <w:r w:rsidRPr="007E6A6A">
              <w:rPr>
                <w:rFonts w:eastAsia="Calibri"/>
                <w:i/>
                <w:sz w:val="20"/>
              </w:rPr>
              <w:t xml:space="preserve"> et Frères (1976) inc. v. </w:t>
            </w:r>
            <w:proofErr w:type="spellStart"/>
            <w:r w:rsidRPr="007E6A6A">
              <w:rPr>
                <w:rFonts w:eastAsia="Calibri"/>
                <w:i/>
                <w:sz w:val="20"/>
              </w:rPr>
              <w:t>Syndicat</w:t>
            </w:r>
            <w:proofErr w:type="spellEnd"/>
            <w:r w:rsidRPr="007E6A6A">
              <w:rPr>
                <w:rFonts w:eastAsia="Calibri"/>
                <w:i/>
                <w:sz w:val="20"/>
              </w:rPr>
              <w:t xml:space="preserve"> national des </w:t>
            </w:r>
            <w:proofErr w:type="spellStart"/>
            <w:r w:rsidRPr="007E6A6A">
              <w:rPr>
                <w:rFonts w:eastAsia="Calibri"/>
                <w:i/>
                <w:sz w:val="20"/>
              </w:rPr>
              <w:t>employés</w:t>
            </w:r>
            <w:proofErr w:type="spellEnd"/>
            <w:r w:rsidRPr="007E6A6A">
              <w:rPr>
                <w:rFonts w:eastAsia="Calibri"/>
                <w:i/>
                <w:sz w:val="20"/>
              </w:rPr>
              <w:t xml:space="preserve"> de garage du Québec inc.</w:t>
            </w:r>
            <w:r w:rsidRPr="007E6A6A">
              <w:rPr>
                <w:rFonts w:eastAsia="Calibri"/>
                <w:sz w:val="20"/>
              </w:rPr>
              <w:t xml:space="preserve">, </w:t>
            </w:r>
            <w:r w:rsidRPr="007E6A6A">
              <w:rPr>
                <w:rFonts w:eastAsia="Calibri"/>
                <w:i/>
                <w:sz w:val="20"/>
              </w:rPr>
              <w:t>supra</w:t>
            </w:r>
            <w:r w:rsidRPr="007E6A6A">
              <w:rPr>
                <w:rFonts w:eastAsia="Calibri"/>
                <w:sz w:val="20"/>
              </w:rPr>
              <w:t xml:space="preserve">, in which it was held that arts. 2091 and 2092 C.C.Q., which deal with reasonable notice of termination, are incompatible with the collective labour relations scheme in a unionized environment.  Arbitrator Gagnon dismissed the preliminary exception urged by the applicant and declared art. 17.05 </w:t>
            </w:r>
            <w:proofErr w:type="gramStart"/>
            <w:r w:rsidRPr="007E6A6A">
              <w:rPr>
                <w:rFonts w:eastAsia="Calibri"/>
                <w:sz w:val="20"/>
              </w:rPr>
              <w:t>of</w:t>
            </w:r>
            <w:proofErr w:type="gramEnd"/>
            <w:r w:rsidRPr="007E6A6A">
              <w:rPr>
                <w:rFonts w:eastAsia="Calibri"/>
                <w:sz w:val="20"/>
              </w:rPr>
              <w:t xml:space="preserve"> the collective agreement applicable in this case.</w:t>
            </w:r>
          </w:p>
          <w:p w:rsidR="00C14D8A" w:rsidRPr="007E6A6A" w:rsidRDefault="00C14D8A" w:rsidP="00C14D8A">
            <w:pPr>
              <w:jc w:val="both"/>
              <w:rPr>
                <w:rFonts w:eastAsia="Calibri"/>
                <w:sz w:val="20"/>
              </w:rPr>
            </w:pPr>
          </w:p>
        </w:tc>
      </w:tr>
      <w:tr w:rsidR="00C14D8A" w:rsidRPr="007E6A6A" w:rsidTr="00C14D8A">
        <w:tc>
          <w:tcPr>
            <w:tcW w:w="2427" w:type="pct"/>
          </w:tcPr>
          <w:p w:rsidR="00C14D8A" w:rsidRPr="007E6A6A" w:rsidRDefault="00C14D8A" w:rsidP="00C14D8A">
            <w:pPr>
              <w:jc w:val="both"/>
              <w:rPr>
                <w:rFonts w:eastAsia="Calibri"/>
                <w:sz w:val="20"/>
              </w:rPr>
            </w:pPr>
            <w:r w:rsidRPr="007E6A6A">
              <w:rPr>
                <w:rFonts w:eastAsia="Calibri"/>
                <w:sz w:val="20"/>
              </w:rPr>
              <w:t>January 26, 2011</w:t>
            </w:r>
          </w:p>
          <w:p w:rsidR="00C14D8A" w:rsidRPr="007E6A6A" w:rsidRDefault="00C14D8A" w:rsidP="00C14D8A">
            <w:pPr>
              <w:jc w:val="both"/>
              <w:rPr>
                <w:rFonts w:eastAsia="Calibri"/>
                <w:sz w:val="20"/>
              </w:rPr>
            </w:pPr>
            <w:r w:rsidRPr="007E6A6A">
              <w:rPr>
                <w:rFonts w:eastAsia="Calibri"/>
                <w:sz w:val="20"/>
              </w:rPr>
              <w:t>Quebec Superior Court</w:t>
            </w:r>
          </w:p>
          <w:p w:rsidR="00C14D8A" w:rsidRPr="007E6A6A" w:rsidRDefault="00C14D8A" w:rsidP="00C14D8A">
            <w:pPr>
              <w:jc w:val="both"/>
              <w:rPr>
                <w:rFonts w:eastAsia="Calibri"/>
                <w:sz w:val="20"/>
              </w:rPr>
            </w:pPr>
            <w:r w:rsidRPr="007E6A6A">
              <w:rPr>
                <w:rFonts w:eastAsia="Calibri"/>
                <w:sz w:val="20"/>
              </w:rPr>
              <w:t>(</w:t>
            </w:r>
            <w:proofErr w:type="spellStart"/>
            <w:r w:rsidRPr="007E6A6A">
              <w:rPr>
                <w:rFonts w:eastAsia="Calibri"/>
                <w:sz w:val="20"/>
              </w:rPr>
              <w:t>Babin</w:t>
            </w:r>
            <w:proofErr w:type="spellEnd"/>
            <w:r w:rsidRPr="007E6A6A">
              <w:rPr>
                <w:rFonts w:eastAsia="Calibri"/>
                <w:sz w:val="20"/>
              </w:rPr>
              <w:t xml:space="preserve"> J.)</w:t>
            </w:r>
          </w:p>
          <w:p w:rsidR="00C14D8A" w:rsidRPr="007E6A6A" w:rsidRDefault="00C14D8A" w:rsidP="00C14D8A">
            <w:pPr>
              <w:jc w:val="both"/>
              <w:rPr>
                <w:rFonts w:eastAsia="Calibri"/>
                <w:sz w:val="20"/>
              </w:rPr>
            </w:pPr>
            <w:r w:rsidRPr="007E6A6A">
              <w:rPr>
                <w:rFonts w:eastAsia="Calibri"/>
                <w:sz w:val="20"/>
              </w:rPr>
              <w:t>Neutral citation: 2011 QCCS 1294</w:t>
            </w:r>
          </w:p>
          <w:p w:rsidR="00C14D8A" w:rsidRPr="007E6A6A" w:rsidRDefault="00C14D8A" w:rsidP="00C14D8A">
            <w:pPr>
              <w:jc w:val="both"/>
              <w:rPr>
                <w:rFonts w:eastAsia="Calibri"/>
                <w:sz w:val="20"/>
              </w:rPr>
            </w:pPr>
          </w:p>
        </w:tc>
        <w:tc>
          <w:tcPr>
            <w:tcW w:w="243" w:type="pct"/>
          </w:tcPr>
          <w:p w:rsidR="00C14D8A" w:rsidRPr="007E6A6A" w:rsidRDefault="00C14D8A" w:rsidP="00C14D8A">
            <w:pPr>
              <w:jc w:val="both"/>
              <w:rPr>
                <w:rFonts w:eastAsia="Calibri"/>
                <w:sz w:val="20"/>
              </w:rPr>
            </w:pPr>
          </w:p>
        </w:tc>
        <w:tc>
          <w:tcPr>
            <w:tcW w:w="2330" w:type="pct"/>
          </w:tcPr>
          <w:p w:rsidR="00C14D8A" w:rsidRPr="007E6A6A" w:rsidRDefault="00C14D8A" w:rsidP="00C14D8A">
            <w:pPr>
              <w:jc w:val="both"/>
              <w:rPr>
                <w:rFonts w:eastAsia="Calibri"/>
                <w:sz w:val="20"/>
              </w:rPr>
            </w:pPr>
            <w:r w:rsidRPr="007E6A6A">
              <w:rPr>
                <w:rFonts w:eastAsia="Calibri"/>
                <w:sz w:val="20"/>
              </w:rPr>
              <w:t>Motion for judicial review allowed</w:t>
            </w:r>
          </w:p>
          <w:p w:rsidR="00C14D8A" w:rsidRPr="007E6A6A" w:rsidRDefault="00C14D8A" w:rsidP="00C14D8A">
            <w:pPr>
              <w:jc w:val="both"/>
              <w:rPr>
                <w:rFonts w:eastAsia="Calibri"/>
                <w:sz w:val="20"/>
              </w:rPr>
            </w:pPr>
          </w:p>
        </w:tc>
      </w:tr>
      <w:tr w:rsidR="00C14D8A" w:rsidRPr="007E6A6A" w:rsidTr="00AF2C44">
        <w:trPr>
          <w:cantSplit/>
        </w:trPr>
        <w:tc>
          <w:tcPr>
            <w:tcW w:w="2427" w:type="pct"/>
          </w:tcPr>
          <w:p w:rsidR="00C14D8A" w:rsidRPr="007E6A6A" w:rsidRDefault="00C14D8A" w:rsidP="00C14D8A">
            <w:pPr>
              <w:jc w:val="both"/>
              <w:rPr>
                <w:rFonts w:eastAsia="Calibri"/>
                <w:sz w:val="20"/>
              </w:rPr>
            </w:pPr>
            <w:r w:rsidRPr="007E6A6A">
              <w:rPr>
                <w:rFonts w:eastAsia="Calibri"/>
                <w:sz w:val="20"/>
              </w:rPr>
              <w:t>January 11, 2012</w:t>
            </w:r>
          </w:p>
          <w:p w:rsidR="00C14D8A" w:rsidRPr="007E6A6A" w:rsidRDefault="00C14D8A" w:rsidP="00C14D8A">
            <w:pPr>
              <w:jc w:val="both"/>
              <w:rPr>
                <w:rFonts w:eastAsia="Calibri"/>
                <w:sz w:val="20"/>
              </w:rPr>
            </w:pPr>
            <w:r w:rsidRPr="007E6A6A">
              <w:rPr>
                <w:rFonts w:eastAsia="Calibri"/>
                <w:sz w:val="20"/>
              </w:rPr>
              <w:t>Quebec Court of Appeal (Québec)</w:t>
            </w:r>
          </w:p>
          <w:p w:rsidR="00C14D8A" w:rsidRPr="007E6A6A" w:rsidRDefault="00C14D8A" w:rsidP="00C14D8A">
            <w:pPr>
              <w:jc w:val="both"/>
              <w:rPr>
                <w:rFonts w:eastAsia="Calibri"/>
                <w:sz w:val="20"/>
              </w:rPr>
            </w:pPr>
            <w:r w:rsidRPr="007E6A6A">
              <w:rPr>
                <w:rFonts w:eastAsia="Calibri"/>
                <w:sz w:val="20"/>
              </w:rPr>
              <w:t>(</w:t>
            </w:r>
            <w:proofErr w:type="spellStart"/>
            <w:r w:rsidRPr="007E6A6A">
              <w:rPr>
                <w:rFonts w:eastAsia="Calibri"/>
                <w:sz w:val="20"/>
              </w:rPr>
              <w:t>Dutil</w:t>
            </w:r>
            <w:proofErr w:type="spellEnd"/>
            <w:r w:rsidRPr="007E6A6A">
              <w:rPr>
                <w:rFonts w:eastAsia="Calibri"/>
                <w:sz w:val="20"/>
              </w:rPr>
              <w:t>, Gagnon and Wagner JJ.A.)</w:t>
            </w:r>
          </w:p>
          <w:p w:rsidR="00C14D8A" w:rsidRDefault="00C14D8A" w:rsidP="003C2CB7">
            <w:pPr>
              <w:jc w:val="both"/>
              <w:rPr>
                <w:rFonts w:eastAsia="Calibri"/>
                <w:sz w:val="20"/>
              </w:rPr>
            </w:pPr>
            <w:r w:rsidRPr="007E6A6A">
              <w:rPr>
                <w:rFonts w:eastAsia="Calibri"/>
                <w:sz w:val="20"/>
              </w:rPr>
              <w:t>Neutral citation: 2012 QCCA 36</w:t>
            </w:r>
          </w:p>
          <w:p w:rsidR="00AF2C44" w:rsidRPr="007E6A6A" w:rsidRDefault="00AF2C44" w:rsidP="003C2CB7">
            <w:pPr>
              <w:jc w:val="both"/>
              <w:rPr>
                <w:rFonts w:eastAsia="Calibri"/>
                <w:sz w:val="20"/>
              </w:rPr>
            </w:pPr>
          </w:p>
        </w:tc>
        <w:tc>
          <w:tcPr>
            <w:tcW w:w="243" w:type="pct"/>
          </w:tcPr>
          <w:p w:rsidR="00C14D8A" w:rsidRPr="007E6A6A" w:rsidRDefault="00C14D8A" w:rsidP="00C14D8A">
            <w:pPr>
              <w:jc w:val="both"/>
              <w:rPr>
                <w:rFonts w:eastAsia="Calibri"/>
                <w:sz w:val="20"/>
              </w:rPr>
            </w:pPr>
          </w:p>
        </w:tc>
        <w:tc>
          <w:tcPr>
            <w:tcW w:w="2330" w:type="pct"/>
          </w:tcPr>
          <w:p w:rsidR="00C14D8A" w:rsidRPr="007E6A6A" w:rsidRDefault="00C14D8A" w:rsidP="00C14D8A">
            <w:pPr>
              <w:jc w:val="both"/>
              <w:rPr>
                <w:rFonts w:eastAsia="Calibri"/>
                <w:sz w:val="20"/>
              </w:rPr>
            </w:pPr>
            <w:r w:rsidRPr="007E6A6A">
              <w:rPr>
                <w:rFonts w:eastAsia="Calibri"/>
                <w:sz w:val="20"/>
              </w:rPr>
              <w:t>Appeal allowed</w:t>
            </w:r>
          </w:p>
        </w:tc>
      </w:tr>
      <w:tr w:rsidR="00C14D8A" w:rsidRPr="007E6A6A" w:rsidTr="003C2CB7">
        <w:trPr>
          <w:cantSplit/>
        </w:trPr>
        <w:tc>
          <w:tcPr>
            <w:tcW w:w="2427" w:type="pct"/>
          </w:tcPr>
          <w:p w:rsidR="00C14D8A" w:rsidRPr="007E6A6A" w:rsidRDefault="00C14D8A" w:rsidP="00C14D8A">
            <w:pPr>
              <w:jc w:val="both"/>
              <w:rPr>
                <w:rFonts w:eastAsia="Calibri"/>
                <w:sz w:val="20"/>
              </w:rPr>
            </w:pPr>
            <w:r w:rsidRPr="007E6A6A">
              <w:rPr>
                <w:rFonts w:eastAsia="Calibri"/>
                <w:sz w:val="20"/>
              </w:rPr>
              <w:t>March 8, 2012</w:t>
            </w:r>
          </w:p>
          <w:p w:rsidR="00C14D8A" w:rsidRPr="007E6A6A" w:rsidRDefault="00C14D8A" w:rsidP="00C14D8A">
            <w:pPr>
              <w:jc w:val="both"/>
              <w:rPr>
                <w:rFonts w:eastAsia="Calibri"/>
                <w:sz w:val="20"/>
              </w:rPr>
            </w:pPr>
            <w:r w:rsidRPr="007E6A6A">
              <w:rPr>
                <w:rFonts w:eastAsia="Calibri"/>
                <w:sz w:val="20"/>
              </w:rPr>
              <w:t xml:space="preserve">Supreme Court of Canada </w:t>
            </w:r>
          </w:p>
        </w:tc>
        <w:tc>
          <w:tcPr>
            <w:tcW w:w="243" w:type="pct"/>
          </w:tcPr>
          <w:p w:rsidR="00C14D8A" w:rsidRPr="007E6A6A" w:rsidRDefault="00C14D8A" w:rsidP="00C14D8A">
            <w:pPr>
              <w:jc w:val="both"/>
              <w:rPr>
                <w:rFonts w:eastAsia="Calibri"/>
                <w:sz w:val="20"/>
              </w:rPr>
            </w:pPr>
          </w:p>
        </w:tc>
        <w:tc>
          <w:tcPr>
            <w:tcW w:w="2330" w:type="pct"/>
          </w:tcPr>
          <w:p w:rsidR="00C14D8A" w:rsidRPr="007E6A6A" w:rsidRDefault="00C14D8A" w:rsidP="00C14D8A">
            <w:pPr>
              <w:jc w:val="both"/>
              <w:rPr>
                <w:rFonts w:eastAsia="Calibri"/>
                <w:sz w:val="20"/>
              </w:rPr>
            </w:pPr>
            <w:r w:rsidRPr="007E6A6A">
              <w:rPr>
                <w:rFonts w:eastAsia="Calibri"/>
                <w:sz w:val="20"/>
              </w:rPr>
              <w:t>Application for leave to appeal filed</w:t>
            </w:r>
          </w:p>
        </w:tc>
      </w:tr>
    </w:tbl>
    <w:p w:rsidR="00F83F5A" w:rsidRPr="00C50A5C" w:rsidRDefault="00F83F5A" w:rsidP="00F83F5A">
      <w:pPr>
        <w:rPr>
          <w:sz w:val="20"/>
          <w:szCs w:val="20"/>
        </w:rPr>
      </w:pPr>
    </w:p>
    <w:p w:rsidR="00F83F5A" w:rsidRPr="00C50A5C" w:rsidRDefault="00ED3438" w:rsidP="00F83F5A">
      <w:pPr>
        <w:rPr>
          <w:sz w:val="20"/>
          <w:szCs w:val="20"/>
        </w:rPr>
      </w:pPr>
      <w:r w:rsidRPr="00ED3438">
        <w:rPr>
          <w:sz w:val="20"/>
          <w:szCs w:val="20"/>
          <w:lang w:val="fr-CA"/>
        </w:rPr>
        <w:pict>
          <v:rect id="_x0000_i1057" style="width:2in;height:1pt" o:hrpct="0" o:hralign="center" o:hrstd="t" o:hrnoshade="t" o:hr="t" fillcolor="black [3213]" stroked="f"/>
        </w:pict>
      </w:r>
    </w:p>
    <w:p w:rsidR="00F83F5A" w:rsidRDefault="00F83F5A" w:rsidP="00F83F5A">
      <w:pPr>
        <w:rPr>
          <w:sz w:val="20"/>
          <w:szCs w:val="20"/>
        </w:rPr>
      </w:pPr>
    </w:p>
    <w:p w:rsidR="00F83F5A" w:rsidRPr="001B157C" w:rsidRDefault="00F83F5A" w:rsidP="00F83F5A">
      <w:pPr>
        <w:rPr>
          <w:sz w:val="20"/>
          <w:szCs w:val="20"/>
          <w:u w:val="single"/>
          <w:lang w:val="fr-CA"/>
        </w:rPr>
      </w:pPr>
      <w:r w:rsidRPr="001B157C">
        <w:rPr>
          <w:sz w:val="20"/>
          <w:szCs w:val="20"/>
          <w:u w:val="single"/>
          <w:lang w:val="fr-CA"/>
        </w:rPr>
        <w:t>RÉSUMÉ DE L’AFFAIRE</w:t>
      </w:r>
    </w:p>
    <w:p w:rsidR="00F83F5A" w:rsidRDefault="00F83F5A" w:rsidP="00F83F5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14D8A" w:rsidRPr="00017BF4" w:rsidTr="00C14D8A">
        <w:tc>
          <w:tcPr>
            <w:tcW w:w="5000" w:type="pct"/>
            <w:gridSpan w:val="3"/>
          </w:tcPr>
          <w:p w:rsidR="00C14D8A" w:rsidRPr="007E6A6A" w:rsidRDefault="00C14D8A" w:rsidP="00C14D8A">
            <w:pPr>
              <w:jc w:val="both"/>
              <w:rPr>
                <w:rFonts w:eastAsia="Calibri"/>
                <w:sz w:val="20"/>
                <w:lang w:val="fr-CA"/>
              </w:rPr>
            </w:pPr>
            <w:r w:rsidRPr="007E6A6A">
              <w:rPr>
                <w:rFonts w:eastAsia="Calibri"/>
                <w:sz w:val="20"/>
                <w:lang w:val="fr-CA"/>
              </w:rPr>
              <w:t xml:space="preserve">Relations de travail – Griefs – Délai de congé – Révision judiciaire – La Cour d’appel a-t-elle erré en droit en concluant qu’en application de l’arrêt </w:t>
            </w:r>
            <w:r w:rsidRPr="007E6A6A">
              <w:rPr>
                <w:rFonts w:eastAsia="Calibri"/>
                <w:i/>
                <w:sz w:val="20"/>
                <w:lang w:val="fr-CA"/>
              </w:rPr>
              <w:t xml:space="preserve">Isidore </w:t>
            </w:r>
            <w:proofErr w:type="spellStart"/>
            <w:r w:rsidRPr="007E6A6A">
              <w:rPr>
                <w:rFonts w:eastAsia="Calibri"/>
                <w:i/>
                <w:sz w:val="20"/>
                <w:lang w:val="fr-CA"/>
              </w:rPr>
              <w:t>Garon</w:t>
            </w:r>
            <w:proofErr w:type="spellEnd"/>
            <w:r w:rsidRPr="007E6A6A">
              <w:rPr>
                <w:rFonts w:eastAsia="Calibri"/>
                <w:i/>
                <w:sz w:val="20"/>
                <w:lang w:val="fr-CA"/>
              </w:rPr>
              <w:t xml:space="preserve"> </w:t>
            </w:r>
            <w:proofErr w:type="spellStart"/>
            <w:r w:rsidRPr="007E6A6A">
              <w:rPr>
                <w:rFonts w:eastAsia="Calibri"/>
                <w:i/>
                <w:sz w:val="20"/>
                <w:lang w:val="fr-CA"/>
              </w:rPr>
              <w:t>ltée</w:t>
            </w:r>
            <w:proofErr w:type="spellEnd"/>
            <w:r w:rsidRPr="007E6A6A">
              <w:rPr>
                <w:rFonts w:eastAsia="Calibri"/>
                <w:i/>
                <w:sz w:val="20"/>
                <w:lang w:val="fr-CA"/>
              </w:rPr>
              <w:t xml:space="preserve"> c. Tremblay; Fillion et Frères (1976) Inc. c. Syndicat national des employés de garage du Québec Inc.</w:t>
            </w:r>
            <w:r w:rsidRPr="007E6A6A">
              <w:rPr>
                <w:rFonts w:eastAsia="Calibri"/>
                <w:sz w:val="20"/>
                <w:lang w:val="fr-CA"/>
              </w:rPr>
              <w:t xml:space="preserve">, [2006] 1 S.C.R. 27, 2006 SCC 2, les parties pouvaient inclure expressément les articles 2091 et 2092 du </w:t>
            </w:r>
            <w:r w:rsidRPr="007E6A6A">
              <w:rPr>
                <w:rFonts w:eastAsia="Calibri"/>
                <w:i/>
                <w:sz w:val="20"/>
                <w:lang w:val="fr-CA"/>
              </w:rPr>
              <w:t>Code civil du Québec</w:t>
            </w:r>
            <w:r w:rsidRPr="007E6A6A">
              <w:rPr>
                <w:rFonts w:eastAsia="Calibri"/>
                <w:sz w:val="20"/>
                <w:lang w:val="fr-CA"/>
              </w:rPr>
              <w:t>, L.Q. 1991, ch. 64 (« </w:t>
            </w:r>
            <w:proofErr w:type="spellStart"/>
            <w:r w:rsidRPr="007E6A6A">
              <w:rPr>
                <w:rFonts w:eastAsia="Calibri"/>
                <w:sz w:val="20"/>
                <w:lang w:val="fr-CA"/>
              </w:rPr>
              <w:t>C.c.Q</w:t>
            </w:r>
            <w:proofErr w:type="spellEnd"/>
            <w:r w:rsidRPr="007E6A6A">
              <w:rPr>
                <w:rFonts w:eastAsia="Calibri"/>
                <w:sz w:val="20"/>
                <w:lang w:val="fr-CA"/>
              </w:rPr>
              <w:t xml:space="preserve">. ») à une convention collective, alors que la Cour suprême a déclaré ces articles incompatibles avec le régime des rapports collectifs de travail? – La Cour d’appel a-t-elle erré en droit en concluant que l’article 62 du </w:t>
            </w:r>
            <w:r w:rsidRPr="007E6A6A">
              <w:rPr>
                <w:rFonts w:eastAsia="Calibri"/>
                <w:i/>
                <w:sz w:val="20"/>
                <w:lang w:val="fr-CA"/>
              </w:rPr>
              <w:t>Code du travail</w:t>
            </w:r>
            <w:r w:rsidRPr="007E6A6A">
              <w:rPr>
                <w:rFonts w:eastAsia="Calibri"/>
                <w:sz w:val="20"/>
                <w:lang w:val="fr-CA"/>
              </w:rPr>
              <w:t>, L.R.Q., ch. C-27 (« </w:t>
            </w:r>
            <w:proofErr w:type="spellStart"/>
            <w:r w:rsidRPr="007E6A6A">
              <w:rPr>
                <w:rFonts w:eastAsia="Calibri"/>
                <w:sz w:val="20"/>
                <w:lang w:val="fr-CA"/>
              </w:rPr>
              <w:t>C.t</w:t>
            </w:r>
            <w:proofErr w:type="spellEnd"/>
            <w:r w:rsidRPr="007E6A6A">
              <w:rPr>
                <w:rFonts w:eastAsia="Calibri"/>
                <w:sz w:val="20"/>
                <w:lang w:val="fr-CA"/>
              </w:rPr>
              <w:t xml:space="preserve">. ») et la liberté contractuelle des parties leur permettaient d’inclure dans une convention collective une disposition déclarée incompatible avec le régime des rapports collectifs de travail par la Cour suprême? – La Cour d’appel a-t-elle erré en droit en concluant que l’objectif de continuité d’emploi était maintenu en l’espèce puisque l’article 2094 </w:t>
            </w:r>
            <w:proofErr w:type="spellStart"/>
            <w:r w:rsidRPr="007E6A6A">
              <w:rPr>
                <w:rFonts w:eastAsia="Calibri"/>
                <w:sz w:val="20"/>
                <w:lang w:val="fr-CA"/>
              </w:rPr>
              <w:t>C.c.Q</w:t>
            </w:r>
            <w:proofErr w:type="spellEnd"/>
            <w:r w:rsidRPr="007E6A6A">
              <w:rPr>
                <w:rFonts w:eastAsia="Calibri"/>
                <w:sz w:val="20"/>
                <w:lang w:val="fr-CA"/>
              </w:rPr>
              <w:t>. n’est pas incorporé à la convention collective, alors que l’article 2091 C.c.Q., à lui seul, permet à l’employeur de résilier le contrat de travail?</w:t>
            </w:r>
          </w:p>
        </w:tc>
      </w:tr>
      <w:tr w:rsidR="00C14D8A" w:rsidRPr="00017BF4" w:rsidTr="00C14D8A">
        <w:tc>
          <w:tcPr>
            <w:tcW w:w="5000" w:type="pct"/>
            <w:gridSpan w:val="3"/>
          </w:tcPr>
          <w:p w:rsidR="00C14D8A" w:rsidRPr="007E6A6A" w:rsidRDefault="00C14D8A" w:rsidP="00C14D8A">
            <w:pPr>
              <w:jc w:val="both"/>
              <w:rPr>
                <w:rFonts w:eastAsia="Calibri"/>
                <w:sz w:val="20"/>
                <w:lang w:val="fr-CA"/>
              </w:rPr>
            </w:pPr>
          </w:p>
        </w:tc>
      </w:tr>
      <w:tr w:rsidR="00C14D8A" w:rsidRPr="00017BF4" w:rsidTr="00C14D8A">
        <w:tc>
          <w:tcPr>
            <w:tcW w:w="5000" w:type="pct"/>
            <w:gridSpan w:val="3"/>
          </w:tcPr>
          <w:p w:rsidR="00C14D8A" w:rsidRPr="007E6A6A" w:rsidRDefault="00C14D8A" w:rsidP="00C14D8A">
            <w:pPr>
              <w:jc w:val="both"/>
              <w:rPr>
                <w:rFonts w:eastAsia="Calibri"/>
                <w:sz w:val="20"/>
                <w:lang w:val="fr-CA"/>
              </w:rPr>
            </w:pPr>
            <w:r w:rsidRPr="007E6A6A">
              <w:rPr>
                <w:rFonts w:eastAsia="Calibri"/>
                <w:sz w:val="20"/>
                <w:lang w:val="fr-CA"/>
              </w:rPr>
              <w:t>La demanderesse, alors concessionnaire automobile détenteur d’une franchise de General Motors pour vendre des véhicules de marque Pontiac Buick, a été avisée le 31 mai 2009 que General Motors cesserait de lui livrer des véhicules automobiles.  Le 3 juin 2009, la demanderesse a adressé au Ministre de l’emploi et de la solidarité sociale, de même qu’à l’intimé, un avis de licenciement collectif de ses employés en vue de la fermeture définitive de son entreprise le 2 octobre 2009.</w:t>
            </w:r>
          </w:p>
          <w:p w:rsidR="00C14D8A" w:rsidRPr="007E6A6A" w:rsidRDefault="00C14D8A" w:rsidP="00C14D8A">
            <w:pPr>
              <w:jc w:val="both"/>
              <w:rPr>
                <w:rFonts w:eastAsia="Calibri"/>
                <w:sz w:val="20"/>
                <w:lang w:val="fr-CA"/>
              </w:rPr>
            </w:pPr>
          </w:p>
          <w:p w:rsidR="00C14D8A" w:rsidRPr="007E6A6A" w:rsidRDefault="00C14D8A" w:rsidP="00C14D8A">
            <w:pPr>
              <w:jc w:val="both"/>
              <w:rPr>
                <w:rFonts w:eastAsia="Calibri"/>
                <w:sz w:val="20"/>
                <w:lang w:val="fr-CA"/>
              </w:rPr>
            </w:pPr>
            <w:r w:rsidRPr="007E6A6A">
              <w:rPr>
                <w:rFonts w:eastAsia="Calibri"/>
                <w:sz w:val="20"/>
                <w:lang w:val="fr-CA"/>
              </w:rPr>
              <w:t xml:space="preserve">Au nom de ses salariés, l’intimé a produit une série de griefs à l’encontre de l’avis de licenciement au motif qu’il ne respectait pas diverses dispositions de la convention collective des parties, dont l’article 17.05 intitulé « Délai de congé raisonnable » prévoyant expressément que « les articles 2091 et 2092 du </w:t>
            </w:r>
            <w:r w:rsidRPr="007E6A6A">
              <w:rPr>
                <w:rFonts w:eastAsia="Calibri"/>
                <w:i/>
                <w:sz w:val="20"/>
                <w:lang w:val="fr-CA"/>
              </w:rPr>
              <w:t>Code civil du Québec</w:t>
            </w:r>
            <w:r w:rsidRPr="007E6A6A">
              <w:rPr>
                <w:rFonts w:eastAsia="Calibri"/>
                <w:sz w:val="20"/>
                <w:lang w:val="fr-CA"/>
              </w:rPr>
              <w:t xml:space="preserve"> font partie intégrante de la présente convention collective et s’appliquent aux salariés couverts par la présente convention ».</w:t>
            </w:r>
          </w:p>
          <w:p w:rsidR="00C14D8A" w:rsidRPr="007E6A6A" w:rsidRDefault="00C14D8A" w:rsidP="00C14D8A">
            <w:pPr>
              <w:jc w:val="both"/>
              <w:rPr>
                <w:rFonts w:eastAsia="Calibri"/>
                <w:sz w:val="20"/>
                <w:lang w:val="fr-CA"/>
              </w:rPr>
            </w:pPr>
          </w:p>
          <w:p w:rsidR="00C14D8A" w:rsidRPr="007E6A6A" w:rsidRDefault="00C14D8A" w:rsidP="00C14D8A">
            <w:pPr>
              <w:jc w:val="both"/>
              <w:rPr>
                <w:rFonts w:eastAsia="Calibri"/>
                <w:sz w:val="20"/>
                <w:lang w:val="fr-CA"/>
              </w:rPr>
            </w:pPr>
            <w:r w:rsidRPr="007E6A6A">
              <w:rPr>
                <w:rFonts w:eastAsia="Calibri"/>
                <w:sz w:val="20"/>
                <w:lang w:val="fr-CA"/>
              </w:rPr>
              <w:t xml:space="preserve">Les griefs ont été soumis à l’arbitre Denis Gagnon, devant lequel la demanderesse a présenté un moyen préliminaire quant à l’applicabilité de l’article 17.05 de la convention collective.  Ce moyen reposait sur l’arrêt de la Cour suprême dans l’affaire </w:t>
            </w:r>
            <w:r w:rsidRPr="007E6A6A">
              <w:rPr>
                <w:rFonts w:eastAsia="Calibri"/>
                <w:i/>
                <w:sz w:val="20"/>
                <w:lang w:val="fr-CA"/>
              </w:rPr>
              <w:t xml:space="preserve">Isidore </w:t>
            </w:r>
            <w:proofErr w:type="spellStart"/>
            <w:r w:rsidRPr="007E6A6A">
              <w:rPr>
                <w:rFonts w:eastAsia="Calibri"/>
                <w:i/>
                <w:sz w:val="20"/>
                <w:lang w:val="fr-CA"/>
              </w:rPr>
              <w:t>Garon</w:t>
            </w:r>
            <w:proofErr w:type="spellEnd"/>
            <w:r w:rsidRPr="007E6A6A">
              <w:rPr>
                <w:rFonts w:eastAsia="Calibri"/>
                <w:i/>
                <w:sz w:val="20"/>
                <w:lang w:val="fr-CA"/>
              </w:rPr>
              <w:t xml:space="preserve"> </w:t>
            </w:r>
            <w:proofErr w:type="spellStart"/>
            <w:r w:rsidRPr="007E6A6A">
              <w:rPr>
                <w:rFonts w:eastAsia="Calibri"/>
                <w:i/>
                <w:sz w:val="20"/>
                <w:lang w:val="fr-CA"/>
              </w:rPr>
              <w:t>ltée</w:t>
            </w:r>
            <w:proofErr w:type="spellEnd"/>
            <w:r w:rsidRPr="007E6A6A">
              <w:rPr>
                <w:rFonts w:eastAsia="Calibri"/>
                <w:i/>
                <w:sz w:val="20"/>
                <w:lang w:val="fr-CA"/>
              </w:rPr>
              <w:t xml:space="preserve"> c. Tremblay; Fillion et Frères (1976) Inc. c. Syndicat national des employés de garage du Québec Inc.</w:t>
            </w:r>
            <w:r w:rsidRPr="007E6A6A">
              <w:rPr>
                <w:rFonts w:eastAsia="Calibri"/>
                <w:sz w:val="20"/>
                <w:lang w:val="fr-CA"/>
              </w:rPr>
              <w:t>, précitée, où il a été statué que les articles 2091 et 2092 C.c.Q., lesquels portent sur les délais de congé raisonnables, sont incompatibles avec le régime des rapports collectifs de travail en milieu syndiqué.  L’arbitre Gagnon rejette le moyen préliminaire invoqué par la demanderesse et déclare que l’article 17.05 de la convention collective est applicable en l’espèce.</w:t>
            </w:r>
          </w:p>
          <w:p w:rsidR="00C14D8A" w:rsidRPr="007E6A6A" w:rsidRDefault="00C14D8A" w:rsidP="00C14D8A">
            <w:pPr>
              <w:jc w:val="both"/>
              <w:rPr>
                <w:rFonts w:eastAsia="Calibri"/>
                <w:sz w:val="20"/>
                <w:lang w:val="fr-CA"/>
              </w:rPr>
            </w:pPr>
          </w:p>
        </w:tc>
      </w:tr>
      <w:tr w:rsidR="00C14D8A" w:rsidRPr="00017BF4" w:rsidTr="00C14D8A">
        <w:tc>
          <w:tcPr>
            <w:tcW w:w="2427" w:type="pct"/>
          </w:tcPr>
          <w:p w:rsidR="00C14D8A" w:rsidRPr="007E6A6A" w:rsidRDefault="00C14D8A" w:rsidP="00C14D8A">
            <w:pPr>
              <w:jc w:val="both"/>
              <w:rPr>
                <w:rFonts w:eastAsia="Calibri"/>
                <w:sz w:val="20"/>
                <w:lang w:val="fr-CA"/>
              </w:rPr>
            </w:pPr>
            <w:r w:rsidRPr="007E6A6A">
              <w:rPr>
                <w:rFonts w:eastAsia="Calibri"/>
                <w:sz w:val="20"/>
                <w:lang w:val="fr-CA"/>
              </w:rPr>
              <w:t>Le 26 janvier 2011</w:t>
            </w:r>
          </w:p>
          <w:p w:rsidR="00C14D8A" w:rsidRPr="007E6A6A" w:rsidRDefault="00C14D8A" w:rsidP="00C14D8A">
            <w:pPr>
              <w:jc w:val="both"/>
              <w:rPr>
                <w:rFonts w:eastAsia="Calibri"/>
                <w:sz w:val="20"/>
                <w:lang w:val="fr-CA"/>
              </w:rPr>
            </w:pPr>
            <w:r w:rsidRPr="007E6A6A">
              <w:rPr>
                <w:rFonts w:eastAsia="Calibri"/>
                <w:sz w:val="20"/>
                <w:lang w:val="fr-CA"/>
              </w:rPr>
              <w:t>Cour supérieure du Québec</w:t>
            </w:r>
          </w:p>
          <w:p w:rsidR="00C14D8A" w:rsidRPr="007E6A6A" w:rsidRDefault="00C14D8A" w:rsidP="00C14D8A">
            <w:pPr>
              <w:jc w:val="both"/>
              <w:rPr>
                <w:rFonts w:eastAsia="Calibri"/>
                <w:sz w:val="20"/>
                <w:lang w:val="fr-CA"/>
              </w:rPr>
            </w:pPr>
            <w:r w:rsidRPr="007E6A6A">
              <w:rPr>
                <w:rFonts w:eastAsia="Calibri"/>
                <w:sz w:val="20"/>
                <w:lang w:val="fr-CA"/>
              </w:rPr>
              <w:t>(Le juge Babin)</w:t>
            </w:r>
          </w:p>
          <w:p w:rsidR="00C14D8A" w:rsidRPr="007E6A6A" w:rsidRDefault="00C14D8A" w:rsidP="00C14D8A">
            <w:pPr>
              <w:jc w:val="both"/>
              <w:rPr>
                <w:rFonts w:eastAsia="Calibri"/>
                <w:sz w:val="20"/>
                <w:lang w:val="fr-CA"/>
              </w:rPr>
            </w:pPr>
            <w:r w:rsidRPr="007E6A6A">
              <w:rPr>
                <w:rFonts w:eastAsia="Calibri"/>
                <w:sz w:val="20"/>
                <w:lang w:val="fr-CA"/>
              </w:rPr>
              <w:t>Référence neutre : 2011 QCCS 1294</w:t>
            </w:r>
          </w:p>
          <w:p w:rsidR="00C14D8A" w:rsidRPr="007E6A6A" w:rsidRDefault="00C14D8A" w:rsidP="00C14D8A">
            <w:pPr>
              <w:jc w:val="both"/>
              <w:rPr>
                <w:rFonts w:eastAsia="Calibri"/>
                <w:sz w:val="20"/>
                <w:lang w:val="fr-CA"/>
              </w:rPr>
            </w:pPr>
          </w:p>
        </w:tc>
        <w:tc>
          <w:tcPr>
            <w:tcW w:w="243" w:type="pct"/>
          </w:tcPr>
          <w:p w:rsidR="00C14D8A" w:rsidRPr="007E6A6A" w:rsidRDefault="00C14D8A" w:rsidP="00C14D8A">
            <w:pPr>
              <w:jc w:val="both"/>
              <w:rPr>
                <w:rFonts w:eastAsia="Calibri"/>
                <w:sz w:val="20"/>
                <w:lang w:val="fr-CA"/>
              </w:rPr>
            </w:pPr>
          </w:p>
        </w:tc>
        <w:tc>
          <w:tcPr>
            <w:tcW w:w="2330" w:type="pct"/>
          </w:tcPr>
          <w:p w:rsidR="00C14D8A" w:rsidRPr="007E6A6A" w:rsidRDefault="00C14D8A" w:rsidP="00C14D8A">
            <w:pPr>
              <w:jc w:val="both"/>
              <w:rPr>
                <w:rFonts w:eastAsia="Calibri"/>
                <w:sz w:val="20"/>
                <w:lang w:val="fr-CA"/>
              </w:rPr>
            </w:pPr>
            <w:r w:rsidRPr="007E6A6A">
              <w:rPr>
                <w:rFonts w:eastAsia="Calibri"/>
                <w:sz w:val="20"/>
                <w:lang w:val="fr-CA"/>
              </w:rPr>
              <w:t>Requête en révision judiciaire accueillie.</w:t>
            </w:r>
          </w:p>
          <w:p w:rsidR="00C14D8A" w:rsidRPr="007E6A6A" w:rsidRDefault="00C14D8A" w:rsidP="00C14D8A">
            <w:pPr>
              <w:jc w:val="both"/>
              <w:rPr>
                <w:rFonts w:eastAsia="Calibri"/>
                <w:sz w:val="20"/>
                <w:lang w:val="fr-CA"/>
              </w:rPr>
            </w:pPr>
          </w:p>
        </w:tc>
      </w:tr>
      <w:tr w:rsidR="00C14D8A" w:rsidRPr="007E6A6A" w:rsidTr="00AF2C44">
        <w:trPr>
          <w:cantSplit/>
        </w:trPr>
        <w:tc>
          <w:tcPr>
            <w:tcW w:w="2427" w:type="pct"/>
          </w:tcPr>
          <w:p w:rsidR="00C14D8A" w:rsidRPr="007E6A6A" w:rsidRDefault="00C14D8A" w:rsidP="00C14D8A">
            <w:pPr>
              <w:jc w:val="both"/>
              <w:rPr>
                <w:rFonts w:eastAsia="Calibri"/>
                <w:sz w:val="20"/>
                <w:lang w:val="fr-CA"/>
              </w:rPr>
            </w:pPr>
            <w:r w:rsidRPr="007E6A6A">
              <w:rPr>
                <w:rFonts w:eastAsia="Calibri"/>
                <w:sz w:val="20"/>
                <w:lang w:val="fr-CA"/>
              </w:rPr>
              <w:t>Le 11 janvier 2012</w:t>
            </w:r>
          </w:p>
          <w:p w:rsidR="00C14D8A" w:rsidRPr="007E6A6A" w:rsidRDefault="00C14D8A" w:rsidP="00C14D8A">
            <w:pPr>
              <w:jc w:val="both"/>
              <w:rPr>
                <w:rFonts w:eastAsia="Calibri"/>
                <w:sz w:val="20"/>
                <w:lang w:val="fr-CA"/>
              </w:rPr>
            </w:pPr>
            <w:r w:rsidRPr="007E6A6A">
              <w:rPr>
                <w:rFonts w:eastAsia="Calibri"/>
                <w:sz w:val="20"/>
                <w:lang w:val="fr-CA"/>
              </w:rPr>
              <w:t>Cour d’appel du Québec (Québec)</w:t>
            </w:r>
          </w:p>
          <w:p w:rsidR="00C14D8A" w:rsidRPr="007E6A6A" w:rsidRDefault="00C14D8A" w:rsidP="00C14D8A">
            <w:pPr>
              <w:jc w:val="both"/>
              <w:rPr>
                <w:rFonts w:eastAsia="Calibri"/>
                <w:sz w:val="20"/>
                <w:lang w:val="fr-CA"/>
              </w:rPr>
            </w:pPr>
            <w:r w:rsidRPr="007E6A6A">
              <w:rPr>
                <w:rFonts w:eastAsia="Calibri"/>
                <w:sz w:val="20"/>
                <w:lang w:val="fr-CA"/>
              </w:rPr>
              <w:t xml:space="preserve">(Les juges </w:t>
            </w:r>
            <w:proofErr w:type="spellStart"/>
            <w:r w:rsidRPr="007E6A6A">
              <w:rPr>
                <w:rFonts w:eastAsia="Calibri"/>
                <w:sz w:val="20"/>
                <w:lang w:val="fr-CA"/>
              </w:rPr>
              <w:t>Dutil</w:t>
            </w:r>
            <w:proofErr w:type="spellEnd"/>
            <w:r w:rsidRPr="007E6A6A">
              <w:rPr>
                <w:rFonts w:eastAsia="Calibri"/>
                <w:sz w:val="20"/>
                <w:lang w:val="fr-CA"/>
              </w:rPr>
              <w:t>, Gagnon et Wagner)</w:t>
            </w:r>
          </w:p>
          <w:p w:rsidR="00C14D8A" w:rsidRDefault="00C14D8A" w:rsidP="003C2CB7">
            <w:pPr>
              <w:jc w:val="both"/>
              <w:rPr>
                <w:rFonts w:eastAsia="Calibri"/>
                <w:sz w:val="20"/>
                <w:lang w:val="fr-CA"/>
              </w:rPr>
            </w:pPr>
            <w:r w:rsidRPr="007E6A6A">
              <w:rPr>
                <w:rFonts w:eastAsia="Calibri"/>
                <w:sz w:val="20"/>
                <w:lang w:val="fr-CA"/>
              </w:rPr>
              <w:t>Référence neutre : 2012 QCCA 36</w:t>
            </w:r>
          </w:p>
          <w:p w:rsidR="00AF2C44" w:rsidRPr="007E6A6A" w:rsidRDefault="00AF2C44" w:rsidP="003C2CB7">
            <w:pPr>
              <w:jc w:val="both"/>
              <w:rPr>
                <w:rFonts w:eastAsia="Calibri"/>
                <w:sz w:val="20"/>
              </w:rPr>
            </w:pPr>
          </w:p>
        </w:tc>
        <w:tc>
          <w:tcPr>
            <w:tcW w:w="243" w:type="pct"/>
          </w:tcPr>
          <w:p w:rsidR="00C14D8A" w:rsidRPr="007E6A6A" w:rsidRDefault="00C14D8A" w:rsidP="00C14D8A">
            <w:pPr>
              <w:jc w:val="both"/>
              <w:rPr>
                <w:rFonts w:eastAsia="Calibri"/>
                <w:sz w:val="20"/>
              </w:rPr>
            </w:pPr>
          </w:p>
        </w:tc>
        <w:tc>
          <w:tcPr>
            <w:tcW w:w="2330" w:type="pct"/>
          </w:tcPr>
          <w:p w:rsidR="00C14D8A" w:rsidRPr="007E6A6A" w:rsidRDefault="00C14D8A" w:rsidP="00C14D8A">
            <w:pPr>
              <w:jc w:val="both"/>
              <w:rPr>
                <w:rFonts w:eastAsia="Calibri"/>
                <w:sz w:val="20"/>
                <w:lang w:val="fr-CA"/>
              </w:rPr>
            </w:pPr>
            <w:r w:rsidRPr="007E6A6A">
              <w:rPr>
                <w:rFonts w:eastAsia="Calibri"/>
                <w:sz w:val="20"/>
                <w:lang w:val="fr-CA"/>
              </w:rPr>
              <w:t>Appel accueilli.</w:t>
            </w:r>
          </w:p>
        </w:tc>
      </w:tr>
      <w:tr w:rsidR="00C14D8A" w:rsidRPr="007E6A6A" w:rsidTr="003C2CB7">
        <w:trPr>
          <w:cantSplit/>
        </w:trPr>
        <w:tc>
          <w:tcPr>
            <w:tcW w:w="2427" w:type="pct"/>
          </w:tcPr>
          <w:p w:rsidR="00C14D8A" w:rsidRPr="007E6A6A" w:rsidRDefault="00C14D8A" w:rsidP="00C14D8A">
            <w:pPr>
              <w:jc w:val="both"/>
              <w:rPr>
                <w:rFonts w:eastAsia="Calibri"/>
                <w:sz w:val="20"/>
                <w:lang w:val="fr-CA"/>
              </w:rPr>
            </w:pPr>
            <w:r w:rsidRPr="007E6A6A">
              <w:rPr>
                <w:rFonts w:eastAsia="Calibri"/>
                <w:sz w:val="20"/>
                <w:lang w:val="fr-CA"/>
              </w:rPr>
              <w:t>Le 8 mars 2012</w:t>
            </w:r>
          </w:p>
          <w:p w:rsidR="00C14D8A" w:rsidRPr="007E6A6A" w:rsidRDefault="00C14D8A" w:rsidP="00C14D8A">
            <w:pPr>
              <w:jc w:val="both"/>
              <w:rPr>
                <w:rFonts w:eastAsia="Calibri"/>
                <w:sz w:val="20"/>
                <w:lang w:val="fr-CA"/>
              </w:rPr>
            </w:pPr>
            <w:r w:rsidRPr="007E6A6A">
              <w:rPr>
                <w:rFonts w:eastAsia="Calibri"/>
                <w:sz w:val="20"/>
                <w:lang w:val="fr-CA"/>
              </w:rPr>
              <w:t xml:space="preserve">Cour suprême du Canada </w:t>
            </w:r>
          </w:p>
        </w:tc>
        <w:tc>
          <w:tcPr>
            <w:tcW w:w="243" w:type="pct"/>
          </w:tcPr>
          <w:p w:rsidR="00C14D8A" w:rsidRPr="007E6A6A" w:rsidRDefault="00C14D8A" w:rsidP="00C14D8A">
            <w:pPr>
              <w:jc w:val="both"/>
              <w:rPr>
                <w:rFonts w:eastAsia="Calibri"/>
                <w:sz w:val="20"/>
                <w:lang w:val="fr-CA"/>
              </w:rPr>
            </w:pPr>
          </w:p>
        </w:tc>
        <w:tc>
          <w:tcPr>
            <w:tcW w:w="2330" w:type="pct"/>
          </w:tcPr>
          <w:p w:rsidR="00C14D8A" w:rsidRPr="007E6A6A" w:rsidRDefault="00C14D8A" w:rsidP="00C14D8A">
            <w:pPr>
              <w:jc w:val="both"/>
              <w:rPr>
                <w:rFonts w:eastAsia="Calibri"/>
                <w:sz w:val="20"/>
                <w:lang w:val="fr-CA"/>
              </w:rPr>
            </w:pPr>
            <w:r w:rsidRPr="007E6A6A">
              <w:rPr>
                <w:rFonts w:eastAsia="Calibri"/>
                <w:sz w:val="20"/>
                <w:lang w:val="fr-CA"/>
              </w:rPr>
              <w:t>Demande d’autorisation d’appel déposée.</w:t>
            </w:r>
          </w:p>
        </w:tc>
      </w:tr>
    </w:tbl>
    <w:p w:rsidR="00F83F5A" w:rsidRDefault="00F83F5A" w:rsidP="00F83F5A">
      <w:pPr>
        <w:rPr>
          <w:sz w:val="20"/>
          <w:szCs w:val="20"/>
        </w:rPr>
      </w:pPr>
    </w:p>
    <w:p w:rsidR="00F83F5A" w:rsidRDefault="00ED3438" w:rsidP="00F83F5A">
      <w:pPr>
        <w:rPr>
          <w:sz w:val="20"/>
          <w:szCs w:val="20"/>
        </w:rPr>
      </w:pPr>
      <w:r w:rsidRPr="00ED3438">
        <w:rPr>
          <w:sz w:val="20"/>
          <w:szCs w:val="20"/>
          <w:lang w:val="fr-CA"/>
        </w:rPr>
        <w:pict>
          <v:rect id="_x0000_i1058" style="width:2in;height:1pt" o:hrpct="0" o:hralign="center" o:hrstd="t" o:hrnoshade="t" o:hr="t" fillcolor="black [3213]" stroked="f"/>
        </w:pict>
      </w:r>
    </w:p>
    <w:p w:rsidR="00F83F5A" w:rsidRDefault="00F83F5A" w:rsidP="00F83F5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C2CB7" w:rsidRPr="0047561F" w:rsidTr="00B60060">
        <w:trPr>
          <w:cantSplit/>
        </w:trPr>
        <w:tc>
          <w:tcPr>
            <w:tcW w:w="1458" w:type="dxa"/>
          </w:tcPr>
          <w:p w:rsidR="003C2CB7" w:rsidRPr="0047561F" w:rsidRDefault="003C2CB7" w:rsidP="00B60060">
            <w:pPr>
              <w:rPr>
                <w:sz w:val="20"/>
                <w:szCs w:val="20"/>
              </w:rPr>
            </w:pPr>
            <w:r w:rsidRPr="0047561F">
              <w:rPr>
                <w:rStyle w:val="SCCFileNumberChar"/>
                <w:sz w:val="20"/>
                <w:szCs w:val="20"/>
              </w:rPr>
              <w:t>34711</w:t>
            </w:r>
          </w:p>
          <w:p w:rsidR="003C2CB7" w:rsidRPr="0047561F" w:rsidRDefault="003C2CB7" w:rsidP="00B60060">
            <w:pPr>
              <w:rPr>
                <w:b/>
                <w:sz w:val="20"/>
                <w:szCs w:val="20"/>
                <w:lang w:val="fr-CA"/>
              </w:rPr>
            </w:pPr>
          </w:p>
        </w:tc>
        <w:tc>
          <w:tcPr>
            <w:tcW w:w="8118" w:type="dxa"/>
          </w:tcPr>
          <w:p w:rsidR="003C2CB7" w:rsidRPr="0047561F" w:rsidRDefault="003C2CB7" w:rsidP="00B60060">
            <w:pPr>
              <w:rPr>
                <w:sz w:val="20"/>
                <w:szCs w:val="20"/>
              </w:rPr>
            </w:pPr>
            <w:r w:rsidRPr="003C2CB7">
              <w:rPr>
                <w:rStyle w:val="SCCLsocChar"/>
                <w:sz w:val="20"/>
                <w:szCs w:val="20"/>
                <w:lang w:val="en-CA"/>
              </w:rPr>
              <w:t>Commissionaires Nova Scotia v. David Crouse</w:t>
            </w:r>
            <w:r w:rsidRPr="0047561F">
              <w:rPr>
                <w:sz w:val="20"/>
                <w:szCs w:val="20"/>
              </w:rPr>
              <w:t xml:space="preserve"> (F.C.) (Civil) (By Leave)</w:t>
            </w:r>
          </w:p>
          <w:p w:rsidR="003C2CB7" w:rsidRPr="0047561F" w:rsidRDefault="003C2CB7" w:rsidP="00B60060">
            <w:pPr>
              <w:rPr>
                <w:sz w:val="20"/>
                <w:szCs w:val="20"/>
              </w:rPr>
            </w:pPr>
          </w:p>
        </w:tc>
      </w:tr>
      <w:tr w:rsidR="003C2CB7" w:rsidRPr="0047561F" w:rsidTr="00B60060">
        <w:trPr>
          <w:cantSplit/>
        </w:trPr>
        <w:tc>
          <w:tcPr>
            <w:tcW w:w="1458" w:type="dxa"/>
          </w:tcPr>
          <w:p w:rsidR="003C2CB7" w:rsidRPr="0047561F" w:rsidRDefault="003C2CB7" w:rsidP="00B60060">
            <w:pPr>
              <w:rPr>
                <w:sz w:val="20"/>
                <w:szCs w:val="20"/>
              </w:rPr>
            </w:pPr>
            <w:r w:rsidRPr="0047561F">
              <w:rPr>
                <w:sz w:val="20"/>
                <w:szCs w:val="20"/>
              </w:rPr>
              <w:t>Coram :</w:t>
            </w:r>
          </w:p>
        </w:tc>
        <w:tc>
          <w:tcPr>
            <w:tcW w:w="8118" w:type="dxa"/>
          </w:tcPr>
          <w:p w:rsidR="003C2CB7" w:rsidRPr="0047561F" w:rsidRDefault="003C2CB7" w:rsidP="00B60060">
            <w:pPr>
              <w:rPr>
                <w:sz w:val="20"/>
                <w:szCs w:val="20"/>
              </w:rPr>
            </w:pPr>
            <w:proofErr w:type="spellStart"/>
            <w:r w:rsidRPr="003C2CB7">
              <w:rPr>
                <w:rStyle w:val="SCCCoramChar"/>
                <w:sz w:val="20"/>
                <w:szCs w:val="20"/>
                <w:lang w:val="en-CA"/>
              </w:rPr>
              <w:t>Deschamps</w:t>
            </w:r>
            <w:proofErr w:type="spellEnd"/>
            <w:r w:rsidRPr="003C2CB7">
              <w:rPr>
                <w:rStyle w:val="SCCCoramChar"/>
                <w:sz w:val="20"/>
                <w:szCs w:val="20"/>
                <w:lang w:val="en-CA"/>
              </w:rPr>
              <w:t xml:space="preserve">, Fish and </w:t>
            </w:r>
            <w:proofErr w:type="spellStart"/>
            <w:r w:rsidRPr="003C2CB7">
              <w:rPr>
                <w:rStyle w:val="SCCCoramChar"/>
                <w:sz w:val="20"/>
                <w:szCs w:val="20"/>
                <w:lang w:val="en-CA"/>
              </w:rPr>
              <w:t>Karakatsanis</w:t>
            </w:r>
            <w:proofErr w:type="spellEnd"/>
            <w:r w:rsidRPr="003C2CB7">
              <w:rPr>
                <w:rStyle w:val="SCCCoramChar"/>
                <w:sz w:val="20"/>
                <w:szCs w:val="20"/>
                <w:lang w:val="en-CA"/>
              </w:rPr>
              <w:t> JJ.</w:t>
            </w:r>
          </w:p>
          <w:p w:rsidR="003C2CB7" w:rsidRPr="0047561F" w:rsidRDefault="003C2CB7" w:rsidP="00B60060">
            <w:pPr>
              <w:rPr>
                <w:sz w:val="20"/>
                <w:szCs w:val="20"/>
                <w:u w:val="single"/>
              </w:rPr>
            </w:pPr>
          </w:p>
        </w:tc>
      </w:tr>
      <w:tr w:rsidR="003C2CB7" w:rsidRPr="00017BF4" w:rsidTr="00B60060">
        <w:trPr>
          <w:cantSplit/>
        </w:trPr>
        <w:tc>
          <w:tcPr>
            <w:tcW w:w="9576" w:type="dxa"/>
            <w:gridSpan w:val="2"/>
          </w:tcPr>
          <w:p w:rsidR="003C2CB7" w:rsidRPr="0047561F" w:rsidRDefault="003C2CB7" w:rsidP="00B60060">
            <w:pPr>
              <w:pStyle w:val="SCCShortJudgment"/>
              <w:rPr>
                <w:szCs w:val="20"/>
              </w:rPr>
            </w:pPr>
            <w:r w:rsidRPr="0047561F">
              <w:rPr>
                <w:szCs w:val="20"/>
              </w:rPr>
              <w:t>The application for leave to appeal from the judgment of the Federal Court of Appeal, Number A-63-11, 2012 FCA 4, dated January 10, 2012, is dismissed with costs.</w:t>
            </w:r>
          </w:p>
          <w:p w:rsidR="003C2CB7" w:rsidRPr="0047561F" w:rsidRDefault="003C2CB7" w:rsidP="00B60060">
            <w:pPr>
              <w:pStyle w:val="SCCShortJudgment"/>
              <w:ind w:firstLine="0"/>
              <w:rPr>
                <w:szCs w:val="20"/>
              </w:rPr>
            </w:pPr>
          </w:p>
          <w:p w:rsidR="003C2CB7" w:rsidRPr="0047561F" w:rsidRDefault="003C2CB7" w:rsidP="00B60060">
            <w:pPr>
              <w:pStyle w:val="SCCShortJudgment"/>
              <w:rPr>
                <w:szCs w:val="20"/>
                <w:lang w:val="fr-CA"/>
              </w:rPr>
            </w:pPr>
            <w:r w:rsidRPr="0047561F">
              <w:rPr>
                <w:szCs w:val="20"/>
                <w:lang w:val="fr-CA"/>
              </w:rPr>
              <w:t>La demande d’autorisation d’appel de l’arrêt de la Cour d’appel fédérale, numéro A-63-11, 2012 CAF 4, daté du 10 janvier 2012, est rejetée avec dépens.</w:t>
            </w:r>
          </w:p>
        </w:tc>
      </w:tr>
    </w:tbl>
    <w:p w:rsidR="00F83F5A" w:rsidRPr="003C2CB7" w:rsidRDefault="00F83F5A" w:rsidP="00F83F5A">
      <w:pPr>
        <w:rPr>
          <w:sz w:val="20"/>
          <w:szCs w:val="20"/>
          <w:lang w:val="fr-CA"/>
        </w:rPr>
      </w:pPr>
    </w:p>
    <w:p w:rsidR="00F83F5A" w:rsidRPr="001B157C" w:rsidRDefault="00F83F5A" w:rsidP="00F83F5A">
      <w:pPr>
        <w:rPr>
          <w:sz w:val="20"/>
          <w:szCs w:val="20"/>
          <w:u w:val="single"/>
        </w:rPr>
      </w:pPr>
      <w:r w:rsidRPr="001B157C">
        <w:rPr>
          <w:sz w:val="20"/>
          <w:szCs w:val="20"/>
          <w:u w:val="single"/>
        </w:rPr>
        <w:t>CASE SUMMARY</w:t>
      </w:r>
    </w:p>
    <w:p w:rsidR="00F83F5A" w:rsidRDefault="00F83F5A" w:rsidP="00F83F5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14D8A" w:rsidRPr="007E6A6A" w:rsidTr="00C14D8A">
        <w:tc>
          <w:tcPr>
            <w:tcW w:w="5000" w:type="pct"/>
            <w:gridSpan w:val="3"/>
          </w:tcPr>
          <w:p w:rsidR="00C14D8A" w:rsidRPr="007E6A6A" w:rsidRDefault="00C14D8A" w:rsidP="00C14D8A">
            <w:pPr>
              <w:jc w:val="both"/>
              <w:rPr>
                <w:rFonts w:eastAsia="Calibri"/>
                <w:sz w:val="20"/>
              </w:rPr>
            </w:pPr>
            <w:r w:rsidRPr="007E6A6A">
              <w:rPr>
                <w:rFonts w:eastAsia="Calibri"/>
                <w:sz w:val="20"/>
              </w:rPr>
              <w:t xml:space="preserve">Employment law – Labour standards – Federally regulated work – Referee accepting that work performed by applicant at international airport was subject to </w:t>
            </w:r>
            <w:r w:rsidRPr="007E6A6A">
              <w:rPr>
                <w:rFonts w:eastAsia="Calibri"/>
                <w:i/>
                <w:sz w:val="20"/>
              </w:rPr>
              <w:t>Canada Labour Code</w:t>
            </w:r>
            <w:r w:rsidRPr="007E6A6A">
              <w:rPr>
                <w:rFonts w:eastAsia="Calibri"/>
                <w:sz w:val="20"/>
              </w:rPr>
              <w:t xml:space="preserve"> but concluding that it remained subject to provincial </w:t>
            </w:r>
            <w:r w:rsidRPr="007E6A6A">
              <w:rPr>
                <w:rFonts w:eastAsia="Calibri"/>
                <w:i/>
                <w:sz w:val="20"/>
              </w:rPr>
              <w:t>Labour Standards Code</w:t>
            </w:r>
            <w:r w:rsidRPr="007E6A6A">
              <w:rPr>
                <w:rFonts w:eastAsia="Calibri"/>
                <w:sz w:val="20"/>
              </w:rPr>
              <w:t xml:space="preserve"> until expiry of contract between applicant and airport authority – Whether Referee was incorrect to find that applicant was “in fact and in law subject to provincial jurisdiction up until the moment that jurisdiction was ousted by the assertion of a federal jurisdiction” – </w:t>
            </w:r>
            <w:r w:rsidRPr="007E6A6A">
              <w:rPr>
                <w:rFonts w:eastAsia="Calibri"/>
                <w:i/>
                <w:sz w:val="20"/>
              </w:rPr>
              <w:t>Canada Labour Code</w:t>
            </w:r>
            <w:r w:rsidRPr="007E6A6A">
              <w:rPr>
                <w:rFonts w:eastAsia="Calibri"/>
                <w:sz w:val="20"/>
              </w:rPr>
              <w:t>, R.S.C. 1985, c. L-2.</w:t>
            </w:r>
          </w:p>
        </w:tc>
      </w:tr>
      <w:tr w:rsidR="00C14D8A" w:rsidRPr="007E6A6A" w:rsidTr="00C14D8A">
        <w:tc>
          <w:tcPr>
            <w:tcW w:w="5000" w:type="pct"/>
            <w:gridSpan w:val="3"/>
          </w:tcPr>
          <w:p w:rsidR="00C14D8A" w:rsidRPr="007E6A6A" w:rsidRDefault="00C14D8A" w:rsidP="00C14D8A">
            <w:pPr>
              <w:jc w:val="both"/>
              <w:rPr>
                <w:rFonts w:eastAsia="Calibri"/>
                <w:sz w:val="20"/>
              </w:rPr>
            </w:pPr>
          </w:p>
        </w:tc>
      </w:tr>
      <w:tr w:rsidR="00C14D8A" w:rsidRPr="007E6A6A" w:rsidTr="00C14D8A">
        <w:tc>
          <w:tcPr>
            <w:tcW w:w="5000" w:type="pct"/>
            <w:gridSpan w:val="3"/>
          </w:tcPr>
          <w:p w:rsidR="00C14D8A" w:rsidRPr="007E6A6A" w:rsidRDefault="00C14D8A" w:rsidP="00C14D8A">
            <w:pPr>
              <w:jc w:val="both"/>
              <w:rPr>
                <w:rFonts w:eastAsia="Calibri"/>
                <w:sz w:val="20"/>
              </w:rPr>
            </w:pPr>
            <w:r w:rsidRPr="007E6A6A">
              <w:rPr>
                <w:rFonts w:eastAsia="Calibri"/>
                <w:sz w:val="20"/>
              </w:rPr>
              <w:t xml:space="preserve">The applicant (CNS ) and the Halifax International Airport Authority entered into a contract for the provision of security services for a five-year term, ending on September 30, 2010.  In 2007, the Public Service Alliance of Canada was certified by the Canada Industrial Relations Board as the bargaining agent for all employees of the CNS employed at the airport.  In reaching this decision, the Board determined that the services provided by the CNS were vital and integral to the operations of the airport.  It followed that the labour relations of CNS employees who worked at the airport were governed by the </w:t>
            </w:r>
            <w:r w:rsidRPr="007E6A6A">
              <w:rPr>
                <w:rFonts w:eastAsia="Calibri"/>
                <w:i/>
                <w:sz w:val="20"/>
              </w:rPr>
              <w:t>Canada Labour Code</w:t>
            </w:r>
            <w:r w:rsidRPr="007E6A6A">
              <w:rPr>
                <w:rFonts w:eastAsia="Calibri"/>
                <w:sz w:val="20"/>
              </w:rPr>
              <w:t xml:space="preserve">.  The respondent, David Crouse, one of CNS's employees who worked at the airport, filed a complaint to the effect that the statutory conditions of employment guaranteed to employees under Part III of the </w:t>
            </w:r>
            <w:r w:rsidRPr="007E6A6A">
              <w:rPr>
                <w:rFonts w:eastAsia="Calibri"/>
                <w:i/>
                <w:sz w:val="20"/>
              </w:rPr>
              <w:t xml:space="preserve">Canada Labour </w:t>
            </w:r>
            <w:r w:rsidRPr="007E6A6A">
              <w:rPr>
                <w:rFonts w:eastAsia="Calibri"/>
                <w:sz w:val="20"/>
              </w:rPr>
              <w:t xml:space="preserve">Code were not being provided to him.  An inspector determined that the CNS owed Mr. Crouse </w:t>
            </w:r>
            <w:proofErr w:type="gramStart"/>
            <w:r w:rsidRPr="007E6A6A">
              <w:rPr>
                <w:rFonts w:eastAsia="Calibri"/>
                <w:sz w:val="20"/>
              </w:rPr>
              <w:t>overtime,</w:t>
            </w:r>
            <w:proofErr w:type="gramEnd"/>
            <w:r w:rsidRPr="007E6A6A">
              <w:rPr>
                <w:rFonts w:eastAsia="Calibri"/>
                <w:sz w:val="20"/>
              </w:rPr>
              <w:t xml:space="preserve"> holiday and vacation pay and issued a payment order.  The referee appointed to hear the CNS’s appeal determined that the CNS and all of its employment contracts with its employees employed at the airport (excluding two supervisors) were governed by the minimum standards applicable under the Nova Scotia </w:t>
            </w:r>
            <w:r w:rsidRPr="007E6A6A">
              <w:rPr>
                <w:rFonts w:eastAsia="Calibri"/>
                <w:i/>
                <w:sz w:val="20"/>
              </w:rPr>
              <w:t>Labour Standards Code</w:t>
            </w:r>
            <w:r w:rsidRPr="007E6A6A">
              <w:rPr>
                <w:rFonts w:eastAsia="Calibri"/>
                <w:sz w:val="20"/>
              </w:rPr>
              <w:t xml:space="preserve">, R.S.N.S. 1989, c. 246, up to and including September 30, 2010.  Thereafter, the CNS and those employment contracts would be governed by Part III of the </w:t>
            </w:r>
            <w:r w:rsidRPr="007E6A6A">
              <w:rPr>
                <w:rFonts w:eastAsia="Calibri"/>
                <w:i/>
                <w:sz w:val="20"/>
              </w:rPr>
              <w:t>Canada Labour Code</w:t>
            </w:r>
            <w:r w:rsidRPr="007E6A6A">
              <w:rPr>
                <w:rFonts w:eastAsia="Calibri"/>
                <w:sz w:val="20"/>
              </w:rPr>
              <w:t xml:space="preserve">.  On an application for judicial review, the Federal Court judge found that the referee had exceeded his jurisdiction when he decided to suspend the application of the </w:t>
            </w:r>
            <w:r w:rsidRPr="007E6A6A">
              <w:rPr>
                <w:rFonts w:eastAsia="Calibri"/>
                <w:i/>
                <w:sz w:val="20"/>
              </w:rPr>
              <w:t>Canada Labour Code</w:t>
            </w:r>
            <w:r w:rsidRPr="007E6A6A">
              <w:rPr>
                <w:rFonts w:eastAsia="Calibri"/>
                <w:sz w:val="20"/>
              </w:rPr>
              <w:t xml:space="preserve"> to the CNS and its employees until the expiration of the contract.  The Federal Court of Appeal upheld that decision.</w:t>
            </w:r>
          </w:p>
          <w:p w:rsidR="00C14D8A" w:rsidRPr="007E6A6A" w:rsidRDefault="00C14D8A" w:rsidP="00C14D8A">
            <w:pPr>
              <w:jc w:val="both"/>
              <w:rPr>
                <w:rFonts w:eastAsia="Calibri"/>
                <w:sz w:val="20"/>
              </w:rPr>
            </w:pPr>
          </w:p>
        </w:tc>
      </w:tr>
      <w:tr w:rsidR="00C14D8A" w:rsidRPr="007E6A6A" w:rsidTr="00C14D8A">
        <w:tc>
          <w:tcPr>
            <w:tcW w:w="2427" w:type="pct"/>
          </w:tcPr>
          <w:p w:rsidR="00C14D8A" w:rsidRPr="007E6A6A" w:rsidRDefault="00C14D8A" w:rsidP="00C14D8A">
            <w:pPr>
              <w:jc w:val="both"/>
              <w:rPr>
                <w:rFonts w:eastAsia="Calibri"/>
                <w:sz w:val="20"/>
              </w:rPr>
            </w:pPr>
            <w:r w:rsidRPr="007E6A6A">
              <w:rPr>
                <w:rFonts w:eastAsia="Calibri"/>
                <w:sz w:val="20"/>
              </w:rPr>
              <w:t>February 3, 2011</w:t>
            </w:r>
          </w:p>
          <w:p w:rsidR="00C14D8A" w:rsidRPr="007E6A6A" w:rsidRDefault="00C14D8A" w:rsidP="00C14D8A">
            <w:pPr>
              <w:jc w:val="both"/>
              <w:rPr>
                <w:rFonts w:eastAsia="Calibri"/>
                <w:sz w:val="20"/>
              </w:rPr>
            </w:pPr>
            <w:r w:rsidRPr="007E6A6A">
              <w:rPr>
                <w:rFonts w:eastAsia="Calibri"/>
                <w:sz w:val="20"/>
              </w:rPr>
              <w:t>Federal Court</w:t>
            </w:r>
          </w:p>
          <w:p w:rsidR="00C14D8A" w:rsidRPr="007E6A6A" w:rsidRDefault="00C14D8A" w:rsidP="00C14D8A">
            <w:pPr>
              <w:jc w:val="both"/>
              <w:rPr>
                <w:rFonts w:eastAsia="Calibri"/>
                <w:sz w:val="20"/>
              </w:rPr>
            </w:pPr>
            <w:r w:rsidRPr="007E6A6A">
              <w:rPr>
                <w:rFonts w:eastAsia="Calibri"/>
                <w:sz w:val="20"/>
              </w:rPr>
              <w:t>(</w:t>
            </w:r>
            <w:proofErr w:type="spellStart"/>
            <w:r w:rsidRPr="007E6A6A">
              <w:rPr>
                <w:rFonts w:eastAsia="Calibri"/>
                <w:sz w:val="20"/>
              </w:rPr>
              <w:t>Boivin</w:t>
            </w:r>
            <w:proofErr w:type="spellEnd"/>
            <w:r w:rsidRPr="007E6A6A">
              <w:rPr>
                <w:rFonts w:eastAsia="Calibri"/>
                <w:sz w:val="20"/>
              </w:rPr>
              <w:t xml:space="preserve"> J.)</w:t>
            </w:r>
          </w:p>
          <w:p w:rsidR="00C14D8A" w:rsidRPr="007E6A6A" w:rsidRDefault="00C14D8A" w:rsidP="00C14D8A">
            <w:pPr>
              <w:jc w:val="both"/>
              <w:rPr>
                <w:rFonts w:eastAsia="Calibri"/>
                <w:sz w:val="20"/>
              </w:rPr>
            </w:pPr>
            <w:r w:rsidRPr="007E6A6A">
              <w:rPr>
                <w:rFonts w:eastAsia="Calibri"/>
                <w:sz w:val="20"/>
              </w:rPr>
              <w:t>2011 FC 125</w:t>
            </w:r>
          </w:p>
          <w:p w:rsidR="00C14D8A" w:rsidRPr="007E6A6A" w:rsidRDefault="00C14D8A" w:rsidP="00C14D8A">
            <w:pPr>
              <w:jc w:val="both"/>
              <w:rPr>
                <w:rFonts w:eastAsia="Calibri"/>
                <w:sz w:val="20"/>
              </w:rPr>
            </w:pPr>
          </w:p>
        </w:tc>
        <w:tc>
          <w:tcPr>
            <w:tcW w:w="243" w:type="pct"/>
          </w:tcPr>
          <w:p w:rsidR="00C14D8A" w:rsidRPr="007E6A6A" w:rsidRDefault="00C14D8A" w:rsidP="00C14D8A">
            <w:pPr>
              <w:jc w:val="both"/>
              <w:rPr>
                <w:rFonts w:eastAsia="Calibri"/>
                <w:sz w:val="20"/>
              </w:rPr>
            </w:pPr>
          </w:p>
        </w:tc>
        <w:tc>
          <w:tcPr>
            <w:tcW w:w="2330" w:type="pct"/>
          </w:tcPr>
          <w:p w:rsidR="00C14D8A" w:rsidRPr="007E6A6A" w:rsidRDefault="00C14D8A" w:rsidP="00C14D8A">
            <w:pPr>
              <w:jc w:val="both"/>
              <w:rPr>
                <w:rFonts w:eastAsia="Calibri"/>
                <w:sz w:val="20"/>
              </w:rPr>
            </w:pPr>
            <w:r w:rsidRPr="007E6A6A">
              <w:rPr>
                <w:rFonts w:eastAsia="Calibri"/>
                <w:sz w:val="20"/>
              </w:rPr>
              <w:t>Application for judicial review allowed</w:t>
            </w:r>
          </w:p>
        </w:tc>
      </w:tr>
      <w:tr w:rsidR="00C14D8A" w:rsidRPr="007E6A6A" w:rsidTr="00C14D8A">
        <w:tc>
          <w:tcPr>
            <w:tcW w:w="2427" w:type="pct"/>
          </w:tcPr>
          <w:p w:rsidR="00C14D8A" w:rsidRPr="007E6A6A" w:rsidRDefault="00C14D8A" w:rsidP="00C14D8A">
            <w:pPr>
              <w:jc w:val="both"/>
              <w:rPr>
                <w:rFonts w:eastAsia="Calibri"/>
                <w:sz w:val="20"/>
              </w:rPr>
            </w:pPr>
            <w:r w:rsidRPr="007E6A6A">
              <w:rPr>
                <w:rFonts w:eastAsia="Calibri"/>
                <w:sz w:val="20"/>
              </w:rPr>
              <w:t>January 10, 2012</w:t>
            </w:r>
          </w:p>
          <w:p w:rsidR="00C14D8A" w:rsidRPr="007E6A6A" w:rsidRDefault="00C14D8A" w:rsidP="00C14D8A">
            <w:pPr>
              <w:jc w:val="both"/>
              <w:rPr>
                <w:rFonts w:eastAsia="Calibri"/>
                <w:sz w:val="20"/>
              </w:rPr>
            </w:pPr>
            <w:r w:rsidRPr="007E6A6A">
              <w:rPr>
                <w:rFonts w:eastAsia="Calibri"/>
                <w:sz w:val="20"/>
              </w:rPr>
              <w:t>Federal Court of Appeal</w:t>
            </w:r>
          </w:p>
          <w:p w:rsidR="00C14D8A" w:rsidRPr="007E6A6A" w:rsidRDefault="00C14D8A" w:rsidP="00C14D8A">
            <w:pPr>
              <w:jc w:val="both"/>
              <w:rPr>
                <w:rFonts w:eastAsia="Calibri"/>
                <w:sz w:val="20"/>
              </w:rPr>
            </w:pPr>
            <w:r w:rsidRPr="007E6A6A">
              <w:rPr>
                <w:rFonts w:eastAsia="Calibri"/>
                <w:sz w:val="20"/>
              </w:rPr>
              <w:t xml:space="preserve">(Noël, Dawson and </w:t>
            </w:r>
            <w:proofErr w:type="spellStart"/>
            <w:r w:rsidRPr="007E6A6A">
              <w:rPr>
                <w:rFonts w:eastAsia="Calibri"/>
                <w:sz w:val="20"/>
              </w:rPr>
              <w:t>Trudel</w:t>
            </w:r>
            <w:proofErr w:type="spellEnd"/>
            <w:r w:rsidRPr="007E6A6A">
              <w:rPr>
                <w:rFonts w:eastAsia="Calibri"/>
                <w:sz w:val="20"/>
              </w:rPr>
              <w:t xml:space="preserve"> JJ.A.)</w:t>
            </w:r>
          </w:p>
          <w:p w:rsidR="00C14D8A" w:rsidRPr="007E6A6A" w:rsidRDefault="00C14D8A" w:rsidP="00C14D8A">
            <w:pPr>
              <w:jc w:val="both"/>
              <w:rPr>
                <w:rFonts w:eastAsia="Calibri"/>
                <w:sz w:val="20"/>
              </w:rPr>
            </w:pPr>
            <w:r w:rsidRPr="007E6A6A">
              <w:rPr>
                <w:rFonts w:eastAsia="Calibri"/>
                <w:sz w:val="20"/>
              </w:rPr>
              <w:t>2012 FCA 4</w:t>
            </w:r>
          </w:p>
          <w:p w:rsidR="00C14D8A" w:rsidRPr="007E6A6A" w:rsidRDefault="00C14D8A" w:rsidP="00C14D8A">
            <w:pPr>
              <w:jc w:val="both"/>
              <w:rPr>
                <w:rFonts w:eastAsia="Calibri"/>
                <w:sz w:val="20"/>
              </w:rPr>
            </w:pPr>
          </w:p>
        </w:tc>
        <w:tc>
          <w:tcPr>
            <w:tcW w:w="243" w:type="pct"/>
          </w:tcPr>
          <w:p w:rsidR="00C14D8A" w:rsidRPr="007E6A6A" w:rsidRDefault="00C14D8A" w:rsidP="00C14D8A">
            <w:pPr>
              <w:jc w:val="both"/>
              <w:rPr>
                <w:rFonts w:eastAsia="Calibri"/>
                <w:sz w:val="20"/>
              </w:rPr>
            </w:pPr>
          </w:p>
        </w:tc>
        <w:tc>
          <w:tcPr>
            <w:tcW w:w="2330" w:type="pct"/>
          </w:tcPr>
          <w:p w:rsidR="00C14D8A" w:rsidRPr="007E6A6A" w:rsidRDefault="00C14D8A" w:rsidP="00C14D8A">
            <w:pPr>
              <w:jc w:val="both"/>
              <w:rPr>
                <w:rFonts w:eastAsia="Calibri"/>
                <w:sz w:val="20"/>
              </w:rPr>
            </w:pPr>
            <w:r w:rsidRPr="007E6A6A">
              <w:rPr>
                <w:rFonts w:eastAsia="Calibri"/>
                <w:sz w:val="20"/>
              </w:rPr>
              <w:t>Appeal dismissed</w:t>
            </w:r>
          </w:p>
          <w:p w:rsidR="00C14D8A" w:rsidRPr="007E6A6A" w:rsidRDefault="00C14D8A" w:rsidP="00C14D8A">
            <w:pPr>
              <w:jc w:val="both"/>
              <w:rPr>
                <w:rFonts w:eastAsia="Calibri"/>
                <w:sz w:val="20"/>
              </w:rPr>
            </w:pPr>
          </w:p>
        </w:tc>
      </w:tr>
      <w:tr w:rsidR="00C14D8A" w:rsidRPr="007E6A6A" w:rsidTr="003C2CB7">
        <w:trPr>
          <w:cantSplit/>
        </w:trPr>
        <w:tc>
          <w:tcPr>
            <w:tcW w:w="2427" w:type="pct"/>
          </w:tcPr>
          <w:p w:rsidR="00C14D8A" w:rsidRPr="007E6A6A" w:rsidRDefault="00C14D8A" w:rsidP="00C14D8A">
            <w:pPr>
              <w:jc w:val="both"/>
              <w:rPr>
                <w:rFonts w:eastAsia="Calibri"/>
                <w:sz w:val="20"/>
              </w:rPr>
            </w:pPr>
            <w:r w:rsidRPr="007E6A6A">
              <w:rPr>
                <w:rFonts w:eastAsia="Calibri"/>
                <w:sz w:val="20"/>
              </w:rPr>
              <w:t>March 12, 2012</w:t>
            </w:r>
          </w:p>
          <w:p w:rsidR="00C14D8A" w:rsidRPr="007E6A6A" w:rsidRDefault="00C14D8A" w:rsidP="00C14D8A">
            <w:pPr>
              <w:jc w:val="both"/>
              <w:rPr>
                <w:rFonts w:eastAsia="Calibri"/>
                <w:sz w:val="20"/>
              </w:rPr>
            </w:pPr>
            <w:r w:rsidRPr="007E6A6A">
              <w:rPr>
                <w:rFonts w:eastAsia="Calibri"/>
                <w:sz w:val="20"/>
              </w:rPr>
              <w:t>Supreme Court of Canada</w:t>
            </w:r>
          </w:p>
        </w:tc>
        <w:tc>
          <w:tcPr>
            <w:tcW w:w="243" w:type="pct"/>
          </w:tcPr>
          <w:p w:rsidR="00C14D8A" w:rsidRPr="007E6A6A" w:rsidRDefault="00C14D8A" w:rsidP="00C14D8A">
            <w:pPr>
              <w:jc w:val="both"/>
              <w:rPr>
                <w:rFonts w:eastAsia="Calibri"/>
                <w:sz w:val="20"/>
              </w:rPr>
            </w:pPr>
          </w:p>
        </w:tc>
        <w:tc>
          <w:tcPr>
            <w:tcW w:w="2330" w:type="pct"/>
          </w:tcPr>
          <w:p w:rsidR="00C14D8A" w:rsidRPr="007E6A6A" w:rsidRDefault="00C14D8A" w:rsidP="00C14D8A">
            <w:pPr>
              <w:jc w:val="both"/>
              <w:rPr>
                <w:rFonts w:eastAsia="Calibri"/>
                <w:sz w:val="20"/>
              </w:rPr>
            </w:pPr>
            <w:r w:rsidRPr="007E6A6A">
              <w:rPr>
                <w:rFonts w:eastAsia="Calibri"/>
                <w:sz w:val="20"/>
              </w:rPr>
              <w:t>Application for leave to appeal filed</w:t>
            </w:r>
          </w:p>
        </w:tc>
      </w:tr>
    </w:tbl>
    <w:p w:rsidR="00F83F5A" w:rsidRPr="00C50A5C" w:rsidRDefault="00F83F5A" w:rsidP="00F83F5A">
      <w:pPr>
        <w:rPr>
          <w:sz w:val="20"/>
          <w:szCs w:val="20"/>
        </w:rPr>
      </w:pPr>
    </w:p>
    <w:p w:rsidR="00F83F5A" w:rsidRPr="00C50A5C" w:rsidRDefault="00ED3438" w:rsidP="00F83F5A">
      <w:pPr>
        <w:rPr>
          <w:sz w:val="20"/>
          <w:szCs w:val="20"/>
        </w:rPr>
      </w:pPr>
      <w:r w:rsidRPr="00ED3438">
        <w:rPr>
          <w:sz w:val="20"/>
          <w:szCs w:val="20"/>
          <w:lang w:val="fr-CA"/>
        </w:rPr>
        <w:pict>
          <v:rect id="_x0000_i1059" style="width:2in;height:1pt" o:hrpct="0" o:hralign="center" o:hrstd="t" o:hrnoshade="t" o:hr="t" fillcolor="black [3213]" stroked="f"/>
        </w:pict>
      </w:r>
    </w:p>
    <w:p w:rsidR="00F83F5A" w:rsidRDefault="00F83F5A" w:rsidP="00F83F5A">
      <w:pPr>
        <w:rPr>
          <w:sz w:val="20"/>
          <w:szCs w:val="20"/>
        </w:rPr>
      </w:pPr>
    </w:p>
    <w:p w:rsidR="00F83F5A" w:rsidRPr="001B157C" w:rsidRDefault="00F83F5A" w:rsidP="00F83F5A">
      <w:pPr>
        <w:rPr>
          <w:sz w:val="20"/>
          <w:szCs w:val="20"/>
          <w:u w:val="single"/>
          <w:lang w:val="fr-CA"/>
        </w:rPr>
      </w:pPr>
      <w:r w:rsidRPr="001B157C">
        <w:rPr>
          <w:sz w:val="20"/>
          <w:szCs w:val="20"/>
          <w:u w:val="single"/>
          <w:lang w:val="fr-CA"/>
        </w:rPr>
        <w:t>RÉSUMÉ DE L’AFFAIRE</w:t>
      </w:r>
    </w:p>
    <w:p w:rsidR="00F83F5A" w:rsidRDefault="00F83F5A" w:rsidP="00F83F5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14D8A" w:rsidRPr="007E6A6A" w:rsidTr="00C14D8A">
        <w:tc>
          <w:tcPr>
            <w:tcW w:w="5000" w:type="pct"/>
            <w:gridSpan w:val="3"/>
          </w:tcPr>
          <w:p w:rsidR="00C14D8A" w:rsidRPr="007E6A6A" w:rsidRDefault="00C14D8A" w:rsidP="00C14D8A">
            <w:pPr>
              <w:jc w:val="both"/>
              <w:rPr>
                <w:rFonts w:eastAsia="Calibri"/>
                <w:sz w:val="20"/>
                <w:lang w:val="fr-CA"/>
              </w:rPr>
            </w:pPr>
            <w:r w:rsidRPr="007E6A6A">
              <w:rPr>
                <w:rFonts w:eastAsia="Calibri"/>
                <w:sz w:val="20"/>
                <w:lang w:val="fr-CA"/>
              </w:rPr>
              <w:t xml:space="preserve">Droit de l’emploi – Normes du travail – Travail relevant de la compétence fédérale – Un arbitre a reconnu que le travail exécuté par la demanderesse à un aéroport international était assujetti au  </w:t>
            </w:r>
            <w:r w:rsidRPr="007E6A6A">
              <w:rPr>
                <w:rFonts w:eastAsia="Calibri"/>
                <w:i/>
                <w:sz w:val="20"/>
                <w:lang w:val="fr-CA"/>
              </w:rPr>
              <w:t>Code canadien du travail</w:t>
            </w:r>
            <w:r w:rsidRPr="007E6A6A">
              <w:rPr>
                <w:rFonts w:eastAsia="Calibri"/>
                <w:sz w:val="20"/>
                <w:lang w:val="fr-CA"/>
              </w:rPr>
              <w:t xml:space="preserve"> mais a conclu qu’il demeurait assujetti au </w:t>
            </w:r>
            <w:r w:rsidRPr="007E6A6A">
              <w:rPr>
                <w:rFonts w:eastAsia="Calibri"/>
                <w:i/>
                <w:sz w:val="20"/>
                <w:lang w:val="fr-CA"/>
              </w:rPr>
              <w:t>Labour Standards Code</w:t>
            </w:r>
            <w:r w:rsidRPr="007E6A6A">
              <w:rPr>
                <w:rFonts w:eastAsia="Calibri"/>
                <w:sz w:val="20"/>
                <w:lang w:val="fr-CA"/>
              </w:rPr>
              <w:t xml:space="preserve"> provincial jusqu’à l’expiration du contrat entre la demanderesse et l’administration de l’aéroport – L’arbitre a-t-il eu tort de conclure que la demanderesse était « assujettie en fait et en droit à la compétence provinciale jusqu’au moment où </w:t>
            </w:r>
            <w:proofErr w:type="spellStart"/>
            <w:r w:rsidRPr="007E6A6A">
              <w:rPr>
                <w:rFonts w:eastAsia="Calibri"/>
                <w:sz w:val="20"/>
                <w:lang w:val="fr-CA"/>
              </w:rPr>
              <w:t>celle</w:t>
            </w:r>
            <w:r w:rsidRPr="007E6A6A">
              <w:rPr>
                <w:rFonts w:eastAsia="Calibri"/>
                <w:sz w:val="20"/>
                <w:lang w:val="fr-CA"/>
              </w:rPr>
              <w:noBreakHyphen/>
              <w:t>ci</w:t>
            </w:r>
            <w:proofErr w:type="spellEnd"/>
            <w:r w:rsidRPr="007E6A6A">
              <w:rPr>
                <w:rFonts w:eastAsia="Calibri"/>
                <w:sz w:val="20"/>
                <w:lang w:val="fr-CA"/>
              </w:rPr>
              <w:t xml:space="preserve"> a été écartée par l’affirmation de la compétence fédérale »? – </w:t>
            </w:r>
            <w:r w:rsidRPr="007E6A6A">
              <w:rPr>
                <w:rFonts w:eastAsia="Calibri"/>
                <w:i/>
                <w:sz w:val="20"/>
                <w:lang w:val="fr-CA"/>
              </w:rPr>
              <w:t>Code canadien du travail</w:t>
            </w:r>
            <w:r w:rsidRPr="007E6A6A">
              <w:rPr>
                <w:rFonts w:eastAsia="Calibri"/>
                <w:sz w:val="20"/>
                <w:lang w:val="fr-CA"/>
              </w:rPr>
              <w:t>, L.R.C. 1985, ch. L-2.</w:t>
            </w:r>
          </w:p>
        </w:tc>
      </w:tr>
      <w:tr w:rsidR="00C14D8A" w:rsidRPr="007E6A6A" w:rsidTr="00C14D8A">
        <w:tc>
          <w:tcPr>
            <w:tcW w:w="5000" w:type="pct"/>
            <w:gridSpan w:val="3"/>
          </w:tcPr>
          <w:p w:rsidR="00C14D8A" w:rsidRPr="007E6A6A" w:rsidRDefault="00C14D8A" w:rsidP="00C14D8A">
            <w:pPr>
              <w:jc w:val="both"/>
              <w:rPr>
                <w:rFonts w:eastAsia="Calibri"/>
                <w:sz w:val="20"/>
                <w:lang w:val="fr-CA"/>
              </w:rPr>
            </w:pPr>
          </w:p>
        </w:tc>
      </w:tr>
      <w:tr w:rsidR="00C14D8A" w:rsidRPr="007E6A6A" w:rsidTr="00C14D8A">
        <w:tc>
          <w:tcPr>
            <w:tcW w:w="5000" w:type="pct"/>
            <w:gridSpan w:val="3"/>
          </w:tcPr>
          <w:p w:rsidR="00C14D8A" w:rsidRPr="007E6A6A" w:rsidRDefault="00C14D8A" w:rsidP="00C14D8A">
            <w:pPr>
              <w:jc w:val="both"/>
              <w:rPr>
                <w:rFonts w:eastAsia="Calibri"/>
                <w:sz w:val="20"/>
                <w:lang w:val="fr-CA"/>
              </w:rPr>
            </w:pPr>
            <w:r w:rsidRPr="007E6A6A">
              <w:rPr>
                <w:rFonts w:eastAsia="Calibri"/>
                <w:sz w:val="20"/>
                <w:lang w:val="fr-CA"/>
              </w:rPr>
              <w:t>La demanderesse (CNS) et l’Administration de l’aéroport international d’Halifax ont passé un contrat de services de sécurité d’une durée de cinq ans, prenant fin le 30 septembre 2010. En 2007, le Conseil canadien des relations industrielles a accrédité l’Alliance de la Fonction publique du Canada à titre d’agent négociateur de tous les employés de CNS qui travaillent à l’aéroport. Par cette décision, le Conseil établissait que les services fournis par CNS étaient essentiels à l’exploitation de l’aéroport. Il s’ensuivait que c’était le </w:t>
            </w:r>
            <w:r w:rsidRPr="007E6A6A">
              <w:rPr>
                <w:rFonts w:eastAsia="Calibri"/>
                <w:i/>
                <w:sz w:val="20"/>
                <w:lang w:val="fr-CA"/>
              </w:rPr>
              <w:t>Code canadien du travail</w:t>
            </w:r>
            <w:r w:rsidRPr="007E6A6A">
              <w:rPr>
                <w:rFonts w:eastAsia="Calibri"/>
                <w:sz w:val="20"/>
                <w:lang w:val="fr-CA"/>
              </w:rPr>
              <w:t xml:space="preserve"> qui régissait les relations du travail des employés de CNS qui travaillaient à l’aéroport.  L’intimé, David </w:t>
            </w:r>
            <w:proofErr w:type="spellStart"/>
            <w:r w:rsidRPr="007E6A6A">
              <w:rPr>
                <w:rFonts w:eastAsia="Calibri"/>
                <w:sz w:val="20"/>
                <w:lang w:val="fr-CA"/>
              </w:rPr>
              <w:t>Crouse</w:t>
            </w:r>
            <w:proofErr w:type="spellEnd"/>
            <w:r w:rsidRPr="007E6A6A">
              <w:rPr>
                <w:rFonts w:eastAsia="Calibri"/>
                <w:sz w:val="20"/>
                <w:lang w:val="fr-CA"/>
              </w:rPr>
              <w:t xml:space="preserve">, l’un des employés de CNS travaillant à l’aéroport, a déposé sous le régime de la partie III du </w:t>
            </w:r>
            <w:r w:rsidRPr="007E6A6A">
              <w:rPr>
                <w:rFonts w:eastAsia="Calibri"/>
                <w:i/>
                <w:sz w:val="20"/>
                <w:lang w:val="fr-CA"/>
              </w:rPr>
              <w:t>Code canadien du travail</w:t>
            </w:r>
            <w:r w:rsidRPr="007E6A6A">
              <w:rPr>
                <w:rFonts w:eastAsia="Calibri"/>
                <w:sz w:val="20"/>
                <w:lang w:val="fr-CA"/>
              </w:rPr>
              <w:t> une plainte selon laquelle les conditions d’emploi garanties par cette partie ne lui étaient pas offertes. Une inspectrice a établi que CNS devait à M. </w:t>
            </w:r>
            <w:proofErr w:type="spellStart"/>
            <w:r w:rsidRPr="007E6A6A">
              <w:rPr>
                <w:rFonts w:eastAsia="Calibri"/>
                <w:sz w:val="20"/>
                <w:lang w:val="fr-CA"/>
              </w:rPr>
              <w:t>Crouse</w:t>
            </w:r>
            <w:proofErr w:type="spellEnd"/>
            <w:r w:rsidRPr="007E6A6A">
              <w:rPr>
                <w:rFonts w:eastAsia="Calibri"/>
                <w:sz w:val="20"/>
                <w:lang w:val="fr-CA"/>
              </w:rPr>
              <w:t xml:space="preserve"> des primes d’heures supplémentaires, des indemnités de congés payés et des payes de vacances et elle a émis un ordre de paiement. L’arbitre désigné pour instruire l’appel de CNS a conclu que CNS et tous ses contrats de travail avec ses employés affectés à l’aéroport (à l’exclusion de deux surveillants) seraient assujettis aux normes minimales applicables sous le régime du </w:t>
            </w:r>
            <w:r w:rsidRPr="007E6A6A">
              <w:rPr>
                <w:rFonts w:eastAsia="Calibri"/>
                <w:i/>
                <w:iCs/>
                <w:sz w:val="20"/>
                <w:lang w:val="fr-CA"/>
              </w:rPr>
              <w:t>Labour Standards Code </w:t>
            </w:r>
            <w:r w:rsidRPr="007E6A6A">
              <w:rPr>
                <w:rFonts w:eastAsia="Calibri"/>
                <w:sz w:val="20"/>
                <w:lang w:val="fr-CA"/>
              </w:rPr>
              <w:t xml:space="preserve">de la </w:t>
            </w:r>
            <w:proofErr w:type="spellStart"/>
            <w:r w:rsidRPr="007E6A6A">
              <w:rPr>
                <w:rFonts w:eastAsia="Calibri"/>
                <w:sz w:val="20"/>
                <w:lang w:val="fr-CA"/>
              </w:rPr>
              <w:t>Nouvelle</w:t>
            </w:r>
            <w:r w:rsidRPr="007E6A6A">
              <w:rPr>
                <w:rFonts w:eastAsia="Calibri"/>
                <w:sz w:val="20"/>
                <w:lang w:val="fr-CA"/>
              </w:rPr>
              <w:noBreakHyphen/>
              <w:t>Écosse</w:t>
            </w:r>
            <w:proofErr w:type="spellEnd"/>
            <w:r w:rsidRPr="007E6A6A">
              <w:rPr>
                <w:rFonts w:eastAsia="Calibri"/>
                <w:sz w:val="20"/>
                <w:lang w:val="fr-CA"/>
              </w:rPr>
              <w:t>, R.S.N.S 1989, ch. 246 jusqu’au 30 septembre 2010 inclusivement, après quoi ils seraient régis par la partie III du </w:t>
            </w:r>
            <w:r w:rsidRPr="007E6A6A">
              <w:rPr>
                <w:rFonts w:eastAsia="Calibri"/>
                <w:i/>
                <w:sz w:val="20"/>
                <w:lang w:val="fr-CA"/>
              </w:rPr>
              <w:t>Code canadien du travail</w:t>
            </w:r>
            <w:r w:rsidRPr="007E6A6A">
              <w:rPr>
                <w:rFonts w:eastAsia="Calibri"/>
                <w:sz w:val="20"/>
                <w:lang w:val="fr-CA"/>
              </w:rPr>
              <w:t>. Saisi d’une demande de contrôle judiciaire, le juge de la Cour fédérale a conclu que l’arbitre avait outrepassé sa compétence en décidant de reporter l’application du </w:t>
            </w:r>
            <w:r w:rsidRPr="007E6A6A">
              <w:rPr>
                <w:rFonts w:eastAsia="Calibri"/>
                <w:i/>
                <w:sz w:val="20"/>
                <w:lang w:val="fr-CA"/>
              </w:rPr>
              <w:t>Code canadien du travail</w:t>
            </w:r>
            <w:r w:rsidRPr="007E6A6A">
              <w:rPr>
                <w:rFonts w:eastAsia="Calibri"/>
                <w:sz w:val="20"/>
                <w:lang w:val="fr-CA"/>
              </w:rPr>
              <w:t> à CNS et à ses employés jusqu’à l’expiration du contrat. La Cour d’appel fédérale a confirmé cette décision.</w:t>
            </w:r>
          </w:p>
          <w:p w:rsidR="00C14D8A" w:rsidRPr="007E6A6A" w:rsidRDefault="00C14D8A" w:rsidP="00C14D8A">
            <w:pPr>
              <w:jc w:val="both"/>
              <w:rPr>
                <w:rFonts w:eastAsia="Calibri"/>
                <w:sz w:val="20"/>
                <w:lang w:val="fr-CA"/>
              </w:rPr>
            </w:pPr>
          </w:p>
        </w:tc>
      </w:tr>
      <w:tr w:rsidR="00C14D8A" w:rsidRPr="00017BF4" w:rsidTr="00C14D8A">
        <w:tc>
          <w:tcPr>
            <w:tcW w:w="2427" w:type="pct"/>
          </w:tcPr>
          <w:p w:rsidR="00C14D8A" w:rsidRPr="007E6A6A" w:rsidRDefault="00C14D8A" w:rsidP="00C14D8A">
            <w:pPr>
              <w:jc w:val="both"/>
              <w:rPr>
                <w:rFonts w:eastAsia="Calibri"/>
                <w:sz w:val="20"/>
                <w:lang w:val="fr-CA"/>
              </w:rPr>
            </w:pPr>
            <w:r w:rsidRPr="007E6A6A">
              <w:rPr>
                <w:rFonts w:eastAsia="Calibri"/>
                <w:sz w:val="20"/>
                <w:lang w:val="fr-CA"/>
              </w:rPr>
              <w:t>3 février 2011</w:t>
            </w:r>
          </w:p>
          <w:p w:rsidR="00C14D8A" w:rsidRPr="007E6A6A" w:rsidRDefault="00C14D8A" w:rsidP="00C14D8A">
            <w:pPr>
              <w:jc w:val="both"/>
              <w:rPr>
                <w:rFonts w:eastAsia="Calibri"/>
                <w:sz w:val="20"/>
                <w:lang w:val="fr-CA"/>
              </w:rPr>
            </w:pPr>
            <w:r w:rsidRPr="007E6A6A">
              <w:rPr>
                <w:rFonts w:eastAsia="Calibri"/>
                <w:sz w:val="20"/>
                <w:lang w:val="fr-CA"/>
              </w:rPr>
              <w:t>Cour fédérale</w:t>
            </w:r>
          </w:p>
          <w:p w:rsidR="00C14D8A" w:rsidRPr="007E6A6A" w:rsidRDefault="00C14D8A" w:rsidP="00C14D8A">
            <w:pPr>
              <w:jc w:val="both"/>
              <w:rPr>
                <w:rFonts w:eastAsia="Calibri"/>
                <w:sz w:val="20"/>
                <w:lang w:val="fr-CA"/>
              </w:rPr>
            </w:pPr>
            <w:r w:rsidRPr="007E6A6A">
              <w:rPr>
                <w:rFonts w:eastAsia="Calibri"/>
                <w:sz w:val="20"/>
                <w:lang w:val="fr-CA"/>
              </w:rPr>
              <w:t>(Juge Boivin)</w:t>
            </w:r>
          </w:p>
          <w:p w:rsidR="00C14D8A" w:rsidRPr="007E6A6A" w:rsidRDefault="00C14D8A" w:rsidP="00C14D8A">
            <w:pPr>
              <w:jc w:val="both"/>
              <w:rPr>
                <w:rFonts w:eastAsia="Calibri"/>
                <w:sz w:val="20"/>
                <w:lang w:val="fr-CA"/>
              </w:rPr>
            </w:pPr>
            <w:r w:rsidRPr="007E6A6A">
              <w:rPr>
                <w:rFonts w:eastAsia="Calibri"/>
                <w:sz w:val="20"/>
                <w:lang w:val="fr-CA"/>
              </w:rPr>
              <w:t>2011 FC 125</w:t>
            </w:r>
          </w:p>
          <w:p w:rsidR="00C14D8A" w:rsidRPr="007E6A6A" w:rsidRDefault="00C14D8A" w:rsidP="00C14D8A">
            <w:pPr>
              <w:jc w:val="both"/>
              <w:rPr>
                <w:rFonts w:eastAsia="Calibri"/>
                <w:sz w:val="20"/>
                <w:lang w:val="fr-CA"/>
              </w:rPr>
            </w:pPr>
          </w:p>
        </w:tc>
        <w:tc>
          <w:tcPr>
            <w:tcW w:w="243" w:type="pct"/>
          </w:tcPr>
          <w:p w:rsidR="00C14D8A" w:rsidRPr="007E6A6A" w:rsidRDefault="00C14D8A" w:rsidP="00C14D8A">
            <w:pPr>
              <w:jc w:val="both"/>
              <w:rPr>
                <w:rFonts w:eastAsia="Calibri"/>
                <w:sz w:val="20"/>
                <w:lang w:val="fr-CA"/>
              </w:rPr>
            </w:pPr>
          </w:p>
        </w:tc>
        <w:tc>
          <w:tcPr>
            <w:tcW w:w="2330" w:type="pct"/>
          </w:tcPr>
          <w:p w:rsidR="00C14D8A" w:rsidRPr="007E6A6A" w:rsidRDefault="00C14D8A" w:rsidP="00C14D8A">
            <w:pPr>
              <w:jc w:val="both"/>
              <w:rPr>
                <w:rFonts w:eastAsia="Calibri"/>
                <w:sz w:val="20"/>
                <w:lang w:val="fr-CA"/>
              </w:rPr>
            </w:pPr>
            <w:r w:rsidRPr="007E6A6A">
              <w:rPr>
                <w:rFonts w:eastAsia="Calibri"/>
                <w:sz w:val="20"/>
                <w:lang w:val="fr-CA"/>
              </w:rPr>
              <w:t>Demande de contrôle judiciaire, accueillie</w:t>
            </w:r>
          </w:p>
        </w:tc>
      </w:tr>
      <w:tr w:rsidR="00C14D8A" w:rsidRPr="007E6A6A" w:rsidTr="00C14D8A">
        <w:tc>
          <w:tcPr>
            <w:tcW w:w="2427" w:type="pct"/>
          </w:tcPr>
          <w:p w:rsidR="00C14D8A" w:rsidRPr="007E6A6A" w:rsidRDefault="00C14D8A" w:rsidP="00C14D8A">
            <w:pPr>
              <w:jc w:val="both"/>
              <w:rPr>
                <w:rFonts w:eastAsia="Calibri"/>
                <w:sz w:val="20"/>
                <w:lang w:val="fr-CA"/>
              </w:rPr>
            </w:pPr>
            <w:r w:rsidRPr="007E6A6A">
              <w:rPr>
                <w:rFonts w:eastAsia="Calibri"/>
                <w:sz w:val="20"/>
                <w:lang w:val="fr-CA"/>
              </w:rPr>
              <w:t>10 janvier 2012</w:t>
            </w:r>
          </w:p>
          <w:p w:rsidR="00C14D8A" w:rsidRPr="007E6A6A" w:rsidRDefault="00C14D8A" w:rsidP="00C14D8A">
            <w:pPr>
              <w:jc w:val="both"/>
              <w:rPr>
                <w:rFonts w:eastAsia="Calibri"/>
                <w:sz w:val="20"/>
                <w:lang w:val="fr-CA"/>
              </w:rPr>
            </w:pPr>
            <w:r w:rsidRPr="007E6A6A">
              <w:rPr>
                <w:rFonts w:eastAsia="Calibri"/>
                <w:sz w:val="20"/>
                <w:lang w:val="fr-CA"/>
              </w:rPr>
              <w:t>Cour d’appel fédérale</w:t>
            </w:r>
          </w:p>
          <w:p w:rsidR="00C14D8A" w:rsidRPr="007E6A6A" w:rsidRDefault="00C14D8A" w:rsidP="00C14D8A">
            <w:pPr>
              <w:jc w:val="both"/>
              <w:rPr>
                <w:rFonts w:eastAsia="Calibri"/>
                <w:sz w:val="20"/>
                <w:lang w:val="fr-CA"/>
              </w:rPr>
            </w:pPr>
            <w:r w:rsidRPr="007E6A6A">
              <w:rPr>
                <w:rFonts w:eastAsia="Calibri"/>
                <w:sz w:val="20"/>
                <w:lang w:val="fr-CA"/>
              </w:rPr>
              <w:t>(Juges Noël, Dawson et Trudel)</w:t>
            </w:r>
          </w:p>
          <w:p w:rsidR="00C14D8A" w:rsidRPr="007E6A6A" w:rsidRDefault="00C14D8A" w:rsidP="00C14D8A">
            <w:pPr>
              <w:jc w:val="both"/>
              <w:rPr>
                <w:rFonts w:eastAsia="Calibri"/>
                <w:sz w:val="20"/>
                <w:lang w:val="fr-CA"/>
              </w:rPr>
            </w:pPr>
            <w:r w:rsidRPr="007E6A6A">
              <w:rPr>
                <w:rFonts w:eastAsia="Calibri"/>
                <w:sz w:val="20"/>
                <w:lang w:val="fr-CA"/>
              </w:rPr>
              <w:t>2012 FCA 4</w:t>
            </w:r>
          </w:p>
          <w:p w:rsidR="00C14D8A" w:rsidRPr="007E6A6A" w:rsidRDefault="00C14D8A" w:rsidP="00C14D8A">
            <w:pPr>
              <w:jc w:val="both"/>
              <w:rPr>
                <w:rFonts w:eastAsia="Calibri"/>
                <w:sz w:val="20"/>
                <w:lang w:val="fr-CA"/>
              </w:rPr>
            </w:pPr>
          </w:p>
        </w:tc>
        <w:tc>
          <w:tcPr>
            <w:tcW w:w="243" w:type="pct"/>
          </w:tcPr>
          <w:p w:rsidR="00C14D8A" w:rsidRPr="007E6A6A" w:rsidRDefault="00C14D8A" w:rsidP="00C14D8A">
            <w:pPr>
              <w:jc w:val="both"/>
              <w:rPr>
                <w:rFonts w:eastAsia="Calibri"/>
                <w:sz w:val="20"/>
                <w:lang w:val="fr-CA"/>
              </w:rPr>
            </w:pPr>
          </w:p>
        </w:tc>
        <w:tc>
          <w:tcPr>
            <w:tcW w:w="2330" w:type="pct"/>
          </w:tcPr>
          <w:p w:rsidR="00C14D8A" w:rsidRPr="007E6A6A" w:rsidRDefault="00C14D8A" w:rsidP="00C14D8A">
            <w:pPr>
              <w:jc w:val="both"/>
              <w:rPr>
                <w:rFonts w:eastAsia="Calibri"/>
                <w:sz w:val="20"/>
                <w:lang w:val="fr-CA"/>
              </w:rPr>
            </w:pPr>
            <w:r w:rsidRPr="007E6A6A">
              <w:rPr>
                <w:rFonts w:eastAsia="Calibri"/>
                <w:sz w:val="20"/>
                <w:lang w:val="fr-CA"/>
              </w:rPr>
              <w:t>Appel rejeté</w:t>
            </w:r>
          </w:p>
          <w:p w:rsidR="00C14D8A" w:rsidRPr="007E6A6A" w:rsidRDefault="00C14D8A" w:rsidP="00C14D8A">
            <w:pPr>
              <w:jc w:val="both"/>
              <w:rPr>
                <w:rFonts w:eastAsia="Calibri"/>
                <w:sz w:val="20"/>
                <w:lang w:val="fr-CA"/>
              </w:rPr>
            </w:pPr>
          </w:p>
        </w:tc>
      </w:tr>
      <w:tr w:rsidR="00C14D8A" w:rsidRPr="007E6A6A" w:rsidTr="00C14D8A">
        <w:tc>
          <w:tcPr>
            <w:tcW w:w="2427" w:type="pct"/>
          </w:tcPr>
          <w:p w:rsidR="00C14D8A" w:rsidRPr="007E6A6A" w:rsidRDefault="00C14D8A" w:rsidP="00C14D8A">
            <w:pPr>
              <w:jc w:val="both"/>
              <w:rPr>
                <w:rFonts w:eastAsia="Calibri"/>
                <w:sz w:val="20"/>
                <w:lang w:val="fr-CA"/>
              </w:rPr>
            </w:pPr>
            <w:r w:rsidRPr="007E6A6A">
              <w:rPr>
                <w:rFonts w:eastAsia="Calibri"/>
                <w:sz w:val="20"/>
                <w:lang w:val="fr-CA"/>
              </w:rPr>
              <w:t>12 mars 2012</w:t>
            </w:r>
          </w:p>
          <w:p w:rsidR="00C14D8A" w:rsidRPr="007E6A6A" w:rsidRDefault="00C14D8A" w:rsidP="00C14D8A">
            <w:pPr>
              <w:jc w:val="both"/>
              <w:rPr>
                <w:rFonts w:eastAsia="Calibri"/>
                <w:sz w:val="20"/>
                <w:lang w:val="fr-CA"/>
              </w:rPr>
            </w:pPr>
            <w:r w:rsidRPr="007E6A6A">
              <w:rPr>
                <w:rFonts w:eastAsia="Calibri"/>
                <w:sz w:val="20"/>
                <w:lang w:val="fr-CA"/>
              </w:rPr>
              <w:t>Cour suprême du Canada</w:t>
            </w:r>
          </w:p>
        </w:tc>
        <w:tc>
          <w:tcPr>
            <w:tcW w:w="243" w:type="pct"/>
          </w:tcPr>
          <w:p w:rsidR="00C14D8A" w:rsidRPr="007E6A6A" w:rsidRDefault="00C14D8A" w:rsidP="00C14D8A">
            <w:pPr>
              <w:jc w:val="both"/>
              <w:rPr>
                <w:rFonts w:eastAsia="Calibri"/>
                <w:sz w:val="20"/>
                <w:lang w:val="fr-CA"/>
              </w:rPr>
            </w:pPr>
          </w:p>
        </w:tc>
        <w:tc>
          <w:tcPr>
            <w:tcW w:w="2330" w:type="pct"/>
          </w:tcPr>
          <w:p w:rsidR="00C14D8A" w:rsidRPr="007E6A6A" w:rsidRDefault="00C14D8A" w:rsidP="00C14D8A">
            <w:pPr>
              <w:jc w:val="both"/>
              <w:rPr>
                <w:rFonts w:eastAsia="Calibri"/>
                <w:sz w:val="20"/>
                <w:lang w:val="fr-CA"/>
              </w:rPr>
            </w:pPr>
            <w:r w:rsidRPr="007E6A6A">
              <w:rPr>
                <w:rFonts w:eastAsia="Calibri"/>
                <w:sz w:val="20"/>
                <w:lang w:val="fr-CA"/>
              </w:rPr>
              <w:t>Demande d’autorisation d’appel, déposée</w:t>
            </w:r>
          </w:p>
        </w:tc>
      </w:tr>
    </w:tbl>
    <w:p w:rsidR="00F83F5A" w:rsidRDefault="00F83F5A" w:rsidP="00F83F5A">
      <w:pPr>
        <w:rPr>
          <w:sz w:val="20"/>
          <w:szCs w:val="20"/>
        </w:rPr>
      </w:pPr>
    </w:p>
    <w:p w:rsidR="00F83F5A" w:rsidRDefault="00ED3438" w:rsidP="00F83F5A">
      <w:pPr>
        <w:rPr>
          <w:sz w:val="20"/>
          <w:szCs w:val="20"/>
        </w:rPr>
      </w:pPr>
      <w:r w:rsidRPr="00ED3438">
        <w:rPr>
          <w:sz w:val="20"/>
          <w:szCs w:val="20"/>
          <w:lang w:val="fr-CA"/>
        </w:rPr>
        <w:pict>
          <v:rect id="_x0000_i1060" style="width:2in;height:1pt" o:hrpct="0" o:hralign="center" o:hrstd="t" o:hrnoshade="t" o:hr="t" fillcolor="black [3213]" stroked="f"/>
        </w:pict>
      </w:r>
    </w:p>
    <w:p w:rsidR="00F83F5A" w:rsidRDefault="00F83F5A" w:rsidP="00F83F5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142F0" w:rsidRPr="0047561F" w:rsidTr="00B60060">
        <w:trPr>
          <w:cantSplit/>
        </w:trPr>
        <w:tc>
          <w:tcPr>
            <w:tcW w:w="1458" w:type="dxa"/>
          </w:tcPr>
          <w:p w:rsidR="00B142F0" w:rsidRPr="0047561F" w:rsidRDefault="00B142F0" w:rsidP="00B60060">
            <w:pPr>
              <w:rPr>
                <w:sz w:val="20"/>
                <w:szCs w:val="20"/>
              </w:rPr>
            </w:pPr>
            <w:r w:rsidRPr="0047561F">
              <w:rPr>
                <w:rStyle w:val="SCCFileNumberChar"/>
                <w:sz w:val="20"/>
                <w:szCs w:val="20"/>
              </w:rPr>
              <w:t>34721</w:t>
            </w:r>
          </w:p>
          <w:p w:rsidR="00B142F0" w:rsidRPr="0047561F" w:rsidRDefault="00B142F0" w:rsidP="00B60060">
            <w:pPr>
              <w:rPr>
                <w:b/>
                <w:sz w:val="20"/>
                <w:szCs w:val="20"/>
                <w:lang w:val="fr-CA"/>
              </w:rPr>
            </w:pPr>
          </w:p>
        </w:tc>
        <w:tc>
          <w:tcPr>
            <w:tcW w:w="8118" w:type="dxa"/>
          </w:tcPr>
          <w:p w:rsidR="00B142F0" w:rsidRPr="0047561F" w:rsidRDefault="00B142F0" w:rsidP="00B60060">
            <w:pPr>
              <w:jc w:val="both"/>
              <w:rPr>
                <w:sz w:val="20"/>
                <w:szCs w:val="20"/>
              </w:rPr>
            </w:pPr>
            <w:r w:rsidRPr="00B142F0">
              <w:rPr>
                <w:rStyle w:val="SCCLsocChar"/>
                <w:sz w:val="20"/>
                <w:szCs w:val="20"/>
                <w:lang w:val="en-CA"/>
              </w:rPr>
              <w:t>C.S. and M.S. v. Children's Aid Society of the Regional Municipality of Waterloo and Child and Family Services Review Board</w:t>
            </w:r>
            <w:r w:rsidRPr="0047561F">
              <w:rPr>
                <w:sz w:val="20"/>
                <w:szCs w:val="20"/>
              </w:rPr>
              <w:t xml:space="preserve"> (Ont.) (Civil) (By Leave)</w:t>
            </w:r>
          </w:p>
          <w:p w:rsidR="00B142F0" w:rsidRPr="0047561F" w:rsidRDefault="00B142F0" w:rsidP="00B60060">
            <w:pPr>
              <w:rPr>
                <w:sz w:val="20"/>
                <w:szCs w:val="20"/>
              </w:rPr>
            </w:pPr>
          </w:p>
        </w:tc>
      </w:tr>
      <w:tr w:rsidR="00B142F0" w:rsidRPr="0047561F" w:rsidTr="00B60060">
        <w:trPr>
          <w:cantSplit/>
        </w:trPr>
        <w:tc>
          <w:tcPr>
            <w:tcW w:w="1458" w:type="dxa"/>
          </w:tcPr>
          <w:p w:rsidR="00B142F0" w:rsidRPr="0047561F" w:rsidRDefault="00B142F0" w:rsidP="00B60060">
            <w:pPr>
              <w:rPr>
                <w:sz w:val="20"/>
                <w:szCs w:val="20"/>
              </w:rPr>
            </w:pPr>
            <w:r w:rsidRPr="0047561F">
              <w:rPr>
                <w:sz w:val="20"/>
                <w:szCs w:val="20"/>
              </w:rPr>
              <w:t>Coram :</w:t>
            </w:r>
          </w:p>
        </w:tc>
        <w:tc>
          <w:tcPr>
            <w:tcW w:w="8118" w:type="dxa"/>
          </w:tcPr>
          <w:p w:rsidR="00B142F0" w:rsidRPr="0047561F" w:rsidRDefault="00B142F0" w:rsidP="00B60060">
            <w:pPr>
              <w:rPr>
                <w:sz w:val="20"/>
                <w:szCs w:val="20"/>
              </w:rPr>
            </w:pPr>
            <w:proofErr w:type="spellStart"/>
            <w:r w:rsidRPr="00B142F0">
              <w:rPr>
                <w:rStyle w:val="SCCCoramChar"/>
                <w:sz w:val="20"/>
                <w:szCs w:val="20"/>
                <w:lang w:val="en-CA"/>
              </w:rPr>
              <w:t>Deschamps</w:t>
            </w:r>
            <w:proofErr w:type="spellEnd"/>
            <w:r w:rsidRPr="00B142F0">
              <w:rPr>
                <w:rStyle w:val="SCCCoramChar"/>
                <w:sz w:val="20"/>
                <w:szCs w:val="20"/>
                <w:lang w:val="en-CA"/>
              </w:rPr>
              <w:t xml:space="preserve">, Fish and </w:t>
            </w:r>
            <w:proofErr w:type="spellStart"/>
            <w:r w:rsidRPr="00B142F0">
              <w:rPr>
                <w:rStyle w:val="SCCCoramChar"/>
                <w:sz w:val="20"/>
                <w:szCs w:val="20"/>
                <w:lang w:val="en-CA"/>
              </w:rPr>
              <w:t>Karakatsanis</w:t>
            </w:r>
            <w:proofErr w:type="spellEnd"/>
            <w:r w:rsidRPr="00B142F0">
              <w:rPr>
                <w:rStyle w:val="SCCCoramChar"/>
                <w:sz w:val="20"/>
                <w:szCs w:val="20"/>
                <w:lang w:val="en-CA"/>
              </w:rPr>
              <w:t> JJ.</w:t>
            </w:r>
          </w:p>
          <w:p w:rsidR="00B142F0" w:rsidRPr="0047561F" w:rsidRDefault="00B142F0" w:rsidP="00B60060">
            <w:pPr>
              <w:rPr>
                <w:sz w:val="20"/>
                <w:szCs w:val="20"/>
                <w:u w:val="single"/>
              </w:rPr>
            </w:pPr>
          </w:p>
        </w:tc>
      </w:tr>
      <w:tr w:rsidR="00B142F0" w:rsidRPr="00017BF4" w:rsidTr="00B60060">
        <w:trPr>
          <w:cantSplit/>
        </w:trPr>
        <w:tc>
          <w:tcPr>
            <w:tcW w:w="9576" w:type="dxa"/>
            <w:gridSpan w:val="2"/>
          </w:tcPr>
          <w:p w:rsidR="00B142F0" w:rsidRPr="0047561F" w:rsidRDefault="00B142F0" w:rsidP="00B60060">
            <w:pPr>
              <w:pStyle w:val="SCCShortJudgment"/>
              <w:rPr>
                <w:szCs w:val="20"/>
              </w:rPr>
            </w:pPr>
            <w:r w:rsidRPr="0047561F">
              <w:rPr>
                <w:szCs w:val="20"/>
              </w:rPr>
              <w:t>The motion for an extension of time to serve and file the application for leave to appeal is granted. The application for leave to appeal from the judgment of the Court of Appeal for Ontario, Numbers M40388 and M40429</w:t>
            </w:r>
            <w:proofErr w:type="gramStart"/>
            <w:r w:rsidRPr="0047561F">
              <w:rPr>
                <w:szCs w:val="20"/>
              </w:rPr>
              <w:t>,  dated</w:t>
            </w:r>
            <w:proofErr w:type="gramEnd"/>
            <w:r w:rsidRPr="0047561F">
              <w:rPr>
                <w:szCs w:val="20"/>
              </w:rPr>
              <w:t xml:space="preserve"> October 17, 2011, is dismissed without costs.</w:t>
            </w:r>
          </w:p>
          <w:p w:rsidR="00B142F0" w:rsidRPr="0047561F" w:rsidRDefault="00B142F0" w:rsidP="00B60060">
            <w:pPr>
              <w:pStyle w:val="SCCShortJudgment"/>
              <w:ind w:firstLine="0"/>
              <w:rPr>
                <w:szCs w:val="20"/>
              </w:rPr>
            </w:pPr>
          </w:p>
          <w:p w:rsidR="00B142F0" w:rsidRPr="0047561F" w:rsidRDefault="00B142F0" w:rsidP="00B60060">
            <w:pPr>
              <w:pStyle w:val="SCCShortJudgment"/>
              <w:rPr>
                <w:szCs w:val="20"/>
                <w:lang w:val="fr-CA"/>
              </w:rPr>
            </w:pPr>
            <w:r w:rsidRPr="0047561F">
              <w:rPr>
                <w:szCs w:val="20"/>
                <w:lang w:val="fr-CA"/>
              </w:rPr>
              <w:t>La requête en prorogation du délai de signification et de dépôt de la demande d’autorisation d’appel est accueillie. La demande d’autorisation d’appel de l’arrêt de la Cour d’appel de l’Ontario, numéros M40388 et M40429, daté du 17 octobre 2011, est rejetée sans dépens.</w:t>
            </w:r>
          </w:p>
        </w:tc>
      </w:tr>
    </w:tbl>
    <w:p w:rsidR="00F83F5A" w:rsidRPr="00F83F5A" w:rsidRDefault="00F83F5A" w:rsidP="00F83F5A">
      <w:pPr>
        <w:rPr>
          <w:sz w:val="20"/>
          <w:szCs w:val="20"/>
          <w:lang w:val="fr-CA"/>
        </w:rPr>
      </w:pPr>
    </w:p>
    <w:p w:rsidR="00F83F5A" w:rsidRPr="001B157C" w:rsidRDefault="00F83F5A" w:rsidP="00F83F5A">
      <w:pPr>
        <w:rPr>
          <w:sz w:val="20"/>
          <w:szCs w:val="20"/>
          <w:u w:val="single"/>
        </w:rPr>
      </w:pPr>
      <w:r w:rsidRPr="001B157C">
        <w:rPr>
          <w:sz w:val="20"/>
          <w:szCs w:val="20"/>
          <w:u w:val="single"/>
        </w:rPr>
        <w:t>CASE SUMMARY</w:t>
      </w:r>
    </w:p>
    <w:p w:rsidR="00F83F5A" w:rsidRDefault="00F83F5A" w:rsidP="00F83F5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14D8A" w:rsidRPr="007E6A6A" w:rsidTr="00C14D8A">
        <w:tc>
          <w:tcPr>
            <w:tcW w:w="5000" w:type="pct"/>
            <w:gridSpan w:val="3"/>
          </w:tcPr>
          <w:p w:rsidR="00C14D8A" w:rsidRPr="007E6A6A" w:rsidRDefault="00C14D8A" w:rsidP="00C14D8A">
            <w:pPr>
              <w:jc w:val="both"/>
              <w:rPr>
                <w:rFonts w:eastAsia="Calibri"/>
                <w:sz w:val="20"/>
              </w:rPr>
            </w:pPr>
            <w:r w:rsidRPr="007E6A6A">
              <w:rPr>
                <w:rFonts w:eastAsia="Calibri"/>
                <w:sz w:val="20"/>
              </w:rPr>
              <w:t>Family law – Adoption – Infant placed with foster family shortly after his birth – Foster family applying to adopt – Applicants, biological aunts of the child, also applying to adopt him – Family Services Review Board upholding decision to deny Applicants’ application for adoption - Whether lower court erred in failing to recognize that the factual and legal findings of the Child and Family Services Review Board were not supported by the evidence.</w:t>
            </w:r>
          </w:p>
        </w:tc>
      </w:tr>
      <w:tr w:rsidR="00C14D8A" w:rsidRPr="007E6A6A" w:rsidTr="00C14D8A">
        <w:tc>
          <w:tcPr>
            <w:tcW w:w="5000" w:type="pct"/>
            <w:gridSpan w:val="3"/>
          </w:tcPr>
          <w:p w:rsidR="00C14D8A" w:rsidRPr="007E6A6A" w:rsidRDefault="00C14D8A" w:rsidP="00C14D8A">
            <w:pPr>
              <w:jc w:val="both"/>
              <w:rPr>
                <w:rFonts w:eastAsia="Calibri"/>
                <w:sz w:val="20"/>
              </w:rPr>
            </w:pPr>
          </w:p>
        </w:tc>
      </w:tr>
      <w:tr w:rsidR="00C14D8A" w:rsidRPr="007E6A6A" w:rsidTr="00C14D8A">
        <w:tc>
          <w:tcPr>
            <w:tcW w:w="5000" w:type="pct"/>
            <w:gridSpan w:val="3"/>
          </w:tcPr>
          <w:p w:rsidR="00C14D8A" w:rsidRPr="007E6A6A" w:rsidRDefault="00C14D8A" w:rsidP="00C14D8A">
            <w:pPr>
              <w:jc w:val="both"/>
              <w:rPr>
                <w:rFonts w:eastAsia="Calibri"/>
                <w:sz w:val="20"/>
              </w:rPr>
            </w:pPr>
            <w:r w:rsidRPr="007E6A6A">
              <w:rPr>
                <w:rFonts w:eastAsia="Calibri"/>
                <w:sz w:val="20"/>
              </w:rPr>
              <w:t>The child in question was born on May, 9, 2008 and was placed by the Respondent with a foster family when he was three days old.  He has resided with that family since that time and the foster parents applied to adopt him.  The child’s paternal aunts also applied to the Society to adopt their nephew but their application was refused in April, 2010.  They appealed this decision to the Child and Family Services Review Board and a hearing was conducted in May, 2010.  The decision of the Respondent was upheld.  The Applicants sought judicial review of that decision.</w:t>
            </w:r>
          </w:p>
          <w:p w:rsidR="00C14D8A" w:rsidRPr="007E6A6A" w:rsidRDefault="00C14D8A" w:rsidP="00C14D8A">
            <w:pPr>
              <w:jc w:val="both"/>
              <w:rPr>
                <w:rFonts w:eastAsia="Calibri"/>
                <w:sz w:val="20"/>
              </w:rPr>
            </w:pPr>
          </w:p>
        </w:tc>
      </w:tr>
      <w:tr w:rsidR="00C14D8A" w:rsidRPr="007E6A6A" w:rsidTr="00C14D8A">
        <w:tc>
          <w:tcPr>
            <w:tcW w:w="2427" w:type="pct"/>
          </w:tcPr>
          <w:p w:rsidR="00C14D8A" w:rsidRPr="007E6A6A" w:rsidRDefault="00C14D8A" w:rsidP="00C14D8A">
            <w:pPr>
              <w:jc w:val="both"/>
              <w:rPr>
                <w:rFonts w:eastAsia="Calibri"/>
                <w:sz w:val="20"/>
              </w:rPr>
            </w:pPr>
            <w:r w:rsidRPr="007E6A6A">
              <w:rPr>
                <w:rFonts w:eastAsia="Calibri"/>
                <w:sz w:val="20"/>
              </w:rPr>
              <w:t>June 3, 2011</w:t>
            </w:r>
          </w:p>
          <w:p w:rsidR="00C14D8A" w:rsidRPr="007E6A6A" w:rsidRDefault="00C14D8A" w:rsidP="00C14D8A">
            <w:pPr>
              <w:jc w:val="both"/>
              <w:rPr>
                <w:rFonts w:eastAsia="Calibri"/>
                <w:sz w:val="20"/>
              </w:rPr>
            </w:pPr>
            <w:r w:rsidRPr="007E6A6A">
              <w:rPr>
                <w:rFonts w:eastAsia="Calibri"/>
                <w:sz w:val="20"/>
              </w:rPr>
              <w:t>Ontario Superior Court of Justice</w:t>
            </w:r>
          </w:p>
          <w:p w:rsidR="00C14D8A" w:rsidRPr="007E6A6A" w:rsidRDefault="00C14D8A" w:rsidP="00C14D8A">
            <w:pPr>
              <w:jc w:val="both"/>
              <w:rPr>
                <w:rFonts w:eastAsia="Calibri"/>
                <w:sz w:val="20"/>
              </w:rPr>
            </w:pPr>
            <w:r w:rsidRPr="007E6A6A">
              <w:rPr>
                <w:rFonts w:eastAsia="Calibri"/>
                <w:sz w:val="20"/>
              </w:rPr>
              <w:t>(Divisional Court)</w:t>
            </w:r>
          </w:p>
          <w:p w:rsidR="00C14D8A" w:rsidRPr="007E6A6A" w:rsidRDefault="00C14D8A" w:rsidP="00C14D8A">
            <w:pPr>
              <w:jc w:val="both"/>
              <w:rPr>
                <w:rFonts w:eastAsia="Calibri"/>
                <w:sz w:val="20"/>
              </w:rPr>
            </w:pPr>
            <w:r w:rsidRPr="007E6A6A">
              <w:rPr>
                <w:rFonts w:eastAsia="Calibri"/>
                <w:sz w:val="20"/>
              </w:rPr>
              <w:t>(</w:t>
            </w:r>
            <w:proofErr w:type="spellStart"/>
            <w:r w:rsidRPr="007E6A6A">
              <w:rPr>
                <w:rFonts w:eastAsia="Calibri"/>
                <w:sz w:val="20"/>
              </w:rPr>
              <w:t>Pomerance</w:t>
            </w:r>
            <w:proofErr w:type="spellEnd"/>
            <w:r w:rsidRPr="007E6A6A">
              <w:rPr>
                <w:rFonts w:eastAsia="Calibri"/>
                <w:sz w:val="20"/>
              </w:rPr>
              <w:t xml:space="preserve"> J.)</w:t>
            </w:r>
          </w:p>
          <w:p w:rsidR="00C14D8A" w:rsidRPr="007E6A6A" w:rsidRDefault="00C14D8A" w:rsidP="00C14D8A">
            <w:pPr>
              <w:jc w:val="both"/>
              <w:rPr>
                <w:rFonts w:eastAsia="Calibri"/>
                <w:sz w:val="20"/>
              </w:rPr>
            </w:pPr>
            <w:r w:rsidRPr="007E6A6A">
              <w:rPr>
                <w:rFonts w:eastAsia="Calibri"/>
                <w:sz w:val="20"/>
              </w:rPr>
              <w:t>(Unreported)</w:t>
            </w:r>
          </w:p>
          <w:p w:rsidR="00C14D8A" w:rsidRPr="007E6A6A" w:rsidRDefault="00C14D8A" w:rsidP="00C14D8A">
            <w:pPr>
              <w:jc w:val="both"/>
              <w:rPr>
                <w:rFonts w:eastAsia="Calibri"/>
                <w:sz w:val="20"/>
              </w:rPr>
            </w:pPr>
          </w:p>
        </w:tc>
        <w:tc>
          <w:tcPr>
            <w:tcW w:w="243" w:type="pct"/>
          </w:tcPr>
          <w:p w:rsidR="00C14D8A" w:rsidRPr="007E6A6A" w:rsidRDefault="00C14D8A" w:rsidP="00C14D8A">
            <w:pPr>
              <w:jc w:val="both"/>
              <w:rPr>
                <w:rFonts w:eastAsia="Calibri"/>
                <w:sz w:val="20"/>
              </w:rPr>
            </w:pPr>
          </w:p>
        </w:tc>
        <w:tc>
          <w:tcPr>
            <w:tcW w:w="2330" w:type="pct"/>
          </w:tcPr>
          <w:p w:rsidR="00C14D8A" w:rsidRPr="007E6A6A" w:rsidRDefault="00C14D8A" w:rsidP="00C14D8A">
            <w:pPr>
              <w:jc w:val="both"/>
              <w:rPr>
                <w:rFonts w:eastAsia="Calibri"/>
                <w:sz w:val="20"/>
              </w:rPr>
            </w:pPr>
            <w:r w:rsidRPr="007E6A6A">
              <w:rPr>
                <w:rFonts w:eastAsia="Calibri"/>
                <w:sz w:val="20"/>
              </w:rPr>
              <w:t>Application for judicial review dismissed</w:t>
            </w:r>
          </w:p>
        </w:tc>
      </w:tr>
      <w:tr w:rsidR="00C14D8A" w:rsidRPr="007E6A6A" w:rsidTr="00C14D8A">
        <w:tc>
          <w:tcPr>
            <w:tcW w:w="2427" w:type="pct"/>
          </w:tcPr>
          <w:p w:rsidR="00C14D8A" w:rsidRPr="007E6A6A" w:rsidRDefault="00C14D8A" w:rsidP="00C14D8A">
            <w:pPr>
              <w:jc w:val="both"/>
              <w:rPr>
                <w:rFonts w:eastAsia="Calibri"/>
                <w:sz w:val="20"/>
              </w:rPr>
            </w:pPr>
            <w:r w:rsidRPr="007E6A6A">
              <w:rPr>
                <w:rFonts w:eastAsia="Calibri"/>
                <w:sz w:val="20"/>
              </w:rPr>
              <w:t>October 17, 2011</w:t>
            </w:r>
          </w:p>
          <w:p w:rsidR="00C14D8A" w:rsidRPr="007E6A6A" w:rsidRDefault="00C14D8A" w:rsidP="00C14D8A">
            <w:pPr>
              <w:jc w:val="both"/>
              <w:rPr>
                <w:rFonts w:eastAsia="Calibri"/>
                <w:sz w:val="20"/>
              </w:rPr>
            </w:pPr>
            <w:r w:rsidRPr="007E6A6A">
              <w:rPr>
                <w:rFonts w:eastAsia="Calibri"/>
                <w:sz w:val="20"/>
              </w:rPr>
              <w:t>Court of Appeal for Ontario</w:t>
            </w:r>
          </w:p>
          <w:p w:rsidR="00C14D8A" w:rsidRPr="007E6A6A" w:rsidRDefault="00C14D8A" w:rsidP="00C14D8A">
            <w:pPr>
              <w:jc w:val="both"/>
              <w:rPr>
                <w:rFonts w:eastAsia="Calibri"/>
                <w:sz w:val="20"/>
              </w:rPr>
            </w:pPr>
            <w:r w:rsidRPr="007E6A6A">
              <w:rPr>
                <w:rFonts w:eastAsia="Calibri"/>
                <w:sz w:val="20"/>
              </w:rPr>
              <w:t xml:space="preserve">(Blair, </w:t>
            </w:r>
            <w:proofErr w:type="spellStart"/>
            <w:r w:rsidRPr="007E6A6A">
              <w:rPr>
                <w:rFonts w:eastAsia="Calibri"/>
                <w:sz w:val="20"/>
              </w:rPr>
              <w:t>LaForme</w:t>
            </w:r>
            <w:proofErr w:type="spellEnd"/>
            <w:r w:rsidRPr="007E6A6A">
              <w:rPr>
                <w:rFonts w:eastAsia="Calibri"/>
                <w:sz w:val="20"/>
              </w:rPr>
              <w:t xml:space="preserve"> and </w:t>
            </w:r>
            <w:proofErr w:type="spellStart"/>
            <w:r w:rsidRPr="007E6A6A">
              <w:rPr>
                <w:rFonts w:eastAsia="Calibri"/>
                <w:sz w:val="20"/>
              </w:rPr>
              <w:t>Benotto</w:t>
            </w:r>
            <w:proofErr w:type="spellEnd"/>
            <w:r w:rsidRPr="007E6A6A">
              <w:rPr>
                <w:rFonts w:eastAsia="Calibri"/>
                <w:sz w:val="20"/>
              </w:rPr>
              <w:t xml:space="preserve"> JJ.A.)</w:t>
            </w:r>
          </w:p>
          <w:p w:rsidR="00C14D8A" w:rsidRPr="007E6A6A" w:rsidRDefault="00C14D8A" w:rsidP="00C14D8A">
            <w:pPr>
              <w:jc w:val="both"/>
              <w:rPr>
                <w:rFonts w:eastAsia="Calibri"/>
                <w:sz w:val="20"/>
              </w:rPr>
            </w:pPr>
            <w:r w:rsidRPr="007E6A6A">
              <w:rPr>
                <w:rFonts w:eastAsia="Calibri"/>
                <w:sz w:val="20"/>
              </w:rPr>
              <w:t>(Unreported)</w:t>
            </w:r>
          </w:p>
          <w:p w:rsidR="00C14D8A" w:rsidRPr="007E6A6A" w:rsidRDefault="00C14D8A" w:rsidP="00C14D8A">
            <w:pPr>
              <w:jc w:val="both"/>
              <w:rPr>
                <w:rFonts w:eastAsia="Calibri"/>
                <w:sz w:val="20"/>
              </w:rPr>
            </w:pPr>
          </w:p>
        </w:tc>
        <w:tc>
          <w:tcPr>
            <w:tcW w:w="243" w:type="pct"/>
          </w:tcPr>
          <w:p w:rsidR="00C14D8A" w:rsidRPr="007E6A6A" w:rsidRDefault="00C14D8A" w:rsidP="00C14D8A">
            <w:pPr>
              <w:jc w:val="both"/>
              <w:rPr>
                <w:rFonts w:eastAsia="Calibri"/>
                <w:sz w:val="20"/>
              </w:rPr>
            </w:pPr>
          </w:p>
        </w:tc>
        <w:tc>
          <w:tcPr>
            <w:tcW w:w="2330" w:type="pct"/>
          </w:tcPr>
          <w:p w:rsidR="00C14D8A" w:rsidRPr="007E6A6A" w:rsidRDefault="00C14D8A" w:rsidP="00C14D8A">
            <w:pPr>
              <w:jc w:val="both"/>
              <w:rPr>
                <w:rFonts w:eastAsia="Calibri"/>
                <w:sz w:val="20"/>
              </w:rPr>
            </w:pPr>
            <w:r w:rsidRPr="007E6A6A">
              <w:rPr>
                <w:rFonts w:eastAsia="Calibri"/>
                <w:sz w:val="20"/>
              </w:rPr>
              <w:t>Applicant’s application for leave to appeal dismissed</w:t>
            </w:r>
          </w:p>
          <w:p w:rsidR="00C14D8A" w:rsidRPr="007E6A6A" w:rsidRDefault="00C14D8A" w:rsidP="00C14D8A">
            <w:pPr>
              <w:jc w:val="both"/>
              <w:rPr>
                <w:rFonts w:eastAsia="Calibri"/>
                <w:sz w:val="20"/>
              </w:rPr>
            </w:pPr>
          </w:p>
        </w:tc>
      </w:tr>
      <w:tr w:rsidR="00C14D8A" w:rsidRPr="007E6A6A" w:rsidTr="00C14D8A">
        <w:tc>
          <w:tcPr>
            <w:tcW w:w="2427" w:type="pct"/>
          </w:tcPr>
          <w:p w:rsidR="00C14D8A" w:rsidRPr="007E6A6A" w:rsidRDefault="00C14D8A" w:rsidP="00C14D8A">
            <w:pPr>
              <w:jc w:val="both"/>
              <w:rPr>
                <w:rFonts w:eastAsia="Calibri"/>
                <w:sz w:val="20"/>
              </w:rPr>
            </w:pPr>
            <w:r w:rsidRPr="007E6A6A">
              <w:rPr>
                <w:rFonts w:eastAsia="Calibri"/>
                <w:sz w:val="20"/>
              </w:rPr>
              <w:t>February 16, 2012</w:t>
            </w:r>
          </w:p>
          <w:p w:rsidR="00C14D8A" w:rsidRPr="007E6A6A" w:rsidRDefault="00C14D8A" w:rsidP="00C14D8A">
            <w:pPr>
              <w:jc w:val="both"/>
              <w:rPr>
                <w:rFonts w:eastAsia="Calibri"/>
                <w:sz w:val="20"/>
              </w:rPr>
            </w:pPr>
            <w:r w:rsidRPr="007E6A6A">
              <w:rPr>
                <w:rFonts w:eastAsia="Calibri"/>
                <w:sz w:val="20"/>
              </w:rPr>
              <w:t>Supreme Court of Canada</w:t>
            </w:r>
          </w:p>
          <w:p w:rsidR="00C14D8A" w:rsidRPr="007E6A6A" w:rsidRDefault="00C14D8A" w:rsidP="00C14D8A">
            <w:pPr>
              <w:jc w:val="both"/>
              <w:rPr>
                <w:rFonts w:eastAsia="Calibri"/>
                <w:sz w:val="20"/>
              </w:rPr>
            </w:pPr>
          </w:p>
        </w:tc>
        <w:tc>
          <w:tcPr>
            <w:tcW w:w="243" w:type="pct"/>
          </w:tcPr>
          <w:p w:rsidR="00C14D8A" w:rsidRPr="007E6A6A" w:rsidRDefault="00C14D8A" w:rsidP="00C14D8A">
            <w:pPr>
              <w:jc w:val="both"/>
              <w:rPr>
                <w:rFonts w:eastAsia="Calibri"/>
                <w:sz w:val="20"/>
              </w:rPr>
            </w:pPr>
          </w:p>
        </w:tc>
        <w:tc>
          <w:tcPr>
            <w:tcW w:w="2330" w:type="pct"/>
          </w:tcPr>
          <w:p w:rsidR="00C14D8A" w:rsidRPr="007E6A6A" w:rsidRDefault="00C14D8A" w:rsidP="00C14D8A">
            <w:pPr>
              <w:jc w:val="both"/>
              <w:rPr>
                <w:rFonts w:eastAsia="Calibri"/>
                <w:sz w:val="20"/>
              </w:rPr>
            </w:pPr>
            <w:r w:rsidRPr="007E6A6A">
              <w:rPr>
                <w:rFonts w:eastAsia="Calibri"/>
                <w:sz w:val="20"/>
              </w:rPr>
              <w:t>Application for leave to appeal and motion for extension of time to serve and file application for leave filed</w:t>
            </w:r>
          </w:p>
        </w:tc>
      </w:tr>
    </w:tbl>
    <w:p w:rsidR="00F83F5A" w:rsidRPr="00C50A5C" w:rsidRDefault="00F83F5A" w:rsidP="00F83F5A">
      <w:pPr>
        <w:rPr>
          <w:sz w:val="20"/>
          <w:szCs w:val="20"/>
        </w:rPr>
      </w:pPr>
    </w:p>
    <w:p w:rsidR="00F83F5A" w:rsidRPr="00C50A5C" w:rsidRDefault="00ED3438" w:rsidP="00F83F5A">
      <w:pPr>
        <w:rPr>
          <w:sz w:val="20"/>
          <w:szCs w:val="20"/>
        </w:rPr>
      </w:pPr>
      <w:r w:rsidRPr="00ED3438">
        <w:rPr>
          <w:sz w:val="20"/>
          <w:szCs w:val="20"/>
          <w:lang w:val="fr-CA"/>
        </w:rPr>
        <w:pict>
          <v:rect id="_x0000_i1061" style="width:2in;height:1pt" o:hrpct="0" o:hralign="center" o:hrstd="t" o:hrnoshade="t" o:hr="t" fillcolor="black [3213]" stroked="f"/>
        </w:pict>
      </w:r>
    </w:p>
    <w:p w:rsidR="00F83F5A" w:rsidRDefault="00F83F5A" w:rsidP="00F83F5A">
      <w:pPr>
        <w:rPr>
          <w:sz w:val="20"/>
          <w:szCs w:val="20"/>
        </w:rPr>
      </w:pPr>
    </w:p>
    <w:p w:rsidR="00F83F5A" w:rsidRPr="001B157C" w:rsidRDefault="00F83F5A" w:rsidP="00F83F5A">
      <w:pPr>
        <w:rPr>
          <w:sz w:val="20"/>
          <w:szCs w:val="20"/>
          <w:u w:val="single"/>
          <w:lang w:val="fr-CA"/>
        </w:rPr>
      </w:pPr>
      <w:r w:rsidRPr="001B157C">
        <w:rPr>
          <w:sz w:val="20"/>
          <w:szCs w:val="20"/>
          <w:u w:val="single"/>
          <w:lang w:val="fr-CA"/>
        </w:rPr>
        <w:t>RÉSUMÉ DE L’AFFAIRE</w:t>
      </w:r>
    </w:p>
    <w:p w:rsidR="00F83F5A" w:rsidRDefault="00F83F5A" w:rsidP="00F83F5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14D8A" w:rsidRPr="00017BF4" w:rsidTr="00C14D8A">
        <w:tc>
          <w:tcPr>
            <w:tcW w:w="5000" w:type="pct"/>
            <w:gridSpan w:val="3"/>
          </w:tcPr>
          <w:p w:rsidR="00C14D8A" w:rsidRPr="007E6A6A" w:rsidRDefault="00C14D8A" w:rsidP="00C14D8A">
            <w:pPr>
              <w:jc w:val="both"/>
              <w:rPr>
                <w:rFonts w:eastAsia="Calibri"/>
                <w:sz w:val="20"/>
                <w:lang w:val="fr-CA"/>
              </w:rPr>
            </w:pPr>
            <w:r w:rsidRPr="007E6A6A">
              <w:rPr>
                <w:rFonts w:eastAsia="Calibri"/>
                <w:sz w:val="20"/>
                <w:lang w:val="fr-CA"/>
              </w:rPr>
              <w:t xml:space="preserve">Droit de la famille – Adoption – Un nouveau-né a été placé en famille d'accueil peu de temps après sa naissance – La famille d'accueil a fait une demande d'adoption – Les </w:t>
            </w:r>
            <w:proofErr w:type="spellStart"/>
            <w:r w:rsidRPr="007E6A6A">
              <w:rPr>
                <w:rFonts w:eastAsia="Calibri"/>
                <w:sz w:val="20"/>
                <w:lang w:val="fr-CA"/>
              </w:rPr>
              <w:t>demanderesses</w:t>
            </w:r>
            <w:proofErr w:type="spellEnd"/>
            <w:r w:rsidRPr="007E6A6A">
              <w:rPr>
                <w:rFonts w:eastAsia="Calibri"/>
                <w:sz w:val="20"/>
                <w:lang w:val="fr-CA"/>
              </w:rPr>
              <w:t xml:space="preserve">, tantes biologiques de l'enfant, font également une demande d'adoption – La Commission de révision des services à l'enfance et à la famille a confirmé la décision de rejeter la demande d'adoption des </w:t>
            </w:r>
            <w:proofErr w:type="spellStart"/>
            <w:r w:rsidRPr="007E6A6A">
              <w:rPr>
                <w:rFonts w:eastAsia="Calibri"/>
                <w:sz w:val="20"/>
                <w:lang w:val="fr-CA"/>
              </w:rPr>
              <w:t>demanderesses</w:t>
            </w:r>
            <w:proofErr w:type="spellEnd"/>
            <w:r w:rsidRPr="007E6A6A">
              <w:rPr>
                <w:rFonts w:eastAsia="Calibri"/>
                <w:sz w:val="20"/>
                <w:lang w:val="fr-CA"/>
              </w:rPr>
              <w:t xml:space="preserve"> - Le tribunal inférieur a-t-il eu tort de ne pas reconnaître que les conclusions de fait et de droit de la Commission de révision des services à l’enfance et à la famille n'étaient pas appuyées par la preuve?</w:t>
            </w:r>
          </w:p>
        </w:tc>
      </w:tr>
      <w:tr w:rsidR="00C14D8A" w:rsidRPr="00017BF4" w:rsidTr="00C14D8A">
        <w:tc>
          <w:tcPr>
            <w:tcW w:w="5000" w:type="pct"/>
            <w:gridSpan w:val="3"/>
          </w:tcPr>
          <w:p w:rsidR="00C14D8A" w:rsidRPr="007E6A6A" w:rsidRDefault="00C14D8A" w:rsidP="00C14D8A">
            <w:pPr>
              <w:jc w:val="both"/>
              <w:rPr>
                <w:rFonts w:eastAsia="Calibri"/>
                <w:sz w:val="20"/>
                <w:lang w:val="fr-CA"/>
              </w:rPr>
            </w:pPr>
          </w:p>
        </w:tc>
      </w:tr>
      <w:tr w:rsidR="00C14D8A" w:rsidRPr="00017BF4" w:rsidTr="00C14D8A">
        <w:tc>
          <w:tcPr>
            <w:tcW w:w="5000" w:type="pct"/>
            <w:gridSpan w:val="3"/>
          </w:tcPr>
          <w:p w:rsidR="00C14D8A" w:rsidRPr="007E6A6A" w:rsidRDefault="00C14D8A" w:rsidP="00C14D8A">
            <w:pPr>
              <w:jc w:val="both"/>
              <w:rPr>
                <w:rFonts w:eastAsia="Calibri"/>
                <w:sz w:val="20"/>
                <w:lang w:val="fr-CA"/>
              </w:rPr>
            </w:pPr>
            <w:r w:rsidRPr="007E6A6A">
              <w:rPr>
                <w:rFonts w:eastAsia="Calibri"/>
                <w:sz w:val="20"/>
                <w:lang w:val="fr-CA"/>
              </w:rPr>
              <w:t xml:space="preserve">L'enfant en cause est né le 9 mai 2008 et a été placé par l'intimée dans une famille d'accueil trois jours après sa naissance. Il vit avec cette famille depuis et les parents de la famille d'accueil ont présenté une demande en vue de l'adopter. Les tantes paternelles de l'enfant ont également présenté une demande à la Société en vue d'adopter leur neveu, mais leur demande a été rejetée en avril 2010. Elles ont interjeté appel de cette décision à la Commission de révision des services à l'enfance et à la famille et une audience a eu lieu en mai 2010. La décision de l'intimée a été confirmée. Les </w:t>
            </w:r>
            <w:proofErr w:type="spellStart"/>
            <w:r w:rsidRPr="007E6A6A">
              <w:rPr>
                <w:rFonts w:eastAsia="Calibri"/>
                <w:sz w:val="20"/>
                <w:lang w:val="fr-CA"/>
              </w:rPr>
              <w:t>demanderesses</w:t>
            </w:r>
            <w:proofErr w:type="spellEnd"/>
            <w:r w:rsidRPr="007E6A6A">
              <w:rPr>
                <w:rFonts w:eastAsia="Calibri"/>
                <w:sz w:val="20"/>
                <w:lang w:val="fr-CA"/>
              </w:rPr>
              <w:t xml:space="preserve"> ont demandé le contrôle judiciaire de cette décision.</w:t>
            </w:r>
          </w:p>
          <w:p w:rsidR="00C14D8A" w:rsidRPr="007E6A6A" w:rsidRDefault="00C14D8A" w:rsidP="00C14D8A">
            <w:pPr>
              <w:jc w:val="both"/>
              <w:rPr>
                <w:rFonts w:eastAsia="Calibri"/>
                <w:sz w:val="20"/>
                <w:lang w:val="fr-CA"/>
              </w:rPr>
            </w:pPr>
          </w:p>
        </w:tc>
      </w:tr>
      <w:tr w:rsidR="00C14D8A" w:rsidRPr="00017BF4" w:rsidTr="00C14D8A">
        <w:tc>
          <w:tcPr>
            <w:tcW w:w="2427" w:type="pct"/>
          </w:tcPr>
          <w:p w:rsidR="00C14D8A" w:rsidRPr="007E6A6A" w:rsidRDefault="00C14D8A" w:rsidP="00C14D8A">
            <w:pPr>
              <w:jc w:val="both"/>
              <w:rPr>
                <w:rFonts w:eastAsia="Calibri"/>
                <w:sz w:val="20"/>
                <w:lang w:val="fr-CA"/>
              </w:rPr>
            </w:pPr>
            <w:r w:rsidRPr="007E6A6A">
              <w:rPr>
                <w:rFonts w:eastAsia="Calibri"/>
                <w:sz w:val="20"/>
                <w:lang w:val="fr-CA"/>
              </w:rPr>
              <w:t>3 juin 2011</w:t>
            </w:r>
          </w:p>
          <w:p w:rsidR="00C14D8A" w:rsidRPr="007E6A6A" w:rsidRDefault="00C14D8A" w:rsidP="00C14D8A">
            <w:pPr>
              <w:jc w:val="both"/>
              <w:rPr>
                <w:rFonts w:eastAsia="Calibri"/>
                <w:sz w:val="20"/>
                <w:lang w:val="fr-CA"/>
              </w:rPr>
            </w:pPr>
            <w:r w:rsidRPr="007E6A6A">
              <w:rPr>
                <w:rFonts w:eastAsia="Calibri"/>
                <w:sz w:val="20"/>
                <w:lang w:val="fr-CA"/>
              </w:rPr>
              <w:t xml:space="preserve">Cour supérieure de justice de l'Ontario </w:t>
            </w:r>
          </w:p>
          <w:p w:rsidR="00C14D8A" w:rsidRPr="007E6A6A" w:rsidRDefault="00C14D8A" w:rsidP="00C14D8A">
            <w:pPr>
              <w:jc w:val="both"/>
              <w:rPr>
                <w:rFonts w:eastAsia="Calibri"/>
                <w:sz w:val="20"/>
                <w:lang w:val="fr-CA"/>
              </w:rPr>
            </w:pPr>
            <w:r w:rsidRPr="007E6A6A">
              <w:rPr>
                <w:rFonts w:eastAsia="Calibri"/>
                <w:sz w:val="20"/>
                <w:lang w:val="fr-CA"/>
              </w:rPr>
              <w:t>(Cour divisionnaire)</w:t>
            </w:r>
          </w:p>
          <w:p w:rsidR="00C14D8A" w:rsidRPr="007E6A6A" w:rsidRDefault="00C14D8A" w:rsidP="00C14D8A">
            <w:pPr>
              <w:jc w:val="both"/>
              <w:rPr>
                <w:rFonts w:eastAsia="Calibri"/>
                <w:sz w:val="20"/>
                <w:lang w:val="fr-CA"/>
              </w:rPr>
            </w:pPr>
            <w:r w:rsidRPr="007E6A6A">
              <w:rPr>
                <w:rFonts w:eastAsia="Calibri"/>
                <w:sz w:val="20"/>
                <w:lang w:val="fr-CA"/>
              </w:rPr>
              <w:t xml:space="preserve">(Juge </w:t>
            </w:r>
            <w:proofErr w:type="spellStart"/>
            <w:r w:rsidRPr="007E6A6A">
              <w:rPr>
                <w:rFonts w:eastAsia="Calibri"/>
                <w:sz w:val="20"/>
                <w:lang w:val="fr-CA"/>
              </w:rPr>
              <w:t>Pomerance</w:t>
            </w:r>
            <w:proofErr w:type="spellEnd"/>
            <w:r w:rsidRPr="007E6A6A">
              <w:rPr>
                <w:rFonts w:eastAsia="Calibri"/>
                <w:sz w:val="20"/>
                <w:lang w:val="fr-CA"/>
              </w:rPr>
              <w:t>)</w:t>
            </w:r>
          </w:p>
          <w:p w:rsidR="00C14D8A" w:rsidRPr="007E6A6A" w:rsidRDefault="00C14D8A" w:rsidP="00C14D8A">
            <w:pPr>
              <w:jc w:val="both"/>
              <w:rPr>
                <w:rFonts w:eastAsia="Calibri"/>
                <w:sz w:val="20"/>
                <w:lang w:val="fr-CA"/>
              </w:rPr>
            </w:pPr>
            <w:r w:rsidRPr="007E6A6A">
              <w:rPr>
                <w:rFonts w:eastAsia="Calibri"/>
                <w:sz w:val="20"/>
                <w:lang w:val="fr-CA"/>
              </w:rPr>
              <w:t>(Non publié)</w:t>
            </w:r>
          </w:p>
          <w:p w:rsidR="00C14D8A" w:rsidRPr="007E6A6A" w:rsidRDefault="00C14D8A" w:rsidP="00C14D8A">
            <w:pPr>
              <w:jc w:val="both"/>
              <w:rPr>
                <w:rFonts w:eastAsia="Calibri"/>
                <w:sz w:val="20"/>
                <w:lang w:val="fr-CA"/>
              </w:rPr>
            </w:pPr>
          </w:p>
        </w:tc>
        <w:tc>
          <w:tcPr>
            <w:tcW w:w="243" w:type="pct"/>
          </w:tcPr>
          <w:p w:rsidR="00C14D8A" w:rsidRPr="007E6A6A" w:rsidRDefault="00C14D8A" w:rsidP="00C14D8A">
            <w:pPr>
              <w:jc w:val="both"/>
              <w:rPr>
                <w:rFonts w:eastAsia="Calibri"/>
                <w:sz w:val="20"/>
                <w:lang w:val="fr-CA"/>
              </w:rPr>
            </w:pPr>
          </w:p>
        </w:tc>
        <w:tc>
          <w:tcPr>
            <w:tcW w:w="2330" w:type="pct"/>
          </w:tcPr>
          <w:p w:rsidR="00C14D8A" w:rsidRPr="007E6A6A" w:rsidRDefault="00C14D8A" w:rsidP="00C14D8A">
            <w:pPr>
              <w:jc w:val="both"/>
              <w:rPr>
                <w:rFonts w:eastAsia="Calibri"/>
                <w:sz w:val="20"/>
                <w:lang w:val="fr-CA"/>
              </w:rPr>
            </w:pPr>
            <w:r w:rsidRPr="007E6A6A">
              <w:rPr>
                <w:rFonts w:eastAsia="Calibri"/>
                <w:sz w:val="20"/>
                <w:lang w:val="fr-CA"/>
              </w:rPr>
              <w:t>Demande de contrôle judiciaire, rejetée</w:t>
            </w:r>
          </w:p>
        </w:tc>
      </w:tr>
      <w:tr w:rsidR="00C14D8A" w:rsidRPr="00017BF4" w:rsidTr="00C14D8A">
        <w:tc>
          <w:tcPr>
            <w:tcW w:w="2427" w:type="pct"/>
          </w:tcPr>
          <w:p w:rsidR="00C14D8A" w:rsidRPr="007E6A6A" w:rsidRDefault="00C14D8A" w:rsidP="00C14D8A">
            <w:pPr>
              <w:jc w:val="both"/>
              <w:rPr>
                <w:rFonts w:eastAsia="Calibri"/>
                <w:sz w:val="20"/>
                <w:lang w:val="fr-CA"/>
              </w:rPr>
            </w:pPr>
            <w:r w:rsidRPr="007E6A6A">
              <w:rPr>
                <w:rFonts w:eastAsia="Calibri"/>
                <w:sz w:val="20"/>
                <w:lang w:val="fr-CA"/>
              </w:rPr>
              <w:t>17 octobre 2011</w:t>
            </w:r>
          </w:p>
          <w:p w:rsidR="00C14D8A" w:rsidRPr="007E6A6A" w:rsidRDefault="00C14D8A" w:rsidP="00C14D8A">
            <w:pPr>
              <w:jc w:val="both"/>
              <w:rPr>
                <w:rFonts w:eastAsia="Calibri"/>
                <w:sz w:val="20"/>
                <w:lang w:val="fr-CA"/>
              </w:rPr>
            </w:pPr>
            <w:r w:rsidRPr="007E6A6A">
              <w:rPr>
                <w:rFonts w:eastAsia="Calibri"/>
                <w:sz w:val="20"/>
                <w:lang w:val="fr-CA"/>
              </w:rPr>
              <w:t xml:space="preserve">Cour d'appel de l'Ontario </w:t>
            </w:r>
          </w:p>
          <w:p w:rsidR="00C14D8A" w:rsidRPr="007E6A6A" w:rsidRDefault="00C14D8A" w:rsidP="00C14D8A">
            <w:pPr>
              <w:jc w:val="both"/>
              <w:rPr>
                <w:rFonts w:eastAsia="Calibri"/>
                <w:sz w:val="20"/>
                <w:lang w:val="fr-CA"/>
              </w:rPr>
            </w:pPr>
            <w:r w:rsidRPr="007E6A6A">
              <w:rPr>
                <w:rFonts w:eastAsia="Calibri"/>
                <w:sz w:val="20"/>
                <w:lang w:val="fr-CA"/>
              </w:rPr>
              <w:t xml:space="preserve">(Juges Blair, </w:t>
            </w:r>
            <w:proofErr w:type="spellStart"/>
            <w:r w:rsidRPr="007E6A6A">
              <w:rPr>
                <w:rFonts w:eastAsia="Calibri"/>
                <w:sz w:val="20"/>
                <w:lang w:val="fr-CA"/>
              </w:rPr>
              <w:t>LaForme</w:t>
            </w:r>
            <w:proofErr w:type="spellEnd"/>
            <w:r w:rsidRPr="007E6A6A">
              <w:rPr>
                <w:rFonts w:eastAsia="Calibri"/>
                <w:sz w:val="20"/>
                <w:lang w:val="fr-CA"/>
              </w:rPr>
              <w:t xml:space="preserve"> et </w:t>
            </w:r>
            <w:proofErr w:type="spellStart"/>
            <w:r w:rsidRPr="007E6A6A">
              <w:rPr>
                <w:rFonts w:eastAsia="Calibri"/>
                <w:sz w:val="20"/>
                <w:lang w:val="fr-CA"/>
              </w:rPr>
              <w:t>Benotto</w:t>
            </w:r>
            <w:proofErr w:type="spellEnd"/>
            <w:r w:rsidRPr="007E6A6A">
              <w:rPr>
                <w:rFonts w:eastAsia="Calibri"/>
                <w:sz w:val="20"/>
                <w:lang w:val="fr-CA"/>
              </w:rPr>
              <w:t>)</w:t>
            </w:r>
          </w:p>
          <w:p w:rsidR="00C14D8A" w:rsidRPr="007E6A6A" w:rsidRDefault="00C14D8A" w:rsidP="00C14D8A">
            <w:pPr>
              <w:jc w:val="both"/>
              <w:rPr>
                <w:rFonts w:eastAsia="Calibri"/>
                <w:sz w:val="20"/>
                <w:lang w:val="fr-CA"/>
              </w:rPr>
            </w:pPr>
            <w:r w:rsidRPr="007E6A6A">
              <w:rPr>
                <w:rFonts w:eastAsia="Calibri"/>
                <w:sz w:val="20"/>
                <w:lang w:val="fr-CA"/>
              </w:rPr>
              <w:t>(Non publié)</w:t>
            </w:r>
          </w:p>
          <w:p w:rsidR="00C14D8A" w:rsidRPr="007E6A6A" w:rsidRDefault="00C14D8A" w:rsidP="00C14D8A">
            <w:pPr>
              <w:jc w:val="both"/>
              <w:rPr>
                <w:rFonts w:eastAsia="Calibri"/>
                <w:sz w:val="20"/>
                <w:lang w:val="fr-CA"/>
              </w:rPr>
            </w:pPr>
          </w:p>
        </w:tc>
        <w:tc>
          <w:tcPr>
            <w:tcW w:w="243" w:type="pct"/>
          </w:tcPr>
          <w:p w:rsidR="00C14D8A" w:rsidRPr="007E6A6A" w:rsidRDefault="00C14D8A" w:rsidP="00C14D8A">
            <w:pPr>
              <w:jc w:val="both"/>
              <w:rPr>
                <w:rFonts w:eastAsia="Calibri"/>
                <w:sz w:val="20"/>
                <w:lang w:val="fr-CA"/>
              </w:rPr>
            </w:pPr>
          </w:p>
        </w:tc>
        <w:tc>
          <w:tcPr>
            <w:tcW w:w="2330" w:type="pct"/>
          </w:tcPr>
          <w:p w:rsidR="00C14D8A" w:rsidRPr="007E6A6A" w:rsidRDefault="00C14D8A" w:rsidP="00C14D8A">
            <w:pPr>
              <w:jc w:val="both"/>
              <w:rPr>
                <w:rFonts w:eastAsia="Calibri"/>
                <w:sz w:val="20"/>
                <w:lang w:val="fr-CA"/>
              </w:rPr>
            </w:pPr>
            <w:r w:rsidRPr="007E6A6A">
              <w:rPr>
                <w:rFonts w:eastAsia="Calibri"/>
                <w:sz w:val="20"/>
                <w:lang w:val="fr-CA"/>
              </w:rPr>
              <w:t xml:space="preserve">Demande d'autorisation d'appel des </w:t>
            </w:r>
            <w:proofErr w:type="spellStart"/>
            <w:r w:rsidRPr="007E6A6A">
              <w:rPr>
                <w:rFonts w:eastAsia="Calibri"/>
                <w:sz w:val="20"/>
                <w:lang w:val="fr-CA"/>
              </w:rPr>
              <w:t>demanderesses</w:t>
            </w:r>
            <w:proofErr w:type="spellEnd"/>
            <w:r w:rsidRPr="007E6A6A">
              <w:rPr>
                <w:rFonts w:eastAsia="Calibri"/>
                <w:sz w:val="20"/>
                <w:lang w:val="fr-CA"/>
              </w:rPr>
              <w:t>, rejetée</w:t>
            </w:r>
          </w:p>
          <w:p w:rsidR="00C14D8A" w:rsidRPr="007E6A6A" w:rsidRDefault="00C14D8A" w:rsidP="00C14D8A">
            <w:pPr>
              <w:jc w:val="both"/>
              <w:rPr>
                <w:rFonts w:eastAsia="Calibri"/>
                <w:sz w:val="20"/>
                <w:lang w:val="fr-CA"/>
              </w:rPr>
            </w:pPr>
          </w:p>
        </w:tc>
      </w:tr>
      <w:tr w:rsidR="00C14D8A" w:rsidRPr="00017BF4" w:rsidTr="00C14D8A">
        <w:tc>
          <w:tcPr>
            <w:tcW w:w="2427" w:type="pct"/>
          </w:tcPr>
          <w:p w:rsidR="00C14D8A" w:rsidRPr="007E6A6A" w:rsidRDefault="00C14D8A" w:rsidP="00C14D8A">
            <w:pPr>
              <w:jc w:val="both"/>
              <w:rPr>
                <w:rFonts w:eastAsia="Calibri"/>
                <w:sz w:val="20"/>
                <w:lang w:val="fr-CA"/>
              </w:rPr>
            </w:pPr>
            <w:r w:rsidRPr="007E6A6A">
              <w:rPr>
                <w:rFonts w:eastAsia="Calibri"/>
                <w:sz w:val="20"/>
                <w:lang w:val="fr-CA"/>
              </w:rPr>
              <w:t>16 février 2012</w:t>
            </w:r>
          </w:p>
          <w:p w:rsidR="00C14D8A" w:rsidRPr="007E6A6A" w:rsidRDefault="00C14D8A" w:rsidP="00C14D8A">
            <w:pPr>
              <w:jc w:val="both"/>
              <w:rPr>
                <w:rFonts w:eastAsia="Calibri"/>
                <w:sz w:val="20"/>
                <w:lang w:val="fr-CA"/>
              </w:rPr>
            </w:pPr>
            <w:r w:rsidRPr="007E6A6A">
              <w:rPr>
                <w:rFonts w:eastAsia="Calibri"/>
                <w:sz w:val="20"/>
                <w:lang w:val="fr-CA"/>
              </w:rPr>
              <w:t>Cour suprême du Canada</w:t>
            </w:r>
          </w:p>
          <w:p w:rsidR="00C14D8A" w:rsidRPr="007E6A6A" w:rsidRDefault="00C14D8A" w:rsidP="00C14D8A">
            <w:pPr>
              <w:jc w:val="both"/>
              <w:rPr>
                <w:rFonts w:eastAsia="Calibri"/>
                <w:sz w:val="20"/>
                <w:lang w:val="fr-CA"/>
              </w:rPr>
            </w:pPr>
          </w:p>
        </w:tc>
        <w:tc>
          <w:tcPr>
            <w:tcW w:w="243" w:type="pct"/>
          </w:tcPr>
          <w:p w:rsidR="00C14D8A" w:rsidRPr="007E6A6A" w:rsidRDefault="00C14D8A" w:rsidP="00C14D8A">
            <w:pPr>
              <w:jc w:val="both"/>
              <w:rPr>
                <w:rFonts w:eastAsia="Calibri"/>
                <w:sz w:val="20"/>
                <w:lang w:val="fr-CA"/>
              </w:rPr>
            </w:pPr>
          </w:p>
        </w:tc>
        <w:tc>
          <w:tcPr>
            <w:tcW w:w="2330" w:type="pct"/>
          </w:tcPr>
          <w:p w:rsidR="00C14D8A" w:rsidRPr="007E6A6A" w:rsidRDefault="00C14D8A" w:rsidP="00C14D8A">
            <w:pPr>
              <w:jc w:val="both"/>
              <w:rPr>
                <w:rFonts w:eastAsia="Calibri"/>
                <w:sz w:val="20"/>
                <w:lang w:val="fr-CA"/>
              </w:rPr>
            </w:pPr>
            <w:r w:rsidRPr="007E6A6A">
              <w:rPr>
                <w:rFonts w:eastAsia="Calibri"/>
                <w:sz w:val="20"/>
                <w:lang w:val="fr-CA"/>
              </w:rPr>
              <w:t>Demande d'autorisation d'appel et requête en prorogation du délai de signification et de dépôt de la demande d'autorisation, déposées</w:t>
            </w:r>
          </w:p>
        </w:tc>
      </w:tr>
    </w:tbl>
    <w:p w:rsidR="00F83F5A" w:rsidRPr="00C14D8A" w:rsidRDefault="00F83F5A" w:rsidP="00F83F5A">
      <w:pPr>
        <w:rPr>
          <w:sz w:val="20"/>
          <w:szCs w:val="20"/>
          <w:lang w:val="fr-CA"/>
        </w:rPr>
      </w:pPr>
    </w:p>
    <w:p w:rsidR="00F83F5A" w:rsidRDefault="00ED3438" w:rsidP="00F83F5A">
      <w:pPr>
        <w:rPr>
          <w:sz w:val="20"/>
          <w:szCs w:val="20"/>
        </w:rPr>
      </w:pPr>
      <w:r w:rsidRPr="00ED3438">
        <w:rPr>
          <w:sz w:val="20"/>
          <w:szCs w:val="20"/>
          <w:lang w:val="fr-CA"/>
        </w:rPr>
        <w:pict>
          <v:rect id="_x0000_i1062" style="width:2in;height:1pt" o:hrpct="0" o:hralign="center" o:hrstd="t" o:hrnoshade="t" o:hr="t" fillcolor="black [3213]" stroked="f"/>
        </w:pict>
      </w:r>
    </w:p>
    <w:p w:rsidR="00F83F5A" w:rsidRDefault="00F83F5A" w:rsidP="00F83F5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30D52" w:rsidRPr="0047561F" w:rsidTr="00B60060">
        <w:trPr>
          <w:cantSplit/>
        </w:trPr>
        <w:tc>
          <w:tcPr>
            <w:tcW w:w="1458" w:type="dxa"/>
          </w:tcPr>
          <w:p w:rsidR="00630D52" w:rsidRPr="0047561F" w:rsidRDefault="00630D52" w:rsidP="00B60060">
            <w:pPr>
              <w:rPr>
                <w:sz w:val="20"/>
                <w:szCs w:val="20"/>
              </w:rPr>
            </w:pPr>
            <w:r w:rsidRPr="0047561F">
              <w:rPr>
                <w:rStyle w:val="SCCFileNumberChar"/>
                <w:sz w:val="20"/>
                <w:szCs w:val="20"/>
              </w:rPr>
              <w:t>34726</w:t>
            </w:r>
          </w:p>
          <w:p w:rsidR="00630D52" w:rsidRPr="0047561F" w:rsidRDefault="00630D52" w:rsidP="00B60060">
            <w:pPr>
              <w:rPr>
                <w:b/>
                <w:sz w:val="20"/>
                <w:szCs w:val="20"/>
                <w:lang w:val="fr-CA"/>
              </w:rPr>
            </w:pPr>
          </w:p>
        </w:tc>
        <w:tc>
          <w:tcPr>
            <w:tcW w:w="8118" w:type="dxa"/>
          </w:tcPr>
          <w:p w:rsidR="00630D52" w:rsidRPr="0047561F" w:rsidRDefault="00630D52" w:rsidP="00B60060">
            <w:pPr>
              <w:jc w:val="both"/>
              <w:rPr>
                <w:sz w:val="20"/>
                <w:szCs w:val="20"/>
              </w:rPr>
            </w:pPr>
            <w:r w:rsidRPr="00630D52">
              <w:rPr>
                <w:rStyle w:val="SCCLsocChar"/>
                <w:sz w:val="20"/>
                <w:szCs w:val="20"/>
                <w:lang w:val="en-CA"/>
              </w:rPr>
              <w:t xml:space="preserve">Hugh </w:t>
            </w:r>
            <w:proofErr w:type="spellStart"/>
            <w:r w:rsidRPr="00630D52">
              <w:rPr>
                <w:rStyle w:val="SCCLsocChar"/>
                <w:sz w:val="20"/>
                <w:szCs w:val="20"/>
                <w:lang w:val="en-CA"/>
              </w:rPr>
              <w:t>Doig</w:t>
            </w:r>
            <w:proofErr w:type="spellEnd"/>
            <w:r w:rsidRPr="00630D52">
              <w:rPr>
                <w:rStyle w:val="SCCLsocChar"/>
                <w:sz w:val="20"/>
                <w:szCs w:val="20"/>
                <w:lang w:val="en-CA"/>
              </w:rPr>
              <w:t xml:space="preserve"> v. Her Majesty the Queen in Right of Canada (Minister of National Revenue)</w:t>
            </w:r>
            <w:r w:rsidRPr="0047561F">
              <w:rPr>
                <w:sz w:val="20"/>
                <w:szCs w:val="20"/>
              </w:rPr>
              <w:t xml:space="preserve"> (F.C.) (Civil) (By Leave)</w:t>
            </w:r>
          </w:p>
          <w:p w:rsidR="00630D52" w:rsidRPr="0047561F" w:rsidRDefault="00630D52" w:rsidP="00B60060">
            <w:pPr>
              <w:jc w:val="both"/>
              <w:rPr>
                <w:sz w:val="20"/>
                <w:szCs w:val="20"/>
              </w:rPr>
            </w:pPr>
          </w:p>
        </w:tc>
      </w:tr>
      <w:tr w:rsidR="00630D52" w:rsidRPr="0047561F" w:rsidTr="00B60060">
        <w:trPr>
          <w:cantSplit/>
        </w:trPr>
        <w:tc>
          <w:tcPr>
            <w:tcW w:w="1458" w:type="dxa"/>
          </w:tcPr>
          <w:p w:rsidR="00630D52" w:rsidRPr="0047561F" w:rsidRDefault="00630D52" w:rsidP="00B60060">
            <w:pPr>
              <w:rPr>
                <w:sz w:val="20"/>
                <w:szCs w:val="20"/>
              </w:rPr>
            </w:pPr>
            <w:r w:rsidRPr="0047561F">
              <w:rPr>
                <w:sz w:val="20"/>
                <w:szCs w:val="20"/>
              </w:rPr>
              <w:t>Coram :</w:t>
            </w:r>
          </w:p>
        </w:tc>
        <w:tc>
          <w:tcPr>
            <w:tcW w:w="8118" w:type="dxa"/>
          </w:tcPr>
          <w:p w:rsidR="00630D52" w:rsidRPr="0047561F" w:rsidRDefault="00630D52" w:rsidP="00B60060">
            <w:pPr>
              <w:rPr>
                <w:sz w:val="20"/>
                <w:szCs w:val="20"/>
              </w:rPr>
            </w:pPr>
            <w:proofErr w:type="spellStart"/>
            <w:r w:rsidRPr="00630D52">
              <w:rPr>
                <w:rStyle w:val="SCCCoramChar"/>
                <w:sz w:val="20"/>
                <w:szCs w:val="20"/>
                <w:lang w:val="en-CA"/>
              </w:rPr>
              <w:t>Deschamps</w:t>
            </w:r>
            <w:proofErr w:type="spellEnd"/>
            <w:r w:rsidRPr="00630D52">
              <w:rPr>
                <w:rStyle w:val="SCCCoramChar"/>
                <w:sz w:val="20"/>
                <w:szCs w:val="20"/>
                <w:lang w:val="en-CA"/>
              </w:rPr>
              <w:t xml:space="preserve">, Fish and </w:t>
            </w:r>
            <w:proofErr w:type="spellStart"/>
            <w:r w:rsidRPr="00630D52">
              <w:rPr>
                <w:rStyle w:val="SCCCoramChar"/>
                <w:sz w:val="20"/>
                <w:szCs w:val="20"/>
                <w:lang w:val="en-CA"/>
              </w:rPr>
              <w:t>Karakatsanis</w:t>
            </w:r>
            <w:proofErr w:type="spellEnd"/>
            <w:r w:rsidRPr="00630D52">
              <w:rPr>
                <w:rStyle w:val="SCCCoramChar"/>
                <w:sz w:val="20"/>
                <w:szCs w:val="20"/>
                <w:lang w:val="en-CA"/>
              </w:rPr>
              <w:t> JJ.</w:t>
            </w:r>
          </w:p>
          <w:p w:rsidR="00630D52" w:rsidRPr="0047561F" w:rsidRDefault="00630D52" w:rsidP="00B60060">
            <w:pPr>
              <w:rPr>
                <w:sz w:val="20"/>
                <w:szCs w:val="20"/>
                <w:u w:val="single"/>
              </w:rPr>
            </w:pPr>
          </w:p>
        </w:tc>
      </w:tr>
      <w:tr w:rsidR="00630D52" w:rsidRPr="00017BF4" w:rsidTr="00B60060">
        <w:trPr>
          <w:cantSplit/>
        </w:trPr>
        <w:tc>
          <w:tcPr>
            <w:tcW w:w="9576" w:type="dxa"/>
            <w:gridSpan w:val="2"/>
          </w:tcPr>
          <w:p w:rsidR="00630D52" w:rsidRPr="0047561F" w:rsidRDefault="00630D52" w:rsidP="00B60060">
            <w:pPr>
              <w:pStyle w:val="SCCShortJudgment"/>
              <w:rPr>
                <w:szCs w:val="20"/>
              </w:rPr>
            </w:pPr>
            <w:r w:rsidRPr="0047561F">
              <w:rPr>
                <w:szCs w:val="20"/>
              </w:rPr>
              <w:t>The application for leave to appeal from the judgment of the Federal Court of Appeal, Number A-169-11, 2012 FCA 28, dated January 25, 2012, is dismissed with costs.</w:t>
            </w:r>
          </w:p>
          <w:p w:rsidR="00630D52" w:rsidRPr="0047561F" w:rsidRDefault="00630D52" w:rsidP="00B60060">
            <w:pPr>
              <w:pStyle w:val="SCCShortJudgment"/>
              <w:ind w:firstLine="0"/>
              <w:rPr>
                <w:szCs w:val="20"/>
              </w:rPr>
            </w:pPr>
          </w:p>
          <w:p w:rsidR="00630D52" w:rsidRPr="0047561F" w:rsidRDefault="00630D52" w:rsidP="00B60060">
            <w:pPr>
              <w:pStyle w:val="SCCShortJudgment"/>
              <w:rPr>
                <w:szCs w:val="20"/>
                <w:lang w:val="fr-CA"/>
              </w:rPr>
            </w:pPr>
            <w:r w:rsidRPr="0047561F">
              <w:rPr>
                <w:szCs w:val="20"/>
                <w:lang w:val="fr-CA"/>
              </w:rPr>
              <w:t>La demande d’autorisation d’appel de l’arrêt de la Cour d’appel fédérale, numéro A-169-11, 2012 CAF 28, daté du 25 janvier 2012, est rejetée avec dépens.</w:t>
            </w:r>
          </w:p>
        </w:tc>
      </w:tr>
    </w:tbl>
    <w:p w:rsidR="00F83F5A" w:rsidRPr="00F83F5A" w:rsidRDefault="00F83F5A" w:rsidP="00F83F5A">
      <w:pPr>
        <w:rPr>
          <w:sz w:val="20"/>
          <w:szCs w:val="20"/>
          <w:lang w:val="fr-CA"/>
        </w:rPr>
      </w:pPr>
    </w:p>
    <w:p w:rsidR="00F83F5A" w:rsidRPr="001B157C" w:rsidRDefault="00F83F5A" w:rsidP="00F83F5A">
      <w:pPr>
        <w:rPr>
          <w:sz w:val="20"/>
          <w:szCs w:val="20"/>
          <w:u w:val="single"/>
        </w:rPr>
      </w:pPr>
      <w:r w:rsidRPr="001B157C">
        <w:rPr>
          <w:sz w:val="20"/>
          <w:szCs w:val="20"/>
          <w:u w:val="single"/>
        </w:rPr>
        <w:t>CASE SUMMARY</w:t>
      </w:r>
    </w:p>
    <w:p w:rsidR="00F83F5A" w:rsidRDefault="00F83F5A" w:rsidP="00F83F5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14D8A" w:rsidRPr="007E6A6A" w:rsidTr="00C14D8A">
        <w:tc>
          <w:tcPr>
            <w:tcW w:w="5000" w:type="pct"/>
            <w:gridSpan w:val="3"/>
          </w:tcPr>
          <w:p w:rsidR="00C14D8A" w:rsidRPr="007E6A6A" w:rsidRDefault="00C14D8A" w:rsidP="00C14D8A">
            <w:pPr>
              <w:jc w:val="both"/>
              <w:rPr>
                <w:rFonts w:eastAsia="Calibri"/>
                <w:sz w:val="20"/>
              </w:rPr>
            </w:pPr>
            <w:r w:rsidRPr="007E6A6A">
              <w:rPr>
                <w:rFonts w:eastAsia="Calibri"/>
                <w:sz w:val="20"/>
              </w:rPr>
              <w:t xml:space="preserve">Taxation – Income tax – Assessment – Taxpayer seeking declaration that he has no debt for taxes for the 1971 to 1984 taxation years - Whether circumstances of the case meet requirements of equitable doctrine of fairness and justice – Whether facts and circumstances of this case meet the requirements of issue estoppels and abuse of process for recognition by the Court as a matter of public importance – Whether motion court judge erred in stating that s. 222 of the </w:t>
            </w:r>
            <w:r w:rsidRPr="007E6A6A">
              <w:rPr>
                <w:rFonts w:eastAsia="Calibri"/>
                <w:i/>
                <w:sz w:val="20"/>
              </w:rPr>
              <w:t>Income Tax Act</w:t>
            </w:r>
            <w:r w:rsidRPr="007E6A6A">
              <w:rPr>
                <w:rFonts w:eastAsia="Calibri"/>
                <w:sz w:val="20"/>
              </w:rPr>
              <w:t>, R.S.C. 1985, c. I (5</w:t>
            </w:r>
            <w:r w:rsidRPr="007E6A6A">
              <w:rPr>
                <w:rFonts w:eastAsia="Calibri"/>
                <w:sz w:val="20"/>
                <w:vertAlign w:val="superscript"/>
              </w:rPr>
              <w:t>th</w:t>
            </w:r>
            <w:r w:rsidRPr="007E6A6A">
              <w:rPr>
                <w:rFonts w:eastAsia="Calibri"/>
                <w:sz w:val="20"/>
              </w:rPr>
              <w:t xml:space="preserve"> Supp.)</w:t>
            </w:r>
            <w:r w:rsidRPr="007E6A6A">
              <w:rPr>
                <w:rFonts w:eastAsia="Calibri"/>
                <w:i/>
                <w:sz w:val="20"/>
              </w:rPr>
              <w:t xml:space="preserve"> </w:t>
            </w:r>
            <w:r w:rsidRPr="007E6A6A">
              <w:rPr>
                <w:rFonts w:eastAsia="Calibri"/>
                <w:sz w:val="20"/>
              </w:rPr>
              <w:t>was directed only to actions commenced by the Minister of National Revenue</w:t>
            </w:r>
            <w:r w:rsidR="00CA5D21">
              <w:rPr>
                <w:rFonts w:eastAsia="Calibri"/>
                <w:sz w:val="20"/>
              </w:rPr>
              <w:t>.</w:t>
            </w:r>
          </w:p>
        </w:tc>
      </w:tr>
      <w:tr w:rsidR="00C14D8A" w:rsidRPr="007E6A6A" w:rsidTr="00C14D8A">
        <w:tc>
          <w:tcPr>
            <w:tcW w:w="5000" w:type="pct"/>
            <w:gridSpan w:val="3"/>
          </w:tcPr>
          <w:p w:rsidR="00C14D8A" w:rsidRPr="007E6A6A" w:rsidRDefault="00C14D8A" w:rsidP="00C14D8A">
            <w:pPr>
              <w:jc w:val="both"/>
              <w:rPr>
                <w:rFonts w:eastAsia="Calibri"/>
                <w:sz w:val="20"/>
              </w:rPr>
            </w:pPr>
          </w:p>
        </w:tc>
      </w:tr>
      <w:tr w:rsidR="00C14D8A" w:rsidRPr="007E6A6A" w:rsidTr="00C14D8A">
        <w:tc>
          <w:tcPr>
            <w:tcW w:w="5000" w:type="pct"/>
            <w:gridSpan w:val="3"/>
          </w:tcPr>
          <w:p w:rsidR="00C14D8A" w:rsidRDefault="00C14D8A" w:rsidP="00C14D8A">
            <w:pPr>
              <w:jc w:val="both"/>
              <w:rPr>
                <w:rFonts w:eastAsia="Calibri"/>
                <w:sz w:val="20"/>
              </w:rPr>
            </w:pPr>
            <w:r w:rsidRPr="007E6A6A">
              <w:rPr>
                <w:rFonts w:eastAsia="Calibri"/>
                <w:sz w:val="20"/>
              </w:rPr>
              <w:t xml:space="preserve">Mr. </w:t>
            </w:r>
            <w:proofErr w:type="spellStart"/>
            <w:r w:rsidRPr="007E6A6A">
              <w:rPr>
                <w:rFonts w:eastAsia="Calibri"/>
                <w:sz w:val="20"/>
              </w:rPr>
              <w:t>Doig</w:t>
            </w:r>
            <w:proofErr w:type="spellEnd"/>
            <w:r w:rsidRPr="007E6A6A">
              <w:rPr>
                <w:rFonts w:eastAsia="Calibri"/>
                <w:sz w:val="20"/>
              </w:rPr>
              <w:t xml:space="preserve"> brought a Notice of Application seeking a declaration that he had no debt for taxes for the 1971 to 1984 taxation years.  He maintained that he had paid his tax debt in full for the years 1971–73 and 1974-79 and had no tax debts for the 1980-84 taxation years.  The Canadian Revenue Agency (“CRA”) contended that Mr. </w:t>
            </w:r>
            <w:proofErr w:type="spellStart"/>
            <w:r w:rsidRPr="007E6A6A">
              <w:rPr>
                <w:rFonts w:eastAsia="Calibri"/>
                <w:sz w:val="20"/>
              </w:rPr>
              <w:t>Doig</w:t>
            </w:r>
            <w:proofErr w:type="spellEnd"/>
            <w:r w:rsidRPr="007E6A6A">
              <w:rPr>
                <w:rFonts w:eastAsia="Calibri"/>
                <w:sz w:val="20"/>
              </w:rPr>
              <w:t xml:space="preserve"> was indebted to the Crown in the amount of $323,738.31 for unpaid taxes, penalties and interest from the taxation years prior to and including 1982-89 and 1991-93.</w:t>
            </w:r>
          </w:p>
          <w:p w:rsidR="00C14D8A" w:rsidRPr="007E6A6A" w:rsidRDefault="00C14D8A" w:rsidP="00C14D8A">
            <w:pPr>
              <w:jc w:val="both"/>
              <w:rPr>
                <w:rFonts w:eastAsia="Calibri"/>
                <w:sz w:val="20"/>
              </w:rPr>
            </w:pPr>
          </w:p>
        </w:tc>
      </w:tr>
      <w:tr w:rsidR="00C14D8A" w:rsidRPr="007E6A6A" w:rsidTr="00C14D8A">
        <w:tc>
          <w:tcPr>
            <w:tcW w:w="2427" w:type="pct"/>
          </w:tcPr>
          <w:p w:rsidR="00C14D8A" w:rsidRPr="007E6A6A" w:rsidRDefault="00C14D8A" w:rsidP="00C14D8A">
            <w:pPr>
              <w:jc w:val="both"/>
              <w:rPr>
                <w:rFonts w:eastAsia="Calibri"/>
                <w:sz w:val="20"/>
              </w:rPr>
            </w:pPr>
            <w:r w:rsidRPr="007E6A6A">
              <w:rPr>
                <w:rFonts w:eastAsia="Calibri"/>
                <w:sz w:val="20"/>
              </w:rPr>
              <w:t>March 28, 2011</w:t>
            </w:r>
          </w:p>
          <w:p w:rsidR="00C14D8A" w:rsidRPr="007E6A6A" w:rsidRDefault="00C14D8A" w:rsidP="00C14D8A">
            <w:pPr>
              <w:jc w:val="both"/>
              <w:rPr>
                <w:rFonts w:eastAsia="Calibri"/>
                <w:sz w:val="20"/>
              </w:rPr>
            </w:pPr>
            <w:r w:rsidRPr="007E6A6A">
              <w:rPr>
                <w:rFonts w:eastAsia="Calibri"/>
                <w:sz w:val="20"/>
              </w:rPr>
              <w:t>Federal Court</w:t>
            </w:r>
          </w:p>
          <w:p w:rsidR="00C14D8A" w:rsidRPr="007E6A6A" w:rsidRDefault="00C14D8A" w:rsidP="00C14D8A">
            <w:pPr>
              <w:jc w:val="both"/>
              <w:rPr>
                <w:rFonts w:eastAsia="Calibri"/>
                <w:sz w:val="20"/>
              </w:rPr>
            </w:pPr>
            <w:r w:rsidRPr="007E6A6A">
              <w:rPr>
                <w:rFonts w:eastAsia="Calibri"/>
                <w:sz w:val="20"/>
              </w:rPr>
              <w:t>(</w:t>
            </w:r>
            <w:proofErr w:type="spellStart"/>
            <w:r w:rsidRPr="007E6A6A">
              <w:rPr>
                <w:rFonts w:eastAsia="Calibri"/>
                <w:sz w:val="20"/>
              </w:rPr>
              <w:t>Zinn</w:t>
            </w:r>
            <w:proofErr w:type="spellEnd"/>
            <w:r w:rsidRPr="007E6A6A">
              <w:rPr>
                <w:rFonts w:eastAsia="Calibri"/>
                <w:sz w:val="20"/>
              </w:rPr>
              <w:t xml:space="preserve"> J.)</w:t>
            </w:r>
          </w:p>
          <w:p w:rsidR="00C14D8A" w:rsidRPr="007E6A6A" w:rsidRDefault="00C14D8A" w:rsidP="00C14D8A">
            <w:pPr>
              <w:jc w:val="both"/>
              <w:rPr>
                <w:rFonts w:eastAsia="Calibri"/>
                <w:sz w:val="20"/>
              </w:rPr>
            </w:pPr>
            <w:r w:rsidRPr="007E6A6A">
              <w:rPr>
                <w:rFonts w:eastAsia="Calibri"/>
                <w:sz w:val="20"/>
              </w:rPr>
              <w:t>2011 FC 371</w:t>
            </w:r>
          </w:p>
          <w:p w:rsidR="00C14D8A" w:rsidRPr="007E6A6A" w:rsidRDefault="00C14D8A" w:rsidP="00C14D8A">
            <w:pPr>
              <w:jc w:val="both"/>
              <w:rPr>
                <w:rFonts w:eastAsia="Calibri"/>
                <w:sz w:val="20"/>
              </w:rPr>
            </w:pPr>
          </w:p>
        </w:tc>
        <w:tc>
          <w:tcPr>
            <w:tcW w:w="243" w:type="pct"/>
          </w:tcPr>
          <w:p w:rsidR="00C14D8A" w:rsidRPr="007E6A6A" w:rsidRDefault="00C14D8A" w:rsidP="00C14D8A">
            <w:pPr>
              <w:jc w:val="both"/>
              <w:rPr>
                <w:rFonts w:eastAsia="Calibri"/>
                <w:sz w:val="20"/>
              </w:rPr>
            </w:pPr>
          </w:p>
        </w:tc>
        <w:tc>
          <w:tcPr>
            <w:tcW w:w="2330" w:type="pct"/>
          </w:tcPr>
          <w:p w:rsidR="00C14D8A" w:rsidRPr="007E6A6A" w:rsidRDefault="00C14D8A" w:rsidP="00C14D8A">
            <w:pPr>
              <w:jc w:val="both"/>
              <w:rPr>
                <w:rFonts w:eastAsia="Calibri"/>
                <w:sz w:val="20"/>
              </w:rPr>
            </w:pPr>
            <w:r w:rsidRPr="007E6A6A">
              <w:rPr>
                <w:rFonts w:eastAsia="Calibri"/>
                <w:sz w:val="20"/>
              </w:rPr>
              <w:t>Applicant’s application for declaration  that he did not owe tax debt dismissed</w:t>
            </w:r>
          </w:p>
          <w:p w:rsidR="00C14D8A" w:rsidRPr="007E6A6A" w:rsidRDefault="00C14D8A" w:rsidP="00C14D8A">
            <w:pPr>
              <w:jc w:val="both"/>
              <w:rPr>
                <w:rFonts w:eastAsia="Calibri"/>
                <w:sz w:val="20"/>
              </w:rPr>
            </w:pPr>
          </w:p>
          <w:p w:rsidR="00C14D8A" w:rsidRPr="007E6A6A" w:rsidRDefault="00C14D8A" w:rsidP="00C14D8A">
            <w:pPr>
              <w:jc w:val="both"/>
              <w:rPr>
                <w:rFonts w:eastAsia="Calibri"/>
                <w:sz w:val="20"/>
              </w:rPr>
            </w:pPr>
          </w:p>
        </w:tc>
      </w:tr>
      <w:tr w:rsidR="00C14D8A" w:rsidRPr="007E6A6A" w:rsidTr="00C14D8A">
        <w:tc>
          <w:tcPr>
            <w:tcW w:w="2427" w:type="pct"/>
          </w:tcPr>
          <w:p w:rsidR="00C14D8A" w:rsidRPr="007E6A6A" w:rsidRDefault="00C14D8A" w:rsidP="00C14D8A">
            <w:pPr>
              <w:jc w:val="both"/>
              <w:rPr>
                <w:rFonts w:eastAsia="Calibri"/>
                <w:sz w:val="20"/>
              </w:rPr>
            </w:pPr>
            <w:r w:rsidRPr="007E6A6A">
              <w:rPr>
                <w:rFonts w:eastAsia="Calibri"/>
                <w:sz w:val="20"/>
              </w:rPr>
              <w:t>January 25, 2012</w:t>
            </w:r>
          </w:p>
          <w:p w:rsidR="00C14D8A" w:rsidRPr="007E6A6A" w:rsidRDefault="00C14D8A" w:rsidP="00C14D8A">
            <w:pPr>
              <w:jc w:val="both"/>
              <w:rPr>
                <w:rFonts w:eastAsia="Calibri"/>
                <w:sz w:val="20"/>
              </w:rPr>
            </w:pPr>
            <w:r w:rsidRPr="007E6A6A">
              <w:rPr>
                <w:rFonts w:eastAsia="Calibri"/>
                <w:sz w:val="20"/>
              </w:rPr>
              <w:t>Federal Court of Appeal</w:t>
            </w:r>
          </w:p>
          <w:p w:rsidR="00C14D8A" w:rsidRPr="007E6A6A" w:rsidRDefault="00C14D8A" w:rsidP="00C14D8A">
            <w:pPr>
              <w:jc w:val="both"/>
              <w:rPr>
                <w:rFonts w:eastAsia="Calibri"/>
                <w:sz w:val="20"/>
              </w:rPr>
            </w:pPr>
            <w:r w:rsidRPr="007E6A6A">
              <w:rPr>
                <w:rFonts w:eastAsia="Calibri"/>
                <w:sz w:val="20"/>
              </w:rPr>
              <w:t xml:space="preserve">(Dawson, Gauthier, </w:t>
            </w:r>
            <w:proofErr w:type="spellStart"/>
            <w:r w:rsidRPr="007E6A6A">
              <w:rPr>
                <w:rFonts w:eastAsia="Calibri"/>
                <w:sz w:val="20"/>
              </w:rPr>
              <w:t>Trudel</w:t>
            </w:r>
            <w:proofErr w:type="spellEnd"/>
            <w:r w:rsidRPr="007E6A6A">
              <w:rPr>
                <w:rFonts w:eastAsia="Calibri"/>
                <w:sz w:val="20"/>
              </w:rPr>
              <w:t>)</w:t>
            </w:r>
          </w:p>
          <w:p w:rsidR="00C14D8A" w:rsidRPr="007E6A6A" w:rsidRDefault="00C14D8A" w:rsidP="00C14D8A">
            <w:pPr>
              <w:jc w:val="both"/>
              <w:rPr>
                <w:rFonts w:eastAsia="Calibri"/>
                <w:sz w:val="20"/>
              </w:rPr>
            </w:pPr>
            <w:r w:rsidRPr="007E6A6A">
              <w:rPr>
                <w:rFonts w:eastAsia="Calibri"/>
                <w:sz w:val="20"/>
              </w:rPr>
              <w:t>2012 FCA 28</w:t>
            </w:r>
          </w:p>
          <w:p w:rsidR="00C14D8A" w:rsidRPr="007E6A6A" w:rsidRDefault="00C14D8A" w:rsidP="00C14D8A">
            <w:pPr>
              <w:jc w:val="both"/>
              <w:rPr>
                <w:rFonts w:eastAsia="Calibri"/>
                <w:sz w:val="20"/>
              </w:rPr>
            </w:pPr>
          </w:p>
        </w:tc>
        <w:tc>
          <w:tcPr>
            <w:tcW w:w="243" w:type="pct"/>
          </w:tcPr>
          <w:p w:rsidR="00C14D8A" w:rsidRPr="007E6A6A" w:rsidRDefault="00C14D8A" w:rsidP="00C14D8A">
            <w:pPr>
              <w:jc w:val="both"/>
              <w:rPr>
                <w:rFonts w:eastAsia="Calibri"/>
                <w:sz w:val="20"/>
              </w:rPr>
            </w:pPr>
          </w:p>
        </w:tc>
        <w:tc>
          <w:tcPr>
            <w:tcW w:w="2330" w:type="pct"/>
          </w:tcPr>
          <w:p w:rsidR="00C14D8A" w:rsidRPr="007E6A6A" w:rsidRDefault="00C14D8A" w:rsidP="00C14D8A">
            <w:pPr>
              <w:jc w:val="both"/>
              <w:rPr>
                <w:rFonts w:eastAsia="Calibri"/>
                <w:sz w:val="20"/>
              </w:rPr>
            </w:pPr>
            <w:r w:rsidRPr="007E6A6A">
              <w:rPr>
                <w:rFonts w:eastAsia="Calibri"/>
                <w:sz w:val="20"/>
              </w:rPr>
              <w:t>Appeal dismissed</w:t>
            </w:r>
          </w:p>
          <w:p w:rsidR="00C14D8A" w:rsidRPr="007E6A6A" w:rsidRDefault="00C14D8A" w:rsidP="00C14D8A">
            <w:pPr>
              <w:jc w:val="both"/>
              <w:rPr>
                <w:rFonts w:eastAsia="Calibri"/>
                <w:sz w:val="20"/>
              </w:rPr>
            </w:pPr>
          </w:p>
        </w:tc>
      </w:tr>
      <w:tr w:rsidR="00C14D8A" w:rsidRPr="007E6A6A" w:rsidTr="00C14D8A">
        <w:tc>
          <w:tcPr>
            <w:tcW w:w="2427" w:type="pct"/>
          </w:tcPr>
          <w:p w:rsidR="00C14D8A" w:rsidRPr="007E6A6A" w:rsidRDefault="00C14D8A" w:rsidP="00C14D8A">
            <w:pPr>
              <w:jc w:val="both"/>
              <w:rPr>
                <w:rFonts w:eastAsia="Calibri"/>
                <w:sz w:val="20"/>
              </w:rPr>
            </w:pPr>
            <w:r w:rsidRPr="007E6A6A">
              <w:rPr>
                <w:rFonts w:eastAsia="Calibri"/>
                <w:sz w:val="20"/>
              </w:rPr>
              <w:t>March 20, 2012</w:t>
            </w:r>
          </w:p>
          <w:p w:rsidR="00C14D8A" w:rsidRPr="007E6A6A" w:rsidRDefault="00C14D8A" w:rsidP="00C14D8A">
            <w:pPr>
              <w:jc w:val="both"/>
              <w:rPr>
                <w:rFonts w:eastAsia="Calibri"/>
                <w:sz w:val="20"/>
              </w:rPr>
            </w:pPr>
            <w:r w:rsidRPr="007E6A6A">
              <w:rPr>
                <w:rFonts w:eastAsia="Calibri"/>
                <w:sz w:val="20"/>
              </w:rPr>
              <w:t>Supreme Court of Canada</w:t>
            </w:r>
          </w:p>
        </w:tc>
        <w:tc>
          <w:tcPr>
            <w:tcW w:w="243" w:type="pct"/>
          </w:tcPr>
          <w:p w:rsidR="00C14D8A" w:rsidRPr="007E6A6A" w:rsidRDefault="00C14D8A" w:rsidP="00C14D8A">
            <w:pPr>
              <w:jc w:val="both"/>
              <w:rPr>
                <w:rFonts w:eastAsia="Calibri"/>
                <w:sz w:val="20"/>
              </w:rPr>
            </w:pPr>
          </w:p>
        </w:tc>
        <w:tc>
          <w:tcPr>
            <w:tcW w:w="2330" w:type="pct"/>
          </w:tcPr>
          <w:p w:rsidR="00C14D8A" w:rsidRPr="007E6A6A" w:rsidRDefault="00C14D8A" w:rsidP="00C14D8A">
            <w:pPr>
              <w:jc w:val="both"/>
              <w:rPr>
                <w:rFonts w:eastAsia="Calibri"/>
                <w:sz w:val="20"/>
              </w:rPr>
            </w:pPr>
            <w:r w:rsidRPr="007E6A6A">
              <w:rPr>
                <w:rFonts w:eastAsia="Calibri"/>
                <w:sz w:val="20"/>
              </w:rPr>
              <w:t>Application for leave to appeal filed</w:t>
            </w:r>
          </w:p>
          <w:p w:rsidR="00C14D8A" w:rsidRPr="007E6A6A" w:rsidRDefault="00C14D8A" w:rsidP="00C14D8A">
            <w:pPr>
              <w:jc w:val="both"/>
              <w:rPr>
                <w:rFonts w:eastAsia="Calibri"/>
                <w:sz w:val="20"/>
              </w:rPr>
            </w:pPr>
          </w:p>
        </w:tc>
      </w:tr>
    </w:tbl>
    <w:p w:rsidR="00F83F5A" w:rsidRPr="00C50A5C" w:rsidRDefault="00F83F5A" w:rsidP="00F83F5A">
      <w:pPr>
        <w:rPr>
          <w:sz w:val="20"/>
          <w:szCs w:val="20"/>
        </w:rPr>
      </w:pPr>
    </w:p>
    <w:p w:rsidR="00F83F5A" w:rsidRPr="00C50A5C" w:rsidRDefault="00ED3438" w:rsidP="00F83F5A">
      <w:pPr>
        <w:rPr>
          <w:sz w:val="20"/>
          <w:szCs w:val="20"/>
        </w:rPr>
      </w:pPr>
      <w:r w:rsidRPr="00ED3438">
        <w:rPr>
          <w:sz w:val="20"/>
          <w:szCs w:val="20"/>
          <w:lang w:val="fr-CA"/>
        </w:rPr>
        <w:pict>
          <v:rect id="_x0000_i1063" style="width:2in;height:1pt" o:hrpct="0" o:hralign="center" o:hrstd="t" o:hrnoshade="t" o:hr="t" fillcolor="black [3213]" stroked="f"/>
        </w:pict>
      </w:r>
    </w:p>
    <w:p w:rsidR="00F83F5A" w:rsidRDefault="00F83F5A" w:rsidP="00F83F5A">
      <w:pPr>
        <w:rPr>
          <w:sz w:val="20"/>
          <w:szCs w:val="20"/>
        </w:rPr>
      </w:pPr>
    </w:p>
    <w:p w:rsidR="00F83F5A" w:rsidRPr="001B157C" w:rsidRDefault="00F83F5A" w:rsidP="00F83F5A">
      <w:pPr>
        <w:rPr>
          <w:sz w:val="20"/>
          <w:szCs w:val="20"/>
          <w:u w:val="single"/>
          <w:lang w:val="fr-CA"/>
        </w:rPr>
      </w:pPr>
      <w:r w:rsidRPr="001B157C">
        <w:rPr>
          <w:sz w:val="20"/>
          <w:szCs w:val="20"/>
          <w:u w:val="single"/>
          <w:lang w:val="fr-CA"/>
        </w:rPr>
        <w:t>RÉSUMÉ DE L’AFFAIRE</w:t>
      </w:r>
    </w:p>
    <w:p w:rsidR="00F83F5A" w:rsidRDefault="00F83F5A" w:rsidP="00F83F5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14D8A" w:rsidRPr="00017BF4" w:rsidTr="00C14D8A">
        <w:tc>
          <w:tcPr>
            <w:tcW w:w="5000" w:type="pct"/>
            <w:gridSpan w:val="3"/>
          </w:tcPr>
          <w:p w:rsidR="00C14D8A" w:rsidRPr="007E6A6A" w:rsidRDefault="00C14D8A" w:rsidP="00C14D8A">
            <w:pPr>
              <w:jc w:val="both"/>
              <w:rPr>
                <w:rFonts w:eastAsia="Calibri"/>
                <w:sz w:val="20"/>
                <w:lang w:val="fr-CA"/>
              </w:rPr>
            </w:pPr>
            <w:r w:rsidRPr="007E6A6A">
              <w:rPr>
                <w:rFonts w:eastAsia="Calibri"/>
                <w:sz w:val="20"/>
                <w:lang w:val="fr-CA"/>
              </w:rPr>
              <w:t xml:space="preserve">Droit fiscal – Impôt sur le revenu – Cotisation – Le contribuable demande un jugement déclaratoire selon lequel il ne doit pas d’impôt pour les années d’imposition 1971 à 1984 – Les faits en l’espèce répondent-ils aux conditions de l’équité et de la justice en </w:t>
            </w:r>
            <w:proofErr w:type="spellStart"/>
            <w:r w:rsidRPr="007E6A6A">
              <w:rPr>
                <w:rFonts w:eastAsia="Calibri"/>
                <w:sz w:val="20"/>
                <w:lang w:val="fr-CA"/>
              </w:rPr>
              <w:t>equity</w:t>
            </w:r>
            <w:proofErr w:type="spellEnd"/>
            <w:r w:rsidRPr="007E6A6A">
              <w:rPr>
                <w:rFonts w:eastAsia="Calibri"/>
                <w:sz w:val="20"/>
                <w:lang w:val="fr-CA"/>
              </w:rPr>
              <w:t xml:space="preserve">? – Les faits en l’espèce répondent-ils aux conditions de </w:t>
            </w:r>
            <w:proofErr w:type="spellStart"/>
            <w:r w:rsidRPr="007E6A6A">
              <w:rPr>
                <w:rFonts w:eastAsia="Calibri"/>
                <w:sz w:val="20"/>
                <w:lang w:val="fr-CA"/>
              </w:rPr>
              <w:t>préclusion</w:t>
            </w:r>
            <w:proofErr w:type="spellEnd"/>
            <w:r w:rsidRPr="007E6A6A">
              <w:rPr>
                <w:rFonts w:eastAsia="Calibri"/>
                <w:sz w:val="20"/>
                <w:lang w:val="fr-CA"/>
              </w:rPr>
              <w:t xml:space="preserve"> découlant d’une question déjà tranchée et d’abus de procédure pour reconnaissance par la Cour comme question d’importance pour le public? – Le juge de première instance a-t-il eu tort d’affirmer que l’art. 222 de la </w:t>
            </w:r>
            <w:r w:rsidRPr="007E6A6A">
              <w:rPr>
                <w:rFonts w:eastAsia="Calibri"/>
                <w:i/>
                <w:sz w:val="20"/>
                <w:lang w:val="fr-CA"/>
              </w:rPr>
              <w:t>Loi de l’impôt sur le revenu</w:t>
            </w:r>
            <w:r w:rsidRPr="007E6A6A">
              <w:rPr>
                <w:rFonts w:eastAsia="Calibri"/>
                <w:sz w:val="20"/>
                <w:lang w:val="fr-CA"/>
              </w:rPr>
              <w:t>, L.R.C. 1985, ch. I (5</w:t>
            </w:r>
            <w:r w:rsidRPr="007E6A6A">
              <w:rPr>
                <w:rFonts w:eastAsia="Calibri"/>
                <w:sz w:val="20"/>
                <w:vertAlign w:val="superscript"/>
                <w:lang w:val="fr-CA"/>
              </w:rPr>
              <w:t>e</w:t>
            </w:r>
            <w:r w:rsidRPr="007E6A6A">
              <w:rPr>
                <w:rFonts w:eastAsia="Calibri"/>
                <w:sz w:val="20"/>
                <w:lang w:val="fr-CA"/>
              </w:rPr>
              <w:t xml:space="preserve"> suppl.)</w:t>
            </w:r>
            <w:r w:rsidRPr="007E6A6A">
              <w:rPr>
                <w:rFonts w:eastAsia="Calibri"/>
                <w:i/>
                <w:sz w:val="20"/>
                <w:lang w:val="fr-CA"/>
              </w:rPr>
              <w:t xml:space="preserve"> </w:t>
            </w:r>
            <w:r w:rsidRPr="007E6A6A">
              <w:rPr>
                <w:rFonts w:eastAsia="Calibri"/>
                <w:sz w:val="20"/>
                <w:lang w:val="fr-CA"/>
              </w:rPr>
              <w:t>ne visait que les actions intentées par le ministre du Revenu national?</w:t>
            </w:r>
          </w:p>
        </w:tc>
      </w:tr>
      <w:tr w:rsidR="00C14D8A" w:rsidRPr="00017BF4" w:rsidTr="00C14D8A">
        <w:tc>
          <w:tcPr>
            <w:tcW w:w="5000" w:type="pct"/>
            <w:gridSpan w:val="3"/>
          </w:tcPr>
          <w:p w:rsidR="00C14D8A" w:rsidRPr="007E6A6A" w:rsidRDefault="00C14D8A" w:rsidP="00C14D8A">
            <w:pPr>
              <w:jc w:val="both"/>
              <w:rPr>
                <w:rFonts w:eastAsia="Calibri"/>
                <w:sz w:val="20"/>
                <w:lang w:val="fr-CA"/>
              </w:rPr>
            </w:pPr>
          </w:p>
        </w:tc>
      </w:tr>
      <w:tr w:rsidR="00C14D8A" w:rsidRPr="00017BF4" w:rsidTr="00C14D8A">
        <w:tc>
          <w:tcPr>
            <w:tcW w:w="5000" w:type="pct"/>
            <w:gridSpan w:val="3"/>
          </w:tcPr>
          <w:p w:rsidR="00C14D8A" w:rsidRPr="007E6A6A" w:rsidRDefault="00C14D8A" w:rsidP="00C14D8A">
            <w:pPr>
              <w:jc w:val="both"/>
              <w:rPr>
                <w:rFonts w:eastAsia="Calibri"/>
                <w:sz w:val="20"/>
                <w:lang w:val="fr-CA"/>
              </w:rPr>
            </w:pPr>
            <w:r w:rsidRPr="007E6A6A">
              <w:rPr>
                <w:rFonts w:eastAsia="Calibri"/>
                <w:sz w:val="20"/>
                <w:lang w:val="fr-CA"/>
              </w:rPr>
              <w:t xml:space="preserve">Monsieur Doig a déposé un avis de demande en vue d’obtenir un jugement déclaratoire selon lequel il ne devait pas d’impôt pour les années d’imposition 1971 à 1984. Il a soutenu en première instance qu’il avait acquitté la totalité de sa dette fiscale pour les années 1971 à 1973 et 1974 à 1979 et qu’il ne devait rien pour les années d’imposition 1980 à 1984. L’Agence du revenu du Canada a fait valoir que M. Doig devait à l’État la somme de 323 738,31 $, correspondant à des impôts non payés, des pénalités et des intérêts pour les années d’imposition 1982 à 1989 et 1991 à1993 et des années d’imposition antérieures.  </w:t>
            </w:r>
          </w:p>
          <w:p w:rsidR="00C14D8A" w:rsidRPr="007E6A6A" w:rsidRDefault="00C14D8A" w:rsidP="00C14D8A">
            <w:pPr>
              <w:jc w:val="both"/>
              <w:rPr>
                <w:rFonts w:eastAsia="Calibri"/>
                <w:sz w:val="20"/>
                <w:lang w:val="fr-CA"/>
              </w:rPr>
            </w:pPr>
          </w:p>
        </w:tc>
      </w:tr>
      <w:tr w:rsidR="00C14D8A" w:rsidRPr="00017BF4" w:rsidTr="00C14D8A">
        <w:tc>
          <w:tcPr>
            <w:tcW w:w="2427" w:type="pct"/>
          </w:tcPr>
          <w:p w:rsidR="00C14D8A" w:rsidRPr="007E6A6A" w:rsidRDefault="00C14D8A" w:rsidP="00C14D8A">
            <w:pPr>
              <w:jc w:val="both"/>
              <w:rPr>
                <w:rFonts w:eastAsia="Calibri"/>
                <w:sz w:val="20"/>
                <w:lang w:val="fr-CA"/>
              </w:rPr>
            </w:pPr>
            <w:r w:rsidRPr="007E6A6A">
              <w:rPr>
                <w:rFonts w:eastAsia="Calibri"/>
                <w:sz w:val="20"/>
                <w:lang w:val="fr-CA"/>
              </w:rPr>
              <w:t>28 mars 2011</w:t>
            </w:r>
          </w:p>
          <w:p w:rsidR="00C14D8A" w:rsidRPr="007E6A6A" w:rsidRDefault="00C14D8A" w:rsidP="00C14D8A">
            <w:pPr>
              <w:jc w:val="both"/>
              <w:rPr>
                <w:rFonts w:eastAsia="Calibri"/>
                <w:sz w:val="20"/>
                <w:lang w:val="fr-CA"/>
              </w:rPr>
            </w:pPr>
            <w:r w:rsidRPr="007E6A6A">
              <w:rPr>
                <w:rFonts w:eastAsia="Calibri"/>
                <w:sz w:val="20"/>
                <w:lang w:val="fr-CA"/>
              </w:rPr>
              <w:t>Cour fédérale</w:t>
            </w:r>
          </w:p>
          <w:p w:rsidR="00C14D8A" w:rsidRPr="007E6A6A" w:rsidRDefault="00C14D8A" w:rsidP="00C14D8A">
            <w:pPr>
              <w:jc w:val="both"/>
              <w:rPr>
                <w:rFonts w:eastAsia="Calibri"/>
                <w:sz w:val="20"/>
                <w:lang w:val="fr-CA"/>
              </w:rPr>
            </w:pPr>
            <w:r w:rsidRPr="007E6A6A">
              <w:rPr>
                <w:rFonts w:eastAsia="Calibri"/>
                <w:sz w:val="20"/>
                <w:lang w:val="fr-CA"/>
              </w:rPr>
              <w:t xml:space="preserve">(Juge </w:t>
            </w:r>
            <w:proofErr w:type="spellStart"/>
            <w:r w:rsidRPr="007E6A6A">
              <w:rPr>
                <w:rFonts w:eastAsia="Calibri"/>
                <w:sz w:val="20"/>
                <w:lang w:val="fr-CA"/>
              </w:rPr>
              <w:t>Zinn</w:t>
            </w:r>
            <w:proofErr w:type="spellEnd"/>
            <w:r w:rsidRPr="007E6A6A">
              <w:rPr>
                <w:rFonts w:eastAsia="Calibri"/>
                <w:sz w:val="20"/>
                <w:lang w:val="fr-CA"/>
              </w:rPr>
              <w:t>)</w:t>
            </w:r>
          </w:p>
          <w:p w:rsidR="00C14D8A" w:rsidRPr="007E6A6A" w:rsidRDefault="00C14D8A" w:rsidP="00C14D8A">
            <w:pPr>
              <w:jc w:val="both"/>
              <w:rPr>
                <w:rFonts w:eastAsia="Calibri"/>
                <w:sz w:val="20"/>
                <w:lang w:val="fr-CA"/>
              </w:rPr>
            </w:pPr>
            <w:r w:rsidRPr="007E6A6A">
              <w:rPr>
                <w:rFonts w:eastAsia="Calibri"/>
                <w:sz w:val="20"/>
                <w:lang w:val="fr-CA"/>
              </w:rPr>
              <w:t>2011 FC 371</w:t>
            </w:r>
          </w:p>
          <w:p w:rsidR="00C14D8A" w:rsidRPr="007E6A6A" w:rsidRDefault="00C14D8A" w:rsidP="00C14D8A">
            <w:pPr>
              <w:jc w:val="both"/>
              <w:rPr>
                <w:rFonts w:eastAsia="Calibri"/>
                <w:sz w:val="20"/>
                <w:lang w:val="fr-CA"/>
              </w:rPr>
            </w:pPr>
          </w:p>
        </w:tc>
        <w:tc>
          <w:tcPr>
            <w:tcW w:w="243" w:type="pct"/>
          </w:tcPr>
          <w:p w:rsidR="00C14D8A" w:rsidRPr="007E6A6A" w:rsidRDefault="00C14D8A" w:rsidP="00C14D8A">
            <w:pPr>
              <w:jc w:val="both"/>
              <w:rPr>
                <w:rFonts w:eastAsia="Calibri"/>
                <w:sz w:val="20"/>
                <w:lang w:val="fr-CA"/>
              </w:rPr>
            </w:pPr>
          </w:p>
        </w:tc>
        <w:tc>
          <w:tcPr>
            <w:tcW w:w="2330" w:type="pct"/>
          </w:tcPr>
          <w:p w:rsidR="00C14D8A" w:rsidRPr="007E6A6A" w:rsidRDefault="00C14D8A" w:rsidP="00C14D8A">
            <w:pPr>
              <w:jc w:val="both"/>
              <w:rPr>
                <w:rFonts w:eastAsia="Calibri"/>
                <w:sz w:val="20"/>
                <w:lang w:val="fr-CA"/>
              </w:rPr>
            </w:pPr>
            <w:r w:rsidRPr="007E6A6A">
              <w:rPr>
                <w:rFonts w:eastAsia="Calibri"/>
                <w:sz w:val="20"/>
                <w:lang w:val="fr-CA"/>
              </w:rPr>
              <w:t>Demande du demandeur en vue d’obtenir un jugement déclarant qu’il ne doit pas d’impôt, rejetée</w:t>
            </w:r>
          </w:p>
          <w:p w:rsidR="00C14D8A" w:rsidRPr="007E6A6A" w:rsidRDefault="00C14D8A" w:rsidP="00C14D8A">
            <w:pPr>
              <w:jc w:val="both"/>
              <w:rPr>
                <w:rFonts w:eastAsia="Calibri"/>
                <w:sz w:val="20"/>
                <w:lang w:val="fr-CA"/>
              </w:rPr>
            </w:pPr>
          </w:p>
          <w:p w:rsidR="00C14D8A" w:rsidRPr="007E6A6A" w:rsidRDefault="00C14D8A" w:rsidP="00C14D8A">
            <w:pPr>
              <w:jc w:val="both"/>
              <w:rPr>
                <w:rFonts w:eastAsia="Calibri"/>
                <w:sz w:val="20"/>
                <w:lang w:val="fr-CA"/>
              </w:rPr>
            </w:pPr>
          </w:p>
        </w:tc>
      </w:tr>
      <w:tr w:rsidR="00C14D8A" w:rsidRPr="007E6A6A" w:rsidTr="00C14D8A">
        <w:tc>
          <w:tcPr>
            <w:tcW w:w="2427" w:type="pct"/>
          </w:tcPr>
          <w:p w:rsidR="00C14D8A" w:rsidRPr="007E6A6A" w:rsidRDefault="00C14D8A" w:rsidP="00C14D8A">
            <w:pPr>
              <w:jc w:val="both"/>
              <w:rPr>
                <w:rFonts w:eastAsia="Calibri"/>
                <w:sz w:val="20"/>
                <w:lang w:val="fr-CA"/>
              </w:rPr>
            </w:pPr>
            <w:r w:rsidRPr="007E6A6A">
              <w:rPr>
                <w:rFonts w:eastAsia="Calibri"/>
                <w:sz w:val="20"/>
                <w:lang w:val="fr-CA"/>
              </w:rPr>
              <w:t>25 janvier 2012</w:t>
            </w:r>
          </w:p>
          <w:p w:rsidR="00C14D8A" w:rsidRPr="007E6A6A" w:rsidRDefault="00C14D8A" w:rsidP="00C14D8A">
            <w:pPr>
              <w:jc w:val="both"/>
              <w:rPr>
                <w:rFonts w:eastAsia="Calibri"/>
                <w:sz w:val="20"/>
                <w:lang w:val="fr-CA"/>
              </w:rPr>
            </w:pPr>
            <w:r w:rsidRPr="007E6A6A">
              <w:rPr>
                <w:rFonts w:eastAsia="Calibri"/>
                <w:sz w:val="20"/>
                <w:lang w:val="fr-CA"/>
              </w:rPr>
              <w:t>Cour d’appel fédérale</w:t>
            </w:r>
          </w:p>
          <w:p w:rsidR="00C14D8A" w:rsidRPr="007E6A6A" w:rsidRDefault="00C14D8A" w:rsidP="00C14D8A">
            <w:pPr>
              <w:jc w:val="both"/>
              <w:rPr>
                <w:rFonts w:eastAsia="Calibri"/>
                <w:sz w:val="20"/>
                <w:lang w:val="fr-CA"/>
              </w:rPr>
            </w:pPr>
            <w:r w:rsidRPr="007E6A6A">
              <w:rPr>
                <w:rFonts w:eastAsia="Calibri"/>
                <w:sz w:val="20"/>
                <w:lang w:val="fr-CA"/>
              </w:rPr>
              <w:t>(Juges Dawson, Gauthier et Trudel)</w:t>
            </w:r>
          </w:p>
          <w:p w:rsidR="00C14D8A" w:rsidRPr="007E6A6A" w:rsidRDefault="00C14D8A" w:rsidP="00C14D8A">
            <w:pPr>
              <w:jc w:val="both"/>
              <w:rPr>
                <w:rFonts w:eastAsia="Calibri"/>
                <w:sz w:val="20"/>
                <w:lang w:val="fr-CA"/>
              </w:rPr>
            </w:pPr>
            <w:r w:rsidRPr="007E6A6A">
              <w:rPr>
                <w:rFonts w:eastAsia="Calibri"/>
                <w:sz w:val="20"/>
                <w:lang w:val="fr-CA"/>
              </w:rPr>
              <w:t>2012 FCA 28</w:t>
            </w:r>
          </w:p>
          <w:p w:rsidR="00C14D8A" w:rsidRPr="007E6A6A" w:rsidRDefault="00C14D8A" w:rsidP="00C14D8A">
            <w:pPr>
              <w:jc w:val="both"/>
              <w:rPr>
                <w:rFonts w:eastAsia="Calibri"/>
                <w:sz w:val="20"/>
                <w:lang w:val="fr-CA"/>
              </w:rPr>
            </w:pPr>
          </w:p>
        </w:tc>
        <w:tc>
          <w:tcPr>
            <w:tcW w:w="243" w:type="pct"/>
          </w:tcPr>
          <w:p w:rsidR="00C14D8A" w:rsidRPr="007E6A6A" w:rsidRDefault="00C14D8A" w:rsidP="00C14D8A">
            <w:pPr>
              <w:jc w:val="both"/>
              <w:rPr>
                <w:rFonts w:eastAsia="Calibri"/>
                <w:sz w:val="20"/>
                <w:lang w:val="fr-CA"/>
              </w:rPr>
            </w:pPr>
          </w:p>
        </w:tc>
        <w:tc>
          <w:tcPr>
            <w:tcW w:w="2330" w:type="pct"/>
          </w:tcPr>
          <w:p w:rsidR="00C14D8A" w:rsidRPr="007E6A6A" w:rsidRDefault="00C14D8A" w:rsidP="00C14D8A">
            <w:pPr>
              <w:jc w:val="both"/>
              <w:rPr>
                <w:rFonts w:eastAsia="Calibri"/>
                <w:sz w:val="20"/>
                <w:lang w:val="fr-CA"/>
              </w:rPr>
            </w:pPr>
            <w:r w:rsidRPr="007E6A6A">
              <w:rPr>
                <w:rFonts w:eastAsia="Calibri"/>
                <w:sz w:val="20"/>
                <w:lang w:val="fr-CA"/>
              </w:rPr>
              <w:t>Appel rejeté</w:t>
            </w:r>
          </w:p>
          <w:p w:rsidR="00C14D8A" w:rsidRPr="007E6A6A" w:rsidRDefault="00C14D8A" w:rsidP="00C14D8A">
            <w:pPr>
              <w:jc w:val="both"/>
              <w:rPr>
                <w:rFonts w:eastAsia="Calibri"/>
                <w:sz w:val="20"/>
                <w:lang w:val="fr-CA"/>
              </w:rPr>
            </w:pPr>
          </w:p>
        </w:tc>
      </w:tr>
      <w:tr w:rsidR="00C14D8A" w:rsidRPr="007E6A6A" w:rsidTr="00C14D8A">
        <w:tc>
          <w:tcPr>
            <w:tcW w:w="2427" w:type="pct"/>
          </w:tcPr>
          <w:p w:rsidR="00C14D8A" w:rsidRPr="007E6A6A" w:rsidRDefault="00C14D8A" w:rsidP="00C14D8A">
            <w:pPr>
              <w:jc w:val="both"/>
              <w:rPr>
                <w:rFonts w:eastAsia="Calibri"/>
                <w:sz w:val="20"/>
                <w:lang w:val="fr-CA"/>
              </w:rPr>
            </w:pPr>
            <w:r w:rsidRPr="007E6A6A">
              <w:rPr>
                <w:rFonts w:eastAsia="Calibri"/>
                <w:sz w:val="20"/>
                <w:lang w:val="fr-CA"/>
              </w:rPr>
              <w:t>29 mars 2012</w:t>
            </w:r>
          </w:p>
          <w:p w:rsidR="00C14D8A" w:rsidRPr="007E6A6A" w:rsidRDefault="00C14D8A" w:rsidP="00C14D8A">
            <w:pPr>
              <w:jc w:val="both"/>
              <w:rPr>
                <w:rFonts w:eastAsia="Calibri"/>
                <w:sz w:val="20"/>
                <w:lang w:val="fr-CA"/>
              </w:rPr>
            </w:pPr>
            <w:r w:rsidRPr="007E6A6A">
              <w:rPr>
                <w:rFonts w:eastAsia="Calibri"/>
                <w:sz w:val="20"/>
                <w:lang w:val="fr-CA"/>
              </w:rPr>
              <w:t>Cour suprême du Canada</w:t>
            </w:r>
          </w:p>
        </w:tc>
        <w:tc>
          <w:tcPr>
            <w:tcW w:w="243" w:type="pct"/>
          </w:tcPr>
          <w:p w:rsidR="00C14D8A" w:rsidRPr="007E6A6A" w:rsidRDefault="00C14D8A" w:rsidP="00C14D8A">
            <w:pPr>
              <w:jc w:val="both"/>
              <w:rPr>
                <w:rFonts w:eastAsia="Calibri"/>
                <w:sz w:val="20"/>
                <w:lang w:val="fr-CA"/>
              </w:rPr>
            </w:pPr>
          </w:p>
        </w:tc>
        <w:tc>
          <w:tcPr>
            <w:tcW w:w="2330" w:type="pct"/>
          </w:tcPr>
          <w:p w:rsidR="00C14D8A" w:rsidRPr="007E6A6A" w:rsidRDefault="00C14D8A" w:rsidP="00C14D8A">
            <w:pPr>
              <w:jc w:val="both"/>
              <w:rPr>
                <w:rFonts w:eastAsia="Calibri"/>
                <w:sz w:val="20"/>
                <w:lang w:val="fr-CA"/>
              </w:rPr>
            </w:pPr>
            <w:r w:rsidRPr="007E6A6A">
              <w:rPr>
                <w:rFonts w:eastAsia="Calibri"/>
                <w:sz w:val="20"/>
                <w:lang w:val="fr-CA"/>
              </w:rPr>
              <w:t>Demande d’autorisation d’appel, déposée</w:t>
            </w:r>
          </w:p>
          <w:p w:rsidR="00C14D8A" w:rsidRPr="007E6A6A" w:rsidRDefault="00C14D8A" w:rsidP="00C14D8A">
            <w:pPr>
              <w:jc w:val="both"/>
              <w:rPr>
                <w:rFonts w:eastAsia="Calibri"/>
                <w:sz w:val="20"/>
                <w:lang w:val="fr-CA"/>
              </w:rPr>
            </w:pPr>
          </w:p>
        </w:tc>
      </w:tr>
    </w:tbl>
    <w:p w:rsidR="00F83F5A" w:rsidRDefault="00F83F5A" w:rsidP="00F83F5A">
      <w:pPr>
        <w:rPr>
          <w:sz w:val="20"/>
          <w:szCs w:val="20"/>
        </w:rPr>
      </w:pPr>
    </w:p>
    <w:p w:rsidR="00F83F5A" w:rsidRDefault="00ED3438" w:rsidP="00F83F5A">
      <w:pPr>
        <w:rPr>
          <w:sz w:val="20"/>
          <w:szCs w:val="20"/>
        </w:rPr>
      </w:pPr>
      <w:r w:rsidRPr="00ED3438">
        <w:rPr>
          <w:sz w:val="20"/>
          <w:szCs w:val="20"/>
          <w:lang w:val="fr-CA"/>
        </w:rPr>
        <w:pict>
          <v:rect id="_x0000_i1064" style="width:2in;height:1pt" o:hrpct="0" o:hralign="center" o:hrstd="t" o:hrnoshade="t" o:hr="t" fillcolor="black [3213]" stroked="f"/>
        </w:pict>
      </w:r>
    </w:p>
    <w:p w:rsidR="00F83F5A" w:rsidRDefault="00F83F5A" w:rsidP="00F83F5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30D52" w:rsidRPr="0047561F" w:rsidTr="00B60060">
        <w:trPr>
          <w:cantSplit/>
        </w:trPr>
        <w:tc>
          <w:tcPr>
            <w:tcW w:w="1458" w:type="dxa"/>
          </w:tcPr>
          <w:p w:rsidR="00630D52" w:rsidRPr="0047561F" w:rsidRDefault="00630D52" w:rsidP="00B60060">
            <w:pPr>
              <w:rPr>
                <w:sz w:val="20"/>
                <w:szCs w:val="20"/>
              </w:rPr>
            </w:pPr>
            <w:r w:rsidRPr="0047561F">
              <w:rPr>
                <w:rStyle w:val="SCCFileNumberChar"/>
                <w:sz w:val="20"/>
                <w:szCs w:val="20"/>
              </w:rPr>
              <w:t>34727</w:t>
            </w:r>
          </w:p>
          <w:p w:rsidR="00630D52" w:rsidRPr="0047561F" w:rsidRDefault="00630D52" w:rsidP="00B60060">
            <w:pPr>
              <w:rPr>
                <w:b/>
                <w:sz w:val="20"/>
                <w:szCs w:val="20"/>
                <w:lang w:val="fr-CA"/>
              </w:rPr>
            </w:pPr>
          </w:p>
        </w:tc>
        <w:tc>
          <w:tcPr>
            <w:tcW w:w="8118" w:type="dxa"/>
          </w:tcPr>
          <w:p w:rsidR="00630D52" w:rsidRPr="0047561F" w:rsidRDefault="00630D52" w:rsidP="00B60060">
            <w:pPr>
              <w:rPr>
                <w:sz w:val="20"/>
                <w:szCs w:val="20"/>
              </w:rPr>
            </w:pPr>
            <w:r w:rsidRPr="00630D52">
              <w:rPr>
                <w:rStyle w:val="SCCLsocChar"/>
                <w:sz w:val="20"/>
                <w:szCs w:val="20"/>
                <w:lang w:val="en-CA"/>
              </w:rPr>
              <w:t xml:space="preserve">Darwin Frederick </w:t>
            </w:r>
            <w:proofErr w:type="spellStart"/>
            <w:r w:rsidRPr="00630D52">
              <w:rPr>
                <w:rStyle w:val="SCCLsocChar"/>
                <w:sz w:val="20"/>
                <w:szCs w:val="20"/>
                <w:lang w:val="en-CA"/>
              </w:rPr>
              <w:t>Makarchuk</w:t>
            </w:r>
            <w:proofErr w:type="spellEnd"/>
            <w:r w:rsidRPr="00630D52">
              <w:rPr>
                <w:rStyle w:val="SCCLsocChar"/>
                <w:sz w:val="20"/>
                <w:szCs w:val="20"/>
                <w:lang w:val="en-CA"/>
              </w:rPr>
              <w:t xml:space="preserve"> v. Joan Bernice </w:t>
            </w:r>
            <w:proofErr w:type="spellStart"/>
            <w:r w:rsidRPr="00630D52">
              <w:rPr>
                <w:rStyle w:val="SCCLsocChar"/>
                <w:sz w:val="20"/>
                <w:szCs w:val="20"/>
                <w:lang w:val="en-CA"/>
              </w:rPr>
              <w:t>Makarchuk</w:t>
            </w:r>
            <w:proofErr w:type="spellEnd"/>
            <w:r w:rsidRPr="0047561F">
              <w:rPr>
                <w:sz w:val="20"/>
                <w:szCs w:val="20"/>
              </w:rPr>
              <w:t xml:space="preserve"> (Ont.) (Civil) (By Leave)</w:t>
            </w:r>
          </w:p>
          <w:p w:rsidR="00630D52" w:rsidRPr="0047561F" w:rsidRDefault="00630D52" w:rsidP="00B60060">
            <w:pPr>
              <w:rPr>
                <w:sz w:val="20"/>
                <w:szCs w:val="20"/>
              </w:rPr>
            </w:pPr>
          </w:p>
        </w:tc>
      </w:tr>
      <w:tr w:rsidR="00630D52" w:rsidRPr="0047561F" w:rsidTr="00B60060">
        <w:trPr>
          <w:cantSplit/>
        </w:trPr>
        <w:tc>
          <w:tcPr>
            <w:tcW w:w="1458" w:type="dxa"/>
          </w:tcPr>
          <w:p w:rsidR="00630D52" w:rsidRPr="0047561F" w:rsidRDefault="00630D52" w:rsidP="00B60060">
            <w:pPr>
              <w:rPr>
                <w:sz w:val="20"/>
                <w:szCs w:val="20"/>
              </w:rPr>
            </w:pPr>
            <w:r w:rsidRPr="0047561F">
              <w:rPr>
                <w:sz w:val="20"/>
                <w:szCs w:val="20"/>
              </w:rPr>
              <w:t>Coram :</w:t>
            </w:r>
          </w:p>
        </w:tc>
        <w:tc>
          <w:tcPr>
            <w:tcW w:w="8118" w:type="dxa"/>
          </w:tcPr>
          <w:p w:rsidR="00630D52" w:rsidRPr="0047561F" w:rsidRDefault="00630D52" w:rsidP="00B60060">
            <w:pPr>
              <w:rPr>
                <w:sz w:val="20"/>
                <w:szCs w:val="20"/>
              </w:rPr>
            </w:pPr>
            <w:proofErr w:type="spellStart"/>
            <w:r w:rsidRPr="00630D52">
              <w:rPr>
                <w:rStyle w:val="SCCCoramChar"/>
                <w:sz w:val="20"/>
                <w:szCs w:val="20"/>
                <w:lang w:val="en-CA"/>
              </w:rPr>
              <w:t>LeBel</w:t>
            </w:r>
            <w:proofErr w:type="spellEnd"/>
            <w:r w:rsidRPr="00630D52">
              <w:rPr>
                <w:rStyle w:val="SCCCoramChar"/>
                <w:sz w:val="20"/>
                <w:szCs w:val="20"/>
                <w:lang w:val="en-CA"/>
              </w:rPr>
              <w:t xml:space="preserve">, </w:t>
            </w:r>
            <w:proofErr w:type="spellStart"/>
            <w:r w:rsidRPr="00630D52">
              <w:rPr>
                <w:rStyle w:val="SCCCoramChar"/>
                <w:sz w:val="20"/>
                <w:szCs w:val="20"/>
                <w:lang w:val="en-CA"/>
              </w:rPr>
              <w:t>Abella</w:t>
            </w:r>
            <w:proofErr w:type="spellEnd"/>
            <w:r w:rsidRPr="00630D52">
              <w:rPr>
                <w:rStyle w:val="SCCCoramChar"/>
                <w:sz w:val="20"/>
                <w:szCs w:val="20"/>
                <w:lang w:val="en-CA"/>
              </w:rPr>
              <w:t xml:space="preserve"> and Cromwell JJ.</w:t>
            </w:r>
          </w:p>
          <w:p w:rsidR="00630D52" w:rsidRPr="0047561F" w:rsidRDefault="00630D52" w:rsidP="00B60060">
            <w:pPr>
              <w:rPr>
                <w:sz w:val="20"/>
                <w:szCs w:val="20"/>
                <w:u w:val="single"/>
              </w:rPr>
            </w:pPr>
          </w:p>
        </w:tc>
      </w:tr>
      <w:tr w:rsidR="00630D52" w:rsidRPr="00017BF4" w:rsidTr="00B60060">
        <w:trPr>
          <w:cantSplit/>
        </w:trPr>
        <w:tc>
          <w:tcPr>
            <w:tcW w:w="9576" w:type="dxa"/>
            <w:gridSpan w:val="2"/>
          </w:tcPr>
          <w:p w:rsidR="00630D52" w:rsidRPr="0047561F" w:rsidRDefault="00630D52" w:rsidP="00B60060">
            <w:pPr>
              <w:pStyle w:val="SCCShortJudgment"/>
              <w:rPr>
                <w:szCs w:val="20"/>
              </w:rPr>
            </w:pPr>
            <w:r w:rsidRPr="0047561F">
              <w:rPr>
                <w:szCs w:val="20"/>
              </w:rPr>
              <w:t>The application for leave to appeal from the judgment of the Court of Appeal for Ontario, Number C54263, 2012 ONCA 42, dated January 20, 2012, is dismissed without costs.</w:t>
            </w:r>
          </w:p>
          <w:p w:rsidR="00630D52" w:rsidRPr="0047561F" w:rsidRDefault="00630D52" w:rsidP="00B60060">
            <w:pPr>
              <w:pStyle w:val="SCCShortJudgment"/>
              <w:ind w:firstLine="0"/>
              <w:rPr>
                <w:szCs w:val="20"/>
              </w:rPr>
            </w:pPr>
          </w:p>
          <w:p w:rsidR="00630D52" w:rsidRPr="0047561F" w:rsidRDefault="00630D52" w:rsidP="00B60060">
            <w:pPr>
              <w:pStyle w:val="SCCShortJudgment"/>
              <w:rPr>
                <w:szCs w:val="20"/>
                <w:lang w:val="fr-CA"/>
              </w:rPr>
            </w:pPr>
            <w:r w:rsidRPr="0047561F">
              <w:rPr>
                <w:szCs w:val="20"/>
                <w:lang w:val="fr-CA"/>
              </w:rPr>
              <w:t>La demande d’autorisation d’appel de l’arrêt de la Cour d’appel de l’Ontario, numéro C54263, 2012 ONCA 42, daté du 20 janvier 2012, est rejetée sans dépens.</w:t>
            </w:r>
          </w:p>
        </w:tc>
      </w:tr>
    </w:tbl>
    <w:p w:rsidR="00F83F5A" w:rsidRPr="00F83F5A" w:rsidRDefault="00F83F5A" w:rsidP="00F83F5A">
      <w:pPr>
        <w:rPr>
          <w:sz w:val="20"/>
          <w:szCs w:val="20"/>
          <w:lang w:val="fr-CA"/>
        </w:rPr>
      </w:pPr>
    </w:p>
    <w:p w:rsidR="00F83F5A" w:rsidRPr="001B157C" w:rsidRDefault="00F83F5A" w:rsidP="00F83F5A">
      <w:pPr>
        <w:rPr>
          <w:sz w:val="20"/>
          <w:szCs w:val="20"/>
          <w:u w:val="single"/>
        </w:rPr>
      </w:pPr>
      <w:r w:rsidRPr="001B157C">
        <w:rPr>
          <w:sz w:val="20"/>
          <w:szCs w:val="20"/>
          <w:u w:val="single"/>
        </w:rPr>
        <w:t>CASE SUMMARY</w:t>
      </w:r>
    </w:p>
    <w:p w:rsidR="00F83F5A" w:rsidRDefault="00F83F5A" w:rsidP="00F83F5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14D8A" w:rsidRPr="007E6A6A" w:rsidTr="00C14D8A">
        <w:tc>
          <w:tcPr>
            <w:tcW w:w="5000" w:type="pct"/>
            <w:gridSpan w:val="3"/>
          </w:tcPr>
          <w:p w:rsidR="00C14D8A" w:rsidRPr="007E6A6A" w:rsidRDefault="00C14D8A" w:rsidP="00C14D8A">
            <w:pPr>
              <w:jc w:val="both"/>
              <w:rPr>
                <w:rFonts w:eastAsia="Calibri"/>
                <w:sz w:val="20"/>
              </w:rPr>
            </w:pPr>
            <w:r w:rsidRPr="007E6A6A">
              <w:rPr>
                <w:rFonts w:eastAsia="Calibri"/>
                <w:sz w:val="20"/>
              </w:rPr>
              <w:t>Wills and estates – Wills – Interpretation - Husband and wife separating  five months after executing wills leaving their respective estates to each other – Husband still married to Respondent wife on date of death – Son applying for directions regarding effect of estate release clause in parties’ separation agreement on gift to wife in husband’s will – Whether Court of Appeal erred in law by failing to ensure principles of contract interpretation were properly followed in interpretation of separation agreement - Whether Court of Appeal allowed  irrelevant factor to influence its decision</w:t>
            </w:r>
          </w:p>
        </w:tc>
      </w:tr>
      <w:tr w:rsidR="00C14D8A" w:rsidRPr="007E6A6A" w:rsidTr="00C14D8A">
        <w:tc>
          <w:tcPr>
            <w:tcW w:w="5000" w:type="pct"/>
            <w:gridSpan w:val="3"/>
          </w:tcPr>
          <w:p w:rsidR="00C14D8A" w:rsidRPr="007E6A6A" w:rsidRDefault="00C14D8A" w:rsidP="00C14D8A">
            <w:pPr>
              <w:jc w:val="both"/>
              <w:rPr>
                <w:rFonts w:eastAsia="Calibri"/>
                <w:sz w:val="20"/>
              </w:rPr>
            </w:pPr>
          </w:p>
        </w:tc>
      </w:tr>
      <w:tr w:rsidR="00C14D8A" w:rsidRPr="007E6A6A" w:rsidTr="00C14D8A">
        <w:tc>
          <w:tcPr>
            <w:tcW w:w="5000" w:type="pct"/>
            <w:gridSpan w:val="3"/>
          </w:tcPr>
          <w:p w:rsidR="00C14D8A" w:rsidRPr="007E6A6A" w:rsidRDefault="00C14D8A" w:rsidP="00C14D8A">
            <w:pPr>
              <w:jc w:val="both"/>
              <w:rPr>
                <w:rFonts w:eastAsia="Calibri"/>
                <w:color w:val="000000"/>
                <w:sz w:val="20"/>
              </w:rPr>
            </w:pPr>
            <w:r w:rsidRPr="007E6A6A">
              <w:rPr>
                <w:rFonts w:eastAsia="Calibri"/>
                <w:color w:val="000000"/>
                <w:sz w:val="20"/>
              </w:rPr>
              <w:t xml:space="preserve">Mr. and Mrs. </w:t>
            </w:r>
            <w:proofErr w:type="spellStart"/>
            <w:r w:rsidRPr="007E6A6A">
              <w:rPr>
                <w:rFonts w:eastAsia="Calibri"/>
                <w:color w:val="000000"/>
                <w:sz w:val="20"/>
              </w:rPr>
              <w:t>Makarchuk</w:t>
            </w:r>
            <w:proofErr w:type="spellEnd"/>
            <w:r w:rsidRPr="007E6A6A">
              <w:rPr>
                <w:rFonts w:eastAsia="Calibri"/>
                <w:color w:val="000000"/>
                <w:sz w:val="20"/>
              </w:rPr>
              <w:t xml:space="preserve"> married in May 1961 and had two children who are now adults.  In July, 2003, they signed similar wills.  Mr. </w:t>
            </w:r>
            <w:proofErr w:type="spellStart"/>
            <w:r w:rsidRPr="007E6A6A">
              <w:rPr>
                <w:rFonts w:eastAsia="Calibri"/>
                <w:color w:val="000000"/>
                <w:sz w:val="20"/>
              </w:rPr>
              <w:t>Makarchuk’s</w:t>
            </w:r>
            <w:proofErr w:type="spellEnd"/>
            <w:r w:rsidRPr="007E6A6A">
              <w:rPr>
                <w:rFonts w:eastAsia="Calibri"/>
                <w:color w:val="000000"/>
                <w:sz w:val="20"/>
              </w:rPr>
              <w:t xml:space="preserve"> will </w:t>
            </w:r>
            <w:proofErr w:type="gramStart"/>
            <w:r w:rsidRPr="007E6A6A">
              <w:rPr>
                <w:rFonts w:eastAsia="Calibri"/>
                <w:color w:val="000000"/>
                <w:sz w:val="20"/>
              </w:rPr>
              <w:t>named</w:t>
            </w:r>
            <w:proofErr w:type="gramEnd"/>
            <w:r w:rsidRPr="007E6A6A">
              <w:rPr>
                <w:rFonts w:eastAsia="Calibri"/>
                <w:color w:val="000000"/>
                <w:sz w:val="20"/>
              </w:rPr>
              <w:t xml:space="preserve"> his wife as executrix and sole beneficiary.  In November 2003, Mr. and Mrs. </w:t>
            </w:r>
            <w:proofErr w:type="spellStart"/>
            <w:r w:rsidRPr="007E6A6A">
              <w:rPr>
                <w:rFonts w:eastAsia="Calibri"/>
                <w:color w:val="000000"/>
                <w:sz w:val="20"/>
              </w:rPr>
              <w:t>Makarchuk</w:t>
            </w:r>
            <w:proofErr w:type="spellEnd"/>
            <w:r w:rsidRPr="007E6A6A">
              <w:rPr>
                <w:rFonts w:eastAsia="Calibri"/>
                <w:color w:val="000000"/>
                <w:sz w:val="20"/>
              </w:rPr>
              <w:t xml:space="preserve"> separated and signed a separation agreement the following month that contained an estate release clause.  The couple did not divorce and Mr. </w:t>
            </w:r>
            <w:proofErr w:type="spellStart"/>
            <w:r w:rsidRPr="007E6A6A">
              <w:rPr>
                <w:rFonts w:eastAsia="Calibri"/>
                <w:color w:val="000000"/>
                <w:sz w:val="20"/>
              </w:rPr>
              <w:t>Makarchuk</w:t>
            </w:r>
            <w:proofErr w:type="spellEnd"/>
            <w:r w:rsidRPr="007E6A6A">
              <w:rPr>
                <w:rFonts w:eastAsia="Calibri"/>
                <w:color w:val="000000"/>
                <w:sz w:val="20"/>
              </w:rPr>
              <w:t xml:space="preserve"> died in 2008, without having made a new will.  The Applicant, their son, sought direction from the court regarding the impact of the separation agreement on the terms of the will. The question was whether Mrs. </w:t>
            </w:r>
            <w:proofErr w:type="spellStart"/>
            <w:r w:rsidRPr="007E6A6A">
              <w:rPr>
                <w:rFonts w:eastAsia="Calibri"/>
                <w:color w:val="000000"/>
                <w:sz w:val="20"/>
              </w:rPr>
              <w:t>Makarchuk</w:t>
            </w:r>
            <w:proofErr w:type="spellEnd"/>
            <w:r w:rsidRPr="007E6A6A">
              <w:rPr>
                <w:rFonts w:eastAsia="Calibri"/>
                <w:color w:val="000000"/>
                <w:sz w:val="20"/>
              </w:rPr>
              <w:t xml:space="preserve"> had released her right to be the executrix and her right to take as a beneficiary by virtue of the release in the separation agreement. </w:t>
            </w:r>
          </w:p>
          <w:p w:rsidR="00C14D8A" w:rsidRPr="007E6A6A" w:rsidRDefault="00C14D8A" w:rsidP="00C14D8A">
            <w:pPr>
              <w:jc w:val="both"/>
              <w:rPr>
                <w:rFonts w:eastAsia="Calibri"/>
                <w:sz w:val="20"/>
              </w:rPr>
            </w:pPr>
          </w:p>
        </w:tc>
      </w:tr>
      <w:tr w:rsidR="00C14D8A" w:rsidRPr="007E6A6A" w:rsidTr="00C14D8A">
        <w:tc>
          <w:tcPr>
            <w:tcW w:w="2427" w:type="pct"/>
          </w:tcPr>
          <w:p w:rsidR="00C14D8A" w:rsidRPr="007E6A6A" w:rsidRDefault="00C14D8A" w:rsidP="00C14D8A">
            <w:pPr>
              <w:jc w:val="both"/>
              <w:rPr>
                <w:rFonts w:eastAsia="Calibri"/>
                <w:sz w:val="20"/>
              </w:rPr>
            </w:pPr>
            <w:r w:rsidRPr="007E6A6A">
              <w:rPr>
                <w:rFonts w:eastAsia="Calibri"/>
                <w:sz w:val="20"/>
              </w:rPr>
              <w:t>August 9, 2011</w:t>
            </w:r>
          </w:p>
          <w:p w:rsidR="00C14D8A" w:rsidRPr="007E6A6A" w:rsidRDefault="00C14D8A" w:rsidP="00C14D8A">
            <w:pPr>
              <w:jc w:val="both"/>
              <w:rPr>
                <w:rFonts w:eastAsia="Calibri"/>
                <w:sz w:val="20"/>
              </w:rPr>
            </w:pPr>
            <w:r w:rsidRPr="007E6A6A">
              <w:rPr>
                <w:rFonts w:eastAsia="Calibri"/>
                <w:sz w:val="20"/>
              </w:rPr>
              <w:t>Ontario Superior Court of Justice</w:t>
            </w:r>
          </w:p>
          <w:p w:rsidR="00C14D8A" w:rsidRPr="007E6A6A" w:rsidRDefault="00C14D8A" w:rsidP="00C14D8A">
            <w:pPr>
              <w:jc w:val="both"/>
              <w:rPr>
                <w:rFonts w:eastAsia="Calibri"/>
                <w:sz w:val="20"/>
              </w:rPr>
            </w:pPr>
            <w:r w:rsidRPr="007E6A6A">
              <w:rPr>
                <w:rFonts w:eastAsia="Calibri"/>
                <w:sz w:val="20"/>
              </w:rPr>
              <w:t>(Hennessy J.)</w:t>
            </w:r>
          </w:p>
          <w:p w:rsidR="00C14D8A" w:rsidRPr="007E6A6A" w:rsidRDefault="00C14D8A" w:rsidP="00C14D8A">
            <w:pPr>
              <w:jc w:val="both"/>
              <w:rPr>
                <w:rFonts w:eastAsia="Calibri"/>
                <w:sz w:val="20"/>
              </w:rPr>
            </w:pPr>
            <w:r w:rsidRPr="007E6A6A">
              <w:rPr>
                <w:rFonts w:eastAsia="Calibri"/>
                <w:sz w:val="20"/>
              </w:rPr>
              <w:t>2011 ONSC 4633</w:t>
            </w:r>
          </w:p>
          <w:p w:rsidR="00C14D8A" w:rsidRPr="007E6A6A" w:rsidRDefault="00C14D8A" w:rsidP="00C14D8A">
            <w:pPr>
              <w:jc w:val="both"/>
              <w:rPr>
                <w:rFonts w:eastAsia="Calibri"/>
                <w:sz w:val="20"/>
              </w:rPr>
            </w:pPr>
          </w:p>
        </w:tc>
        <w:tc>
          <w:tcPr>
            <w:tcW w:w="243" w:type="pct"/>
          </w:tcPr>
          <w:p w:rsidR="00C14D8A" w:rsidRPr="007E6A6A" w:rsidRDefault="00C14D8A" w:rsidP="00C14D8A">
            <w:pPr>
              <w:jc w:val="both"/>
              <w:rPr>
                <w:rFonts w:eastAsia="Calibri"/>
                <w:sz w:val="20"/>
              </w:rPr>
            </w:pPr>
          </w:p>
        </w:tc>
        <w:tc>
          <w:tcPr>
            <w:tcW w:w="2330" w:type="pct"/>
          </w:tcPr>
          <w:p w:rsidR="00C14D8A" w:rsidRPr="007E6A6A" w:rsidRDefault="00C14D8A" w:rsidP="00C14D8A">
            <w:pPr>
              <w:jc w:val="both"/>
              <w:rPr>
                <w:rFonts w:eastAsia="Calibri"/>
                <w:sz w:val="20"/>
              </w:rPr>
            </w:pPr>
            <w:r w:rsidRPr="007E6A6A">
              <w:rPr>
                <w:rFonts w:eastAsia="Calibri"/>
                <w:sz w:val="20"/>
              </w:rPr>
              <w:t>Release clause held to be limited to release of statutory rights and not broad enough to release rights under will.</w:t>
            </w:r>
          </w:p>
          <w:p w:rsidR="00C14D8A" w:rsidRPr="007E6A6A" w:rsidRDefault="00C14D8A" w:rsidP="00C14D8A">
            <w:pPr>
              <w:jc w:val="both"/>
              <w:rPr>
                <w:rFonts w:eastAsia="Calibri"/>
                <w:sz w:val="20"/>
              </w:rPr>
            </w:pPr>
          </w:p>
        </w:tc>
      </w:tr>
      <w:tr w:rsidR="00C14D8A" w:rsidRPr="007E6A6A" w:rsidTr="00C14D8A">
        <w:tc>
          <w:tcPr>
            <w:tcW w:w="2427" w:type="pct"/>
          </w:tcPr>
          <w:p w:rsidR="00C14D8A" w:rsidRPr="007E6A6A" w:rsidRDefault="00C14D8A" w:rsidP="00C14D8A">
            <w:pPr>
              <w:jc w:val="both"/>
              <w:rPr>
                <w:rFonts w:eastAsia="Calibri"/>
                <w:sz w:val="20"/>
              </w:rPr>
            </w:pPr>
            <w:r w:rsidRPr="007E6A6A">
              <w:rPr>
                <w:rFonts w:eastAsia="Calibri"/>
                <w:sz w:val="20"/>
              </w:rPr>
              <w:t>January 20, 2012</w:t>
            </w:r>
          </w:p>
          <w:p w:rsidR="00C14D8A" w:rsidRPr="007E6A6A" w:rsidRDefault="00C14D8A" w:rsidP="00C14D8A">
            <w:pPr>
              <w:jc w:val="both"/>
              <w:rPr>
                <w:rFonts w:eastAsia="Calibri"/>
                <w:sz w:val="20"/>
              </w:rPr>
            </w:pPr>
            <w:r w:rsidRPr="007E6A6A">
              <w:rPr>
                <w:rFonts w:eastAsia="Calibri"/>
                <w:sz w:val="20"/>
              </w:rPr>
              <w:t>Court of Appeal for Ontario</w:t>
            </w:r>
          </w:p>
          <w:p w:rsidR="00C14D8A" w:rsidRPr="007E6A6A" w:rsidRDefault="00C14D8A" w:rsidP="00C14D8A">
            <w:pPr>
              <w:jc w:val="both"/>
              <w:rPr>
                <w:rFonts w:eastAsia="Calibri"/>
                <w:sz w:val="20"/>
              </w:rPr>
            </w:pPr>
            <w:r w:rsidRPr="007E6A6A">
              <w:rPr>
                <w:rFonts w:eastAsia="Calibri"/>
                <w:sz w:val="20"/>
              </w:rPr>
              <w:t xml:space="preserve">(Rosenberg, Feldman and </w:t>
            </w:r>
            <w:proofErr w:type="spellStart"/>
            <w:r w:rsidRPr="007E6A6A">
              <w:rPr>
                <w:rFonts w:eastAsia="Calibri"/>
                <w:sz w:val="20"/>
              </w:rPr>
              <w:t>Swinton</w:t>
            </w:r>
            <w:proofErr w:type="spellEnd"/>
            <w:r w:rsidRPr="007E6A6A">
              <w:rPr>
                <w:rFonts w:eastAsia="Calibri"/>
                <w:sz w:val="20"/>
              </w:rPr>
              <w:t xml:space="preserve">, </w:t>
            </w:r>
            <w:r w:rsidRPr="007E6A6A">
              <w:rPr>
                <w:rFonts w:eastAsia="Calibri"/>
                <w:i/>
                <w:sz w:val="20"/>
              </w:rPr>
              <w:t>ad hoc</w:t>
            </w:r>
            <w:r w:rsidRPr="007E6A6A">
              <w:rPr>
                <w:rFonts w:eastAsia="Calibri"/>
                <w:sz w:val="20"/>
              </w:rPr>
              <w:t xml:space="preserve"> JJA.)</w:t>
            </w:r>
          </w:p>
          <w:p w:rsidR="00C14D8A" w:rsidRPr="007E6A6A" w:rsidRDefault="00C14D8A" w:rsidP="00C14D8A">
            <w:pPr>
              <w:jc w:val="both"/>
              <w:rPr>
                <w:rFonts w:eastAsia="Calibri"/>
                <w:sz w:val="20"/>
              </w:rPr>
            </w:pPr>
            <w:r w:rsidRPr="007E6A6A">
              <w:rPr>
                <w:rFonts w:eastAsia="Calibri"/>
                <w:sz w:val="20"/>
              </w:rPr>
              <w:t>2012 ONCA 42</w:t>
            </w:r>
          </w:p>
          <w:p w:rsidR="00C14D8A" w:rsidRPr="007E6A6A" w:rsidRDefault="00C14D8A" w:rsidP="00C14D8A">
            <w:pPr>
              <w:jc w:val="both"/>
              <w:rPr>
                <w:rFonts w:eastAsia="Calibri"/>
                <w:sz w:val="20"/>
              </w:rPr>
            </w:pPr>
          </w:p>
        </w:tc>
        <w:tc>
          <w:tcPr>
            <w:tcW w:w="243" w:type="pct"/>
          </w:tcPr>
          <w:p w:rsidR="00C14D8A" w:rsidRPr="007E6A6A" w:rsidRDefault="00C14D8A" w:rsidP="00C14D8A">
            <w:pPr>
              <w:jc w:val="both"/>
              <w:rPr>
                <w:rFonts w:eastAsia="Calibri"/>
                <w:sz w:val="20"/>
              </w:rPr>
            </w:pPr>
          </w:p>
        </w:tc>
        <w:tc>
          <w:tcPr>
            <w:tcW w:w="2330" w:type="pct"/>
          </w:tcPr>
          <w:p w:rsidR="00C14D8A" w:rsidRPr="007E6A6A" w:rsidRDefault="00C14D8A" w:rsidP="00C14D8A">
            <w:pPr>
              <w:jc w:val="both"/>
              <w:rPr>
                <w:rFonts w:eastAsia="Calibri"/>
                <w:sz w:val="20"/>
              </w:rPr>
            </w:pPr>
            <w:r w:rsidRPr="007E6A6A">
              <w:rPr>
                <w:rFonts w:eastAsia="Calibri"/>
                <w:sz w:val="20"/>
              </w:rPr>
              <w:t>Appeal dismissed</w:t>
            </w:r>
          </w:p>
          <w:p w:rsidR="00C14D8A" w:rsidRPr="007E6A6A" w:rsidRDefault="00C14D8A" w:rsidP="00C14D8A">
            <w:pPr>
              <w:jc w:val="both"/>
              <w:rPr>
                <w:rFonts w:eastAsia="Calibri"/>
                <w:sz w:val="20"/>
              </w:rPr>
            </w:pPr>
          </w:p>
        </w:tc>
      </w:tr>
      <w:tr w:rsidR="00C14D8A" w:rsidRPr="007E6A6A" w:rsidTr="00C14D8A">
        <w:tc>
          <w:tcPr>
            <w:tcW w:w="2427" w:type="pct"/>
          </w:tcPr>
          <w:p w:rsidR="00C14D8A" w:rsidRPr="007E6A6A" w:rsidRDefault="00C14D8A" w:rsidP="00C14D8A">
            <w:pPr>
              <w:jc w:val="both"/>
              <w:rPr>
                <w:rFonts w:eastAsia="Calibri"/>
                <w:sz w:val="20"/>
              </w:rPr>
            </w:pPr>
            <w:r w:rsidRPr="007E6A6A">
              <w:rPr>
                <w:rFonts w:eastAsia="Calibri"/>
                <w:sz w:val="20"/>
              </w:rPr>
              <w:t>March 8, 2012</w:t>
            </w:r>
          </w:p>
          <w:p w:rsidR="00C14D8A" w:rsidRPr="007E6A6A" w:rsidRDefault="00C14D8A" w:rsidP="00C14D8A">
            <w:pPr>
              <w:jc w:val="both"/>
              <w:rPr>
                <w:rFonts w:eastAsia="Calibri"/>
                <w:sz w:val="20"/>
              </w:rPr>
            </w:pPr>
            <w:r w:rsidRPr="007E6A6A">
              <w:rPr>
                <w:rFonts w:eastAsia="Calibri"/>
                <w:sz w:val="20"/>
              </w:rPr>
              <w:t>Supreme Court of Canada</w:t>
            </w:r>
          </w:p>
        </w:tc>
        <w:tc>
          <w:tcPr>
            <w:tcW w:w="243" w:type="pct"/>
          </w:tcPr>
          <w:p w:rsidR="00C14D8A" w:rsidRPr="007E6A6A" w:rsidRDefault="00C14D8A" w:rsidP="00C14D8A">
            <w:pPr>
              <w:jc w:val="both"/>
              <w:rPr>
                <w:rFonts w:eastAsia="Calibri"/>
                <w:sz w:val="20"/>
              </w:rPr>
            </w:pPr>
          </w:p>
        </w:tc>
        <w:tc>
          <w:tcPr>
            <w:tcW w:w="2330" w:type="pct"/>
          </w:tcPr>
          <w:p w:rsidR="00C14D8A" w:rsidRPr="007E6A6A" w:rsidRDefault="00C14D8A" w:rsidP="00C14D8A">
            <w:pPr>
              <w:jc w:val="both"/>
              <w:rPr>
                <w:rFonts w:eastAsia="Calibri"/>
                <w:sz w:val="20"/>
              </w:rPr>
            </w:pPr>
            <w:r w:rsidRPr="007E6A6A">
              <w:rPr>
                <w:rFonts w:eastAsia="Calibri"/>
                <w:sz w:val="20"/>
              </w:rPr>
              <w:t>Application for leave to appeal filed</w:t>
            </w:r>
          </w:p>
          <w:p w:rsidR="00C14D8A" w:rsidRPr="007E6A6A" w:rsidRDefault="00C14D8A" w:rsidP="00C14D8A">
            <w:pPr>
              <w:jc w:val="both"/>
              <w:rPr>
                <w:rFonts w:eastAsia="Calibri"/>
                <w:sz w:val="20"/>
              </w:rPr>
            </w:pPr>
          </w:p>
        </w:tc>
      </w:tr>
    </w:tbl>
    <w:p w:rsidR="00F83F5A" w:rsidRPr="00C50A5C" w:rsidRDefault="00F83F5A" w:rsidP="00F83F5A">
      <w:pPr>
        <w:rPr>
          <w:sz w:val="20"/>
          <w:szCs w:val="20"/>
        </w:rPr>
      </w:pPr>
    </w:p>
    <w:p w:rsidR="00F83F5A" w:rsidRPr="00C50A5C" w:rsidRDefault="00ED3438" w:rsidP="00F83F5A">
      <w:pPr>
        <w:rPr>
          <w:sz w:val="20"/>
          <w:szCs w:val="20"/>
        </w:rPr>
      </w:pPr>
      <w:r w:rsidRPr="00ED3438">
        <w:rPr>
          <w:sz w:val="20"/>
          <w:szCs w:val="20"/>
          <w:lang w:val="fr-CA"/>
        </w:rPr>
        <w:pict>
          <v:rect id="_x0000_i1065" style="width:2in;height:1pt" o:hrpct="0" o:hralign="center" o:hrstd="t" o:hrnoshade="t" o:hr="t" fillcolor="black [3213]" stroked="f"/>
        </w:pict>
      </w:r>
    </w:p>
    <w:p w:rsidR="00F83F5A" w:rsidRDefault="00F83F5A" w:rsidP="00F83F5A">
      <w:pPr>
        <w:rPr>
          <w:sz w:val="20"/>
          <w:szCs w:val="20"/>
        </w:rPr>
      </w:pPr>
    </w:p>
    <w:p w:rsidR="00F83F5A" w:rsidRPr="001B157C" w:rsidRDefault="00F83F5A" w:rsidP="00F83F5A">
      <w:pPr>
        <w:rPr>
          <w:sz w:val="20"/>
          <w:szCs w:val="20"/>
          <w:u w:val="single"/>
          <w:lang w:val="fr-CA"/>
        </w:rPr>
      </w:pPr>
      <w:r w:rsidRPr="001B157C">
        <w:rPr>
          <w:sz w:val="20"/>
          <w:szCs w:val="20"/>
          <w:u w:val="single"/>
          <w:lang w:val="fr-CA"/>
        </w:rPr>
        <w:t>RÉSUMÉ DE L’AFFAIRE</w:t>
      </w:r>
    </w:p>
    <w:p w:rsidR="00F83F5A" w:rsidRDefault="00F83F5A" w:rsidP="00F83F5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14D8A" w:rsidRPr="00017BF4" w:rsidTr="00C14D8A">
        <w:tc>
          <w:tcPr>
            <w:tcW w:w="5000" w:type="pct"/>
            <w:gridSpan w:val="3"/>
          </w:tcPr>
          <w:p w:rsidR="00C14D8A" w:rsidRPr="007E6A6A" w:rsidRDefault="00C14D8A" w:rsidP="00C14D8A">
            <w:pPr>
              <w:jc w:val="both"/>
              <w:rPr>
                <w:rFonts w:eastAsia="Calibri"/>
                <w:sz w:val="20"/>
                <w:lang w:val="fr-CA"/>
              </w:rPr>
            </w:pPr>
            <w:r w:rsidRPr="007E6A6A">
              <w:rPr>
                <w:rFonts w:eastAsia="Calibri"/>
                <w:sz w:val="20"/>
                <w:lang w:val="fr-CA"/>
              </w:rPr>
              <w:t>Successions – Testaments – Interprétation - Des époux se séparent cinq mois après avoir signé des testaments dans lesquels ils se lèguent l'un à l'autre leurs biens respectifs – L'époux était encore marié à l'épouse intimée à la date du décès – Le fils demande des directives concernant l'effet de la clause de renonciation à la succession stipulée dans l’accord de séparation des parties sur une donation à l'épouse prévue dans le testament de l'époux – La Cour d'appel a-t-elle commis une erreur de droit en n’ayant pas veillé à ce que les principes d'interprétation des contrats ait été dûment appliqués dans l'interprétation de l’accord de séparation? - La Cour d'appel a-t-elle permis qu'un facteur non pertinent influence sa décision?</w:t>
            </w:r>
          </w:p>
        </w:tc>
      </w:tr>
      <w:tr w:rsidR="00C14D8A" w:rsidRPr="00017BF4" w:rsidTr="00C14D8A">
        <w:tc>
          <w:tcPr>
            <w:tcW w:w="5000" w:type="pct"/>
            <w:gridSpan w:val="3"/>
          </w:tcPr>
          <w:p w:rsidR="00C14D8A" w:rsidRPr="007E6A6A" w:rsidRDefault="00C14D8A" w:rsidP="00C14D8A">
            <w:pPr>
              <w:jc w:val="both"/>
              <w:rPr>
                <w:rFonts w:eastAsia="Calibri"/>
                <w:sz w:val="20"/>
                <w:lang w:val="fr-CA"/>
              </w:rPr>
            </w:pPr>
          </w:p>
        </w:tc>
      </w:tr>
      <w:tr w:rsidR="00C14D8A" w:rsidRPr="00017BF4" w:rsidTr="00C14D8A">
        <w:tc>
          <w:tcPr>
            <w:tcW w:w="5000" w:type="pct"/>
            <w:gridSpan w:val="3"/>
          </w:tcPr>
          <w:p w:rsidR="00C14D8A" w:rsidRPr="007E6A6A" w:rsidRDefault="00C14D8A" w:rsidP="00C14D8A">
            <w:pPr>
              <w:jc w:val="both"/>
              <w:rPr>
                <w:rFonts w:eastAsia="Calibri"/>
                <w:color w:val="000000"/>
                <w:sz w:val="20"/>
                <w:lang w:val="fr-CA"/>
              </w:rPr>
            </w:pPr>
            <w:r w:rsidRPr="007E6A6A">
              <w:rPr>
                <w:rFonts w:eastAsia="Calibri"/>
                <w:color w:val="000000"/>
                <w:sz w:val="20"/>
                <w:lang w:val="fr-CA"/>
              </w:rPr>
              <w:t xml:space="preserve">Monsieur et Mme </w:t>
            </w:r>
            <w:proofErr w:type="spellStart"/>
            <w:r w:rsidRPr="007E6A6A">
              <w:rPr>
                <w:rFonts w:eastAsia="Calibri"/>
                <w:color w:val="000000"/>
                <w:sz w:val="20"/>
                <w:lang w:val="fr-CA"/>
              </w:rPr>
              <w:t>Makarchuk</w:t>
            </w:r>
            <w:proofErr w:type="spellEnd"/>
            <w:r w:rsidRPr="007E6A6A">
              <w:rPr>
                <w:rFonts w:eastAsia="Calibri"/>
                <w:color w:val="000000"/>
                <w:sz w:val="20"/>
                <w:lang w:val="fr-CA"/>
              </w:rPr>
              <w:t xml:space="preserve"> se sont mariés en mai 1961 et ils ont eu deux enfants qui sont maintenant adultes. En juillet 2003, ils ont signé des testaments semblables. Dans son testament, M. </w:t>
            </w:r>
            <w:proofErr w:type="spellStart"/>
            <w:r w:rsidRPr="007E6A6A">
              <w:rPr>
                <w:rFonts w:eastAsia="Calibri"/>
                <w:color w:val="000000"/>
                <w:sz w:val="20"/>
                <w:lang w:val="fr-CA"/>
              </w:rPr>
              <w:t>Makarchuk</w:t>
            </w:r>
            <w:proofErr w:type="spellEnd"/>
            <w:r w:rsidRPr="007E6A6A">
              <w:rPr>
                <w:rFonts w:eastAsia="Calibri"/>
                <w:color w:val="000000"/>
                <w:sz w:val="20"/>
                <w:lang w:val="fr-CA"/>
              </w:rPr>
              <w:t xml:space="preserve"> nommait son épouse exécutrice et seule bénéficiaire. En novembre 2003, M. et Mme </w:t>
            </w:r>
            <w:proofErr w:type="spellStart"/>
            <w:r w:rsidRPr="007E6A6A">
              <w:rPr>
                <w:rFonts w:eastAsia="Calibri"/>
                <w:color w:val="000000"/>
                <w:sz w:val="20"/>
                <w:lang w:val="fr-CA"/>
              </w:rPr>
              <w:t>Makarchuk</w:t>
            </w:r>
            <w:proofErr w:type="spellEnd"/>
            <w:r w:rsidRPr="007E6A6A">
              <w:rPr>
                <w:rFonts w:eastAsia="Calibri"/>
                <w:color w:val="000000"/>
                <w:sz w:val="20"/>
                <w:lang w:val="fr-CA"/>
              </w:rPr>
              <w:t xml:space="preserve"> se sont séparés et ont signé un accord de séparation le mois suivant qui renfermait une clause de renonciation à la succession. Le couple ne s'est pas divorcé et M. </w:t>
            </w:r>
            <w:proofErr w:type="spellStart"/>
            <w:r w:rsidRPr="007E6A6A">
              <w:rPr>
                <w:rFonts w:eastAsia="Calibri"/>
                <w:color w:val="000000"/>
                <w:sz w:val="20"/>
                <w:lang w:val="fr-CA"/>
              </w:rPr>
              <w:t>Makarchuk</w:t>
            </w:r>
            <w:proofErr w:type="spellEnd"/>
            <w:r w:rsidRPr="007E6A6A">
              <w:rPr>
                <w:rFonts w:eastAsia="Calibri"/>
                <w:color w:val="000000"/>
                <w:sz w:val="20"/>
                <w:lang w:val="fr-CA"/>
              </w:rPr>
              <w:t xml:space="preserve"> est décédé en 2008, sans avoir fait de nouveau testament. Le demandeur, leur fils, a demandé des directives au tribunal concernant l'effet de l'accord de séparation sur les dispositions du testament. La question était de savoir si Mme </w:t>
            </w:r>
            <w:proofErr w:type="spellStart"/>
            <w:r w:rsidRPr="007E6A6A">
              <w:rPr>
                <w:rFonts w:eastAsia="Calibri"/>
                <w:color w:val="000000"/>
                <w:sz w:val="20"/>
                <w:lang w:val="fr-CA"/>
              </w:rPr>
              <w:t>Makarchuk</w:t>
            </w:r>
            <w:proofErr w:type="spellEnd"/>
            <w:r w:rsidRPr="007E6A6A">
              <w:rPr>
                <w:rFonts w:eastAsia="Calibri"/>
                <w:color w:val="000000"/>
                <w:sz w:val="20"/>
                <w:lang w:val="fr-CA"/>
              </w:rPr>
              <w:t xml:space="preserve"> avait renoncé à son droit d'être exécutrice et à son droit d'être bénéficiaire en vertu de la renonciation stipulée dans l'accord de séparation. </w:t>
            </w:r>
          </w:p>
          <w:p w:rsidR="00C14D8A" w:rsidRPr="007E6A6A" w:rsidRDefault="00C14D8A" w:rsidP="00C14D8A">
            <w:pPr>
              <w:jc w:val="both"/>
              <w:rPr>
                <w:rFonts w:eastAsia="Calibri"/>
                <w:sz w:val="20"/>
                <w:lang w:val="fr-CA"/>
              </w:rPr>
            </w:pPr>
          </w:p>
        </w:tc>
      </w:tr>
      <w:tr w:rsidR="00C14D8A" w:rsidRPr="00017BF4" w:rsidTr="00C14D8A">
        <w:tc>
          <w:tcPr>
            <w:tcW w:w="2427" w:type="pct"/>
          </w:tcPr>
          <w:p w:rsidR="00C14D8A" w:rsidRPr="007E6A6A" w:rsidRDefault="00C14D8A" w:rsidP="00C14D8A">
            <w:pPr>
              <w:jc w:val="both"/>
              <w:rPr>
                <w:rFonts w:eastAsia="Calibri"/>
                <w:sz w:val="20"/>
                <w:lang w:val="fr-CA"/>
              </w:rPr>
            </w:pPr>
            <w:r w:rsidRPr="007E6A6A">
              <w:rPr>
                <w:rFonts w:eastAsia="Calibri"/>
                <w:sz w:val="20"/>
                <w:lang w:val="fr-CA"/>
              </w:rPr>
              <w:t>9 août 2011</w:t>
            </w:r>
          </w:p>
          <w:p w:rsidR="00C14D8A" w:rsidRPr="007E6A6A" w:rsidRDefault="00C14D8A" w:rsidP="00C14D8A">
            <w:pPr>
              <w:jc w:val="both"/>
              <w:rPr>
                <w:rFonts w:eastAsia="Calibri"/>
                <w:sz w:val="20"/>
                <w:lang w:val="fr-CA"/>
              </w:rPr>
            </w:pPr>
            <w:r w:rsidRPr="007E6A6A">
              <w:rPr>
                <w:rFonts w:eastAsia="Calibri"/>
                <w:sz w:val="20"/>
                <w:lang w:val="fr-CA"/>
              </w:rPr>
              <w:t xml:space="preserve">Cour supérieure de justice de l'Ontario </w:t>
            </w:r>
          </w:p>
          <w:p w:rsidR="00C14D8A" w:rsidRPr="007E6A6A" w:rsidRDefault="00C14D8A" w:rsidP="00C14D8A">
            <w:pPr>
              <w:jc w:val="both"/>
              <w:rPr>
                <w:rFonts w:eastAsia="Calibri"/>
                <w:sz w:val="20"/>
                <w:lang w:val="fr-CA"/>
              </w:rPr>
            </w:pPr>
            <w:r w:rsidRPr="007E6A6A">
              <w:rPr>
                <w:rFonts w:eastAsia="Calibri"/>
                <w:sz w:val="20"/>
                <w:lang w:val="fr-CA"/>
              </w:rPr>
              <w:t>(Juge Hennessy)</w:t>
            </w:r>
          </w:p>
          <w:p w:rsidR="00C14D8A" w:rsidRPr="007E6A6A" w:rsidRDefault="00C14D8A" w:rsidP="00C14D8A">
            <w:pPr>
              <w:jc w:val="both"/>
              <w:rPr>
                <w:rFonts w:eastAsia="Calibri"/>
                <w:sz w:val="20"/>
                <w:lang w:val="fr-CA"/>
              </w:rPr>
            </w:pPr>
            <w:r w:rsidRPr="007E6A6A">
              <w:rPr>
                <w:rFonts w:eastAsia="Calibri"/>
                <w:sz w:val="20"/>
                <w:lang w:val="fr-CA"/>
              </w:rPr>
              <w:t>2011 ONSC 4633</w:t>
            </w:r>
          </w:p>
          <w:p w:rsidR="00C14D8A" w:rsidRPr="007E6A6A" w:rsidRDefault="00C14D8A" w:rsidP="00C14D8A">
            <w:pPr>
              <w:jc w:val="both"/>
              <w:rPr>
                <w:rFonts w:eastAsia="Calibri"/>
                <w:sz w:val="20"/>
                <w:lang w:val="fr-CA"/>
              </w:rPr>
            </w:pPr>
          </w:p>
        </w:tc>
        <w:tc>
          <w:tcPr>
            <w:tcW w:w="243" w:type="pct"/>
          </w:tcPr>
          <w:p w:rsidR="00C14D8A" w:rsidRPr="007E6A6A" w:rsidRDefault="00C14D8A" w:rsidP="00C14D8A">
            <w:pPr>
              <w:jc w:val="both"/>
              <w:rPr>
                <w:rFonts w:eastAsia="Calibri"/>
                <w:sz w:val="20"/>
                <w:lang w:val="fr-CA"/>
              </w:rPr>
            </w:pPr>
          </w:p>
        </w:tc>
        <w:tc>
          <w:tcPr>
            <w:tcW w:w="2330" w:type="pct"/>
          </w:tcPr>
          <w:p w:rsidR="00C14D8A" w:rsidRPr="007E6A6A" w:rsidRDefault="00C14D8A" w:rsidP="00C14D8A">
            <w:pPr>
              <w:jc w:val="both"/>
              <w:rPr>
                <w:rFonts w:eastAsia="Calibri"/>
                <w:sz w:val="20"/>
                <w:lang w:val="fr-CA"/>
              </w:rPr>
            </w:pPr>
            <w:r w:rsidRPr="007E6A6A">
              <w:rPr>
                <w:rFonts w:eastAsia="Calibri"/>
                <w:sz w:val="20"/>
                <w:lang w:val="fr-CA"/>
              </w:rPr>
              <w:t>Clause de renonciation jugée limitée à la renonciation aux droits prévus par la loi mais non pas assez large pour emporter la renonciation aux droits prévus dans le testament.</w:t>
            </w:r>
          </w:p>
          <w:p w:rsidR="00C14D8A" w:rsidRPr="007E6A6A" w:rsidRDefault="00C14D8A" w:rsidP="00C14D8A">
            <w:pPr>
              <w:jc w:val="both"/>
              <w:rPr>
                <w:rFonts w:eastAsia="Calibri"/>
                <w:sz w:val="20"/>
                <w:lang w:val="fr-CA"/>
              </w:rPr>
            </w:pPr>
          </w:p>
        </w:tc>
      </w:tr>
      <w:tr w:rsidR="00C14D8A" w:rsidRPr="007E6A6A" w:rsidTr="00C14D8A">
        <w:tc>
          <w:tcPr>
            <w:tcW w:w="2427" w:type="pct"/>
          </w:tcPr>
          <w:p w:rsidR="00C14D8A" w:rsidRPr="007E6A6A" w:rsidRDefault="00C14D8A" w:rsidP="00C14D8A">
            <w:pPr>
              <w:jc w:val="both"/>
              <w:rPr>
                <w:rFonts w:eastAsia="Calibri"/>
                <w:sz w:val="20"/>
                <w:lang w:val="fr-CA"/>
              </w:rPr>
            </w:pPr>
            <w:r w:rsidRPr="007E6A6A">
              <w:rPr>
                <w:rFonts w:eastAsia="Calibri"/>
                <w:sz w:val="20"/>
                <w:lang w:val="fr-CA"/>
              </w:rPr>
              <w:t>20 janvier 2012</w:t>
            </w:r>
          </w:p>
          <w:p w:rsidR="00C14D8A" w:rsidRPr="007E6A6A" w:rsidRDefault="00C14D8A" w:rsidP="00C14D8A">
            <w:pPr>
              <w:jc w:val="both"/>
              <w:rPr>
                <w:rFonts w:eastAsia="Calibri"/>
                <w:sz w:val="20"/>
                <w:lang w:val="fr-CA"/>
              </w:rPr>
            </w:pPr>
            <w:r w:rsidRPr="007E6A6A">
              <w:rPr>
                <w:rFonts w:eastAsia="Calibri"/>
                <w:sz w:val="20"/>
                <w:lang w:val="fr-CA"/>
              </w:rPr>
              <w:t xml:space="preserve">Cour d'appel de l'Ontario </w:t>
            </w:r>
          </w:p>
          <w:p w:rsidR="00C14D8A" w:rsidRPr="007E6A6A" w:rsidRDefault="00C14D8A" w:rsidP="00C14D8A">
            <w:pPr>
              <w:jc w:val="both"/>
              <w:rPr>
                <w:rFonts w:eastAsia="Calibri"/>
                <w:sz w:val="20"/>
                <w:lang w:val="fr-CA"/>
              </w:rPr>
            </w:pPr>
            <w:r w:rsidRPr="007E6A6A">
              <w:rPr>
                <w:rFonts w:eastAsia="Calibri"/>
                <w:sz w:val="20"/>
                <w:lang w:val="fr-CA"/>
              </w:rPr>
              <w:t xml:space="preserve">(Juges Rosenberg, </w:t>
            </w:r>
            <w:proofErr w:type="spellStart"/>
            <w:r w:rsidRPr="007E6A6A">
              <w:rPr>
                <w:rFonts w:eastAsia="Calibri"/>
                <w:sz w:val="20"/>
                <w:lang w:val="fr-CA"/>
              </w:rPr>
              <w:t>Feldman</w:t>
            </w:r>
            <w:proofErr w:type="spellEnd"/>
            <w:r w:rsidRPr="007E6A6A">
              <w:rPr>
                <w:rFonts w:eastAsia="Calibri"/>
                <w:sz w:val="20"/>
                <w:lang w:val="fr-CA"/>
              </w:rPr>
              <w:t xml:space="preserve"> et </w:t>
            </w:r>
            <w:proofErr w:type="spellStart"/>
            <w:r w:rsidRPr="007E6A6A">
              <w:rPr>
                <w:rFonts w:eastAsia="Calibri"/>
                <w:sz w:val="20"/>
                <w:lang w:val="fr-CA"/>
              </w:rPr>
              <w:t>Swinton</w:t>
            </w:r>
            <w:proofErr w:type="spellEnd"/>
            <w:r w:rsidRPr="007E6A6A">
              <w:rPr>
                <w:rFonts w:eastAsia="Calibri"/>
                <w:sz w:val="20"/>
                <w:lang w:val="fr-CA"/>
              </w:rPr>
              <w:t xml:space="preserve">, </w:t>
            </w:r>
            <w:r w:rsidRPr="007E6A6A">
              <w:rPr>
                <w:rFonts w:eastAsia="Calibri"/>
                <w:i/>
                <w:sz w:val="20"/>
                <w:lang w:val="fr-CA"/>
              </w:rPr>
              <w:t>ad hoc</w:t>
            </w:r>
            <w:r w:rsidRPr="007E6A6A">
              <w:rPr>
                <w:rFonts w:eastAsia="Calibri"/>
                <w:sz w:val="20"/>
                <w:lang w:val="fr-CA"/>
              </w:rPr>
              <w:t>)</w:t>
            </w:r>
          </w:p>
          <w:p w:rsidR="00C14D8A" w:rsidRPr="007E6A6A" w:rsidRDefault="00C14D8A" w:rsidP="00C14D8A">
            <w:pPr>
              <w:jc w:val="both"/>
              <w:rPr>
                <w:rFonts w:eastAsia="Calibri"/>
                <w:sz w:val="20"/>
                <w:lang w:val="fr-CA"/>
              </w:rPr>
            </w:pPr>
            <w:r w:rsidRPr="007E6A6A">
              <w:rPr>
                <w:rFonts w:eastAsia="Calibri"/>
                <w:sz w:val="20"/>
                <w:lang w:val="fr-CA"/>
              </w:rPr>
              <w:t>2012 ONCA 42</w:t>
            </w:r>
          </w:p>
          <w:p w:rsidR="00C14D8A" w:rsidRPr="007E6A6A" w:rsidRDefault="00C14D8A" w:rsidP="00C14D8A">
            <w:pPr>
              <w:jc w:val="both"/>
              <w:rPr>
                <w:rFonts w:eastAsia="Calibri"/>
                <w:sz w:val="20"/>
                <w:lang w:val="fr-CA"/>
              </w:rPr>
            </w:pPr>
          </w:p>
        </w:tc>
        <w:tc>
          <w:tcPr>
            <w:tcW w:w="243" w:type="pct"/>
          </w:tcPr>
          <w:p w:rsidR="00C14D8A" w:rsidRPr="007E6A6A" w:rsidRDefault="00C14D8A" w:rsidP="00C14D8A">
            <w:pPr>
              <w:jc w:val="both"/>
              <w:rPr>
                <w:rFonts w:eastAsia="Calibri"/>
                <w:sz w:val="20"/>
                <w:lang w:val="fr-CA"/>
              </w:rPr>
            </w:pPr>
          </w:p>
        </w:tc>
        <w:tc>
          <w:tcPr>
            <w:tcW w:w="2330" w:type="pct"/>
          </w:tcPr>
          <w:p w:rsidR="00C14D8A" w:rsidRPr="007E6A6A" w:rsidRDefault="00C14D8A" w:rsidP="00C14D8A">
            <w:pPr>
              <w:jc w:val="both"/>
              <w:rPr>
                <w:rFonts w:eastAsia="Calibri"/>
                <w:sz w:val="20"/>
                <w:lang w:val="fr-CA"/>
              </w:rPr>
            </w:pPr>
            <w:r w:rsidRPr="007E6A6A">
              <w:rPr>
                <w:rFonts w:eastAsia="Calibri"/>
                <w:sz w:val="20"/>
                <w:lang w:val="fr-CA"/>
              </w:rPr>
              <w:t>Appel rejeté</w:t>
            </w:r>
          </w:p>
          <w:p w:rsidR="00C14D8A" w:rsidRPr="007E6A6A" w:rsidRDefault="00C14D8A" w:rsidP="00C14D8A">
            <w:pPr>
              <w:jc w:val="both"/>
              <w:rPr>
                <w:rFonts w:eastAsia="Calibri"/>
                <w:sz w:val="20"/>
                <w:lang w:val="fr-CA"/>
              </w:rPr>
            </w:pPr>
          </w:p>
        </w:tc>
      </w:tr>
      <w:tr w:rsidR="00C14D8A" w:rsidRPr="007E6A6A" w:rsidTr="00C14D8A">
        <w:tc>
          <w:tcPr>
            <w:tcW w:w="2427" w:type="pct"/>
          </w:tcPr>
          <w:p w:rsidR="00C14D8A" w:rsidRPr="007E6A6A" w:rsidRDefault="00C14D8A" w:rsidP="00C14D8A">
            <w:pPr>
              <w:jc w:val="both"/>
              <w:rPr>
                <w:rFonts w:eastAsia="Calibri"/>
                <w:sz w:val="20"/>
                <w:lang w:val="fr-CA"/>
              </w:rPr>
            </w:pPr>
            <w:r w:rsidRPr="007E6A6A">
              <w:rPr>
                <w:rFonts w:eastAsia="Calibri"/>
                <w:sz w:val="20"/>
                <w:lang w:val="fr-CA"/>
              </w:rPr>
              <w:t>8 mars 2012</w:t>
            </w:r>
          </w:p>
          <w:p w:rsidR="00C14D8A" w:rsidRPr="007E6A6A" w:rsidRDefault="00C14D8A" w:rsidP="00C14D8A">
            <w:pPr>
              <w:jc w:val="both"/>
              <w:rPr>
                <w:rFonts w:eastAsia="Calibri"/>
                <w:sz w:val="20"/>
                <w:lang w:val="fr-CA"/>
              </w:rPr>
            </w:pPr>
            <w:r w:rsidRPr="007E6A6A">
              <w:rPr>
                <w:rFonts w:eastAsia="Calibri"/>
                <w:sz w:val="20"/>
                <w:lang w:val="fr-CA"/>
              </w:rPr>
              <w:t>Cour suprême du Canada</w:t>
            </w:r>
          </w:p>
        </w:tc>
        <w:tc>
          <w:tcPr>
            <w:tcW w:w="243" w:type="pct"/>
          </w:tcPr>
          <w:p w:rsidR="00C14D8A" w:rsidRPr="007E6A6A" w:rsidRDefault="00C14D8A" w:rsidP="00C14D8A">
            <w:pPr>
              <w:jc w:val="both"/>
              <w:rPr>
                <w:rFonts w:eastAsia="Calibri"/>
                <w:sz w:val="20"/>
                <w:lang w:val="fr-CA"/>
              </w:rPr>
            </w:pPr>
          </w:p>
        </w:tc>
        <w:tc>
          <w:tcPr>
            <w:tcW w:w="2330" w:type="pct"/>
          </w:tcPr>
          <w:p w:rsidR="00C14D8A" w:rsidRPr="007E6A6A" w:rsidRDefault="00C14D8A" w:rsidP="00C14D8A">
            <w:pPr>
              <w:jc w:val="both"/>
              <w:rPr>
                <w:rFonts w:eastAsia="Calibri"/>
                <w:sz w:val="20"/>
                <w:lang w:val="fr-CA"/>
              </w:rPr>
            </w:pPr>
            <w:r w:rsidRPr="007E6A6A">
              <w:rPr>
                <w:rFonts w:eastAsia="Calibri"/>
                <w:sz w:val="20"/>
                <w:lang w:val="fr-CA"/>
              </w:rPr>
              <w:t>Demande d'autorisation d'appel, déposée</w:t>
            </w:r>
          </w:p>
          <w:p w:rsidR="00C14D8A" w:rsidRPr="007E6A6A" w:rsidRDefault="00C14D8A" w:rsidP="00C14D8A">
            <w:pPr>
              <w:jc w:val="both"/>
              <w:rPr>
                <w:rFonts w:eastAsia="Calibri"/>
                <w:sz w:val="20"/>
                <w:lang w:val="fr-CA"/>
              </w:rPr>
            </w:pPr>
          </w:p>
        </w:tc>
      </w:tr>
    </w:tbl>
    <w:p w:rsidR="00F83F5A" w:rsidRDefault="00F83F5A" w:rsidP="00F83F5A">
      <w:pPr>
        <w:rPr>
          <w:sz w:val="20"/>
          <w:szCs w:val="20"/>
        </w:rPr>
      </w:pPr>
    </w:p>
    <w:p w:rsidR="00F83F5A" w:rsidRDefault="00ED3438" w:rsidP="00F83F5A">
      <w:pPr>
        <w:rPr>
          <w:sz w:val="20"/>
          <w:szCs w:val="20"/>
          <w:lang w:val="fr-CA"/>
        </w:rPr>
      </w:pPr>
      <w:r w:rsidRPr="00ED3438">
        <w:rPr>
          <w:sz w:val="20"/>
          <w:szCs w:val="20"/>
          <w:lang w:val="fr-CA"/>
        </w:rPr>
        <w:pict>
          <v:rect id="_x0000_i1066" style="width:2in;height:1pt" o:hrpct="0" o:hralign="center" o:hrstd="t" o:hrnoshade="t" o:hr="t" fillcolor="black [3213]" stroked="f"/>
        </w:pict>
      </w:r>
    </w:p>
    <w:p w:rsidR="00AF2C44" w:rsidRDefault="00AF2C44" w:rsidP="00F83F5A">
      <w:pPr>
        <w:rPr>
          <w:sz w:val="20"/>
          <w:szCs w:val="20"/>
        </w:rPr>
      </w:pPr>
    </w:p>
    <w:p w:rsidR="00F83F5A" w:rsidRDefault="00F83F5A" w:rsidP="00F83F5A">
      <w:pPr>
        <w:rPr>
          <w:sz w:val="20"/>
          <w:szCs w:val="20"/>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3501C4" w:rsidRPr="003501C4" w:rsidRDefault="003501C4" w:rsidP="003501C4">
      <w:pPr>
        <w:tabs>
          <w:tab w:val="left" w:pos="-1440"/>
          <w:tab w:val="left" w:pos="-720"/>
        </w:tabs>
        <w:jc w:val="both"/>
        <w:rPr>
          <w:sz w:val="20"/>
          <w:szCs w:val="20"/>
          <w:lang w:val="fr-CA"/>
        </w:rPr>
      </w:pPr>
      <w:r w:rsidRPr="003501C4">
        <w:rPr>
          <w:sz w:val="20"/>
          <w:szCs w:val="20"/>
          <w:lang w:val="fr-CA"/>
        </w:rPr>
        <w:t>31.05.2012</w:t>
      </w:r>
    </w:p>
    <w:p w:rsidR="003501C4" w:rsidRPr="003501C4" w:rsidRDefault="003501C4" w:rsidP="003501C4">
      <w:pPr>
        <w:tabs>
          <w:tab w:val="left" w:pos="-1440"/>
          <w:tab w:val="left" w:pos="-720"/>
        </w:tabs>
        <w:jc w:val="both"/>
        <w:rPr>
          <w:sz w:val="20"/>
          <w:szCs w:val="20"/>
          <w:lang w:val="fr-CA"/>
        </w:rPr>
      </w:pPr>
    </w:p>
    <w:p w:rsidR="003501C4" w:rsidRPr="003501C4" w:rsidRDefault="003501C4" w:rsidP="003501C4">
      <w:pPr>
        <w:tabs>
          <w:tab w:val="left" w:pos="-1440"/>
          <w:tab w:val="left" w:pos="-720"/>
        </w:tabs>
        <w:jc w:val="both"/>
        <w:rPr>
          <w:sz w:val="20"/>
          <w:szCs w:val="20"/>
          <w:lang w:val="fr-CA"/>
        </w:rPr>
      </w:pPr>
      <w:proofErr w:type="spellStart"/>
      <w:r w:rsidRPr="003501C4">
        <w:rPr>
          <w:sz w:val="20"/>
          <w:szCs w:val="20"/>
          <w:lang w:val="fr-CA"/>
        </w:rPr>
        <w:t>Before</w:t>
      </w:r>
      <w:proofErr w:type="spellEnd"/>
      <w:r w:rsidRPr="003501C4">
        <w:rPr>
          <w:sz w:val="20"/>
          <w:szCs w:val="20"/>
          <w:lang w:val="fr-CA"/>
        </w:rPr>
        <w:t xml:space="preserve"> / Devant :   CROMWELL J. / LE JUGE CROMWELL</w:t>
      </w:r>
    </w:p>
    <w:p w:rsidR="003501C4" w:rsidRPr="003501C4" w:rsidRDefault="003501C4" w:rsidP="003501C4">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501C4" w:rsidRPr="00017BF4" w:rsidTr="00B60060">
        <w:tc>
          <w:tcPr>
            <w:tcW w:w="4338" w:type="dxa"/>
            <w:gridSpan w:val="2"/>
          </w:tcPr>
          <w:p w:rsidR="003501C4" w:rsidRPr="003501C4" w:rsidRDefault="00ED3438" w:rsidP="00B60060">
            <w:pPr>
              <w:jc w:val="both"/>
              <w:rPr>
                <w:b/>
                <w:sz w:val="20"/>
                <w:szCs w:val="20"/>
              </w:rPr>
            </w:pPr>
            <w:r w:rsidRPr="003501C4">
              <w:rPr>
                <w:sz w:val="20"/>
                <w:szCs w:val="20"/>
              </w:rPr>
              <w:fldChar w:fldCharType="begin"/>
            </w:r>
            <w:r w:rsidR="003501C4" w:rsidRPr="003501C4">
              <w:rPr>
                <w:sz w:val="20"/>
                <w:szCs w:val="20"/>
              </w:rPr>
              <w:instrText xml:space="preserve"> SEQ CHAPTER \h \r 1</w:instrText>
            </w:r>
            <w:r w:rsidRPr="003501C4">
              <w:rPr>
                <w:sz w:val="20"/>
                <w:szCs w:val="20"/>
              </w:rPr>
              <w:fldChar w:fldCharType="end"/>
            </w:r>
            <w:r w:rsidR="003501C4" w:rsidRPr="003501C4">
              <w:rPr>
                <w:b/>
                <w:bCs/>
                <w:sz w:val="20"/>
                <w:szCs w:val="20"/>
              </w:rPr>
              <w:t>Motions for an extension of time and for leave to intervene</w:t>
            </w:r>
            <w:r w:rsidRPr="003501C4">
              <w:rPr>
                <w:sz w:val="20"/>
                <w:szCs w:val="20"/>
              </w:rPr>
              <w:fldChar w:fldCharType="begin"/>
            </w:r>
            <w:r w:rsidR="003501C4" w:rsidRPr="003501C4">
              <w:rPr>
                <w:sz w:val="20"/>
                <w:szCs w:val="20"/>
              </w:rPr>
              <w:instrText xml:space="preserve"> SEQ CHAPTER \h \r 1</w:instrText>
            </w:r>
            <w:r w:rsidRPr="003501C4">
              <w:rPr>
                <w:sz w:val="20"/>
                <w:szCs w:val="20"/>
              </w:rPr>
              <w:fldChar w:fldCharType="end"/>
            </w:r>
          </w:p>
        </w:tc>
        <w:tc>
          <w:tcPr>
            <w:tcW w:w="1170" w:type="dxa"/>
          </w:tcPr>
          <w:p w:rsidR="003501C4" w:rsidRPr="003501C4" w:rsidRDefault="003501C4" w:rsidP="00B60060">
            <w:pPr>
              <w:rPr>
                <w:sz w:val="20"/>
                <w:szCs w:val="20"/>
              </w:rPr>
            </w:pPr>
          </w:p>
          <w:p w:rsidR="003501C4" w:rsidRPr="003501C4" w:rsidRDefault="003501C4" w:rsidP="00B60060">
            <w:pPr>
              <w:rPr>
                <w:sz w:val="20"/>
                <w:szCs w:val="20"/>
              </w:rPr>
            </w:pPr>
          </w:p>
          <w:p w:rsidR="003501C4" w:rsidRPr="003501C4" w:rsidRDefault="003501C4" w:rsidP="00B60060">
            <w:pPr>
              <w:rPr>
                <w:sz w:val="20"/>
                <w:szCs w:val="20"/>
              </w:rPr>
            </w:pPr>
          </w:p>
        </w:tc>
        <w:tc>
          <w:tcPr>
            <w:tcW w:w="4327" w:type="dxa"/>
          </w:tcPr>
          <w:p w:rsidR="003501C4" w:rsidRPr="003501C4" w:rsidRDefault="003501C4" w:rsidP="00B60060">
            <w:pPr>
              <w:jc w:val="both"/>
              <w:rPr>
                <w:b/>
                <w:sz w:val="20"/>
                <w:szCs w:val="20"/>
                <w:lang w:val="fr-CA"/>
              </w:rPr>
            </w:pPr>
            <w:r w:rsidRPr="003501C4">
              <w:rPr>
                <w:b/>
                <w:bCs/>
                <w:sz w:val="20"/>
                <w:szCs w:val="20"/>
                <w:lang w:val="fr-CA"/>
              </w:rPr>
              <w:t xml:space="preserve">Requêtes </w:t>
            </w:r>
            <w:r w:rsidR="00ED3438" w:rsidRPr="003501C4">
              <w:rPr>
                <w:sz w:val="20"/>
                <w:szCs w:val="20"/>
              </w:rPr>
              <w:fldChar w:fldCharType="begin"/>
            </w:r>
            <w:r w:rsidRPr="003501C4">
              <w:rPr>
                <w:sz w:val="20"/>
                <w:szCs w:val="20"/>
                <w:lang w:val="fr-CA"/>
              </w:rPr>
              <w:instrText xml:space="preserve"> SEQ CHAPTER \h \r 1</w:instrText>
            </w:r>
            <w:r w:rsidR="00ED3438" w:rsidRPr="003501C4">
              <w:rPr>
                <w:sz w:val="20"/>
                <w:szCs w:val="20"/>
              </w:rPr>
              <w:fldChar w:fldCharType="end"/>
            </w:r>
            <w:r w:rsidRPr="003501C4">
              <w:rPr>
                <w:b/>
                <w:bCs/>
                <w:sz w:val="20"/>
                <w:szCs w:val="20"/>
                <w:lang w:val="fr-CA"/>
              </w:rPr>
              <w:t>en prorogation de délai et en autorisation d’intervenir</w:t>
            </w:r>
            <w:r w:rsidR="00ED3438" w:rsidRPr="003501C4">
              <w:rPr>
                <w:sz w:val="20"/>
                <w:szCs w:val="20"/>
              </w:rPr>
              <w:fldChar w:fldCharType="begin"/>
            </w:r>
            <w:r w:rsidRPr="003501C4">
              <w:rPr>
                <w:sz w:val="20"/>
                <w:szCs w:val="20"/>
                <w:lang w:val="fr-CA"/>
              </w:rPr>
              <w:instrText xml:space="preserve"> SEQ CHAPTER \h \r 1</w:instrText>
            </w:r>
            <w:r w:rsidR="00ED3438" w:rsidRPr="003501C4">
              <w:rPr>
                <w:sz w:val="20"/>
                <w:szCs w:val="20"/>
              </w:rPr>
              <w:fldChar w:fldCharType="end"/>
            </w:r>
          </w:p>
        </w:tc>
      </w:tr>
      <w:tr w:rsidR="003501C4" w:rsidRPr="003501C4" w:rsidTr="00B60060">
        <w:tc>
          <w:tcPr>
            <w:tcW w:w="1368" w:type="dxa"/>
          </w:tcPr>
          <w:p w:rsidR="003501C4" w:rsidRPr="003501C4" w:rsidRDefault="003501C4" w:rsidP="00B60060">
            <w:pPr>
              <w:rPr>
                <w:sz w:val="20"/>
                <w:szCs w:val="20"/>
              </w:rPr>
            </w:pPr>
            <w:r w:rsidRPr="003501C4">
              <w:rPr>
                <w:sz w:val="20"/>
                <w:szCs w:val="20"/>
              </w:rPr>
              <w:t>BY / PAR</w:t>
            </w:r>
          </w:p>
        </w:tc>
        <w:tc>
          <w:tcPr>
            <w:tcW w:w="2970" w:type="dxa"/>
          </w:tcPr>
          <w:p w:rsidR="003501C4" w:rsidRPr="003501C4" w:rsidRDefault="003501C4" w:rsidP="00B60060">
            <w:pPr>
              <w:rPr>
                <w:sz w:val="20"/>
                <w:szCs w:val="20"/>
              </w:rPr>
            </w:pPr>
            <w:r w:rsidRPr="003501C4">
              <w:rPr>
                <w:sz w:val="20"/>
                <w:szCs w:val="20"/>
              </w:rPr>
              <w:t>Evangelical Fellowship of Canada;</w:t>
            </w:r>
          </w:p>
        </w:tc>
        <w:tc>
          <w:tcPr>
            <w:tcW w:w="1170" w:type="dxa"/>
          </w:tcPr>
          <w:p w:rsidR="003501C4" w:rsidRPr="003501C4" w:rsidRDefault="003501C4" w:rsidP="00B60060">
            <w:pPr>
              <w:rPr>
                <w:sz w:val="20"/>
                <w:szCs w:val="20"/>
              </w:rPr>
            </w:pPr>
          </w:p>
        </w:tc>
        <w:tc>
          <w:tcPr>
            <w:tcW w:w="4327" w:type="dxa"/>
          </w:tcPr>
          <w:p w:rsidR="003501C4" w:rsidRPr="003501C4" w:rsidRDefault="003501C4" w:rsidP="00B60060">
            <w:pPr>
              <w:rPr>
                <w:sz w:val="20"/>
                <w:szCs w:val="20"/>
              </w:rPr>
            </w:pPr>
          </w:p>
        </w:tc>
      </w:tr>
      <w:tr w:rsidR="003501C4" w:rsidRPr="003501C4" w:rsidTr="00B60060">
        <w:tc>
          <w:tcPr>
            <w:tcW w:w="1368" w:type="dxa"/>
          </w:tcPr>
          <w:p w:rsidR="003501C4" w:rsidRPr="003501C4" w:rsidRDefault="003501C4" w:rsidP="00B60060">
            <w:pPr>
              <w:rPr>
                <w:sz w:val="20"/>
                <w:szCs w:val="20"/>
              </w:rPr>
            </w:pPr>
          </w:p>
        </w:tc>
        <w:tc>
          <w:tcPr>
            <w:tcW w:w="2970" w:type="dxa"/>
          </w:tcPr>
          <w:p w:rsidR="003501C4" w:rsidRPr="003501C4" w:rsidRDefault="003501C4" w:rsidP="00B60060">
            <w:pPr>
              <w:rPr>
                <w:sz w:val="20"/>
                <w:szCs w:val="20"/>
              </w:rPr>
            </w:pPr>
            <w:r w:rsidRPr="003501C4">
              <w:rPr>
                <w:sz w:val="20"/>
                <w:szCs w:val="20"/>
              </w:rPr>
              <w:t>Euthanasia Prevention Coalition;</w:t>
            </w:r>
          </w:p>
        </w:tc>
        <w:tc>
          <w:tcPr>
            <w:tcW w:w="1170" w:type="dxa"/>
          </w:tcPr>
          <w:p w:rsidR="003501C4" w:rsidRPr="003501C4" w:rsidRDefault="003501C4" w:rsidP="00B60060">
            <w:pPr>
              <w:rPr>
                <w:sz w:val="20"/>
                <w:szCs w:val="20"/>
              </w:rPr>
            </w:pPr>
          </w:p>
        </w:tc>
        <w:tc>
          <w:tcPr>
            <w:tcW w:w="4327" w:type="dxa"/>
          </w:tcPr>
          <w:p w:rsidR="003501C4" w:rsidRPr="003501C4" w:rsidRDefault="003501C4" w:rsidP="00B60060">
            <w:pPr>
              <w:rPr>
                <w:sz w:val="20"/>
                <w:szCs w:val="20"/>
              </w:rPr>
            </w:pPr>
          </w:p>
        </w:tc>
      </w:tr>
      <w:tr w:rsidR="003501C4" w:rsidRPr="003501C4" w:rsidTr="00B60060">
        <w:tc>
          <w:tcPr>
            <w:tcW w:w="1368" w:type="dxa"/>
          </w:tcPr>
          <w:p w:rsidR="003501C4" w:rsidRPr="003501C4" w:rsidRDefault="003501C4" w:rsidP="00B60060">
            <w:pPr>
              <w:rPr>
                <w:sz w:val="20"/>
                <w:szCs w:val="20"/>
              </w:rPr>
            </w:pPr>
          </w:p>
        </w:tc>
        <w:tc>
          <w:tcPr>
            <w:tcW w:w="2970" w:type="dxa"/>
          </w:tcPr>
          <w:p w:rsidR="003501C4" w:rsidRPr="003501C4" w:rsidRDefault="003501C4" w:rsidP="00B60060">
            <w:pPr>
              <w:rPr>
                <w:sz w:val="20"/>
                <w:szCs w:val="20"/>
              </w:rPr>
            </w:pPr>
            <w:r w:rsidRPr="003501C4">
              <w:rPr>
                <w:sz w:val="20"/>
                <w:szCs w:val="20"/>
              </w:rPr>
              <w:t>Canadian Critical Care Society;</w:t>
            </w:r>
          </w:p>
        </w:tc>
        <w:tc>
          <w:tcPr>
            <w:tcW w:w="1170" w:type="dxa"/>
          </w:tcPr>
          <w:p w:rsidR="003501C4" w:rsidRPr="003501C4" w:rsidRDefault="003501C4" w:rsidP="00B60060">
            <w:pPr>
              <w:rPr>
                <w:sz w:val="20"/>
                <w:szCs w:val="20"/>
              </w:rPr>
            </w:pPr>
          </w:p>
        </w:tc>
        <w:tc>
          <w:tcPr>
            <w:tcW w:w="4327" w:type="dxa"/>
          </w:tcPr>
          <w:p w:rsidR="003501C4" w:rsidRPr="003501C4" w:rsidRDefault="003501C4" w:rsidP="00B60060">
            <w:pPr>
              <w:rPr>
                <w:sz w:val="20"/>
                <w:szCs w:val="20"/>
              </w:rPr>
            </w:pPr>
          </w:p>
        </w:tc>
      </w:tr>
      <w:tr w:rsidR="003501C4" w:rsidRPr="003501C4" w:rsidTr="00B60060">
        <w:tc>
          <w:tcPr>
            <w:tcW w:w="1368" w:type="dxa"/>
          </w:tcPr>
          <w:p w:rsidR="003501C4" w:rsidRPr="003501C4" w:rsidRDefault="003501C4" w:rsidP="00B60060">
            <w:pPr>
              <w:rPr>
                <w:sz w:val="20"/>
                <w:szCs w:val="20"/>
              </w:rPr>
            </w:pPr>
          </w:p>
        </w:tc>
        <w:tc>
          <w:tcPr>
            <w:tcW w:w="2970" w:type="dxa"/>
          </w:tcPr>
          <w:p w:rsidR="003501C4" w:rsidRPr="003501C4" w:rsidRDefault="003501C4" w:rsidP="00B60060">
            <w:pPr>
              <w:rPr>
                <w:sz w:val="20"/>
                <w:szCs w:val="20"/>
              </w:rPr>
            </w:pPr>
            <w:r w:rsidRPr="003501C4">
              <w:rPr>
                <w:sz w:val="20"/>
                <w:szCs w:val="20"/>
              </w:rPr>
              <w:t>Canadian Association of Critical Care Nurses;</w:t>
            </w:r>
          </w:p>
        </w:tc>
        <w:tc>
          <w:tcPr>
            <w:tcW w:w="1170" w:type="dxa"/>
          </w:tcPr>
          <w:p w:rsidR="003501C4" w:rsidRPr="003501C4" w:rsidRDefault="003501C4" w:rsidP="00B60060">
            <w:pPr>
              <w:rPr>
                <w:sz w:val="20"/>
                <w:szCs w:val="20"/>
              </w:rPr>
            </w:pPr>
          </w:p>
        </w:tc>
        <w:tc>
          <w:tcPr>
            <w:tcW w:w="4327" w:type="dxa"/>
          </w:tcPr>
          <w:p w:rsidR="003501C4" w:rsidRPr="003501C4" w:rsidRDefault="003501C4" w:rsidP="00B60060">
            <w:pPr>
              <w:rPr>
                <w:sz w:val="20"/>
                <w:szCs w:val="20"/>
              </w:rPr>
            </w:pPr>
          </w:p>
        </w:tc>
      </w:tr>
      <w:tr w:rsidR="003501C4" w:rsidRPr="003501C4" w:rsidTr="00B60060">
        <w:tc>
          <w:tcPr>
            <w:tcW w:w="1368" w:type="dxa"/>
          </w:tcPr>
          <w:p w:rsidR="003501C4" w:rsidRPr="003501C4" w:rsidRDefault="003501C4" w:rsidP="00B60060">
            <w:pPr>
              <w:rPr>
                <w:sz w:val="20"/>
                <w:szCs w:val="20"/>
              </w:rPr>
            </w:pPr>
          </w:p>
        </w:tc>
        <w:tc>
          <w:tcPr>
            <w:tcW w:w="2970" w:type="dxa"/>
          </w:tcPr>
          <w:p w:rsidR="003501C4" w:rsidRPr="003501C4" w:rsidRDefault="003501C4" w:rsidP="00B60060">
            <w:pPr>
              <w:rPr>
                <w:sz w:val="20"/>
                <w:szCs w:val="20"/>
              </w:rPr>
            </w:pPr>
            <w:r w:rsidRPr="003501C4">
              <w:rPr>
                <w:sz w:val="20"/>
                <w:szCs w:val="20"/>
              </w:rPr>
              <w:t>Advocacy Centre for the Elderly and ARCH Disability Law Centre;</w:t>
            </w:r>
          </w:p>
        </w:tc>
        <w:tc>
          <w:tcPr>
            <w:tcW w:w="1170" w:type="dxa"/>
          </w:tcPr>
          <w:p w:rsidR="003501C4" w:rsidRPr="003501C4" w:rsidRDefault="003501C4" w:rsidP="00B60060">
            <w:pPr>
              <w:rPr>
                <w:sz w:val="20"/>
                <w:szCs w:val="20"/>
              </w:rPr>
            </w:pPr>
          </w:p>
        </w:tc>
        <w:tc>
          <w:tcPr>
            <w:tcW w:w="4327" w:type="dxa"/>
          </w:tcPr>
          <w:p w:rsidR="003501C4" w:rsidRPr="003501C4" w:rsidRDefault="003501C4" w:rsidP="00B60060">
            <w:pPr>
              <w:rPr>
                <w:sz w:val="20"/>
                <w:szCs w:val="20"/>
              </w:rPr>
            </w:pPr>
          </w:p>
        </w:tc>
      </w:tr>
      <w:tr w:rsidR="003501C4" w:rsidRPr="003501C4" w:rsidTr="00B60060">
        <w:tc>
          <w:tcPr>
            <w:tcW w:w="1368" w:type="dxa"/>
          </w:tcPr>
          <w:p w:rsidR="003501C4" w:rsidRPr="003501C4" w:rsidRDefault="003501C4" w:rsidP="00B60060">
            <w:pPr>
              <w:rPr>
                <w:sz w:val="20"/>
                <w:szCs w:val="20"/>
              </w:rPr>
            </w:pPr>
          </w:p>
        </w:tc>
        <w:tc>
          <w:tcPr>
            <w:tcW w:w="2970" w:type="dxa"/>
          </w:tcPr>
          <w:p w:rsidR="003501C4" w:rsidRPr="003501C4" w:rsidRDefault="003501C4" w:rsidP="00B60060">
            <w:pPr>
              <w:rPr>
                <w:sz w:val="20"/>
                <w:szCs w:val="20"/>
              </w:rPr>
            </w:pPr>
            <w:r w:rsidRPr="003501C4">
              <w:rPr>
                <w:sz w:val="20"/>
                <w:szCs w:val="20"/>
              </w:rPr>
              <w:t>Mental Health Legal Committee and HIV &amp; AIDS Legal Clinic Ontario</w:t>
            </w:r>
          </w:p>
        </w:tc>
        <w:tc>
          <w:tcPr>
            <w:tcW w:w="1170" w:type="dxa"/>
          </w:tcPr>
          <w:p w:rsidR="003501C4" w:rsidRPr="003501C4" w:rsidRDefault="003501C4" w:rsidP="00B60060">
            <w:pPr>
              <w:rPr>
                <w:sz w:val="20"/>
                <w:szCs w:val="20"/>
              </w:rPr>
            </w:pPr>
          </w:p>
        </w:tc>
        <w:tc>
          <w:tcPr>
            <w:tcW w:w="4327" w:type="dxa"/>
          </w:tcPr>
          <w:p w:rsidR="003501C4" w:rsidRPr="003501C4" w:rsidRDefault="003501C4" w:rsidP="00B60060">
            <w:pPr>
              <w:rPr>
                <w:sz w:val="20"/>
                <w:szCs w:val="20"/>
              </w:rPr>
            </w:pPr>
          </w:p>
        </w:tc>
      </w:tr>
      <w:tr w:rsidR="003501C4" w:rsidRPr="003501C4" w:rsidTr="00B60060">
        <w:tc>
          <w:tcPr>
            <w:tcW w:w="1368" w:type="dxa"/>
          </w:tcPr>
          <w:p w:rsidR="003501C4" w:rsidRPr="003501C4" w:rsidRDefault="003501C4" w:rsidP="00B60060">
            <w:pPr>
              <w:rPr>
                <w:sz w:val="20"/>
                <w:szCs w:val="20"/>
              </w:rPr>
            </w:pPr>
          </w:p>
        </w:tc>
        <w:tc>
          <w:tcPr>
            <w:tcW w:w="2970" w:type="dxa"/>
          </w:tcPr>
          <w:p w:rsidR="003501C4" w:rsidRPr="003501C4" w:rsidRDefault="003501C4" w:rsidP="00B60060">
            <w:pPr>
              <w:rPr>
                <w:sz w:val="20"/>
                <w:szCs w:val="20"/>
              </w:rPr>
            </w:pPr>
          </w:p>
        </w:tc>
        <w:tc>
          <w:tcPr>
            <w:tcW w:w="1170" w:type="dxa"/>
          </w:tcPr>
          <w:p w:rsidR="003501C4" w:rsidRPr="003501C4" w:rsidRDefault="003501C4" w:rsidP="00B60060">
            <w:pPr>
              <w:rPr>
                <w:sz w:val="20"/>
                <w:szCs w:val="20"/>
              </w:rPr>
            </w:pPr>
          </w:p>
        </w:tc>
        <w:tc>
          <w:tcPr>
            <w:tcW w:w="4327" w:type="dxa"/>
          </w:tcPr>
          <w:p w:rsidR="003501C4" w:rsidRPr="003501C4" w:rsidRDefault="003501C4" w:rsidP="00B60060">
            <w:pPr>
              <w:rPr>
                <w:sz w:val="20"/>
                <w:szCs w:val="20"/>
              </w:rPr>
            </w:pPr>
          </w:p>
        </w:tc>
      </w:tr>
      <w:tr w:rsidR="003501C4" w:rsidRPr="003501C4" w:rsidTr="00B60060">
        <w:tc>
          <w:tcPr>
            <w:tcW w:w="1368" w:type="dxa"/>
          </w:tcPr>
          <w:p w:rsidR="003501C4" w:rsidRPr="003501C4" w:rsidRDefault="003501C4" w:rsidP="00B60060">
            <w:pPr>
              <w:rPr>
                <w:sz w:val="20"/>
                <w:szCs w:val="20"/>
              </w:rPr>
            </w:pPr>
            <w:r w:rsidRPr="003501C4">
              <w:rPr>
                <w:sz w:val="20"/>
                <w:szCs w:val="20"/>
              </w:rPr>
              <w:t>IN / DANS :</w:t>
            </w:r>
          </w:p>
        </w:tc>
        <w:tc>
          <w:tcPr>
            <w:tcW w:w="2970" w:type="dxa"/>
          </w:tcPr>
          <w:p w:rsidR="003501C4" w:rsidRPr="003501C4" w:rsidRDefault="003501C4" w:rsidP="00B60060">
            <w:pPr>
              <w:rPr>
                <w:sz w:val="20"/>
                <w:szCs w:val="20"/>
              </w:rPr>
            </w:pPr>
            <w:r w:rsidRPr="003501C4">
              <w:rPr>
                <w:sz w:val="20"/>
                <w:szCs w:val="20"/>
              </w:rPr>
              <w:t xml:space="preserve">Brian </w:t>
            </w:r>
            <w:proofErr w:type="spellStart"/>
            <w:r w:rsidRPr="003501C4">
              <w:rPr>
                <w:sz w:val="20"/>
                <w:szCs w:val="20"/>
              </w:rPr>
              <w:t>Cuthbertson</w:t>
            </w:r>
            <w:proofErr w:type="spellEnd"/>
            <w:r w:rsidRPr="003501C4">
              <w:rPr>
                <w:sz w:val="20"/>
                <w:szCs w:val="20"/>
              </w:rPr>
              <w:t xml:space="preserve"> et al.</w:t>
            </w:r>
          </w:p>
          <w:p w:rsidR="003501C4" w:rsidRPr="003501C4" w:rsidRDefault="003501C4" w:rsidP="00B60060">
            <w:pPr>
              <w:rPr>
                <w:sz w:val="20"/>
                <w:szCs w:val="20"/>
              </w:rPr>
            </w:pPr>
          </w:p>
        </w:tc>
        <w:tc>
          <w:tcPr>
            <w:tcW w:w="1170" w:type="dxa"/>
          </w:tcPr>
          <w:p w:rsidR="003501C4" w:rsidRPr="003501C4" w:rsidRDefault="003501C4" w:rsidP="00B60060">
            <w:pPr>
              <w:rPr>
                <w:sz w:val="20"/>
                <w:szCs w:val="20"/>
              </w:rPr>
            </w:pPr>
          </w:p>
        </w:tc>
        <w:tc>
          <w:tcPr>
            <w:tcW w:w="4327" w:type="dxa"/>
          </w:tcPr>
          <w:p w:rsidR="003501C4" w:rsidRPr="003501C4" w:rsidRDefault="003501C4" w:rsidP="00B60060">
            <w:pPr>
              <w:rPr>
                <w:sz w:val="20"/>
                <w:szCs w:val="20"/>
              </w:rPr>
            </w:pPr>
          </w:p>
        </w:tc>
      </w:tr>
      <w:tr w:rsidR="003501C4" w:rsidRPr="003501C4" w:rsidTr="00B60060">
        <w:tc>
          <w:tcPr>
            <w:tcW w:w="1368" w:type="dxa"/>
          </w:tcPr>
          <w:p w:rsidR="003501C4" w:rsidRPr="003501C4" w:rsidRDefault="003501C4" w:rsidP="00B60060">
            <w:pPr>
              <w:rPr>
                <w:sz w:val="20"/>
                <w:szCs w:val="20"/>
              </w:rPr>
            </w:pPr>
          </w:p>
        </w:tc>
        <w:tc>
          <w:tcPr>
            <w:tcW w:w="2970" w:type="dxa"/>
          </w:tcPr>
          <w:p w:rsidR="003501C4" w:rsidRPr="003501C4" w:rsidRDefault="003501C4" w:rsidP="00B60060">
            <w:pPr>
              <w:rPr>
                <w:sz w:val="20"/>
                <w:szCs w:val="20"/>
              </w:rPr>
            </w:pPr>
            <w:r w:rsidRPr="003501C4">
              <w:rPr>
                <w:sz w:val="20"/>
                <w:szCs w:val="20"/>
              </w:rPr>
              <w:tab/>
              <w:t>v. (34362)</w:t>
            </w:r>
          </w:p>
          <w:p w:rsidR="003501C4" w:rsidRPr="003501C4" w:rsidRDefault="003501C4" w:rsidP="00B60060">
            <w:pPr>
              <w:rPr>
                <w:sz w:val="20"/>
                <w:szCs w:val="20"/>
              </w:rPr>
            </w:pPr>
          </w:p>
        </w:tc>
        <w:tc>
          <w:tcPr>
            <w:tcW w:w="1170" w:type="dxa"/>
          </w:tcPr>
          <w:p w:rsidR="003501C4" w:rsidRPr="003501C4" w:rsidRDefault="003501C4" w:rsidP="00B60060">
            <w:pPr>
              <w:rPr>
                <w:sz w:val="20"/>
                <w:szCs w:val="20"/>
              </w:rPr>
            </w:pPr>
          </w:p>
        </w:tc>
        <w:tc>
          <w:tcPr>
            <w:tcW w:w="4327" w:type="dxa"/>
          </w:tcPr>
          <w:p w:rsidR="003501C4" w:rsidRPr="003501C4" w:rsidRDefault="003501C4" w:rsidP="00B60060">
            <w:pPr>
              <w:rPr>
                <w:sz w:val="20"/>
                <w:szCs w:val="20"/>
              </w:rPr>
            </w:pPr>
          </w:p>
        </w:tc>
      </w:tr>
      <w:tr w:rsidR="003501C4" w:rsidRPr="003501C4" w:rsidTr="00B60060">
        <w:tc>
          <w:tcPr>
            <w:tcW w:w="1368" w:type="dxa"/>
          </w:tcPr>
          <w:p w:rsidR="003501C4" w:rsidRPr="003501C4" w:rsidRDefault="003501C4" w:rsidP="00B60060">
            <w:pPr>
              <w:rPr>
                <w:sz w:val="20"/>
                <w:szCs w:val="20"/>
              </w:rPr>
            </w:pPr>
          </w:p>
        </w:tc>
        <w:tc>
          <w:tcPr>
            <w:tcW w:w="2970" w:type="dxa"/>
          </w:tcPr>
          <w:p w:rsidR="003501C4" w:rsidRPr="003501C4" w:rsidRDefault="003501C4" w:rsidP="00B60060">
            <w:pPr>
              <w:jc w:val="both"/>
              <w:rPr>
                <w:sz w:val="20"/>
                <w:szCs w:val="20"/>
              </w:rPr>
            </w:pPr>
            <w:r w:rsidRPr="003501C4">
              <w:rPr>
                <w:sz w:val="20"/>
                <w:szCs w:val="20"/>
              </w:rPr>
              <w:t xml:space="preserve">Hassan </w:t>
            </w:r>
            <w:proofErr w:type="spellStart"/>
            <w:r w:rsidRPr="003501C4">
              <w:rPr>
                <w:sz w:val="20"/>
                <w:szCs w:val="20"/>
              </w:rPr>
              <w:t>Rasouli</w:t>
            </w:r>
            <w:proofErr w:type="spellEnd"/>
            <w:r w:rsidRPr="003501C4">
              <w:rPr>
                <w:sz w:val="20"/>
                <w:szCs w:val="20"/>
              </w:rPr>
              <w:t xml:space="preserve"> by his Litigation Guardian and Substitute Decision Maker, </w:t>
            </w:r>
            <w:proofErr w:type="spellStart"/>
            <w:r w:rsidRPr="003501C4">
              <w:rPr>
                <w:sz w:val="20"/>
                <w:szCs w:val="20"/>
              </w:rPr>
              <w:t>Parichehr</w:t>
            </w:r>
            <w:proofErr w:type="spellEnd"/>
            <w:r w:rsidRPr="003501C4">
              <w:rPr>
                <w:sz w:val="20"/>
                <w:szCs w:val="20"/>
              </w:rPr>
              <w:t xml:space="preserve"> </w:t>
            </w:r>
            <w:proofErr w:type="spellStart"/>
            <w:r w:rsidRPr="003501C4">
              <w:rPr>
                <w:sz w:val="20"/>
                <w:szCs w:val="20"/>
              </w:rPr>
              <w:t>Salasel</w:t>
            </w:r>
            <w:proofErr w:type="spellEnd"/>
            <w:r w:rsidRPr="003501C4">
              <w:rPr>
                <w:sz w:val="20"/>
                <w:szCs w:val="20"/>
              </w:rPr>
              <w:t xml:space="preserve"> (Ont.)</w:t>
            </w:r>
          </w:p>
        </w:tc>
        <w:tc>
          <w:tcPr>
            <w:tcW w:w="1170" w:type="dxa"/>
          </w:tcPr>
          <w:p w:rsidR="003501C4" w:rsidRPr="003501C4" w:rsidRDefault="003501C4" w:rsidP="00B60060">
            <w:pPr>
              <w:rPr>
                <w:sz w:val="20"/>
                <w:szCs w:val="20"/>
              </w:rPr>
            </w:pPr>
          </w:p>
        </w:tc>
        <w:tc>
          <w:tcPr>
            <w:tcW w:w="4327" w:type="dxa"/>
          </w:tcPr>
          <w:p w:rsidR="003501C4" w:rsidRPr="003501C4" w:rsidRDefault="003501C4" w:rsidP="00B60060">
            <w:pPr>
              <w:rPr>
                <w:sz w:val="20"/>
                <w:szCs w:val="20"/>
              </w:rPr>
            </w:pPr>
          </w:p>
        </w:tc>
      </w:tr>
    </w:tbl>
    <w:p w:rsidR="003501C4" w:rsidRPr="003501C4" w:rsidRDefault="003501C4" w:rsidP="003501C4">
      <w:pPr>
        <w:tabs>
          <w:tab w:val="left" w:pos="-1440"/>
          <w:tab w:val="left" w:pos="-720"/>
        </w:tabs>
        <w:jc w:val="both"/>
        <w:rPr>
          <w:sz w:val="20"/>
          <w:szCs w:val="20"/>
        </w:rPr>
      </w:pPr>
    </w:p>
    <w:p w:rsidR="003501C4" w:rsidRPr="003501C4" w:rsidRDefault="003501C4" w:rsidP="003501C4">
      <w:pPr>
        <w:tabs>
          <w:tab w:val="left" w:pos="-1440"/>
          <w:tab w:val="left" w:pos="-720"/>
        </w:tabs>
        <w:jc w:val="both"/>
        <w:rPr>
          <w:sz w:val="20"/>
          <w:szCs w:val="20"/>
        </w:rPr>
      </w:pPr>
      <w:r w:rsidRPr="003501C4">
        <w:rPr>
          <w:b/>
          <w:sz w:val="20"/>
          <w:szCs w:val="20"/>
        </w:rPr>
        <w:t>GRANTED / ACCORDÉES</w:t>
      </w:r>
    </w:p>
    <w:p w:rsidR="003501C4" w:rsidRPr="003501C4" w:rsidRDefault="003501C4" w:rsidP="003501C4">
      <w:pPr>
        <w:tabs>
          <w:tab w:val="left" w:pos="-1440"/>
          <w:tab w:val="left" w:pos="-720"/>
        </w:tabs>
        <w:jc w:val="both"/>
        <w:rPr>
          <w:sz w:val="20"/>
          <w:szCs w:val="20"/>
        </w:rPr>
      </w:pPr>
    </w:p>
    <w:p w:rsidR="003501C4" w:rsidRPr="003501C4" w:rsidRDefault="003501C4" w:rsidP="003501C4">
      <w:pPr>
        <w:spacing w:line="233" w:lineRule="auto"/>
        <w:jc w:val="both"/>
        <w:rPr>
          <w:sz w:val="20"/>
          <w:szCs w:val="20"/>
        </w:rPr>
      </w:pPr>
      <w:r w:rsidRPr="003501C4">
        <w:rPr>
          <w:b/>
          <w:bCs/>
          <w:sz w:val="20"/>
          <w:szCs w:val="20"/>
        </w:rPr>
        <w:t xml:space="preserve">UPON APPLICATION </w:t>
      </w:r>
      <w:r w:rsidRPr="003501C4">
        <w:rPr>
          <w:sz w:val="20"/>
          <w:szCs w:val="20"/>
        </w:rPr>
        <w:t>by the Evangelical Fellowship of Canada for an extension of time to apply for leave to intervene and for leave to intervene in the above appeal;</w:t>
      </w:r>
    </w:p>
    <w:p w:rsidR="003501C4" w:rsidRPr="003501C4" w:rsidRDefault="003501C4" w:rsidP="003501C4">
      <w:pPr>
        <w:spacing w:line="233" w:lineRule="auto"/>
        <w:jc w:val="both"/>
        <w:rPr>
          <w:sz w:val="20"/>
          <w:szCs w:val="20"/>
        </w:rPr>
      </w:pPr>
    </w:p>
    <w:p w:rsidR="003501C4" w:rsidRPr="003501C4" w:rsidRDefault="003501C4" w:rsidP="003501C4">
      <w:pPr>
        <w:spacing w:line="233" w:lineRule="auto"/>
        <w:jc w:val="both"/>
        <w:rPr>
          <w:b/>
          <w:sz w:val="20"/>
          <w:szCs w:val="20"/>
        </w:rPr>
      </w:pPr>
      <w:r w:rsidRPr="003501C4">
        <w:rPr>
          <w:b/>
          <w:sz w:val="20"/>
          <w:szCs w:val="20"/>
        </w:rPr>
        <w:t xml:space="preserve">AND UPON APPLICATIONS </w:t>
      </w:r>
      <w:r w:rsidRPr="003501C4">
        <w:rPr>
          <w:sz w:val="20"/>
          <w:szCs w:val="20"/>
        </w:rPr>
        <w:t>by the Euthanasia Prevention Coalition, the Canadian Critical Care Society, the Canadian Association of Critical Care Nurses, the Advocacy Centre for the Elderly and ARCH Disability Law Centre and the Mental Health Legal Committee and HIV &amp; AIDS Legal Clinic Ontario for leave to intervene in the above appeal;</w:t>
      </w:r>
    </w:p>
    <w:p w:rsidR="003501C4" w:rsidRPr="003501C4" w:rsidRDefault="003501C4" w:rsidP="003501C4">
      <w:pPr>
        <w:spacing w:line="233" w:lineRule="auto"/>
        <w:jc w:val="both"/>
        <w:rPr>
          <w:sz w:val="20"/>
          <w:szCs w:val="20"/>
        </w:rPr>
      </w:pPr>
    </w:p>
    <w:p w:rsidR="003501C4" w:rsidRPr="003501C4" w:rsidRDefault="003501C4" w:rsidP="003501C4">
      <w:pPr>
        <w:spacing w:line="233" w:lineRule="auto"/>
        <w:jc w:val="both"/>
        <w:rPr>
          <w:sz w:val="20"/>
          <w:szCs w:val="20"/>
        </w:rPr>
      </w:pPr>
      <w:r w:rsidRPr="003501C4">
        <w:rPr>
          <w:b/>
          <w:bCs/>
          <w:sz w:val="20"/>
          <w:szCs w:val="20"/>
        </w:rPr>
        <w:t>AND THE MATERIAL FILED</w:t>
      </w:r>
      <w:r w:rsidRPr="003501C4">
        <w:rPr>
          <w:sz w:val="20"/>
          <w:szCs w:val="20"/>
        </w:rPr>
        <w:t xml:space="preserve"> having been read;</w:t>
      </w:r>
    </w:p>
    <w:p w:rsidR="003501C4" w:rsidRPr="003501C4" w:rsidRDefault="003501C4" w:rsidP="003501C4">
      <w:pPr>
        <w:spacing w:line="233" w:lineRule="auto"/>
        <w:jc w:val="both"/>
        <w:rPr>
          <w:sz w:val="20"/>
          <w:szCs w:val="20"/>
        </w:rPr>
      </w:pPr>
    </w:p>
    <w:p w:rsidR="003501C4" w:rsidRPr="003501C4" w:rsidRDefault="003501C4" w:rsidP="003501C4">
      <w:pPr>
        <w:spacing w:line="233" w:lineRule="auto"/>
        <w:jc w:val="both"/>
        <w:rPr>
          <w:sz w:val="20"/>
          <w:szCs w:val="20"/>
        </w:rPr>
      </w:pPr>
      <w:r w:rsidRPr="003501C4">
        <w:rPr>
          <w:b/>
          <w:bCs/>
          <w:sz w:val="20"/>
          <w:szCs w:val="20"/>
        </w:rPr>
        <w:t>IT IS HEREBY ORDERED THAT:</w:t>
      </w:r>
    </w:p>
    <w:p w:rsidR="003501C4" w:rsidRPr="003501C4" w:rsidRDefault="003501C4" w:rsidP="003501C4">
      <w:pPr>
        <w:spacing w:line="233" w:lineRule="auto"/>
        <w:jc w:val="both"/>
        <w:rPr>
          <w:sz w:val="20"/>
          <w:szCs w:val="20"/>
        </w:rPr>
      </w:pPr>
    </w:p>
    <w:p w:rsidR="003501C4" w:rsidRPr="003501C4" w:rsidRDefault="003501C4" w:rsidP="003501C4">
      <w:pPr>
        <w:spacing w:line="233" w:lineRule="auto"/>
        <w:jc w:val="both"/>
        <w:rPr>
          <w:sz w:val="20"/>
          <w:szCs w:val="20"/>
        </w:rPr>
      </w:pPr>
      <w:r w:rsidRPr="003501C4">
        <w:rPr>
          <w:sz w:val="20"/>
          <w:szCs w:val="20"/>
        </w:rPr>
        <w:t>The motion for an extension of time to apply for leave to intervene and for leave to intervene of the Evangelical Fellowship of Canada is granted and the said intervener shall be entitled to serve and file a factum not to exceed 10 pages in length on or before July 26, 2012.</w:t>
      </w:r>
    </w:p>
    <w:p w:rsidR="003501C4" w:rsidRPr="003501C4" w:rsidRDefault="003501C4" w:rsidP="003501C4">
      <w:pPr>
        <w:spacing w:line="233" w:lineRule="auto"/>
        <w:jc w:val="both"/>
        <w:rPr>
          <w:sz w:val="20"/>
          <w:szCs w:val="20"/>
        </w:rPr>
      </w:pPr>
    </w:p>
    <w:p w:rsidR="003501C4" w:rsidRPr="003501C4" w:rsidRDefault="003501C4" w:rsidP="003501C4">
      <w:pPr>
        <w:spacing w:line="233" w:lineRule="auto"/>
        <w:jc w:val="both"/>
        <w:rPr>
          <w:sz w:val="20"/>
          <w:szCs w:val="20"/>
        </w:rPr>
      </w:pPr>
      <w:r w:rsidRPr="003501C4">
        <w:rPr>
          <w:sz w:val="20"/>
          <w:szCs w:val="20"/>
        </w:rPr>
        <w:t>The motions for leave to intervene of the Euthanasia Prevention Coalition, the Canadian Critical Care Society, the Canadian Association of Critical Care Nurses, the Advocacy Centre for the Elderly and ARCH Disability Law Centre and the Mental Health Legal Committee and HIV &amp; AIDS Legal Clinic Ontario are granted and the said five groups of interveners shall be entitled to each serve and file a factum not to exceed 10 pages in length on or before July 26, 2012.</w:t>
      </w:r>
    </w:p>
    <w:p w:rsidR="003501C4" w:rsidRPr="003501C4" w:rsidRDefault="003501C4" w:rsidP="003501C4">
      <w:pPr>
        <w:spacing w:line="233" w:lineRule="auto"/>
        <w:jc w:val="both"/>
        <w:rPr>
          <w:sz w:val="20"/>
          <w:szCs w:val="20"/>
        </w:rPr>
      </w:pPr>
    </w:p>
    <w:p w:rsidR="003501C4" w:rsidRPr="003501C4" w:rsidRDefault="003501C4" w:rsidP="003501C4">
      <w:pPr>
        <w:spacing w:line="233" w:lineRule="auto"/>
        <w:jc w:val="both"/>
        <w:rPr>
          <w:sz w:val="20"/>
          <w:szCs w:val="20"/>
        </w:rPr>
      </w:pPr>
      <w:r w:rsidRPr="003501C4">
        <w:rPr>
          <w:sz w:val="20"/>
          <w:szCs w:val="20"/>
        </w:rPr>
        <w:t>The requests to present oral argument are deferred to a date following receipt and consideration of the written arguments of the parties and the interveners.</w:t>
      </w:r>
    </w:p>
    <w:p w:rsidR="003501C4" w:rsidRPr="003501C4" w:rsidRDefault="003501C4" w:rsidP="003501C4">
      <w:pPr>
        <w:spacing w:line="233" w:lineRule="auto"/>
        <w:jc w:val="both"/>
        <w:rPr>
          <w:sz w:val="20"/>
          <w:szCs w:val="20"/>
        </w:rPr>
      </w:pPr>
    </w:p>
    <w:p w:rsidR="003501C4" w:rsidRPr="003501C4" w:rsidRDefault="00ED3438" w:rsidP="003501C4">
      <w:pPr>
        <w:jc w:val="both"/>
        <w:rPr>
          <w:bCs/>
          <w:sz w:val="20"/>
          <w:szCs w:val="20"/>
        </w:rPr>
      </w:pPr>
      <w:r w:rsidRPr="003501C4">
        <w:rPr>
          <w:sz w:val="20"/>
          <w:szCs w:val="20"/>
        </w:rPr>
        <w:fldChar w:fldCharType="begin"/>
      </w:r>
      <w:r w:rsidR="003501C4" w:rsidRPr="003501C4">
        <w:rPr>
          <w:sz w:val="20"/>
          <w:szCs w:val="20"/>
        </w:rPr>
        <w:instrText xml:space="preserve"> SEQ CHAPTER \h \r 1</w:instrText>
      </w:r>
      <w:r w:rsidRPr="003501C4">
        <w:rPr>
          <w:sz w:val="20"/>
          <w:szCs w:val="20"/>
        </w:rPr>
        <w:fldChar w:fldCharType="end"/>
      </w:r>
      <w:r w:rsidR="003501C4" w:rsidRPr="003501C4">
        <w:rPr>
          <w:bCs/>
          <w:sz w:val="20"/>
          <w:szCs w:val="20"/>
        </w:rPr>
        <w:t>The interveners are not entitled to raise new issues or to adduce further evidence or otherwise to supplement the record of the parties.</w:t>
      </w:r>
    </w:p>
    <w:p w:rsidR="003501C4" w:rsidRPr="003501C4" w:rsidRDefault="003501C4" w:rsidP="003501C4">
      <w:pPr>
        <w:spacing w:line="233" w:lineRule="auto"/>
        <w:jc w:val="both"/>
        <w:rPr>
          <w:sz w:val="20"/>
          <w:szCs w:val="20"/>
        </w:rPr>
      </w:pPr>
    </w:p>
    <w:p w:rsidR="003501C4" w:rsidRPr="003501C4" w:rsidRDefault="003501C4" w:rsidP="003501C4">
      <w:pPr>
        <w:spacing w:line="233" w:lineRule="auto"/>
        <w:jc w:val="both"/>
        <w:rPr>
          <w:sz w:val="20"/>
          <w:szCs w:val="20"/>
        </w:rPr>
      </w:pPr>
      <w:r w:rsidRPr="003501C4">
        <w:rPr>
          <w:sz w:val="20"/>
          <w:szCs w:val="20"/>
        </w:rPr>
        <w:t>Pursuant to Rule 59(1</w:t>
      </w:r>
      <w:proofErr w:type="gramStart"/>
      <w:r w:rsidRPr="003501C4">
        <w:rPr>
          <w:sz w:val="20"/>
          <w:szCs w:val="20"/>
        </w:rPr>
        <w:t>)(</w:t>
      </w:r>
      <w:proofErr w:type="gramEnd"/>
      <w:r w:rsidRPr="003501C4">
        <w:rPr>
          <w:i/>
          <w:iCs/>
          <w:sz w:val="20"/>
          <w:szCs w:val="20"/>
        </w:rPr>
        <w:t>a</w:t>
      </w:r>
      <w:r w:rsidRPr="003501C4">
        <w:rPr>
          <w:sz w:val="20"/>
          <w:szCs w:val="20"/>
        </w:rPr>
        <w:t xml:space="preserve">) of the </w:t>
      </w:r>
      <w:r w:rsidRPr="003501C4">
        <w:rPr>
          <w:i/>
          <w:iCs/>
          <w:sz w:val="20"/>
          <w:szCs w:val="20"/>
        </w:rPr>
        <w:t>Rules of the Supreme Court of Canada</w:t>
      </w:r>
      <w:r w:rsidRPr="003501C4">
        <w:rPr>
          <w:sz w:val="20"/>
          <w:szCs w:val="20"/>
        </w:rPr>
        <w:t>, the interveners shall pay to the appellants and respondent any additional disbursements occasioned to the appellants and respondent by their interventions.</w:t>
      </w:r>
    </w:p>
    <w:p w:rsidR="003501C4" w:rsidRPr="003501C4" w:rsidRDefault="003501C4" w:rsidP="003501C4">
      <w:pPr>
        <w:spacing w:line="233" w:lineRule="auto"/>
        <w:jc w:val="both"/>
        <w:rPr>
          <w:sz w:val="20"/>
          <w:szCs w:val="20"/>
        </w:rPr>
      </w:pPr>
    </w:p>
    <w:p w:rsidR="003501C4" w:rsidRPr="003501C4" w:rsidRDefault="00ED3438" w:rsidP="003501C4">
      <w:pPr>
        <w:jc w:val="both"/>
        <w:rPr>
          <w:sz w:val="20"/>
          <w:szCs w:val="20"/>
        </w:rPr>
      </w:pPr>
      <w:r w:rsidRPr="003501C4">
        <w:rPr>
          <w:sz w:val="20"/>
          <w:szCs w:val="20"/>
        </w:rPr>
        <w:fldChar w:fldCharType="begin"/>
      </w:r>
      <w:r w:rsidR="003501C4" w:rsidRPr="003501C4">
        <w:rPr>
          <w:sz w:val="20"/>
          <w:szCs w:val="20"/>
        </w:rPr>
        <w:instrText xml:space="preserve"> SEQ CHAPTER \h \r 1</w:instrText>
      </w:r>
      <w:r w:rsidRPr="003501C4">
        <w:rPr>
          <w:sz w:val="20"/>
          <w:szCs w:val="20"/>
        </w:rPr>
        <w:fldChar w:fldCharType="end"/>
      </w:r>
      <w:r w:rsidR="003501C4" w:rsidRPr="003501C4">
        <w:rPr>
          <w:b/>
          <w:bCs/>
          <w:sz w:val="20"/>
          <w:szCs w:val="20"/>
        </w:rPr>
        <w:t>IT IS HEREBY FURTHER ORDERED THAT:</w:t>
      </w:r>
    </w:p>
    <w:p w:rsidR="003501C4" w:rsidRPr="003501C4" w:rsidRDefault="003501C4" w:rsidP="003501C4">
      <w:pPr>
        <w:jc w:val="both"/>
        <w:rPr>
          <w:sz w:val="20"/>
          <w:szCs w:val="20"/>
        </w:rPr>
      </w:pPr>
    </w:p>
    <w:p w:rsidR="003501C4" w:rsidRPr="003501C4" w:rsidRDefault="003501C4" w:rsidP="003501C4">
      <w:pPr>
        <w:spacing w:line="233" w:lineRule="auto"/>
        <w:jc w:val="both"/>
        <w:rPr>
          <w:sz w:val="20"/>
          <w:szCs w:val="20"/>
        </w:rPr>
      </w:pPr>
      <w:r w:rsidRPr="003501C4">
        <w:rPr>
          <w:sz w:val="20"/>
          <w:szCs w:val="20"/>
        </w:rPr>
        <w:t xml:space="preserve">The appellants are denied leave to file a reply factum without prejudice to reapplying for leave to file a reply factum after the </w:t>
      </w:r>
      <w:proofErr w:type="gramStart"/>
      <w:r w:rsidRPr="003501C4">
        <w:rPr>
          <w:sz w:val="20"/>
          <w:szCs w:val="20"/>
        </w:rPr>
        <w:t>interveners</w:t>
      </w:r>
      <w:proofErr w:type="gramEnd"/>
      <w:r w:rsidRPr="003501C4">
        <w:rPr>
          <w:sz w:val="20"/>
          <w:szCs w:val="20"/>
        </w:rPr>
        <w:t xml:space="preserve"> factums have been filed.</w:t>
      </w:r>
    </w:p>
    <w:p w:rsidR="003501C4" w:rsidRPr="003501C4" w:rsidRDefault="003501C4" w:rsidP="003501C4">
      <w:pPr>
        <w:tabs>
          <w:tab w:val="left" w:pos="-1440"/>
          <w:tab w:val="left" w:pos="-720"/>
        </w:tabs>
        <w:jc w:val="both"/>
        <w:rPr>
          <w:sz w:val="20"/>
          <w:szCs w:val="20"/>
        </w:rPr>
      </w:pPr>
    </w:p>
    <w:p w:rsidR="003501C4" w:rsidRPr="003501C4" w:rsidRDefault="003501C4" w:rsidP="003501C4">
      <w:pPr>
        <w:tabs>
          <w:tab w:val="left" w:pos="-1440"/>
          <w:tab w:val="left" w:pos="-720"/>
        </w:tabs>
        <w:jc w:val="both"/>
        <w:rPr>
          <w:sz w:val="20"/>
          <w:szCs w:val="20"/>
        </w:rPr>
      </w:pPr>
    </w:p>
    <w:p w:rsidR="003501C4" w:rsidRPr="003501C4" w:rsidRDefault="003501C4" w:rsidP="003501C4">
      <w:pPr>
        <w:tabs>
          <w:tab w:val="left" w:pos="-1440"/>
          <w:tab w:val="left" w:pos="-720"/>
        </w:tabs>
        <w:jc w:val="both"/>
        <w:rPr>
          <w:sz w:val="20"/>
          <w:szCs w:val="20"/>
        </w:rPr>
      </w:pPr>
    </w:p>
    <w:p w:rsidR="003501C4" w:rsidRPr="003501C4" w:rsidRDefault="003501C4" w:rsidP="003501C4">
      <w:pPr>
        <w:spacing w:line="233" w:lineRule="auto"/>
        <w:jc w:val="both"/>
        <w:rPr>
          <w:rFonts w:cs="Times New Roman"/>
          <w:sz w:val="20"/>
          <w:szCs w:val="20"/>
          <w:lang w:val="fr-FR"/>
        </w:rPr>
      </w:pPr>
      <w:r w:rsidRPr="003501C4">
        <w:rPr>
          <w:rFonts w:cs="Times New Roman"/>
          <w:b/>
          <w:sz w:val="20"/>
          <w:szCs w:val="20"/>
          <w:lang w:val="fr-FR"/>
        </w:rPr>
        <w:t>À LA SUITE DE LA DEMANDE</w:t>
      </w:r>
      <w:r w:rsidRPr="003501C4">
        <w:rPr>
          <w:rFonts w:cs="Times New Roman"/>
          <w:sz w:val="20"/>
          <w:szCs w:val="20"/>
          <w:lang w:val="fr-FR"/>
        </w:rPr>
        <w:t xml:space="preserve"> présentée par l’Alliance évangélique du Canada en prorogation du délai applicable à une demande d'autorisation d'intervenir et en autorisation d'intervenir dans l'appel;</w:t>
      </w:r>
    </w:p>
    <w:p w:rsidR="003501C4" w:rsidRPr="003501C4" w:rsidRDefault="003501C4" w:rsidP="003501C4">
      <w:pPr>
        <w:spacing w:line="233" w:lineRule="auto"/>
        <w:jc w:val="both"/>
        <w:rPr>
          <w:rFonts w:cs="Times New Roman"/>
          <w:sz w:val="20"/>
          <w:szCs w:val="20"/>
          <w:lang w:val="fr-FR"/>
        </w:rPr>
      </w:pPr>
    </w:p>
    <w:p w:rsidR="003501C4" w:rsidRPr="003501C4" w:rsidRDefault="003501C4" w:rsidP="003501C4">
      <w:pPr>
        <w:spacing w:line="233" w:lineRule="auto"/>
        <w:jc w:val="both"/>
        <w:rPr>
          <w:rFonts w:cs="Times New Roman"/>
          <w:sz w:val="20"/>
          <w:szCs w:val="20"/>
          <w:lang w:val="fr-FR"/>
        </w:rPr>
      </w:pPr>
      <w:r w:rsidRPr="003501C4">
        <w:rPr>
          <w:rFonts w:cs="Times New Roman"/>
          <w:b/>
          <w:sz w:val="20"/>
          <w:szCs w:val="20"/>
          <w:lang w:val="fr-FR"/>
        </w:rPr>
        <w:t>ET À LA SUITE DES DEMANDES</w:t>
      </w:r>
      <w:r w:rsidRPr="003501C4">
        <w:rPr>
          <w:rFonts w:cs="Times New Roman"/>
          <w:sz w:val="20"/>
          <w:szCs w:val="20"/>
          <w:lang w:val="fr-FR"/>
        </w:rPr>
        <w:t xml:space="preserve"> présentées par l’Euthanasia </w:t>
      </w:r>
      <w:proofErr w:type="spellStart"/>
      <w:r w:rsidRPr="003501C4">
        <w:rPr>
          <w:rFonts w:cs="Times New Roman"/>
          <w:sz w:val="20"/>
          <w:szCs w:val="20"/>
          <w:lang w:val="fr-FR"/>
        </w:rPr>
        <w:t>Prevention</w:t>
      </w:r>
      <w:proofErr w:type="spellEnd"/>
      <w:r w:rsidRPr="003501C4">
        <w:rPr>
          <w:rFonts w:cs="Times New Roman"/>
          <w:sz w:val="20"/>
          <w:szCs w:val="20"/>
          <w:lang w:val="fr-FR"/>
        </w:rPr>
        <w:t xml:space="preserve"> Coalition, la Canadian </w:t>
      </w:r>
      <w:proofErr w:type="spellStart"/>
      <w:r w:rsidRPr="003501C4">
        <w:rPr>
          <w:rFonts w:cs="Times New Roman"/>
          <w:sz w:val="20"/>
          <w:szCs w:val="20"/>
          <w:lang w:val="fr-FR"/>
        </w:rPr>
        <w:t>Critical</w:t>
      </w:r>
      <w:proofErr w:type="spellEnd"/>
      <w:r w:rsidRPr="003501C4">
        <w:rPr>
          <w:rFonts w:cs="Times New Roman"/>
          <w:sz w:val="20"/>
          <w:szCs w:val="20"/>
          <w:lang w:val="fr-FR"/>
        </w:rPr>
        <w:t xml:space="preserve"> Care Society, la Canadian Association of </w:t>
      </w:r>
      <w:proofErr w:type="spellStart"/>
      <w:r w:rsidRPr="003501C4">
        <w:rPr>
          <w:rFonts w:cs="Times New Roman"/>
          <w:sz w:val="20"/>
          <w:szCs w:val="20"/>
          <w:lang w:val="fr-FR"/>
        </w:rPr>
        <w:t>Critical</w:t>
      </w:r>
      <w:proofErr w:type="spellEnd"/>
      <w:r w:rsidRPr="003501C4">
        <w:rPr>
          <w:rFonts w:cs="Times New Roman"/>
          <w:sz w:val="20"/>
          <w:szCs w:val="20"/>
          <w:lang w:val="fr-FR"/>
        </w:rPr>
        <w:t xml:space="preserve"> Care Nurses, l’</w:t>
      </w:r>
      <w:proofErr w:type="spellStart"/>
      <w:r w:rsidRPr="003501C4">
        <w:rPr>
          <w:rFonts w:cs="Times New Roman"/>
          <w:sz w:val="20"/>
          <w:szCs w:val="20"/>
          <w:lang w:val="fr-FR"/>
        </w:rPr>
        <w:t>Advocacy</w:t>
      </w:r>
      <w:proofErr w:type="spellEnd"/>
      <w:r w:rsidRPr="003501C4">
        <w:rPr>
          <w:rFonts w:cs="Times New Roman"/>
          <w:sz w:val="20"/>
          <w:szCs w:val="20"/>
          <w:lang w:val="fr-FR"/>
        </w:rPr>
        <w:t xml:space="preserve"> Centre for the </w:t>
      </w:r>
      <w:proofErr w:type="spellStart"/>
      <w:r w:rsidRPr="003501C4">
        <w:rPr>
          <w:rFonts w:cs="Times New Roman"/>
          <w:sz w:val="20"/>
          <w:szCs w:val="20"/>
          <w:lang w:val="fr-FR"/>
        </w:rPr>
        <w:t>Elderly</w:t>
      </w:r>
      <w:proofErr w:type="spellEnd"/>
      <w:r w:rsidRPr="003501C4">
        <w:rPr>
          <w:rFonts w:cs="Times New Roman"/>
          <w:sz w:val="20"/>
          <w:szCs w:val="20"/>
          <w:lang w:val="fr-FR"/>
        </w:rPr>
        <w:t xml:space="preserve"> et l’ARCH </w:t>
      </w:r>
      <w:proofErr w:type="spellStart"/>
      <w:r w:rsidRPr="003501C4">
        <w:rPr>
          <w:rFonts w:cs="Times New Roman"/>
          <w:sz w:val="20"/>
          <w:szCs w:val="20"/>
          <w:lang w:val="fr-FR"/>
        </w:rPr>
        <w:t>Disability</w:t>
      </w:r>
      <w:proofErr w:type="spellEnd"/>
      <w:r w:rsidRPr="003501C4">
        <w:rPr>
          <w:rFonts w:cs="Times New Roman"/>
          <w:sz w:val="20"/>
          <w:szCs w:val="20"/>
          <w:lang w:val="fr-FR"/>
        </w:rPr>
        <w:t xml:space="preserve"> Law Centre ainsi que par le Mental </w:t>
      </w:r>
      <w:proofErr w:type="spellStart"/>
      <w:r w:rsidRPr="003501C4">
        <w:rPr>
          <w:rFonts w:cs="Times New Roman"/>
          <w:sz w:val="20"/>
          <w:szCs w:val="20"/>
          <w:lang w:val="fr-FR"/>
        </w:rPr>
        <w:t>Health</w:t>
      </w:r>
      <w:proofErr w:type="spellEnd"/>
      <w:r w:rsidRPr="003501C4">
        <w:rPr>
          <w:rFonts w:cs="Times New Roman"/>
          <w:sz w:val="20"/>
          <w:szCs w:val="20"/>
          <w:lang w:val="fr-FR"/>
        </w:rPr>
        <w:t xml:space="preserve"> </w:t>
      </w:r>
      <w:proofErr w:type="spellStart"/>
      <w:r w:rsidRPr="003501C4">
        <w:rPr>
          <w:rFonts w:cs="Times New Roman"/>
          <w:sz w:val="20"/>
          <w:szCs w:val="20"/>
          <w:lang w:val="fr-FR"/>
        </w:rPr>
        <w:t>Legal</w:t>
      </w:r>
      <w:proofErr w:type="spellEnd"/>
      <w:r w:rsidRPr="003501C4">
        <w:rPr>
          <w:rFonts w:cs="Times New Roman"/>
          <w:sz w:val="20"/>
          <w:szCs w:val="20"/>
          <w:lang w:val="fr-FR"/>
        </w:rPr>
        <w:t xml:space="preserve"> </w:t>
      </w:r>
      <w:proofErr w:type="spellStart"/>
      <w:r w:rsidRPr="003501C4">
        <w:rPr>
          <w:rFonts w:cs="Times New Roman"/>
          <w:sz w:val="20"/>
          <w:szCs w:val="20"/>
          <w:lang w:val="fr-FR"/>
        </w:rPr>
        <w:t>Committee</w:t>
      </w:r>
      <w:proofErr w:type="spellEnd"/>
      <w:r w:rsidRPr="003501C4">
        <w:rPr>
          <w:rFonts w:cs="Times New Roman"/>
          <w:sz w:val="20"/>
          <w:szCs w:val="20"/>
          <w:lang w:val="fr-FR"/>
        </w:rPr>
        <w:t xml:space="preserve"> et l’HIV &amp; AIDS </w:t>
      </w:r>
      <w:proofErr w:type="spellStart"/>
      <w:r w:rsidRPr="003501C4">
        <w:rPr>
          <w:rFonts w:cs="Times New Roman"/>
          <w:sz w:val="20"/>
          <w:szCs w:val="20"/>
          <w:lang w:val="fr-FR"/>
        </w:rPr>
        <w:t>Legal</w:t>
      </w:r>
      <w:proofErr w:type="spellEnd"/>
      <w:r w:rsidRPr="003501C4">
        <w:rPr>
          <w:rFonts w:cs="Times New Roman"/>
          <w:sz w:val="20"/>
          <w:szCs w:val="20"/>
          <w:lang w:val="fr-FR"/>
        </w:rPr>
        <w:t xml:space="preserve"> </w:t>
      </w:r>
      <w:proofErr w:type="spellStart"/>
      <w:r w:rsidRPr="003501C4">
        <w:rPr>
          <w:rFonts w:cs="Times New Roman"/>
          <w:sz w:val="20"/>
          <w:szCs w:val="20"/>
          <w:lang w:val="fr-FR"/>
        </w:rPr>
        <w:t>Clinic</w:t>
      </w:r>
      <w:proofErr w:type="spellEnd"/>
      <w:r w:rsidRPr="003501C4">
        <w:rPr>
          <w:rFonts w:cs="Times New Roman"/>
          <w:sz w:val="20"/>
          <w:szCs w:val="20"/>
          <w:lang w:val="fr-FR"/>
        </w:rPr>
        <w:t xml:space="preserve"> Ontario en autorisation d'intervenir dans l'appel; </w:t>
      </w:r>
    </w:p>
    <w:p w:rsidR="003501C4" w:rsidRPr="003501C4" w:rsidRDefault="003501C4" w:rsidP="003501C4">
      <w:pPr>
        <w:spacing w:line="233" w:lineRule="auto"/>
        <w:jc w:val="both"/>
        <w:rPr>
          <w:rFonts w:cs="Times New Roman"/>
          <w:sz w:val="20"/>
          <w:szCs w:val="20"/>
          <w:lang w:val="fr-FR"/>
        </w:rPr>
      </w:pPr>
    </w:p>
    <w:p w:rsidR="003501C4" w:rsidRPr="003501C4" w:rsidRDefault="003501C4" w:rsidP="003501C4">
      <w:pPr>
        <w:spacing w:line="233" w:lineRule="auto"/>
        <w:jc w:val="both"/>
        <w:rPr>
          <w:rFonts w:cs="Times New Roman"/>
          <w:sz w:val="20"/>
          <w:szCs w:val="20"/>
          <w:lang w:val="fr-FR"/>
        </w:rPr>
      </w:pPr>
      <w:r w:rsidRPr="003501C4">
        <w:rPr>
          <w:rFonts w:cs="Times New Roman"/>
          <w:b/>
          <w:sz w:val="20"/>
          <w:szCs w:val="20"/>
          <w:lang w:val="fr-FR"/>
        </w:rPr>
        <w:t>ET APRÈS EXAMEN</w:t>
      </w:r>
      <w:r w:rsidRPr="003501C4">
        <w:rPr>
          <w:rFonts w:cs="Times New Roman"/>
          <w:sz w:val="20"/>
          <w:szCs w:val="20"/>
          <w:lang w:val="fr-FR"/>
        </w:rPr>
        <w:t xml:space="preserve"> des documents déposés; </w:t>
      </w:r>
    </w:p>
    <w:p w:rsidR="003501C4" w:rsidRPr="003501C4" w:rsidRDefault="003501C4" w:rsidP="003501C4">
      <w:pPr>
        <w:spacing w:line="233" w:lineRule="auto"/>
        <w:jc w:val="both"/>
        <w:rPr>
          <w:rFonts w:cs="Times New Roman"/>
          <w:sz w:val="20"/>
          <w:szCs w:val="20"/>
          <w:lang w:val="fr-FR"/>
        </w:rPr>
      </w:pPr>
    </w:p>
    <w:p w:rsidR="003501C4" w:rsidRPr="003501C4" w:rsidRDefault="003501C4" w:rsidP="003501C4">
      <w:pPr>
        <w:spacing w:line="233" w:lineRule="auto"/>
        <w:jc w:val="both"/>
        <w:rPr>
          <w:rFonts w:cs="Times New Roman"/>
          <w:b/>
          <w:sz w:val="20"/>
          <w:szCs w:val="20"/>
          <w:lang w:val="fr-FR"/>
        </w:rPr>
      </w:pPr>
      <w:r w:rsidRPr="003501C4">
        <w:rPr>
          <w:rFonts w:cs="Times New Roman"/>
          <w:b/>
          <w:sz w:val="20"/>
          <w:szCs w:val="20"/>
          <w:lang w:val="fr-FR"/>
        </w:rPr>
        <w:t xml:space="preserve">IL EST ORDONNÉ CE QUI SUIT : </w:t>
      </w:r>
    </w:p>
    <w:p w:rsidR="003501C4" w:rsidRPr="003501C4" w:rsidRDefault="003501C4" w:rsidP="003501C4">
      <w:pPr>
        <w:spacing w:line="233" w:lineRule="auto"/>
        <w:jc w:val="both"/>
        <w:rPr>
          <w:rFonts w:cs="Times New Roman"/>
          <w:sz w:val="20"/>
          <w:szCs w:val="20"/>
          <w:lang w:val="fr-FR"/>
        </w:rPr>
      </w:pPr>
    </w:p>
    <w:p w:rsidR="003501C4" w:rsidRPr="003501C4" w:rsidRDefault="003501C4" w:rsidP="003501C4">
      <w:pPr>
        <w:spacing w:line="233" w:lineRule="auto"/>
        <w:jc w:val="both"/>
        <w:rPr>
          <w:rFonts w:cs="Times New Roman"/>
          <w:sz w:val="20"/>
          <w:szCs w:val="20"/>
          <w:lang w:val="fr-FR"/>
        </w:rPr>
      </w:pPr>
      <w:r w:rsidRPr="003501C4">
        <w:rPr>
          <w:rFonts w:cs="Times New Roman"/>
          <w:sz w:val="20"/>
          <w:szCs w:val="20"/>
          <w:lang w:val="fr-FR"/>
        </w:rPr>
        <w:t xml:space="preserve">La requête en prorogation du délai applicable à une demande d'autorisation d'intervenir et en autorisation d'intervenir présentée par l’Alliance évangélique du Canada est accordée et l’intervenante pourra signifier et déposer un mémoire d'au plus dix (10) pages au plus tard le 26 juillet 2012. </w:t>
      </w:r>
    </w:p>
    <w:p w:rsidR="003501C4" w:rsidRPr="003501C4" w:rsidRDefault="003501C4" w:rsidP="003501C4">
      <w:pPr>
        <w:spacing w:line="233" w:lineRule="auto"/>
        <w:jc w:val="both"/>
        <w:rPr>
          <w:rFonts w:cs="Times New Roman"/>
          <w:sz w:val="20"/>
          <w:szCs w:val="20"/>
          <w:lang w:val="fr-FR"/>
        </w:rPr>
      </w:pPr>
    </w:p>
    <w:p w:rsidR="003501C4" w:rsidRPr="003501C4" w:rsidRDefault="003501C4" w:rsidP="003501C4">
      <w:pPr>
        <w:spacing w:line="233" w:lineRule="auto"/>
        <w:jc w:val="both"/>
        <w:rPr>
          <w:rFonts w:cs="Times New Roman"/>
          <w:sz w:val="20"/>
          <w:szCs w:val="20"/>
          <w:lang w:val="fr-FR"/>
        </w:rPr>
      </w:pPr>
      <w:r w:rsidRPr="003501C4">
        <w:rPr>
          <w:rFonts w:cs="Times New Roman"/>
          <w:sz w:val="20"/>
          <w:szCs w:val="20"/>
          <w:lang w:val="fr-FR"/>
        </w:rPr>
        <w:t xml:space="preserve">Les requêtes en autorisation d'intervenir présentées par l’Euthanasia </w:t>
      </w:r>
      <w:proofErr w:type="spellStart"/>
      <w:r w:rsidRPr="003501C4">
        <w:rPr>
          <w:rFonts w:cs="Times New Roman"/>
          <w:sz w:val="20"/>
          <w:szCs w:val="20"/>
          <w:lang w:val="fr-FR"/>
        </w:rPr>
        <w:t>Prevention</w:t>
      </w:r>
      <w:proofErr w:type="spellEnd"/>
      <w:r w:rsidRPr="003501C4">
        <w:rPr>
          <w:rFonts w:cs="Times New Roman"/>
          <w:sz w:val="20"/>
          <w:szCs w:val="20"/>
          <w:lang w:val="fr-FR"/>
        </w:rPr>
        <w:t xml:space="preserve"> Coalition, la Canadian </w:t>
      </w:r>
      <w:proofErr w:type="spellStart"/>
      <w:r w:rsidRPr="003501C4">
        <w:rPr>
          <w:rFonts w:cs="Times New Roman"/>
          <w:sz w:val="20"/>
          <w:szCs w:val="20"/>
          <w:lang w:val="fr-FR"/>
        </w:rPr>
        <w:t>Critical</w:t>
      </w:r>
      <w:proofErr w:type="spellEnd"/>
      <w:r w:rsidRPr="003501C4">
        <w:rPr>
          <w:rFonts w:cs="Times New Roman"/>
          <w:sz w:val="20"/>
          <w:szCs w:val="20"/>
          <w:lang w:val="fr-FR"/>
        </w:rPr>
        <w:t xml:space="preserve"> Care Society, la Canadian Association of </w:t>
      </w:r>
      <w:proofErr w:type="spellStart"/>
      <w:r w:rsidRPr="003501C4">
        <w:rPr>
          <w:rFonts w:cs="Times New Roman"/>
          <w:sz w:val="20"/>
          <w:szCs w:val="20"/>
          <w:lang w:val="fr-FR"/>
        </w:rPr>
        <w:t>Critical</w:t>
      </w:r>
      <w:proofErr w:type="spellEnd"/>
      <w:r w:rsidRPr="003501C4">
        <w:rPr>
          <w:rFonts w:cs="Times New Roman"/>
          <w:sz w:val="20"/>
          <w:szCs w:val="20"/>
          <w:lang w:val="fr-FR"/>
        </w:rPr>
        <w:t xml:space="preserve"> Care Nurses, l’</w:t>
      </w:r>
      <w:proofErr w:type="spellStart"/>
      <w:r w:rsidRPr="003501C4">
        <w:rPr>
          <w:rFonts w:cs="Times New Roman"/>
          <w:sz w:val="20"/>
          <w:szCs w:val="20"/>
          <w:lang w:val="fr-FR"/>
        </w:rPr>
        <w:t>Advocacy</w:t>
      </w:r>
      <w:proofErr w:type="spellEnd"/>
      <w:r w:rsidRPr="003501C4">
        <w:rPr>
          <w:rFonts w:cs="Times New Roman"/>
          <w:sz w:val="20"/>
          <w:szCs w:val="20"/>
          <w:lang w:val="fr-FR"/>
        </w:rPr>
        <w:t xml:space="preserve"> Centre for the </w:t>
      </w:r>
      <w:proofErr w:type="spellStart"/>
      <w:r w:rsidRPr="003501C4">
        <w:rPr>
          <w:rFonts w:cs="Times New Roman"/>
          <w:sz w:val="20"/>
          <w:szCs w:val="20"/>
          <w:lang w:val="fr-FR"/>
        </w:rPr>
        <w:t>Elderly</w:t>
      </w:r>
      <w:proofErr w:type="spellEnd"/>
      <w:r w:rsidRPr="003501C4">
        <w:rPr>
          <w:rFonts w:cs="Times New Roman"/>
          <w:sz w:val="20"/>
          <w:szCs w:val="20"/>
          <w:lang w:val="fr-FR"/>
        </w:rPr>
        <w:t xml:space="preserve"> et l’ARCH </w:t>
      </w:r>
      <w:proofErr w:type="spellStart"/>
      <w:r w:rsidRPr="003501C4">
        <w:rPr>
          <w:rFonts w:cs="Times New Roman"/>
          <w:sz w:val="20"/>
          <w:szCs w:val="20"/>
          <w:lang w:val="fr-FR"/>
        </w:rPr>
        <w:t>Disability</w:t>
      </w:r>
      <w:proofErr w:type="spellEnd"/>
      <w:r w:rsidRPr="003501C4">
        <w:rPr>
          <w:rFonts w:cs="Times New Roman"/>
          <w:sz w:val="20"/>
          <w:szCs w:val="20"/>
          <w:lang w:val="fr-FR"/>
        </w:rPr>
        <w:t xml:space="preserve"> Law Centre ainsi que par le Mental </w:t>
      </w:r>
      <w:proofErr w:type="spellStart"/>
      <w:r w:rsidRPr="003501C4">
        <w:rPr>
          <w:rFonts w:cs="Times New Roman"/>
          <w:sz w:val="20"/>
          <w:szCs w:val="20"/>
          <w:lang w:val="fr-FR"/>
        </w:rPr>
        <w:t>Health</w:t>
      </w:r>
      <w:proofErr w:type="spellEnd"/>
      <w:r w:rsidRPr="003501C4">
        <w:rPr>
          <w:rFonts w:cs="Times New Roman"/>
          <w:sz w:val="20"/>
          <w:szCs w:val="20"/>
          <w:lang w:val="fr-FR"/>
        </w:rPr>
        <w:t xml:space="preserve"> </w:t>
      </w:r>
      <w:proofErr w:type="spellStart"/>
      <w:r w:rsidRPr="003501C4">
        <w:rPr>
          <w:rFonts w:cs="Times New Roman"/>
          <w:sz w:val="20"/>
          <w:szCs w:val="20"/>
          <w:lang w:val="fr-FR"/>
        </w:rPr>
        <w:t>Legal</w:t>
      </w:r>
      <w:proofErr w:type="spellEnd"/>
      <w:r w:rsidRPr="003501C4">
        <w:rPr>
          <w:rFonts w:cs="Times New Roman"/>
          <w:sz w:val="20"/>
          <w:szCs w:val="20"/>
          <w:lang w:val="fr-FR"/>
        </w:rPr>
        <w:t xml:space="preserve"> </w:t>
      </w:r>
      <w:proofErr w:type="spellStart"/>
      <w:r w:rsidRPr="003501C4">
        <w:rPr>
          <w:rFonts w:cs="Times New Roman"/>
          <w:sz w:val="20"/>
          <w:szCs w:val="20"/>
          <w:lang w:val="fr-FR"/>
        </w:rPr>
        <w:t>Committee</w:t>
      </w:r>
      <w:proofErr w:type="spellEnd"/>
      <w:r w:rsidRPr="003501C4">
        <w:rPr>
          <w:rFonts w:cs="Times New Roman"/>
          <w:sz w:val="20"/>
          <w:szCs w:val="20"/>
          <w:lang w:val="fr-FR"/>
        </w:rPr>
        <w:t xml:space="preserve"> et l’HIV &amp; AIDS </w:t>
      </w:r>
      <w:proofErr w:type="spellStart"/>
      <w:r w:rsidRPr="003501C4">
        <w:rPr>
          <w:rFonts w:cs="Times New Roman"/>
          <w:sz w:val="20"/>
          <w:szCs w:val="20"/>
          <w:lang w:val="fr-FR"/>
        </w:rPr>
        <w:t>Legal</w:t>
      </w:r>
      <w:proofErr w:type="spellEnd"/>
      <w:r w:rsidRPr="003501C4">
        <w:rPr>
          <w:rFonts w:cs="Times New Roman"/>
          <w:sz w:val="20"/>
          <w:szCs w:val="20"/>
          <w:lang w:val="fr-FR"/>
        </w:rPr>
        <w:t xml:space="preserve"> </w:t>
      </w:r>
      <w:proofErr w:type="spellStart"/>
      <w:r w:rsidRPr="003501C4">
        <w:rPr>
          <w:rFonts w:cs="Times New Roman"/>
          <w:sz w:val="20"/>
          <w:szCs w:val="20"/>
          <w:lang w:val="fr-FR"/>
        </w:rPr>
        <w:t>Clinic</w:t>
      </w:r>
      <w:proofErr w:type="spellEnd"/>
      <w:r w:rsidRPr="003501C4">
        <w:rPr>
          <w:rFonts w:cs="Times New Roman"/>
          <w:sz w:val="20"/>
          <w:szCs w:val="20"/>
          <w:lang w:val="fr-FR"/>
        </w:rPr>
        <w:t xml:space="preserve"> Ontario sont accordées et les cinq groupes d’intervenants en question pourront chacun signifier et déposer un mémoire d'au plus dix (10) pages au plus tard le 26 juillet 2012.</w:t>
      </w:r>
    </w:p>
    <w:p w:rsidR="003501C4" w:rsidRPr="003501C4" w:rsidRDefault="003501C4" w:rsidP="003501C4">
      <w:pPr>
        <w:spacing w:line="233" w:lineRule="auto"/>
        <w:jc w:val="both"/>
        <w:rPr>
          <w:rFonts w:cs="Times New Roman"/>
          <w:sz w:val="20"/>
          <w:szCs w:val="20"/>
          <w:lang w:val="fr-FR"/>
        </w:rPr>
      </w:pPr>
    </w:p>
    <w:p w:rsidR="003501C4" w:rsidRPr="003501C4" w:rsidRDefault="003501C4" w:rsidP="003501C4">
      <w:pPr>
        <w:spacing w:line="233" w:lineRule="auto"/>
        <w:jc w:val="both"/>
        <w:rPr>
          <w:rFonts w:cs="Times New Roman"/>
          <w:sz w:val="20"/>
          <w:szCs w:val="20"/>
          <w:lang w:val="fr-FR"/>
        </w:rPr>
      </w:pPr>
      <w:r w:rsidRPr="003501C4">
        <w:rPr>
          <w:rFonts w:cs="Times New Roman"/>
          <w:sz w:val="20"/>
          <w:szCs w:val="20"/>
          <w:lang w:val="fr-FR"/>
        </w:rPr>
        <w:t xml:space="preserve">La décision sur les demandes en vue de présenter des plaidoiries orales sera rendue après réception et examen des arguments écrits des parties et des l'intervenants. </w:t>
      </w:r>
    </w:p>
    <w:p w:rsidR="003501C4" w:rsidRPr="003501C4" w:rsidRDefault="003501C4" w:rsidP="003501C4">
      <w:pPr>
        <w:spacing w:line="233" w:lineRule="auto"/>
        <w:jc w:val="both"/>
        <w:rPr>
          <w:rFonts w:cs="Times New Roman"/>
          <w:sz w:val="20"/>
          <w:szCs w:val="20"/>
          <w:lang w:val="fr-FR"/>
        </w:rPr>
      </w:pPr>
    </w:p>
    <w:p w:rsidR="003501C4" w:rsidRPr="003501C4" w:rsidRDefault="003501C4" w:rsidP="003501C4">
      <w:pPr>
        <w:spacing w:line="233" w:lineRule="auto"/>
        <w:jc w:val="both"/>
        <w:rPr>
          <w:rFonts w:cs="Times New Roman"/>
          <w:sz w:val="20"/>
          <w:szCs w:val="20"/>
          <w:lang w:val="fr-FR"/>
        </w:rPr>
      </w:pPr>
      <w:r w:rsidRPr="003501C4">
        <w:rPr>
          <w:rFonts w:cs="Times New Roman"/>
          <w:sz w:val="20"/>
          <w:szCs w:val="20"/>
          <w:lang w:val="fr-FR"/>
        </w:rPr>
        <w:t>Les intervenants n'ont pas le droit de soulever de nouvelles questions, de produire d'autres éléments de preuve ni de compléter de quelque autre façon le dossier des parties.</w:t>
      </w:r>
    </w:p>
    <w:p w:rsidR="003501C4" w:rsidRPr="003501C4" w:rsidRDefault="003501C4" w:rsidP="003501C4">
      <w:pPr>
        <w:spacing w:line="233" w:lineRule="auto"/>
        <w:jc w:val="both"/>
        <w:rPr>
          <w:rFonts w:cs="Times New Roman"/>
          <w:sz w:val="20"/>
          <w:szCs w:val="20"/>
          <w:lang w:val="fr-FR"/>
        </w:rPr>
      </w:pPr>
    </w:p>
    <w:p w:rsidR="003501C4" w:rsidRPr="003501C4" w:rsidRDefault="003501C4" w:rsidP="003501C4">
      <w:pPr>
        <w:spacing w:line="233" w:lineRule="auto"/>
        <w:jc w:val="both"/>
        <w:rPr>
          <w:rFonts w:cs="Times New Roman"/>
          <w:sz w:val="20"/>
          <w:szCs w:val="20"/>
          <w:lang w:val="fr-FR"/>
        </w:rPr>
      </w:pPr>
      <w:r w:rsidRPr="003501C4">
        <w:rPr>
          <w:rFonts w:cs="Times New Roman"/>
          <w:sz w:val="20"/>
          <w:szCs w:val="20"/>
          <w:lang w:val="fr-FR"/>
        </w:rPr>
        <w:t>Conformément à l'alinéa 59(1)</w:t>
      </w:r>
      <w:r w:rsidRPr="003501C4">
        <w:rPr>
          <w:rFonts w:cs="Times New Roman"/>
          <w:i/>
          <w:sz w:val="20"/>
          <w:szCs w:val="20"/>
          <w:lang w:val="fr-FR"/>
        </w:rPr>
        <w:t>a</w:t>
      </w:r>
      <w:r w:rsidRPr="003501C4">
        <w:rPr>
          <w:rFonts w:cs="Times New Roman"/>
          <w:sz w:val="20"/>
          <w:szCs w:val="20"/>
          <w:lang w:val="fr-FR"/>
        </w:rPr>
        <w:t xml:space="preserve">) des </w:t>
      </w:r>
      <w:r w:rsidRPr="003501C4">
        <w:rPr>
          <w:rFonts w:cs="Times New Roman"/>
          <w:i/>
          <w:sz w:val="20"/>
          <w:szCs w:val="20"/>
          <w:lang w:val="fr-FR"/>
        </w:rPr>
        <w:t>Règles de la Cour suprême du Canada</w:t>
      </w:r>
      <w:r w:rsidRPr="003501C4">
        <w:rPr>
          <w:rFonts w:cs="Times New Roman"/>
          <w:sz w:val="20"/>
          <w:szCs w:val="20"/>
          <w:lang w:val="fr-FR"/>
        </w:rPr>
        <w:t>, les intervenants paieront aux appelants et à l'intimé tous débours supplémentaires résultant de leur intervention.</w:t>
      </w:r>
    </w:p>
    <w:p w:rsidR="003501C4" w:rsidRPr="003501C4" w:rsidRDefault="003501C4" w:rsidP="003501C4">
      <w:pPr>
        <w:spacing w:line="233" w:lineRule="auto"/>
        <w:jc w:val="both"/>
        <w:rPr>
          <w:rFonts w:cs="Times New Roman"/>
          <w:sz w:val="20"/>
          <w:szCs w:val="20"/>
          <w:lang w:val="fr-FR"/>
        </w:rPr>
      </w:pPr>
    </w:p>
    <w:p w:rsidR="003501C4" w:rsidRPr="003501C4" w:rsidRDefault="003501C4" w:rsidP="003501C4">
      <w:pPr>
        <w:jc w:val="both"/>
        <w:rPr>
          <w:rFonts w:cs="Times New Roman"/>
          <w:b/>
          <w:sz w:val="20"/>
          <w:szCs w:val="20"/>
          <w:lang w:val="fr-FR"/>
        </w:rPr>
      </w:pPr>
      <w:r w:rsidRPr="003501C4">
        <w:rPr>
          <w:rFonts w:cs="Times New Roman"/>
          <w:b/>
          <w:sz w:val="20"/>
          <w:szCs w:val="20"/>
          <w:lang w:val="fr-FR"/>
        </w:rPr>
        <w:t>IL EST EN OUTRE ORDONNÉ QUE :</w:t>
      </w:r>
    </w:p>
    <w:p w:rsidR="003501C4" w:rsidRPr="003501C4" w:rsidRDefault="003501C4" w:rsidP="003501C4">
      <w:pPr>
        <w:jc w:val="both"/>
        <w:rPr>
          <w:rFonts w:cs="Times New Roman"/>
          <w:sz w:val="20"/>
          <w:szCs w:val="20"/>
          <w:lang w:val="fr-FR"/>
        </w:rPr>
      </w:pPr>
    </w:p>
    <w:p w:rsidR="003501C4" w:rsidRPr="003501C4" w:rsidRDefault="003501C4" w:rsidP="003501C4">
      <w:pPr>
        <w:spacing w:line="233" w:lineRule="auto"/>
        <w:jc w:val="both"/>
        <w:rPr>
          <w:rFonts w:cs="Times New Roman"/>
          <w:sz w:val="20"/>
          <w:szCs w:val="20"/>
          <w:lang w:val="fr-FR"/>
        </w:rPr>
      </w:pPr>
      <w:r w:rsidRPr="003501C4">
        <w:rPr>
          <w:rFonts w:cs="Times New Roman"/>
          <w:sz w:val="20"/>
          <w:szCs w:val="20"/>
          <w:lang w:val="fr-FR"/>
        </w:rPr>
        <w:t>Les appelants ne sont pas autorisés à déposer un mémoire en réplique mais, ils conservent le droit de présenter une nouvelle demande pour ce faire après le dépôt des mémoires des intervenants.</w:t>
      </w:r>
    </w:p>
    <w:p w:rsidR="003501C4" w:rsidRPr="003501C4" w:rsidRDefault="003501C4" w:rsidP="003501C4">
      <w:pPr>
        <w:tabs>
          <w:tab w:val="left" w:pos="-1440"/>
          <w:tab w:val="left" w:pos="-720"/>
        </w:tabs>
        <w:jc w:val="both"/>
        <w:rPr>
          <w:sz w:val="20"/>
          <w:szCs w:val="20"/>
          <w:lang w:val="fr-CA"/>
        </w:rPr>
      </w:pPr>
    </w:p>
    <w:p w:rsidR="003501C4" w:rsidRPr="003501C4" w:rsidRDefault="00ED3438" w:rsidP="003501C4">
      <w:pPr>
        <w:tabs>
          <w:tab w:val="left" w:pos="-1440"/>
          <w:tab w:val="left" w:pos="-720"/>
        </w:tabs>
        <w:jc w:val="both"/>
        <w:rPr>
          <w:sz w:val="20"/>
          <w:szCs w:val="20"/>
          <w:lang w:val="fr-CA"/>
        </w:rPr>
      </w:pPr>
      <w:r w:rsidRPr="00ED3438">
        <w:rPr>
          <w:sz w:val="20"/>
          <w:szCs w:val="20"/>
          <w:lang w:val="fr-CA"/>
        </w:rPr>
        <w:pict>
          <v:rect id="_x0000_i1069" style="width:2in;height:1pt" o:hrpct="0" o:hralign="center" o:hrstd="t" o:hrnoshade="t" o:hr="t" fillcolor="black [3213]" stroked="f"/>
        </w:pict>
      </w:r>
    </w:p>
    <w:p w:rsidR="003501C4" w:rsidRPr="003501C4" w:rsidRDefault="003501C4" w:rsidP="003501C4">
      <w:pPr>
        <w:tabs>
          <w:tab w:val="left" w:pos="-1440"/>
          <w:tab w:val="left" w:pos="-720"/>
        </w:tabs>
        <w:jc w:val="both"/>
        <w:rPr>
          <w:sz w:val="20"/>
          <w:szCs w:val="20"/>
          <w:lang w:val="fr-CA"/>
        </w:rPr>
      </w:pPr>
    </w:p>
    <w:p w:rsidR="003501C4" w:rsidRPr="003501C4" w:rsidRDefault="003501C4" w:rsidP="003501C4">
      <w:pPr>
        <w:rPr>
          <w:sz w:val="20"/>
          <w:szCs w:val="20"/>
        </w:rPr>
      </w:pPr>
      <w:r w:rsidRPr="003501C4">
        <w:rPr>
          <w:sz w:val="20"/>
          <w:szCs w:val="20"/>
        </w:rPr>
        <w:br w:type="page"/>
      </w:r>
    </w:p>
    <w:p w:rsidR="003501C4" w:rsidRPr="003501C4" w:rsidRDefault="003501C4" w:rsidP="003501C4">
      <w:pPr>
        <w:tabs>
          <w:tab w:val="left" w:pos="-1440"/>
          <w:tab w:val="left" w:pos="-720"/>
        </w:tabs>
        <w:jc w:val="both"/>
        <w:rPr>
          <w:sz w:val="20"/>
          <w:szCs w:val="20"/>
        </w:rPr>
      </w:pPr>
      <w:r w:rsidRPr="003501C4">
        <w:rPr>
          <w:sz w:val="20"/>
          <w:szCs w:val="20"/>
        </w:rPr>
        <w:t>01.06.2012</w:t>
      </w:r>
    </w:p>
    <w:p w:rsidR="003501C4" w:rsidRPr="003501C4" w:rsidRDefault="003501C4" w:rsidP="003501C4">
      <w:pPr>
        <w:tabs>
          <w:tab w:val="left" w:pos="-1440"/>
          <w:tab w:val="left" w:pos="-720"/>
        </w:tabs>
        <w:jc w:val="both"/>
        <w:rPr>
          <w:sz w:val="20"/>
          <w:szCs w:val="20"/>
        </w:rPr>
      </w:pPr>
    </w:p>
    <w:p w:rsidR="003501C4" w:rsidRPr="003501C4" w:rsidRDefault="003501C4" w:rsidP="003501C4">
      <w:pPr>
        <w:tabs>
          <w:tab w:val="left" w:pos="-1440"/>
          <w:tab w:val="left" w:pos="-720"/>
        </w:tabs>
        <w:jc w:val="both"/>
        <w:rPr>
          <w:sz w:val="20"/>
          <w:szCs w:val="20"/>
          <w:lang w:val="fr-CA"/>
        </w:rPr>
      </w:pPr>
      <w:proofErr w:type="spellStart"/>
      <w:r w:rsidRPr="003501C4">
        <w:rPr>
          <w:sz w:val="20"/>
          <w:szCs w:val="20"/>
          <w:lang w:val="fr-CA"/>
        </w:rPr>
        <w:t>Before</w:t>
      </w:r>
      <w:proofErr w:type="spellEnd"/>
      <w:r w:rsidRPr="003501C4">
        <w:rPr>
          <w:sz w:val="20"/>
          <w:szCs w:val="20"/>
          <w:lang w:val="fr-CA"/>
        </w:rPr>
        <w:t xml:space="preserve"> / Devant :   CROMWELL J. / LE JUGE CROMWELL</w:t>
      </w:r>
    </w:p>
    <w:p w:rsidR="003501C4" w:rsidRPr="003501C4" w:rsidRDefault="003501C4" w:rsidP="003501C4">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501C4" w:rsidRPr="00017BF4" w:rsidTr="00B60060">
        <w:tc>
          <w:tcPr>
            <w:tcW w:w="4338" w:type="dxa"/>
          </w:tcPr>
          <w:p w:rsidR="003501C4" w:rsidRPr="003501C4" w:rsidRDefault="00ED3438" w:rsidP="00235E94">
            <w:pPr>
              <w:tabs>
                <w:tab w:val="left" w:pos="-1440"/>
                <w:tab w:val="left" w:pos="-720"/>
              </w:tabs>
              <w:jc w:val="both"/>
              <w:rPr>
                <w:b/>
                <w:sz w:val="20"/>
                <w:szCs w:val="20"/>
              </w:rPr>
            </w:pPr>
            <w:r w:rsidRPr="003501C4">
              <w:rPr>
                <w:sz w:val="20"/>
                <w:szCs w:val="20"/>
              </w:rPr>
              <w:fldChar w:fldCharType="begin"/>
            </w:r>
            <w:r w:rsidR="003501C4" w:rsidRPr="003501C4">
              <w:rPr>
                <w:sz w:val="20"/>
                <w:szCs w:val="20"/>
              </w:rPr>
              <w:instrText xml:space="preserve"> SEQ CHAPTER \h \r 1</w:instrText>
            </w:r>
            <w:r w:rsidRPr="003501C4">
              <w:rPr>
                <w:sz w:val="20"/>
                <w:szCs w:val="20"/>
              </w:rPr>
              <w:fldChar w:fldCharType="end"/>
            </w:r>
            <w:r w:rsidRPr="003501C4">
              <w:rPr>
                <w:sz w:val="20"/>
                <w:szCs w:val="20"/>
              </w:rPr>
              <w:fldChar w:fldCharType="begin"/>
            </w:r>
            <w:r w:rsidR="003501C4" w:rsidRPr="003501C4">
              <w:rPr>
                <w:sz w:val="20"/>
                <w:szCs w:val="20"/>
              </w:rPr>
              <w:instrText xml:space="preserve"> SEQ CHAPTER \h \r 1</w:instrText>
            </w:r>
            <w:r w:rsidRPr="003501C4">
              <w:rPr>
                <w:sz w:val="20"/>
                <w:szCs w:val="20"/>
              </w:rPr>
              <w:fldChar w:fldCharType="end"/>
            </w:r>
            <w:r w:rsidR="003501C4" w:rsidRPr="003501C4">
              <w:rPr>
                <w:b/>
                <w:bCs/>
                <w:sz w:val="20"/>
                <w:szCs w:val="20"/>
              </w:rPr>
              <w:t>Motion</w:t>
            </w:r>
            <w:r w:rsidR="009D21FC">
              <w:rPr>
                <w:b/>
                <w:bCs/>
                <w:sz w:val="20"/>
                <w:szCs w:val="20"/>
              </w:rPr>
              <w:t>s</w:t>
            </w:r>
            <w:r w:rsidR="003501C4" w:rsidRPr="003501C4">
              <w:rPr>
                <w:b/>
                <w:bCs/>
                <w:sz w:val="20"/>
                <w:szCs w:val="20"/>
              </w:rPr>
              <w:t xml:space="preserve"> for a stay of </w:t>
            </w:r>
            <w:r w:rsidR="00235E94">
              <w:rPr>
                <w:b/>
                <w:bCs/>
                <w:sz w:val="20"/>
                <w:szCs w:val="20"/>
              </w:rPr>
              <w:t>proce</w:t>
            </w:r>
            <w:r w:rsidR="003501C4" w:rsidRPr="003501C4">
              <w:rPr>
                <w:b/>
                <w:bCs/>
                <w:sz w:val="20"/>
                <w:szCs w:val="20"/>
              </w:rPr>
              <w:t>e</w:t>
            </w:r>
            <w:r w:rsidR="00235E94">
              <w:rPr>
                <w:b/>
                <w:bCs/>
                <w:sz w:val="20"/>
                <w:szCs w:val="20"/>
              </w:rPr>
              <w:t>dings and to expedite the application for leave</w:t>
            </w:r>
            <w:r w:rsidR="003051D0">
              <w:rPr>
                <w:b/>
                <w:bCs/>
                <w:sz w:val="20"/>
                <w:szCs w:val="20"/>
              </w:rPr>
              <w:t xml:space="preserve"> to appeal</w:t>
            </w:r>
          </w:p>
        </w:tc>
        <w:tc>
          <w:tcPr>
            <w:tcW w:w="1170" w:type="dxa"/>
          </w:tcPr>
          <w:p w:rsidR="003501C4" w:rsidRDefault="003501C4" w:rsidP="00B60060">
            <w:pPr>
              <w:tabs>
                <w:tab w:val="left" w:pos="-1440"/>
                <w:tab w:val="left" w:pos="-720"/>
              </w:tabs>
              <w:jc w:val="both"/>
              <w:rPr>
                <w:sz w:val="20"/>
                <w:szCs w:val="20"/>
              </w:rPr>
            </w:pPr>
          </w:p>
          <w:p w:rsidR="00235E94" w:rsidRDefault="00235E94" w:rsidP="00B60060">
            <w:pPr>
              <w:tabs>
                <w:tab w:val="left" w:pos="-1440"/>
                <w:tab w:val="left" w:pos="-720"/>
              </w:tabs>
              <w:jc w:val="both"/>
              <w:rPr>
                <w:sz w:val="20"/>
                <w:szCs w:val="20"/>
              </w:rPr>
            </w:pPr>
          </w:p>
          <w:p w:rsidR="009D21FC" w:rsidRPr="003501C4" w:rsidRDefault="009D21FC" w:rsidP="00B60060">
            <w:pPr>
              <w:tabs>
                <w:tab w:val="left" w:pos="-1440"/>
                <w:tab w:val="left" w:pos="-720"/>
              </w:tabs>
              <w:jc w:val="both"/>
              <w:rPr>
                <w:sz w:val="20"/>
                <w:szCs w:val="20"/>
              </w:rPr>
            </w:pPr>
          </w:p>
          <w:p w:rsidR="003501C4" w:rsidRPr="003501C4" w:rsidRDefault="003501C4" w:rsidP="00B60060">
            <w:pPr>
              <w:tabs>
                <w:tab w:val="left" w:pos="-1440"/>
                <w:tab w:val="left" w:pos="-720"/>
              </w:tabs>
              <w:jc w:val="both"/>
              <w:rPr>
                <w:sz w:val="20"/>
                <w:szCs w:val="20"/>
              </w:rPr>
            </w:pPr>
          </w:p>
        </w:tc>
        <w:tc>
          <w:tcPr>
            <w:tcW w:w="4327" w:type="dxa"/>
          </w:tcPr>
          <w:p w:rsidR="003501C4" w:rsidRPr="003501C4" w:rsidRDefault="00ED3438" w:rsidP="009D21FC">
            <w:pPr>
              <w:tabs>
                <w:tab w:val="left" w:pos="-1440"/>
                <w:tab w:val="left" w:pos="-720"/>
              </w:tabs>
              <w:jc w:val="both"/>
              <w:rPr>
                <w:sz w:val="20"/>
                <w:szCs w:val="20"/>
                <w:lang w:val="fr-CA"/>
              </w:rPr>
            </w:pPr>
            <w:r w:rsidRPr="003501C4">
              <w:rPr>
                <w:sz w:val="20"/>
                <w:szCs w:val="20"/>
              </w:rPr>
              <w:fldChar w:fldCharType="begin"/>
            </w:r>
            <w:r w:rsidR="003501C4" w:rsidRPr="003501C4">
              <w:rPr>
                <w:sz w:val="20"/>
                <w:szCs w:val="20"/>
                <w:lang w:val="fr-CA"/>
              </w:rPr>
              <w:instrText xml:space="preserve"> SEQ CHAPTER \h \r 1</w:instrText>
            </w:r>
            <w:r w:rsidRPr="003501C4">
              <w:rPr>
                <w:sz w:val="20"/>
                <w:szCs w:val="20"/>
              </w:rPr>
              <w:fldChar w:fldCharType="end"/>
            </w:r>
            <w:r w:rsidRPr="003501C4">
              <w:rPr>
                <w:sz w:val="20"/>
                <w:szCs w:val="20"/>
              </w:rPr>
              <w:fldChar w:fldCharType="begin"/>
            </w:r>
            <w:r w:rsidR="003501C4" w:rsidRPr="003501C4">
              <w:rPr>
                <w:sz w:val="20"/>
                <w:szCs w:val="20"/>
                <w:lang w:val="fr-CA"/>
              </w:rPr>
              <w:instrText xml:space="preserve"> SEQ CHAPTER \h \r 1</w:instrText>
            </w:r>
            <w:r w:rsidRPr="003501C4">
              <w:rPr>
                <w:sz w:val="20"/>
                <w:szCs w:val="20"/>
              </w:rPr>
              <w:fldChar w:fldCharType="end"/>
            </w:r>
            <w:r w:rsidR="003501C4" w:rsidRPr="003501C4">
              <w:rPr>
                <w:b/>
                <w:bCs/>
                <w:sz w:val="20"/>
                <w:szCs w:val="20"/>
                <w:lang w:val="fr-CA"/>
              </w:rPr>
              <w:t>Requête</w:t>
            </w:r>
            <w:r w:rsidR="009D21FC">
              <w:rPr>
                <w:b/>
                <w:bCs/>
                <w:sz w:val="20"/>
                <w:szCs w:val="20"/>
                <w:lang w:val="fr-CA"/>
              </w:rPr>
              <w:t>s</w:t>
            </w:r>
            <w:r w:rsidR="003501C4" w:rsidRPr="003501C4">
              <w:rPr>
                <w:b/>
                <w:bCs/>
                <w:sz w:val="20"/>
                <w:szCs w:val="20"/>
                <w:lang w:val="fr-CA"/>
              </w:rPr>
              <w:t xml:space="preserve"> </w:t>
            </w:r>
            <w:r w:rsidR="009D21FC">
              <w:rPr>
                <w:b/>
                <w:bCs/>
                <w:sz w:val="20"/>
                <w:szCs w:val="20"/>
                <w:lang w:val="fr-CA"/>
              </w:rPr>
              <w:t>sollicitant la</w:t>
            </w:r>
            <w:r w:rsidR="003501C4" w:rsidRPr="003501C4">
              <w:rPr>
                <w:b/>
                <w:bCs/>
                <w:sz w:val="20"/>
                <w:szCs w:val="20"/>
                <w:lang w:val="fr-CA"/>
              </w:rPr>
              <w:t xml:space="preserve"> </w:t>
            </w:r>
            <w:r w:rsidR="00235E94">
              <w:rPr>
                <w:b/>
                <w:bCs/>
                <w:sz w:val="20"/>
                <w:szCs w:val="20"/>
                <w:lang w:val="fr-CA"/>
              </w:rPr>
              <w:t>suspension de</w:t>
            </w:r>
            <w:r w:rsidR="009D21FC">
              <w:rPr>
                <w:b/>
                <w:bCs/>
                <w:sz w:val="20"/>
                <w:szCs w:val="20"/>
                <w:lang w:val="fr-CA"/>
              </w:rPr>
              <w:t>s procédures</w:t>
            </w:r>
            <w:r w:rsidR="00235E94">
              <w:rPr>
                <w:b/>
                <w:bCs/>
                <w:sz w:val="20"/>
                <w:szCs w:val="20"/>
                <w:lang w:val="fr-CA"/>
              </w:rPr>
              <w:t xml:space="preserve"> </w:t>
            </w:r>
            <w:r w:rsidR="009D21FC">
              <w:rPr>
                <w:b/>
                <w:bCs/>
                <w:sz w:val="20"/>
                <w:szCs w:val="20"/>
                <w:lang w:val="fr-CA"/>
              </w:rPr>
              <w:t>et le traitement</w:t>
            </w:r>
            <w:r w:rsidR="00235E94">
              <w:rPr>
                <w:b/>
                <w:bCs/>
                <w:sz w:val="20"/>
                <w:szCs w:val="20"/>
                <w:lang w:val="fr-CA"/>
              </w:rPr>
              <w:t xml:space="preserve"> accélér</w:t>
            </w:r>
            <w:r w:rsidR="009D21FC">
              <w:rPr>
                <w:b/>
                <w:bCs/>
                <w:sz w:val="20"/>
                <w:szCs w:val="20"/>
                <w:lang w:val="fr-CA"/>
              </w:rPr>
              <w:t>é</w:t>
            </w:r>
            <w:r w:rsidR="00235E94">
              <w:rPr>
                <w:b/>
                <w:bCs/>
                <w:sz w:val="20"/>
                <w:szCs w:val="20"/>
                <w:lang w:val="fr-CA"/>
              </w:rPr>
              <w:t xml:space="preserve"> </w:t>
            </w:r>
            <w:r w:rsidR="009D21FC">
              <w:rPr>
                <w:b/>
                <w:bCs/>
                <w:sz w:val="20"/>
                <w:szCs w:val="20"/>
                <w:lang w:val="fr-CA"/>
              </w:rPr>
              <w:t xml:space="preserve">de </w:t>
            </w:r>
            <w:r w:rsidR="00235E94">
              <w:rPr>
                <w:b/>
                <w:bCs/>
                <w:sz w:val="20"/>
                <w:szCs w:val="20"/>
                <w:lang w:val="fr-CA"/>
              </w:rPr>
              <w:t>la demande d’autorisation</w:t>
            </w:r>
            <w:r w:rsidR="009D21FC">
              <w:rPr>
                <w:b/>
                <w:bCs/>
                <w:sz w:val="20"/>
                <w:szCs w:val="20"/>
                <w:lang w:val="fr-CA"/>
              </w:rPr>
              <w:t xml:space="preserve"> d’appel</w:t>
            </w:r>
          </w:p>
        </w:tc>
      </w:tr>
      <w:tr w:rsidR="003501C4" w:rsidRPr="003501C4" w:rsidTr="00B60060">
        <w:tc>
          <w:tcPr>
            <w:tcW w:w="4338" w:type="dxa"/>
          </w:tcPr>
          <w:p w:rsidR="003501C4" w:rsidRPr="003501C4" w:rsidRDefault="003501C4" w:rsidP="00B60060">
            <w:pPr>
              <w:tabs>
                <w:tab w:val="left" w:pos="-1440"/>
                <w:tab w:val="left" w:pos="-720"/>
              </w:tabs>
              <w:jc w:val="both"/>
              <w:rPr>
                <w:sz w:val="20"/>
                <w:szCs w:val="20"/>
              </w:rPr>
            </w:pPr>
            <w:r w:rsidRPr="003501C4">
              <w:rPr>
                <w:sz w:val="20"/>
                <w:szCs w:val="20"/>
              </w:rPr>
              <w:t>T.G.</w:t>
            </w:r>
          </w:p>
          <w:p w:rsidR="003501C4" w:rsidRPr="003501C4" w:rsidRDefault="003501C4" w:rsidP="00B60060">
            <w:pPr>
              <w:tabs>
                <w:tab w:val="left" w:pos="-1440"/>
                <w:tab w:val="left" w:pos="-720"/>
              </w:tabs>
              <w:jc w:val="both"/>
              <w:rPr>
                <w:sz w:val="20"/>
                <w:szCs w:val="20"/>
              </w:rPr>
            </w:pPr>
          </w:p>
          <w:p w:rsidR="003501C4" w:rsidRPr="003501C4" w:rsidRDefault="003501C4" w:rsidP="00B60060">
            <w:pPr>
              <w:tabs>
                <w:tab w:val="left" w:pos="-1440"/>
                <w:tab w:val="left" w:pos="-720"/>
              </w:tabs>
              <w:jc w:val="both"/>
              <w:rPr>
                <w:sz w:val="20"/>
                <w:szCs w:val="20"/>
              </w:rPr>
            </w:pPr>
            <w:r w:rsidRPr="003501C4">
              <w:rPr>
                <w:sz w:val="20"/>
                <w:szCs w:val="20"/>
              </w:rPr>
              <w:tab/>
              <w:t>v. (34842)</w:t>
            </w:r>
          </w:p>
          <w:p w:rsidR="003501C4" w:rsidRPr="003501C4" w:rsidRDefault="003501C4" w:rsidP="00B60060">
            <w:pPr>
              <w:tabs>
                <w:tab w:val="left" w:pos="-1440"/>
                <w:tab w:val="left" w:pos="-720"/>
              </w:tabs>
              <w:jc w:val="both"/>
              <w:rPr>
                <w:sz w:val="20"/>
                <w:szCs w:val="20"/>
              </w:rPr>
            </w:pPr>
          </w:p>
          <w:p w:rsidR="003501C4" w:rsidRPr="003501C4" w:rsidRDefault="003501C4" w:rsidP="00B60060">
            <w:pPr>
              <w:tabs>
                <w:tab w:val="left" w:pos="-1440"/>
                <w:tab w:val="left" w:pos="-720"/>
              </w:tabs>
              <w:jc w:val="both"/>
              <w:rPr>
                <w:sz w:val="20"/>
                <w:szCs w:val="20"/>
              </w:rPr>
            </w:pPr>
            <w:r w:rsidRPr="003501C4">
              <w:rPr>
                <w:sz w:val="20"/>
                <w:szCs w:val="20"/>
              </w:rPr>
              <w:t>Minister of Community Services et al. (N.S.)</w:t>
            </w:r>
          </w:p>
        </w:tc>
        <w:tc>
          <w:tcPr>
            <w:tcW w:w="1170" w:type="dxa"/>
          </w:tcPr>
          <w:p w:rsidR="003501C4" w:rsidRPr="003501C4" w:rsidRDefault="003501C4" w:rsidP="00B60060">
            <w:pPr>
              <w:tabs>
                <w:tab w:val="left" w:pos="-1440"/>
                <w:tab w:val="left" w:pos="-720"/>
              </w:tabs>
              <w:jc w:val="both"/>
              <w:rPr>
                <w:sz w:val="20"/>
                <w:szCs w:val="20"/>
              </w:rPr>
            </w:pPr>
          </w:p>
        </w:tc>
        <w:tc>
          <w:tcPr>
            <w:tcW w:w="4327" w:type="dxa"/>
          </w:tcPr>
          <w:p w:rsidR="003501C4" w:rsidRPr="003501C4" w:rsidRDefault="003501C4" w:rsidP="00B60060">
            <w:pPr>
              <w:tabs>
                <w:tab w:val="left" w:pos="-1440"/>
                <w:tab w:val="left" w:pos="-720"/>
              </w:tabs>
              <w:jc w:val="both"/>
              <w:rPr>
                <w:sz w:val="20"/>
                <w:szCs w:val="20"/>
              </w:rPr>
            </w:pPr>
          </w:p>
        </w:tc>
      </w:tr>
    </w:tbl>
    <w:p w:rsidR="003501C4" w:rsidRPr="003501C4" w:rsidRDefault="003501C4" w:rsidP="003501C4">
      <w:pPr>
        <w:tabs>
          <w:tab w:val="left" w:pos="-1440"/>
          <w:tab w:val="left" w:pos="-720"/>
        </w:tabs>
        <w:jc w:val="both"/>
        <w:rPr>
          <w:sz w:val="20"/>
          <w:szCs w:val="20"/>
        </w:rPr>
      </w:pPr>
    </w:p>
    <w:p w:rsidR="003501C4" w:rsidRPr="00C020D0" w:rsidRDefault="003501C4" w:rsidP="003501C4">
      <w:pPr>
        <w:tabs>
          <w:tab w:val="left" w:pos="-1440"/>
          <w:tab w:val="left" w:pos="-720"/>
        </w:tabs>
        <w:jc w:val="both"/>
        <w:rPr>
          <w:b/>
          <w:sz w:val="20"/>
          <w:szCs w:val="20"/>
          <w:lang w:val="fr-CA"/>
        </w:rPr>
      </w:pPr>
      <w:r w:rsidRPr="00C020D0">
        <w:rPr>
          <w:b/>
          <w:sz w:val="20"/>
          <w:szCs w:val="20"/>
          <w:lang w:val="fr-CA"/>
        </w:rPr>
        <w:t xml:space="preserve">GRANTED </w:t>
      </w:r>
      <w:r w:rsidR="00C020D0" w:rsidRPr="00C020D0">
        <w:rPr>
          <w:b/>
          <w:sz w:val="20"/>
          <w:szCs w:val="20"/>
          <w:lang w:val="fr-CA"/>
        </w:rPr>
        <w:t xml:space="preserve">IN PART </w:t>
      </w:r>
      <w:r w:rsidRPr="00C020D0">
        <w:rPr>
          <w:b/>
          <w:sz w:val="20"/>
          <w:szCs w:val="20"/>
          <w:lang w:val="fr-CA"/>
        </w:rPr>
        <w:t>/ ACCORDÉE</w:t>
      </w:r>
      <w:r w:rsidR="00C020D0" w:rsidRPr="00C020D0">
        <w:rPr>
          <w:b/>
          <w:sz w:val="20"/>
          <w:szCs w:val="20"/>
          <w:lang w:val="fr-CA"/>
        </w:rPr>
        <w:t xml:space="preserve"> EN PARTIE</w:t>
      </w:r>
    </w:p>
    <w:p w:rsidR="003501C4" w:rsidRPr="00C020D0" w:rsidRDefault="003501C4" w:rsidP="003501C4">
      <w:pPr>
        <w:tabs>
          <w:tab w:val="left" w:pos="-1440"/>
          <w:tab w:val="left" w:pos="-720"/>
        </w:tabs>
        <w:jc w:val="both"/>
        <w:rPr>
          <w:sz w:val="20"/>
          <w:szCs w:val="20"/>
          <w:lang w:val="fr-CA"/>
        </w:rPr>
      </w:pPr>
    </w:p>
    <w:p w:rsidR="003501C4" w:rsidRPr="003501C4" w:rsidRDefault="003501C4" w:rsidP="00350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3"/>
        <w:jc w:val="both"/>
        <w:rPr>
          <w:sz w:val="20"/>
          <w:szCs w:val="20"/>
        </w:rPr>
      </w:pPr>
      <w:r w:rsidRPr="003501C4">
        <w:rPr>
          <w:b/>
          <w:bCs/>
          <w:sz w:val="20"/>
          <w:szCs w:val="20"/>
        </w:rPr>
        <w:t>UPON APPLICATION</w:t>
      </w:r>
      <w:r w:rsidRPr="003501C4">
        <w:rPr>
          <w:sz w:val="20"/>
          <w:szCs w:val="20"/>
        </w:rPr>
        <w:t xml:space="preserve"> by the applicant for an order for stay of proceedings and to expedite the application for leave to appeal;</w:t>
      </w:r>
    </w:p>
    <w:p w:rsidR="003501C4" w:rsidRPr="003501C4" w:rsidRDefault="003501C4" w:rsidP="00350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3"/>
        <w:jc w:val="both"/>
        <w:rPr>
          <w:b/>
          <w:sz w:val="20"/>
          <w:szCs w:val="20"/>
        </w:rPr>
      </w:pPr>
    </w:p>
    <w:p w:rsidR="003501C4" w:rsidRPr="003501C4" w:rsidRDefault="003501C4" w:rsidP="00350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3"/>
        <w:jc w:val="both"/>
        <w:rPr>
          <w:sz w:val="20"/>
          <w:szCs w:val="20"/>
        </w:rPr>
      </w:pPr>
      <w:r w:rsidRPr="003501C4">
        <w:rPr>
          <w:b/>
          <w:sz w:val="20"/>
          <w:szCs w:val="20"/>
        </w:rPr>
        <w:t>AND THE MATERIAL FILED</w:t>
      </w:r>
      <w:r w:rsidRPr="003501C4">
        <w:rPr>
          <w:sz w:val="20"/>
          <w:szCs w:val="20"/>
        </w:rPr>
        <w:t xml:space="preserve"> having been read;</w:t>
      </w:r>
    </w:p>
    <w:p w:rsidR="003501C4" w:rsidRPr="003501C4" w:rsidRDefault="003501C4" w:rsidP="00350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3"/>
        <w:jc w:val="both"/>
        <w:rPr>
          <w:sz w:val="20"/>
          <w:szCs w:val="20"/>
        </w:rPr>
      </w:pPr>
    </w:p>
    <w:p w:rsidR="003501C4" w:rsidRPr="003501C4" w:rsidRDefault="003501C4" w:rsidP="00350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3"/>
        <w:jc w:val="both"/>
        <w:rPr>
          <w:b/>
          <w:bCs/>
          <w:sz w:val="20"/>
          <w:szCs w:val="20"/>
        </w:rPr>
      </w:pPr>
      <w:r w:rsidRPr="003501C4">
        <w:rPr>
          <w:b/>
          <w:bCs/>
          <w:sz w:val="20"/>
          <w:szCs w:val="20"/>
        </w:rPr>
        <w:t>IT IS HEREBY ORDERED THAT:</w:t>
      </w:r>
    </w:p>
    <w:p w:rsidR="003501C4" w:rsidRPr="003501C4" w:rsidRDefault="003501C4" w:rsidP="00350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3"/>
        <w:jc w:val="both"/>
        <w:rPr>
          <w:b/>
          <w:bCs/>
          <w:sz w:val="20"/>
          <w:szCs w:val="20"/>
        </w:rPr>
      </w:pPr>
    </w:p>
    <w:p w:rsidR="003501C4" w:rsidRPr="003501C4" w:rsidRDefault="003501C4" w:rsidP="003501C4">
      <w:pPr>
        <w:widowControl w:val="0"/>
        <w:numPr>
          <w:ilvl w:val="0"/>
          <w:numId w:val="2"/>
        </w:numPr>
        <w:autoSpaceDE w:val="0"/>
        <w:autoSpaceDN w:val="0"/>
        <w:adjustRightInd w:val="0"/>
        <w:ind w:right="-23"/>
        <w:jc w:val="both"/>
        <w:rPr>
          <w:rFonts w:cs="Shruti"/>
          <w:sz w:val="20"/>
          <w:szCs w:val="20"/>
        </w:rPr>
      </w:pPr>
      <w:r w:rsidRPr="003501C4">
        <w:rPr>
          <w:sz w:val="20"/>
          <w:szCs w:val="20"/>
        </w:rPr>
        <w:t xml:space="preserve">The motion for a stay of proceedings should be made to the Court of Appeal or a judge thereof. </w:t>
      </w:r>
    </w:p>
    <w:p w:rsidR="003501C4" w:rsidRPr="003501C4" w:rsidRDefault="003501C4" w:rsidP="003501C4">
      <w:pPr>
        <w:ind w:left="720" w:right="-23"/>
        <w:jc w:val="both"/>
        <w:rPr>
          <w:rFonts w:cs="Shruti"/>
          <w:sz w:val="20"/>
          <w:szCs w:val="20"/>
        </w:rPr>
      </w:pPr>
    </w:p>
    <w:p w:rsidR="003501C4" w:rsidRPr="003501C4" w:rsidRDefault="003501C4" w:rsidP="003501C4">
      <w:pPr>
        <w:widowControl w:val="0"/>
        <w:numPr>
          <w:ilvl w:val="0"/>
          <w:numId w:val="2"/>
        </w:numPr>
        <w:autoSpaceDE w:val="0"/>
        <w:autoSpaceDN w:val="0"/>
        <w:adjustRightInd w:val="0"/>
        <w:ind w:right="-23"/>
        <w:jc w:val="both"/>
        <w:rPr>
          <w:sz w:val="20"/>
          <w:szCs w:val="20"/>
        </w:rPr>
      </w:pPr>
      <w:r w:rsidRPr="003501C4">
        <w:rPr>
          <w:sz w:val="20"/>
          <w:szCs w:val="20"/>
        </w:rPr>
        <w:t>The request to expedite the application for leave to appeal is granted.  The respondents will have until June 11, 2012, to serve and file their responses to the application for leave to appeal and the applicant will have until June 13, 2012, to serve and file her reply.</w:t>
      </w:r>
    </w:p>
    <w:p w:rsidR="003501C4" w:rsidRPr="003501C4" w:rsidRDefault="003501C4" w:rsidP="003501C4">
      <w:pPr>
        <w:pStyle w:val="ListParagraph"/>
        <w:rPr>
          <w:sz w:val="20"/>
          <w:szCs w:val="20"/>
        </w:rPr>
      </w:pPr>
    </w:p>
    <w:p w:rsidR="003501C4" w:rsidRPr="003501C4" w:rsidRDefault="003501C4" w:rsidP="003501C4">
      <w:pPr>
        <w:widowControl w:val="0"/>
        <w:numPr>
          <w:ilvl w:val="0"/>
          <w:numId w:val="2"/>
        </w:numPr>
        <w:autoSpaceDE w:val="0"/>
        <w:autoSpaceDN w:val="0"/>
        <w:adjustRightInd w:val="0"/>
        <w:ind w:right="-23"/>
        <w:jc w:val="both"/>
        <w:rPr>
          <w:rFonts w:cs="Shruti"/>
          <w:sz w:val="20"/>
          <w:szCs w:val="20"/>
        </w:rPr>
      </w:pPr>
      <w:r w:rsidRPr="003501C4">
        <w:rPr>
          <w:sz w:val="20"/>
          <w:szCs w:val="20"/>
        </w:rPr>
        <w:t>There will be no order as to costs.</w:t>
      </w:r>
    </w:p>
    <w:p w:rsidR="003501C4" w:rsidRPr="003501C4" w:rsidRDefault="003501C4" w:rsidP="003501C4">
      <w:pPr>
        <w:tabs>
          <w:tab w:val="left" w:pos="-1440"/>
          <w:tab w:val="left" w:pos="-720"/>
        </w:tabs>
        <w:jc w:val="both"/>
        <w:rPr>
          <w:sz w:val="20"/>
          <w:szCs w:val="20"/>
        </w:rPr>
      </w:pPr>
    </w:p>
    <w:p w:rsidR="003501C4" w:rsidRPr="003501C4" w:rsidRDefault="003501C4" w:rsidP="003501C4">
      <w:pPr>
        <w:tabs>
          <w:tab w:val="left" w:pos="-1440"/>
          <w:tab w:val="left" w:pos="-720"/>
        </w:tabs>
        <w:jc w:val="both"/>
        <w:rPr>
          <w:sz w:val="20"/>
          <w:szCs w:val="20"/>
        </w:rPr>
      </w:pPr>
    </w:p>
    <w:p w:rsidR="003501C4" w:rsidRPr="003501C4" w:rsidRDefault="003501C4" w:rsidP="003501C4">
      <w:pPr>
        <w:tabs>
          <w:tab w:val="left" w:pos="-1440"/>
          <w:tab w:val="left" w:pos="-720"/>
        </w:tabs>
        <w:jc w:val="both"/>
        <w:rPr>
          <w:sz w:val="20"/>
          <w:szCs w:val="20"/>
        </w:rPr>
      </w:pPr>
    </w:p>
    <w:p w:rsidR="003501C4" w:rsidRPr="003501C4" w:rsidRDefault="003501C4" w:rsidP="003501C4">
      <w:pPr>
        <w:ind w:right="-23"/>
        <w:jc w:val="both"/>
        <w:rPr>
          <w:sz w:val="20"/>
          <w:szCs w:val="20"/>
          <w:lang w:val="fr-FR"/>
        </w:rPr>
      </w:pPr>
      <w:r w:rsidRPr="003501C4">
        <w:rPr>
          <w:b/>
          <w:sz w:val="20"/>
          <w:szCs w:val="20"/>
          <w:lang w:val="fr-FR"/>
        </w:rPr>
        <w:t>À LA SUITE DE LA DEMANDE</w:t>
      </w:r>
      <w:r w:rsidRPr="003501C4">
        <w:rPr>
          <w:sz w:val="20"/>
          <w:szCs w:val="20"/>
          <w:lang w:val="fr-FR"/>
        </w:rPr>
        <w:t xml:space="preserve"> présentée par le demandeur sollicitant un sursis des procédures et le traitement accéléré de la demande d’autorisation d’appel; </w:t>
      </w:r>
    </w:p>
    <w:p w:rsidR="003501C4" w:rsidRPr="003501C4" w:rsidRDefault="003501C4" w:rsidP="003501C4">
      <w:pPr>
        <w:ind w:right="-23"/>
        <w:jc w:val="both"/>
        <w:rPr>
          <w:sz w:val="20"/>
          <w:szCs w:val="20"/>
          <w:lang w:val="fr-FR"/>
        </w:rPr>
      </w:pPr>
    </w:p>
    <w:p w:rsidR="003501C4" w:rsidRPr="003501C4" w:rsidRDefault="003501C4" w:rsidP="003501C4">
      <w:pPr>
        <w:ind w:right="-23"/>
        <w:jc w:val="both"/>
        <w:rPr>
          <w:sz w:val="20"/>
          <w:szCs w:val="20"/>
          <w:lang w:val="fr-FR"/>
        </w:rPr>
      </w:pPr>
      <w:r w:rsidRPr="003501C4">
        <w:rPr>
          <w:b/>
          <w:sz w:val="20"/>
          <w:szCs w:val="20"/>
          <w:lang w:val="fr-FR"/>
        </w:rPr>
        <w:t>ET APRÈS EXAMEN</w:t>
      </w:r>
      <w:r w:rsidRPr="003501C4">
        <w:rPr>
          <w:sz w:val="20"/>
          <w:szCs w:val="20"/>
          <w:lang w:val="fr-FR"/>
        </w:rPr>
        <w:t xml:space="preserve"> des documents déposés; </w:t>
      </w:r>
    </w:p>
    <w:p w:rsidR="003501C4" w:rsidRPr="003501C4" w:rsidRDefault="003501C4" w:rsidP="00350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3"/>
        <w:jc w:val="both"/>
        <w:rPr>
          <w:sz w:val="20"/>
          <w:szCs w:val="20"/>
          <w:lang w:val="fr-FR"/>
        </w:rPr>
      </w:pPr>
    </w:p>
    <w:p w:rsidR="003501C4" w:rsidRPr="003501C4" w:rsidRDefault="003501C4" w:rsidP="003501C4">
      <w:pPr>
        <w:ind w:right="-23"/>
        <w:jc w:val="both"/>
        <w:rPr>
          <w:b/>
          <w:sz w:val="20"/>
          <w:szCs w:val="20"/>
          <w:lang w:val="fr-FR"/>
        </w:rPr>
      </w:pPr>
      <w:r w:rsidRPr="003501C4">
        <w:rPr>
          <w:b/>
          <w:sz w:val="20"/>
          <w:szCs w:val="20"/>
          <w:lang w:val="fr-FR"/>
        </w:rPr>
        <w:t xml:space="preserve">IL EST ORDONNÉ CE QUI SUIT : </w:t>
      </w:r>
    </w:p>
    <w:p w:rsidR="003501C4" w:rsidRPr="003501C4" w:rsidRDefault="003501C4" w:rsidP="003501C4">
      <w:pPr>
        <w:ind w:right="-23"/>
        <w:jc w:val="both"/>
        <w:rPr>
          <w:b/>
          <w:sz w:val="20"/>
          <w:szCs w:val="20"/>
          <w:lang w:val="fr-FR"/>
        </w:rPr>
      </w:pPr>
    </w:p>
    <w:p w:rsidR="003501C4" w:rsidRPr="003501C4" w:rsidRDefault="003501C4" w:rsidP="003501C4">
      <w:pPr>
        <w:pStyle w:val="ListParagraph"/>
        <w:widowControl w:val="0"/>
        <w:numPr>
          <w:ilvl w:val="0"/>
          <w:numId w:val="3"/>
        </w:numPr>
        <w:autoSpaceDE w:val="0"/>
        <w:autoSpaceDN w:val="0"/>
        <w:adjustRightInd w:val="0"/>
        <w:ind w:left="1440" w:right="-23"/>
        <w:jc w:val="both"/>
        <w:rPr>
          <w:sz w:val="20"/>
          <w:szCs w:val="20"/>
          <w:lang w:val="fr-FR"/>
        </w:rPr>
      </w:pPr>
      <w:r w:rsidRPr="003501C4">
        <w:rPr>
          <w:sz w:val="20"/>
          <w:szCs w:val="20"/>
          <w:lang w:val="fr-FR"/>
        </w:rPr>
        <w:t xml:space="preserve">La requête </w:t>
      </w:r>
      <w:r w:rsidR="009D21FC">
        <w:rPr>
          <w:sz w:val="20"/>
          <w:szCs w:val="20"/>
          <w:lang w:val="fr-FR"/>
        </w:rPr>
        <w:t xml:space="preserve">sollicitant la suspension </w:t>
      </w:r>
      <w:r w:rsidRPr="003501C4">
        <w:rPr>
          <w:sz w:val="20"/>
          <w:szCs w:val="20"/>
          <w:lang w:val="fr-FR"/>
        </w:rPr>
        <w:t xml:space="preserve">des procédures devrait être présentée à la Cour d’appel ou à un de ses juges. </w:t>
      </w:r>
    </w:p>
    <w:p w:rsidR="003501C4" w:rsidRPr="003501C4" w:rsidRDefault="003501C4" w:rsidP="00350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23" w:hanging="360"/>
        <w:jc w:val="both"/>
        <w:rPr>
          <w:sz w:val="20"/>
          <w:szCs w:val="20"/>
          <w:lang w:val="fr-FR"/>
        </w:rPr>
      </w:pPr>
    </w:p>
    <w:p w:rsidR="003501C4" w:rsidRPr="003501C4" w:rsidRDefault="003501C4" w:rsidP="003501C4">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23"/>
        <w:jc w:val="both"/>
        <w:rPr>
          <w:sz w:val="20"/>
          <w:szCs w:val="20"/>
          <w:lang w:val="fr-FR"/>
        </w:rPr>
      </w:pPr>
      <w:r w:rsidRPr="003501C4">
        <w:rPr>
          <w:sz w:val="20"/>
          <w:szCs w:val="20"/>
          <w:lang w:val="fr-FR"/>
        </w:rPr>
        <w:t xml:space="preserve">La requête </w:t>
      </w:r>
      <w:r w:rsidR="009D21FC">
        <w:rPr>
          <w:sz w:val="20"/>
          <w:szCs w:val="20"/>
          <w:lang w:val="fr-FR"/>
        </w:rPr>
        <w:t>sollic</w:t>
      </w:r>
      <w:r w:rsidRPr="003501C4">
        <w:rPr>
          <w:sz w:val="20"/>
          <w:szCs w:val="20"/>
          <w:lang w:val="fr-FR"/>
        </w:rPr>
        <w:t>i</w:t>
      </w:r>
      <w:r w:rsidR="009D21FC">
        <w:rPr>
          <w:sz w:val="20"/>
          <w:szCs w:val="20"/>
          <w:lang w:val="fr-FR"/>
        </w:rPr>
        <w:t>t</w:t>
      </w:r>
      <w:r w:rsidRPr="003501C4">
        <w:rPr>
          <w:sz w:val="20"/>
          <w:szCs w:val="20"/>
          <w:lang w:val="fr-FR"/>
        </w:rPr>
        <w:t>ant le traitement accéléré de la demande d'autorisation d'appel est accordée. Les intimés signifieront et déposeront leurs réponses à la demande d'autorisation au plus tard le 11 juin 2012 et le demandeur signifiera et déposera sa réplique au plus tard le 13 juin 2012.</w:t>
      </w:r>
    </w:p>
    <w:p w:rsidR="003501C4" w:rsidRPr="003501C4" w:rsidRDefault="003501C4" w:rsidP="003501C4">
      <w:pPr>
        <w:pStyle w:val="ListParagraph"/>
        <w:ind w:left="1440" w:hanging="360"/>
        <w:rPr>
          <w:sz w:val="20"/>
          <w:szCs w:val="20"/>
          <w:lang w:val="fr-FR"/>
        </w:rPr>
      </w:pPr>
    </w:p>
    <w:p w:rsidR="003501C4" w:rsidRPr="003501C4" w:rsidRDefault="003501C4" w:rsidP="003501C4">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23"/>
        <w:jc w:val="both"/>
        <w:rPr>
          <w:sz w:val="20"/>
          <w:szCs w:val="20"/>
          <w:lang w:val="fr-FR"/>
        </w:rPr>
      </w:pPr>
      <w:r w:rsidRPr="003501C4">
        <w:rPr>
          <w:sz w:val="20"/>
          <w:szCs w:val="20"/>
          <w:lang w:val="fr-FR"/>
        </w:rPr>
        <w:t>Il n'y aura pas d'adjudication de dépens.</w:t>
      </w:r>
    </w:p>
    <w:p w:rsidR="003501C4" w:rsidRPr="003501C4" w:rsidRDefault="003501C4" w:rsidP="003501C4">
      <w:pPr>
        <w:tabs>
          <w:tab w:val="left" w:pos="-1440"/>
          <w:tab w:val="left" w:pos="-720"/>
        </w:tabs>
        <w:jc w:val="both"/>
        <w:rPr>
          <w:sz w:val="20"/>
          <w:szCs w:val="20"/>
          <w:lang w:val="fr-FR"/>
        </w:rPr>
      </w:pPr>
    </w:p>
    <w:p w:rsidR="003501C4" w:rsidRPr="003501C4" w:rsidRDefault="00ED3438" w:rsidP="003501C4">
      <w:pPr>
        <w:tabs>
          <w:tab w:val="left" w:pos="-1440"/>
          <w:tab w:val="left" w:pos="-720"/>
        </w:tabs>
        <w:jc w:val="both"/>
        <w:rPr>
          <w:sz w:val="20"/>
          <w:szCs w:val="20"/>
          <w:lang w:val="fr-CA"/>
        </w:rPr>
      </w:pPr>
      <w:r w:rsidRPr="00ED3438">
        <w:rPr>
          <w:sz w:val="20"/>
          <w:szCs w:val="20"/>
          <w:lang w:val="fr-CA"/>
        </w:rPr>
        <w:pict>
          <v:rect id="_x0000_i1070" style="width:2in;height:1pt" o:hrpct="0" o:hralign="center" o:hrstd="t" o:hrnoshade="t" o:hr="t" fillcolor="black [3213]" stroked="f"/>
        </w:pict>
      </w:r>
    </w:p>
    <w:p w:rsidR="003501C4" w:rsidRPr="003501C4" w:rsidRDefault="003501C4" w:rsidP="003501C4">
      <w:pPr>
        <w:tabs>
          <w:tab w:val="left" w:pos="-1440"/>
          <w:tab w:val="left" w:pos="-720"/>
        </w:tabs>
        <w:jc w:val="both"/>
        <w:rPr>
          <w:sz w:val="20"/>
          <w:szCs w:val="20"/>
          <w:lang w:val="fr-CA"/>
        </w:rPr>
      </w:pPr>
    </w:p>
    <w:p w:rsidR="003501C4" w:rsidRPr="003501C4" w:rsidRDefault="003501C4" w:rsidP="003501C4">
      <w:pPr>
        <w:rPr>
          <w:sz w:val="20"/>
          <w:szCs w:val="20"/>
          <w:lang w:val="fr-CA"/>
        </w:rPr>
      </w:pPr>
      <w:r w:rsidRPr="003501C4">
        <w:rPr>
          <w:sz w:val="20"/>
          <w:szCs w:val="20"/>
          <w:lang w:val="fr-CA"/>
        </w:rPr>
        <w:br w:type="page"/>
      </w:r>
    </w:p>
    <w:p w:rsidR="003501C4" w:rsidRPr="003501C4" w:rsidRDefault="003501C4" w:rsidP="003501C4">
      <w:pPr>
        <w:tabs>
          <w:tab w:val="left" w:pos="-1440"/>
          <w:tab w:val="left" w:pos="-720"/>
        </w:tabs>
        <w:jc w:val="both"/>
        <w:rPr>
          <w:sz w:val="20"/>
          <w:szCs w:val="20"/>
          <w:lang w:val="fr-CA"/>
        </w:rPr>
      </w:pPr>
      <w:r w:rsidRPr="003501C4">
        <w:rPr>
          <w:sz w:val="20"/>
          <w:szCs w:val="20"/>
          <w:lang w:val="fr-CA"/>
        </w:rPr>
        <w:t>04.06.2012</w:t>
      </w:r>
    </w:p>
    <w:p w:rsidR="003501C4" w:rsidRPr="003501C4" w:rsidRDefault="003501C4" w:rsidP="003501C4">
      <w:pPr>
        <w:tabs>
          <w:tab w:val="left" w:pos="-1440"/>
          <w:tab w:val="left" w:pos="-720"/>
        </w:tabs>
        <w:jc w:val="both"/>
        <w:rPr>
          <w:sz w:val="20"/>
          <w:szCs w:val="20"/>
          <w:lang w:val="fr-CA"/>
        </w:rPr>
      </w:pPr>
    </w:p>
    <w:p w:rsidR="003501C4" w:rsidRPr="003501C4" w:rsidRDefault="003501C4" w:rsidP="003501C4">
      <w:pPr>
        <w:tabs>
          <w:tab w:val="left" w:pos="-1440"/>
          <w:tab w:val="left" w:pos="-720"/>
        </w:tabs>
        <w:jc w:val="both"/>
        <w:rPr>
          <w:sz w:val="20"/>
          <w:szCs w:val="20"/>
          <w:lang w:val="fr-CA"/>
        </w:rPr>
      </w:pPr>
      <w:proofErr w:type="spellStart"/>
      <w:r w:rsidRPr="003501C4">
        <w:rPr>
          <w:sz w:val="20"/>
          <w:szCs w:val="20"/>
          <w:lang w:val="fr-CA"/>
        </w:rPr>
        <w:t>Before</w:t>
      </w:r>
      <w:proofErr w:type="spellEnd"/>
      <w:r w:rsidRPr="003501C4">
        <w:rPr>
          <w:sz w:val="20"/>
          <w:szCs w:val="20"/>
          <w:lang w:val="fr-CA"/>
        </w:rPr>
        <w:t xml:space="preserve"> / Devant :   ROTHSTEIN J. / LE JUGE ROTHSTEIN</w:t>
      </w:r>
    </w:p>
    <w:p w:rsidR="003501C4" w:rsidRPr="003501C4" w:rsidRDefault="003501C4" w:rsidP="003501C4">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501C4" w:rsidRPr="00017BF4" w:rsidTr="00B60060">
        <w:tc>
          <w:tcPr>
            <w:tcW w:w="4338" w:type="dxa"/>
            <w:gridSpan w:val="2"/>
          </w:tcPr>
          <w:p w:rsidR="003501C4" w:rsidRPr="003501C4" w:rsidRDefault="00ED3438" w:rsidP="00B60060">
            <w:pPr>
              <w:jc w:val="both"/>
              <w:rPr>
                <w:b/>
                <w:sz w:val="20"/>
                <w:szCs w:val="20"/>
              </w:rPr>
            </w:pPr>
            <w:r w:rsidRPr="003501C4">
              <w:rPr>
                <w:sz w:val="20"/>
                <w:szCs w:val="20"/>
              </w:rPr>
              <w:fldChar w:fldCharType="begin"/>
            </w:r>
            <w:r w:rsidR="003501C4" w:rsidRPr="003501C4">
              <w:rPr>
                <w:sz w:val="20"/>
                <w:szCs w:val="20"/>
              </w:rPr>
              <w:instrText xml:space="preserve"> SEQ CHAPTER \h \r 1</w:instrText>
            </w:r>
            <w:r w:rsidRPr="003501C4">
              <w:rPr>
                <w:sz w:val="20"/>
                <w:szCs w:val="20"/>
              </w:rPr>
              <w:fldChar w:fldCharType="end"/>
            </w:r>
            <w:r w:rsidR="003501C4" w:rsidRPr="003501C4">
              <w:rPr>
                <w:b/>
                <w:bCs/>
                <w:sz w:val="20"/>
                <w:szCs w:val="20"/>
              </w:rPr>
              <w:t>Motions for an extension of time and for leave to intervene</w:t>
            </w:r>
            <w:r w:rsidRPr="003501C4">
              <w:rPr>
                <w:sz w:val="20"/>
                <w:szCs w:val="20"/>
              </w:rPr>
              <w:fldChar w:fldCharType="begin"/>
            </w:r>
            <w:r w:rsidR="003501C4" w:rsidRPr="003501C4">
              <w:rPr>
                <w:sz w:val="20"/>
                <w:szCs w:val="20"/>
              </w:rPr>
              <w:instrText xml:space="preserve"> SEQ CHAPTER \h \r 1</w:instrText>
            </w:r>
            <w:r w:rsidRPr="003501C4">
              <w:rPr>
                <w:sz w:val="20"/>
                <w:szCs w:val="20"/>
              </w:rPr>
              <w:fldChar w:fldCharType="end"/>
            </w:r>
          </w:p>
        </w:tc>
        <w:tc>
          <w:tcPr>
            <w:tcW w:w="1170" w:type="dxa"/>
          </w:tcPr>
          <w:p w:rsidR="003501C4" w:rsidRPr="003501C4" w:rsidRDefault="003501C4" w:rsidP="00B60060">
            <w:pPr>
              <w:rPr>
                <w:sz w:val="20"/>
                <w:szCs w:val="20"/>
              </w:rPr>
            </w:pPr>
          </w:p>
          <w:p w:rsidR="003501C4" w:rsidRPr="003501C4" w:rsidRDefault="003501C4" w:rsidP="00B60060">
            <w:pPr>
              <w:rPr>
                <w:sz w:val="20"/>
                <w:szCs w:val="20"/>
              </w:rPr>
            </w:pPr>
          </w:p>
          <w:p w:rsidR="003501C4" w:rsidRPr="003501C4" w:rsidRDefault="003501C4" w:rsidP="00B60060">
            <w:pPr>
              <w:rPr>
                <w:sz w:val="20"/>
                <w:szCs w:val="20"/>
              </w:rPr>
            </w:pPr>
          </w:p>
        </w:tc>
        <w:tc>
          <w:tcPr>
            <w:tcW w:w="4327" w:type="dxa"/>
          </w:tcPr>
          <w:p w:rsidR="003501C4" w:rsidRPr="003501C4" w:rsidRDefault="003501C4" w:rsidP="00B60060">
            <w:pPr>
              <w:jc w:val="both"/>
              <w:rPr>
                <w:b/>
                <w:sz w:val="20"/>
                <w:szCs w:val="20"/>
                <w:lang w:val="fr-CA"/>
              </w:rPr>
            </w:pPr>
            <w:r w:rsidRPr="003501C4">
              <w:rPr>
                <w:b/>
                <w:bCs/>
                <w:sz w:val="20"/>
                <w:szCs w:val="20"/>
                <w:lang w:val="fr-CA"/>
              </w:rPr>
              <w:t xml:space="preserve">Requêtes </w:t>
            </w:r>
            <w:r w:rsidR="00ED3438" w:rsidRPr="003501C4">
              <w:rPr>
                <w:sz w:val="20"/>
                <w:szCs w:val="20"/>
              </w:rPr>
              <w:fldChar w:fldCharType="begin"/>
            </w:r>
            <w:r w:rsidRPr="003501C4">
              <w:rPr>
                <w:sz w:val="20"/>
                <w:szCs w:val="20"/>
                <w:lang w:val="fr-CA"/>
              </w:rPr>
              <w:instrText xml:space="preserve"> SEQ CHAPTER \h \r 1</w:instrText>
            </w:r>
            <w:r w:rsidR="00ED3438" w:rsidRPr="003501C4">
              <w:rPr>
                <w:sz w:val="20"/>
                <w:szCs w:val="20"/>
              </w:rPr>
              <w:fldChar w:fldCharType="end"/>
            </w:r>
            <w:r w:rsidRPr="003501C4">
              <w:rPr>
                <w:b/>
                <w:bCs/>
                <w:sz w:val="20"/>
                <w:szCs w:val="20"/>
                <w:lang w:val="fr-CA"/>
              </w:rPr>
              <w:t>en prorogation de délai et en autorisation d’intervenir</w:t>
            </w:r>
            <w:r w:rsidR="00ED3438" w:rsidRPr="003501C4">
              <w:rPr>
                <w:sz w:val="20"/>
                <w:szCs w:val="20"/>
              </w:rPr>
              <w:fldChar w:fldCharType="begin"/>
            </w:r>
            <w:r w:rsidRPr="003501C4">
              <w:rPr>
                <w:sz w:val="20"/>
                <w:szCs w:val="20"/>
                <w:lang w:val="fr-CA"/>
              </w:rPr>
              <w:instrText xml:space="preserve"> SEQ CHAPTER \h \r 1</w:instrText>
            </w:r>
            <w:r w:rsidR="00ED3438" w:rsidRPr="003501C4">
              <w:rPr>
                <w:sz w:val="20"/>
                <w:szCs w:val="20"/>
              </w:rPr>
              <w:fldChar w:fldCharType="end"/>
            </w:r>
          </w:p>
        </w:tc>
      </w:tr>
      <w:tr w:rsidR="003501C4" w:rsidRPr="003501C4" w:rsidTr="00B60060">
        <w:tc>
          <w:tcPr>
            <w:tcW w:w="1368" w:type="dxa"/>
          </w:tcPr>
          <w:p w:rsidR="003501C4" w:rsidRPr="003501C4" w:rsidRDefault="003501C4" w:rsidP="00B60060">
            <w:pPr>
              <w:rPr>
                <w:sz w:val="20"/>
                <w:szCs w:val="20"/>
              </w:rPr>
            </w:pPr>
            <w:r w:rsidRPr="003501C4">
              <w:rPr>
                <w:sz w:val="20"/>
                <w:szCs w:val="20"/>
              </w:rPr>
              <w:t>BY / PAR</w:t>
            </w:r>
          </w:p>
        </w:tc>
        <w:tc>
          <w:tcPr>
            <w:tcW w:w="2970" w:type="dxa"/>
          </w:tcPr>
          <w:p w:rsidR="003501C4" w:rsidRPr="003501C4" w:rsidRDefault="003501C4" w:rsidP="00B60060">
            <w:pPr>
              <w:rPr>
                <w:sz w:val="20"/>
                <w:szCs w:val="20"/>
              </w:rPr>
            </w:pPr>
            <w:r w:rsidRPr="003501C4">
              <w:rPr>
                <w:sz w:val="20"/>
                <w:szCs w:val="20"/>
              </w:rPr>
              <w:t>Canadian Bar Association;</w:t>
            </w:r>
          </w:p>
        </w:tc>
        <w:tc>
          <w:tcPr>
            <w:tcW w:w="1170" w:type="dxa"/>
          </w:tcPr>
          <w:p w:rsidR="003501C4" w:rsidRPr="003501C4" w:rsidRDefault="003501C4" w:rsidP="00B60060">
            <w:pPr>
              <w:rPr>
                <w:sz w:val="20"/>
                <w:szCs w:val="20"/>
              </w:rPr>
            </w:pPr>
          </w:p>
        </w:tc>
        <w:tc>
          <w:tcPr>
            <w:tcW w:w="4327" w:type="dxa"/>
          </w:tcPr>
          <w:p w:rsidR="003501C4" w:rsidRPr="003501C4" w:rsidRDefault="003501C4" w:rsidP="00B60060">
            <w:pPr>
              <w:rPr>
                <w:sz w:val="20"/>
                <w:szCs w:val="20"/>
              </w:rPr>
            </w:pPr>
          </w:p>
        </w:tc>
      </w:tr>
      <w:tr w:rsidR="003501C4" w:rsidRPr="003501C4" w:rsidTr="00B60060">
        <w:tc>
          <w:tcPr>
            <w:tcW w:w="1368" w:type="dxa"/>
          </w:tcPr>
          <w:p w:rsidR="003501C4" w:rsidRPr="003501C4" w:rsidRDefault="003501C4" w:rsidP="00B60060">
            <w:pPr>
              <w:rPr>
                <w:sz w:val="20"/>
                <w:szCs w:val="20"/>
              </w:rPr>
            </w:pPr>
          </w:p>
        </w:tc>
        <w:tc>
          <w:tcPr>
            <w:tcW w:w="2970" w:type="dxa"/>
          </w:tcPr>
          <w:p w:rsidR="003501C4" w:rsidRPr="003501C4" w:rsidRDefault="003501C4" w:rsidP="00B60060">
            <w:pPr>
              <w:rPr>
                <w:sz w:val="20"/>
                <w:szCs w:val="20"/>
              </w:rPr>
            </w:pPr>
            <w:r w:rsidRPr="003501C4">
              <w:rPr>
                <w:sz w:val="20"/>
                <w:szCs w:val="20"/>
              </w:rPr>
              <w:t>Attorney General of Ontario;</w:t>
            </w:r>
          </w:p>
        </w:tc>
        <w:tc>
          <w:tcPr>
            <w:tcW w:w="1170" w:type="dxa"/>
          </w:tcPr>
          <w:p w:rsidR="003501C4" w:rsidRPr="003501C4" w:rsidRDefault="003501C4" w:rsidP="00B60060">
            <w:pPr>
              <w:rPr>
                <w:sz w:val="20"/>
                <w:szCs w:val="20"/>
              </w:rPr>
            </w:pPr>
          </w:p>
        </w:tc>
        <w:tc>
          <w:tcPr>
            <w:tcW w:w="4327" w:type="dxa"/>
          </w:tcPr>
          <w:p w:rsidR="003501C4" w:rsidRPr="003501C4" w:rsidRDefault="003501C4" w:rsidP="00B60060">
            <w:pPr>
              <w:rPr>
                <w:sz w:val="20"/>
                <w:szCs w:val="20"/>
              </w:rPr>
            </w:pPr>
          </w:p>
        </w:tc>
      </w:tr>
      <w:tr w:rsidR="003501C4" w:rsidRPr="003501C4" w:rsidTr="00B60060">
        <w:tc>
          <w:tcPr>
            <w:tcW w:w="1368" w:type="dxa"/>
          </w:tcPr>
          <w:p w:rsidR="003501C4" w:rsidRPr="003501C4" w:rsidRDefault="003501C4" w:rsidP="00B60060">
            <w:pPr>
              <w:rPr>
                <w:sz w:val="20"/>
                <w:szCs w:val="20"/>
              </w:rPr>
            </w:pPr>
          </w:p>
        </w:tc>
        <w:tc>
          <w:tcPr>
            <w:tcW w:w="2970" w:type="dxa"/>
          </w:tcPr>
          <w:p w:rsidR="003501C4" w:rsidRPr="003501C4" w:rsidRDefault="003501C4" w:rsidP="00B60060">
            <w:pPr>
              <w:rPr>
                <w:sz w:val="20"/>
                <w:szCs w:val="20"/>
              </w:rPr>
            </w:pPr>
            <w:r w:rsidRPr="003501C4">
              <w:rPr>
                <w:sz w:val="20"/>
                <w:szCs w:val="20"/>
              </w:rPr>
              <w:t>Trial Lawyers Association of British Columbia</w:t>
            </w:r>
          </w:p>
        </w:tc>
        <w:tc>
          <w:tcPr>
            <w:tcW w:w="1170" w:type="dxa"/>
          </w:tcPr>
          <w:p w:rsidR="003501C4" w:rsidRPr="003501C4" w:rsidRDefault="003501C4" w:rsidP="00B60060">
            <w:pPr>
              <w:rPr>
                <w:sz w:val="20"/>
                <w:szCs w:val="20"/>
              </w:rPr>
            </w:pPr>
          </w:p>
        </w:tc>
        <w:tc>
          <w:tcPr>
            <w:tcW w:w="4327" w:type="dxa"/>
          </w:tcPr>
          <w:p w:rsidR="003501C4" w:rsidRPr="003501C4" w:rsidRDefault="003501C4" w:rsidP="00B60060">
            <w:pPr>
              <w:rPr>
                <w:sz w:val="20"/>
                <w:szCs w:val="20"/>
              </w:rPr>
            </w:pPr>
          </w:p>
        </w:tc>
      </w:tr>
      <w:tr w:rsidR="003501C4" w:rsidRPr="003501C4" w:rsidTr="00B60060">
        <w:tc>
          <w:tcPr>
            <w:tcW w:w="1368" w:type="dxa"/>
          </w:tcPr>
          <w:p w:rsidR="003501C4" w:rsidRPr="003501C4" w:rsidRDefault="003501C4" w:rsidP="00B60060">
            <w:pPr>
              <w:rPr>
                <w:sz w:val="20"/>
                <w:szCs w:val="20"/>
              </w:rPr>
            </w:pPr>
          </w:p>
        </w:tc>
        <w:tc>
          <w:tcPr>
            <w:tcW w:w="2970" w:type="dxa"/>
          </w:tcPr>
          <w:p w:rsidR="003501C4" w:rsidRPr="003501C4" w:rsidRDefault="003501C4" w:rsidP="00B60060">
            <w:pPr>
              <w:rPr>
                <w:sz w:val="20"/>
                <w:szCs w:val="20"/>
              </w:rPr>
            </w:pPr>
          </w:p>
        </w:tc>
        <w:tc>
          <w:tcPr>
            <w:tcW w:w="1170" w:type="dxa"/>
          </w:tcPr>
          <w:p w:rsidR="003501C4" w:rsidRPr="003501C4" w:rsidRDefault="003501C4" w:rsidP="00B60060">
            <w:pPr>
              <w:rPr>
                <w:sz w:val="20"/>
                <w:szCs w:val="20"/>
              </w:rPr>
            </w:pPr>
          </w:p>
        </w:tc>
        <w:tc>
          <w:tcPr>
            <w:tcW w:w="4327" w:type="dxa"/>
          </w:tcPr>
          <w:p w:rsidR="003501C4" w:rsidRPr="003501C4" w:rsidRDefault="003501C4" w:rsidP="00B60060">
            <w:pPr>
              <w:rPr>
                <w:sz w:val="20"/>
                <w:szCs w:val="20"/>
              </w:rPr>
            </w:pPr>
          </w:p>
        </w:tc>
      </w:tr>
      <w:tr w:rsidR="003501C4" w:rsidRPr="003501C4" w:rsidTr="00B60060">
        <w:tc>
          <w:tcPr>
            <w:tcW w:w="1368" w:type="dxa"/>
          </w:tcPr>
          <w:p w:rsidR="003501C4" w:rsidRPr="003501C4" w:rsidRDefault="003501C4" w:rsidP="00B60060">
            <w:pPr>
              <w:rPr>
                <w:sz w:val="20"/>
                <w:szCs w:val="20"/>
              </w:rPr>
            </w:pPr>
            <w:r w:rsidRPr="003501C4">
              <w:rPr>
                <w:sz w:val="20"/>
                <w:szCs w:val="20"/>
              </w:rPr>
              <w:t>IN / DANS :</w:t>
            </w:r>
          </w:p>
        </w:tc>
        <w:tc>
          <w:tcPr>
            <w:tcW w:w="2970" w:type="dxa"/>
          </w:tcPr>
          <w:p w:rsidR="003501C4" w:rsidRPr="003501C4" w:rsidRDefault="003501C4" w:rsidP="00B60060">
            <w:pPr>
              <w:rPr>
                <w:sz w:val="20"/>
                <w:szCs w:val="20"/>
              </w:rPr>
            </w:pPr>
            <w:r w:rsidRPr="003501C4">
              <w:rPr>
                <w:sz w:val="20"/>
                <w:szCs w:val="20"/>
              </w:rPr>
              <w:t xml:space="preserve">Eric Victor </w:t>
            </w:r>
            <w:proofErr w:type="spellStart"/>
            <w:r w:rsidRPr="003501C4">
              <w:rPr>
                <w:sz w:val="20"/>
                <w:szCs w:val="20"/>
              </w:rPr>
              <w:t>Cojocaru</w:t>
            </w:r>
            <w:proofErr w:type="spellEnd"/>
            <w:r w:rsidRPr="003501C4">
              <w:rPr>
                <w:sz w:val="20"/>
                <w:szCs w:val="20"/>
              </w:rPr>
              <w:t xml:space="preserve">, an infant by his Guardian Ad </w:t>
            </w:r>
            <w:proofErr w:type="spellStart"/>
            <w:r w:rsidRPr="003501C4">
              <w:rPr>
                <w:sz w:val="20"/>
                <w:szCs w:val="20"/>
              </w:rPr>
              <w:t>Litem</w:t>
            </w:r>
            <w:proofErr w:type="spellEnd"/>
            <w:r w:rsidRPr="003501C4">
              <w:rPr>
                <w:sz w:val="20"/>
                <w:szCs w:val="20"/>
              </w:rPr>
              <w:t xml:space="preserve">, Monica </w:t>
            </w:r>
            <w:proofErr w:type="spellStart"/>
            <w:r w:rsidRPr="003501C4">
              <w:rPr>
                <w:sz w:val="20"/>
                <w:szCs w:val="20"/>
              </w:rPr>
              <w:t>Cojocary</w:t>
            </w:r>
            <w:proofErr w:type="spellEnd"/>
            <w:r w:rsidRPr="003501C4">
              <w:rPr>
                <w:sz w:val="20"/>
                <w:szCs w:val="20"/>
              </w:rPr>
              <w:t xml:space="preserve"> et al.</w:t>
            </w:r>
          </w:p>
          <w:p w:rsidR="003501C4" w:rsidRPr="003501C4" w:rsidRDefault="003501C4" w:rsidP="00B60060">
            <w:pPr>
              <w:rPr>
                <w:sz w:val="20"/>
                <w:szCs w:val="20"/>
              </w:rPr>
            </w:pPr>
          </w:p>
        </w:tc>
        <w:tc>
          <w:tcPr>
            <w:tcW w:w="1170" w:type="dxa"/>
          </w:tcPr>
          <w:p w:rsidR="003501C4" w:rsidRPr="003501C4" w:rsidRDefault="003501C4" w:rsidP="00B60060">
            <w:pPr>
              <w:rPr>
                <w:sz w:val="20"/>
                <w:szCs w:val="20"/>
              </w:rPr>
            </w:pPr>
          </w:p>
        </w:tc>
        <w:tc>
          <w:tcPr>
            <w:tcW w:w="4327" w:type="dxa"/>
          </w:tcPr>
          <w:p w:rsidR="003501C4" w:rsidRPr="003501C4" w:rsidRDefault="003501C4" w:rsidP="00B60060">
            <w:pPr>
              <w:rPr>
                <w:sz w:val="20"/>
                <w:szCs w:val="20"/>
              </w:rPr>
            </w:pPr>
          </w:p>
        </w:tc>
      </w:tr>
      <w:tr w:rsidR="003501C4" w:rsidRPr="003501C4" w:rsidTr="00B60060">
        <w:tc>
          <w:tcPr>
            <w:tcW w:w="1368" w:type="dxa"/>
          </w:tcPr>
          <w:p w:rsidR="003501C4" w:rsidRPr="003501C4" w:rsidRDefault="003501C4" w:rsidP="00B60060">
            <w:pPr>
              <w:rPr>
                <w:sz w:val="20"/>
                <w:szCs w:val="20"/>
              </w:rPr>
            </w:pPr>
          </w:p>
        </w:tc>
        <w:tc>
          <w:tcPr>
            <w:tcW w:w="2970" w:type="dxa"/>
          </w:tcPr>
          <w:p w:rsidR="003501C4" w:rsidRPr="003501C4" w:rsidRDefault="003501C4" w:rsidP="00B60060">
            <w:pPr>
              <w:rPr>
                <w:sz w:val="20"/>
                <w:szCs w:val="20"/>
              </w:rPr>
            </w:pPr>
            <w:r w:rsidRPr="003501C4">
              <w:rPr>
                <w:sz w:val="20"/>
                <w:szCs w:val="20"/>
              </w:rPr>
              <w:tab/>
              <w:t>v. (34304)</w:t>
            </w:r>
          </w:p>
          <w:p w:rsidR="003501C4" w:rsidRPr="003501C4" w:rsidRDefault="003501C4" w:rsidP="00B60060">
            <w:pPr>
              <w:rPr>
                <w:sz w:val="20"/>
                <w:szCs w:val="20"/>
              </w:rPr>
            </w:pPr>
          </w:p>
        </w:tc>
        <w:tc>
          <w:tcPr>
            <w:tcW w:w="1170" w:type="dxa"/>
          </w:tcPr>
          <w:p w:rsidR="003501C4" w:rsidRPr="003501C4" w:rsidRDefault="003501C4" w:rsidP="00B60060">
            <w:pPr>
              <w:rPr>
                <w:sz w:val="20"/>
                <w:szCs w:val="20"/>
              </w:rPr>
            </w:pPr>
          </w:p>
        </w:tc>
        <w:tc>
          <w:tcPr>
            <w:tcW w:w="4327" w:type="dxa"/>
          </w:tcPr>
          <w:p w:rsidR="003501C4" w:rsidRPr="003501C4" w:rsidRDefault="003501C4" w:rsidP="00B60060">
            <w:pPr>
              <w:rPr>
                <w:sz w:val="20"/>
                <w:szCs w:val="20"/>
              </w:rPr>
            </w:pPr>
          </w:p>
        </w:tc>
      </w:tr>
      <w:tr w:rsidR="003501C4" w:rsidRPr="003501C4" w:rsidTr="00B60060">
        <w:tc>
          <w:tcPr>
            <w:tcW w:w="1368" w:type="dxa"/>
          </w:tcPr>
          <w:p w:rsidR="003501C4" w:rsidRPr="003501C4" w:rsidRDefault="003501C4" w:rsidP="00B60060">
            <w:pPr>
              <w:rPr>
                <w:sz w:val="20"/>
                <w:szCs w:val="20"/>
              </w:rPr>
            </w:pPr>
          </w:p>
        </w:tc>
        <w:tc>
          <w:tcPr>
            <w:tcW w:w="2970" w:type="dxa"/>
          </w:tcPr>
          <w:p w:rsidR="003501C4" w:rsidRPr="003501C4" w:rsidRDefault="003501C4" w:rsidP="00B60060">
            <w:pPr>
              <w:jc w:val="both"/>
              <w:rPr>
                <w:sz w:val="20"/>
                <w:szCs w:val="20"/>
              </w:rPr>
            </w:pPr>
            <w:r w:rsidRPr="003501C4">
              <w:rPr>
                <w:sz w:val="20"/>
                <w:szCs w:val="20"/>
              </w:rPr>
              <w:t>British Columbia Women’s Hospital and Health Center et al. (B.C.)</w:t>
            </w:r>
          </w:p>
        </w:tc>
        <w:tc>
          <w:tcPr>
            <w:tcW w:w="1170" w:type="dxa"/>
          </w:tcPr>
          <w:p w:rsidR="003501C4" w:rsidRPr="003501C4" w:rsidRDefault="003501C4" w:rsidP="00B60060">
            <w:pPr>
              <w:rPr>
                <w:sz w:val="20"/>
                <w:szCs w:val="20"/>
              </w:rPr>
            </w:pPr>
          </w:p>
        </w:tc>
        <w:tc>
          <w:tcPr>
            <w:tcW w:w="4327" w:type="dxa"/>
          </w:tcPr>
          <w:p w:rsidR="003501C4" w:rsidRPr="003501C4" w:rsidRDefault="003501C4" w:rsidP="00B60060">
            <w:pPr>
              <w:rPr>
                <w:sz w:val="20"/>
                <w:szCs w:val="20"/>
              </w:rPr>
            </w:pPr>
          </w:p>
        </w:tc>
      </w:tr>
    </w:tbl>
    <w:p w:rsidR="003501C4" w:rsidRPr="003501C4" w:rsidRDefault="003501C4" w:rsidP="003501C4">
      <w:pPr>
        <w:tabs>
          <w:tab w:val="left" w:pos="-1440"/>
          <w:tab w:val="left" w:pos="-720"/>
        </w:tabs>
        <w:jc w:val="both"/>
        <w:rPr>
          <w:sz w:val="20"/>
          <w:szCs w:val="20"/>
        </w:rPr>
      </w:pPr>
    </w:p>
    <w:p w:rsidR="003501C4" w:rsidRPr="003501C4" w:rsidRDefault="003501C4" w:rsidP="003501C4">
      <w:pPr>
        <w:tabs>
          <w:tab w:val="left" w:pos="-1440"/>
          <w:tab w:val="left" w:pos="-720"/>
        </w:tabs>
        <w:jc w:val="both"/>
        <w:rPr>
          <w:sz w:val="20"/>
          <w:szCs w:val="20"/>
        </w:rPr>
      </w:pPr>
      <w:r w:rsidRPr="003501C4">
        <w:rPr>
          <w:b/>
          <w:sz w:val="20"/>
          <w:szCs w:val="20"/>
        </w:rPr>
        <w:t>GRANTED / ACCORDÉES</w:t>
      </w:r>
    </w:p>
    <w:p w:rsidR="003501C4" w:rsidRPr="003501C4" w:rsidRDefault="003501C4" w:rsidP="003501C4">
      <w:pPr>
        <w:tabs>
          <w:tab w:val="left" w:pos="-1440"/>
          <w:tab w:val="left" w:pos="-720"/>
        </w:tabs>
        <w:jc w:val="both"/>
        <w:rPr>
          <w:sz w:val="20"/>
          <w:szCs w:val="20"/>
        </w:rPr>
      </w:pPr>
    </w:p>
    <w:p w:rsidR="003501C4" w:rsidRPr="003501C4" w:rsidRDefault="003501C4" w:rsidP="003501C4">
      <w:pPr>
        <w:spacing w:line="233" w:lineRule="auto"/>
        <w:jc w:val="both"/>
        <w:rPr>
          <w:sz w:val="20"/>
          <w:szCs w:val="20"/>
        </w:rPr>
      </w:pPr>
      <w:r w:rsidRPr="003501C4">
        <w:rPr>
          <w:b/>
          <w:bCs/>
          <w:sz w:val="20"/>
          <w:szCs w:val="20"/>
        </w:rPr>
        <w:t xml:space="preserve">UPON APPLICATION </w:t>
      </w:r>
      <w:r w:rsidRPr="003501C4">
        <w:rPr>
          <w:sz w:val="20"/>
          <w:szCs w:val="20"/>
        </w:rPr>
        <w:t>by the Canadian Bar Association for an extension of time to apply for leave to intervene and for leave to intervene in the above appeal;</w:t>
      </w:r>
    </w:p>
    <w:p w:rsidR="003501C4" w:rsidRPr="003501C4" w:rsidRDefault="003501C4" w:rsidP="003501C4">
      <w:pPr>
        <w:spacing w:line="233" w:lineRule="auto"/>
        <w:jc w:val="both"/>
        <w:rPr>
          <w:sz w:val="20"/>
          <w:szCs w:val="20"/>
        </w:rPr>
      </w:pPr>
    </w:p>
    <w:p w:rsidR="003501C4" w:rsidRPr="003501C4" w:rsidRDefault="003501C4" w:rsidP="003501C4">
      <w:pPr>
        <w:spacing w:line="233" w:lineRule="auto"/>
        <w:jc w:val="both"/>
        <w:rPr>
          <w:b/>
          <w:sz w:val="20"/>
          <w:szCs w:val="20"/>
        </w:rPr>
      </w:pPr>
      <w:r w:rsidRPr="003501C4">
        <w:rPr>
          <w:b/>
          <w:sz w:val="20"/>
          <w:szCs w:val="20"/>
        </w:rPr>
        <w:t xml:space="preserve">AND UPON APPLICATIONS </w:t>
      </w:r>
      <w:r w:rsidRPr="003501C4">
        <w:rPr>
          <w:sz w:val="20"/>
          <w:szCs w:val="20"/>
        </w:rPr>
        <w:t>by the Attorney General of Ontario and the Trial Lawyers Association of British Columbia for leave to intervene in the above appeal;</w:t>
      </w:r>
    </w:p>
    <w:p w:rsidR="003501C4" w:rsidRPr="003501C4" w:rsidRDefault="003501C4" w:rsidP="003501C4">
      <w:pPr>
        <w:spacing w:line="233" w:lineRule="auto"/>
        <w:jc w:val="both"/>
        <w:rPr>
          <w:sz w:val="20"/>
          <w:szCs w:val="20"/>
        </w:rPr>
      </w:pPr>
    </w:p>
    <w:p w:rsidR="003501C4" w:rsidRPr="003501C4" w:rsidRDefault="003501C4" w:rsidP="003501C4">
      <w:pPr>
        <w:spacing w:line="233" w:lineRule="auto"/>
        <w:jc w:val="both"/>
        <w:rPr>
          <w:sz w:val="20"/>
          <w:szCs w:val="20"/>
        </w:rPr>
      </w:pPr>
      <w:r w:rsidRPr="003501C4">
        <w:rPr>
          <w:b/>
          <w:bCs/>
          <w:sz w:val="20"/>
          <w:szCs w:val="20"/>
        </w:rPr>
        <w:t>AND THE MATERIAL FILED</w:t>
      </w:r>
      <w:r w:rsidRPr="003501C4">
        <w:rPr>
          <w:sz w:val="20"/>
          <w:szCs w:val="20"/>
        </w:rPr>
        <w:t xml:space="preserve"> having been read;</w:t>
      </w:r>
    </w:p>
    <w:p w:rsidR="003501C4" w:rsidRPr="003501C4" w:rsidRDefault="003501C4" w:rsidP="003501C4">
      <w:pPr>
        <w:spacing w:line="233" w:lineRule="auto"/>
        <w:jc w:val="both"/>
        <w:rPr>
          <w:sz w:val="20"/>
          <w:szCs w:val="20"/>
        </w:rPr>
      </w:pPr>
    </w:p>
    <w:p w:rsidR="003501C4" w:rsidRPr="003501C4" w:rsidRDefault="003501C4" w:rsidP="003501C4">
      <w:pPr>
        <w:spacing w:line="233" w:lineRule="auto"/>
        <w:jc w:val="both"/>
        <w:rPr>
          <w:sz w:val="20"/>
          <w:szCs w:val="20"/>
        </w:rPr>
      </w:pPr>
      <w:r w:rsidRPr="003501C4">
        <w:rPr>
          <w:b/>
          <w:bCs/>
          <w:sz w:val="20"/>
          <w:szCs w:val="20"/>
        </w:rPr>
        <w:t>IT IS HEREBY ORDERED THAT:</w:t>
      </w:r>
    </w:p>
    <w:p w:rsidR="003501C4" w:rsidRPr="003501C4" w:rsidRDefault="003501C4" w:rsidP="003501C4">
      <w:pPr>
        <w:spacing w:line="233" w:lineRule="auto"/>
        <w:jc w:val="both"/>
        <w:rPr>
          <w:sz w:val="20"/>
          <w:szCs w:val="20"/>
        </w:rPr>
      </w:pPr>
    </w:p>
    <w:p w:rsidR="003501C4" w:rsidRPr="003501C4" w:rsidRDefault="003501C4" w:rsidP="003501C4">
      <w:pPr>
        <w:spacing w:line="233" w:lineRule="auto"/>
        <w:jc w:val="both"/>
        <w:rPr>
          <w:sz w:val="20"/>
          <w:szCs w:val="20"/>
        </w:rPr>
      </w:pPr>
      <w:r w:rsidRPr="003501C4">
        <w:rPr>
          <w:sz w:val="20"/>
          <w:szCs w:val="20"/>
        </w:rPr>
        <w:t>The motion for an extension of time to apply for leave to intervene and for leave to intervene of the Canadian Bar Association is granted and the said intervener shall be entitled to serve and file a factum not to exceed 10 pages in length on or before July 30, 2012.</w:t>
      </w:r>
    </w:p>
    <w:p w:rsidR="003501C4" w:rsidRPr="003501C4" w:rsidRDefault="003501C4" w:rsidP="003501C4">
      <w:pPr>
        <w:spacing w:line="233" w:lineRule="auto"/>
        <w:jc w:val="both"/>
        <w:rPr>
          <w:sz w:val="20"/>
          <w:szCs w:val="20"/>
        </w:rPr>
      </w:pPr>
    </w:p>
    <w:p w:rsidR="003501C4" w:rsidRPr="003501C4" w:rsidRDefault="003501C4" w:rsidP="003501C4">
      <w:pPr>
        <w:spacing w:line="233" w:lineRule="auto"/>
        <w:jc w:val="both"/>
        <w:rPr>
          <w:sz w:val="20"/>
          <w:szCs w:val="20"/>
        </w:rPr>
      </w:pPr>
      <w:r w:rsidRPr="003501C4">
        <w:rPr>
          <w:sz w:val="20"/>
          <w:szCs w:val="20"/>
        </w:rPr>
        <w:t>The motions for leave to intervene of the Attorney General of Ontario and the Trial Lawyers Association of British Columbia are granted and the said interveners shall be entitled to each serve and file a factum not to exceed 10 pages in length on or before July 30, 2012.</w:t>
      </w:r>
    </w:p>
    <w:p w:rsidR="003501C4" w:rsidRPr="003501C4" w:rsidRDefault="003501C4" w:rsidP="003501C4">
      <w:pPr>
        <w:spacing w:line="233" w:lineRule="auto"/>
        <w:jc w:val="both"/>
        <w:rPr>
          <w:sz w:val="20"/>
          <w:szCs w:val="20"/>
        </w:rPr>
      </w:pPr>
    </w:p>
    <w:p w:rsidR="003501C4" w:rsidRPr="003501C4" w:rsidRDefault="003501C4" w:rsidP="003501C4">
      <w:pPr>
        <w:spacing w:line="233" w:lineRule="auto"/>
        <w:jc w:val="both"/>
        <w:rPr>
          <w:sz w:val="20"/>
          <w:szCs w:val="20"/>
        </w:rPr>
      </w:pPr>
      <w:r w:rsidRPr="003501C4">
        <w:rPr>
          <w:sz w:val="20"/>
          <w:szCs w:val="20"/>
        </w:rPr>
        <w:t>The requests to present oral argument are deferred to a date following receipt and consideration of the written arguments of the parties and the interveners.</w:t>
      </w:r>
    </w:p>
    <w:p w:rsidR="003501C4" w:rsidRPr="003501C4" w:rsidRDefault="003501C4" w:rsidP="003501C4">
      <w:pPr>
        <w:spacing w:line="233" w:lineRule="auto"/>
        <w:jc w:val="both"/>
        <w:rPr>
          <w:sz w:val="20"/>
          <w:szCs w:val="20"/>
        </w:rPr>
      </w:pPr>
    </w:p>
    <w:p w:rsidR="003501C4" w:rsidRPr="003501C4" w:rsidRDefault="00ED3438" w:rsidP="003501C4">
      <w:pPr>
        <w:jc w:val="both"/>
        <w:rPr>
          <w:bCs/>
          <w:sz w:val="20"/>
          <w:szCs w:val="20"/>
        </w:rPr>
      </w:pPr>
      <w:r w:rsidRPr="003501C4">
        <w:rPr>
          <w:sz w:val="20"/>
          <w:szCs w:val="20"/>
        </w:rPr>
        <w:fldChar w:fldCharType="begin"/>
      </w:r>
      <w:r w:rsidR="003501C4" w:rsidRPr="003501C4">
        <w:rPr>
          <w:sz w:val="20"/>
          <w:szCs w:val="20"/>
        </w:rPr>
        <w:instrText xml:space="preserve"> SEQ CHAPTER \h \r 1</w:instrText>
      </w:r>
      <w:r w:rsidRPr="003501C4">
        <w:rPr>
          <w:sz w:val="20"/>
          <w:szCs w:val="20"/>
        </w:rPr>
        <w:fldChar w:fldCharType="end"/>
      </w:r>
      <w:r w:rsidR="003501C4" w:rsidRPr="003501C4">
        <w:rPr>
          <w:bCs/>
          <w:sz w:val="20"/>
          <w:szCs w:val="20"/>
        </w:rPr>
        <w:t>The interveners are not entitled to raise new issues or to adduce further evidence or otherwise to supplement the record of the parties.</w:t>
      </w:r>
    </w:p>
    <w:p w:rsidR="003501C4" w:rsidRPr="003501C4" w:rsidRDefault="003501C4" w:rsidP="003501C4">
      <w:pPr>
        <w:spacing w:line="233" w:lineRule="auto"/>
        <w:jc w:val="both"/>
        <w:rPr>
          <w:sz w:val="20"/>
          <w:szCs w:val="20"/>
        </w:rPr>
      </w:pPr>
    </w:p>
    <w:p w:rsidR="003501C4" w:rsidRPr="003501C4" w:rsidRDefault="003501C4" w:rsidP="003501C4">
      <w:pPr>
        <w:spacing w:line="233" w:lineRule="auto"/>
        <w:jc w:val="both"/>
        <w:rPr>
          <w:sz w:val="20"/>
          <w:szCs w:val="20"/>
        </w:rPr>
      </w:pPr>
      <w:r w:rsidRPr="003501C4">
        <w:rPr>
          <w:sz w:val="20"/>
          <w:szCs w:val="20"/>
        </w:rPr>
        <w:t>Pursuant to Rule 59(1</w:t>
      </w:r>
      <w:proofErr w:type="gramStart"/>
      <w:r w:rsidRPr="003501C4">
        <w:rPr>
          <w:sz w:val="20"/>
          <w:szCs w:val="20"/>
        </w:rPr>
        <w:t>)(</w:t>
      </w:r>
      <w:proofErr w:type="gramEnd"/>
      <w:r w:rsidRPr="003501C4">
        <w:rPr>
          <w:i/>
          <w:iCs/>
          <w:sz w:val="20"/>
          <w:szCs w:val="20"/>
        </w:rPr>
        <w:t>a</w:t>
      </w:r>
      <w:r w:rsidRPr="003501C4">
        <w:rPr>
          <w:sz w:val="20"/>
          <w:szCs w:val="20"/>
        </w:rPr>
        <w:t xml:space="preserve">) of the </w:t>
      </w:r>
      <w:r w:rsidRPr="003501C4">
        <w:rPr>
          <w:i/>
          <w:iCs/>
          <w:sz w:val="20"/>
          <w:szCs w:val="20"/>
        </w:rPr>
        <w:t>Rules of the Supreme Court of Canada</w:t>
      </w:r>
      <w:r w:rsidRPr="003501C4">
        <w:rPr>
          <w:sz w:val="20"/>
          <w:szCs w:val="20"/>
        </w:rPr>
        <w:t>, the interveners shall pay to the appellants and respondents any additional disbursements occasioned to the appellants and respondents by their interventions.</w:t>
      </w:r>
    </w:p>
    <w:p w:rsidR="003501C4" w:rsidRPr="003501C4" w:rsidRDefault="003501C4" w:rsidP="003501C4">
      <w:pPr>
        <w:tabs>
          <w:tab w:val="left" w:pos="-1440"/>
          <w:tab w:val="left" w:pos="-720"/>
        </w:tabs>
        <w:jc w:val="both"/>
        <w:rPr>
          <w:sz w:val="20"/>
          <w:szCs w:val="20"/>
        </w:rPr>
      </w:pPr>
    </w:p>
    <w:p w:rsidR="003501C4" w:rsidRPr="003501C4" w:rsidRDefault="003501C4" w:rsidP="003501C4">
      <w:pPr>
        <w:tabs>
          <w:tab w:val="left" w:pos="-1440"/>
          <w:tab w:val="left" w:pos="-720"/>
        </w:tabs>
        <w:jc w:val="both"/>
        <w:rPr>
          <w:sz w:val="20"/>
          <w:szCs w:val="20"/>
        </w:rPr>
      </w:pPr>
    </w:p>
    <w:p w:rsidR="003501C4" w:rsidRPr="003501C4" w:rsidRDefault="003501C4" w:rsidP="003501C4">
      <w:pPr>
        <w:tabs>
          <w:tab w:val="left" w:pos="-1440"/>
          <w:tab w:val="left" w:pos="-720"/>
        </w:tabs>
        <w:jc w:val="both"/>
        <w:rPr>
          <w:sz w:val="20"/>
          <w:szCs w:val="20"/>
        </w:rPr>
      </w:pPr>
    </w:p>
    <w:p w:rsidR="003501C4" w:rsidRPr="003501C4" w:rsidRDefault="003501C4" w:rsidP="003501C4">
      <w:pPr>
        <w:spacing w:line="233" w:lineRule="auto"/>
        <w:jc w:val="both"/>
        <w:rPr>
          <w:rFonts w:cs="Times New Roman"/>
          <w:sz w:val="20"/>
          <w:szCs w:val="20"/>
          <w:lang w:val="fr-FR"/>
        </w:rPr>
      </w:pPr>
      <w:r w:rsidRPr="003501C4">
        <w:rPr>
          <w:rFonts w:cs="Times New Roman"/>
          <w:b/>
          <w:sz w:val="20"/>
          <w:szCs w:val="20"/>
          <w:lang w:val="fr-FR"/>
        </w:rPr>
        <w:t>À LA SUITE DE LA DEMANDE</w:t>
      </w:r>
      <w:r w:rsidRPr="003501C4">
        <w:rPr>
          <w:rFonts w:cs="Times New Roman"/>
          <w:sz w:val="20"/>
          <w:szCs w:val="20"/>
          <w:lang w:val="fr-FR"/>
        </w:rPr>
        <w:t xml:space="preserve"> présentée par l’Association du Barreau canadien en prorogation du délai applicable à une demande d'autorisation d'intervenir et en autorisation d'intervenir dans l'appel;</w:t>
      </w:r>
    </w:p>
    <w:p w:rsidR="003501C4" w:rsidRPr="003501C4" w:rsidRDefault="003501C4" w:rsidP="003501C4">
      <w:pPr>
        <w:spacing w:line="233" w:lineRule="auto"/>
        <w:jc w:val="both"/>
        <w:rPr>
          <w:rFonts w:cs="Times New Roman"/>
          <w:sz w:val="20"/>
          <w:szCs w:val="20"/>
          <w:lang w:val="fr-FR"/>
        </w:rPr>
      </w:pPr>
    </w:p>
    <w:p w:rsidR="003501C4" w:rsidRPr="003501C4" w:rsidRDefault="003501C4" w:rsidP="003501C4">
      <w:pPr>
        <w:spacing w:line="233" w:lineRule="auto"/>
        <w:jc w:val="both"/>
        <w:rPr>
          <w:rFonts w:cs="Times New Roman"/>
          <w:sz w:val="20"/>
          <w:szCs w:val="20"/>
          <w:lang w:val="fr-FR"/>
        </w:rPr>
      </w:pPr>
      <w:r w:rsidRPr="003501C4">
        <w:rPr>
          <w:rFonts w:cs="Times New Roman"/>
          <w:b/>
          <w:sz w:val="20"/>
          <w:szCs w:val="20"/>
          <w:lang w:val="fr-FR"/>
        </w:rPr>
        <w:t>ET À LA SUITE DES REQUÊTES</w:t>
      </w:r>
      <w:r w:rsidRPr="003501C4">
        <w:rPr>
          <w:rFonts w:cs="Times New Roman"/>
          <w:sz w:val="20"/>
          <w:szCs w:val="20"/>
          <w:lang w:val="fr-FR"/>
        </w:rPr>
        <w:t xml:space="preserve"> présentées par le procureur général de l’Ontario et par la Trial </w:t>
      </w:r>
      <w:proofErr w:type="spellStart"/>
      <w:r w:rsidRPr="003501C4">
        <w:rPr>
          <w:rFonts w:cs="Times New Roman"/>
          <w:sz w:val="20"/>
          <w:szCs w:val="20"/>
          <w:lang w:val="fr-FR"/>
        </w:rPr>
        <w:t>Lawyers</w:t>
      </w:r>
      <w:proofErr w:type="spellEnd"/>
      <w:r w:rsidRPr="003501C4">
        <w:rPr>
          <w:rFonts w:cs="Times New Roman"/>
          <w:sz w:val="20"/>
          <w:szCs w:val="20"/>
          <w:lang w:val="fr-FR"/>
        </w:rPr>
        <w:t xml:space="preserve"> Association of British Columbia en autorisation d’intervenir dans l’appel;</w:t>
      </w:r>
    </w:p>
    <w:p w:rsidR="003501C4" w:rsidRPr="003501C4" w:rsidRDefault="003501C4" w:rsidP="003501C4">
      <w:pPr>
        <w:spacing w:line="233" w:lineRule="auto"/>
        <w:jc w:val="both"/>
        <w:rPr>
          <w:rFonts w:cs="Times New Roman"/>
          <w:sz w:val="20"/>
          <w:szCs w:val="20"/>
          <w:lang w:val="fr-FR"/>
        </w:rPr>
      </w:pPr>
    </w:p>
    <w:p w:rsidR="003501C4" w:rsidRPr="003501C4" w:rsidRDefault="003501C4" w:rsidP="003501C4">
      <w:pPr>
        <w:spacing w:line="233" w:lineRule="auto"/>
        <w:jc w:val="both"/>
        <w:rPr>
          <w:rFonts w:cs="Times New Roman"/>
          <w:sz w:val="20"/>
          <w:szCs w:val="20"/>
          <w:lang w:val="fr-FR"/>
        </w:rPr>
      </w:pPr>
      <w:r w:rsidRPr="003501C4">
        <w:rPr>
          <w:rFonts w:cs="Times New Roman"/>
          <w:b/>
          <w:sz w:val="20"/>
          <w:szCs w:val="20"/>
          <w:lang w:val="fr-FR"/>
        </w:rPr>
        <w:t>ET APRÈS EXAMEN</w:t>
      </w:r>
      <w:r w:rsidRPr="003501C4">
        <w:rPr>
          <w:rFonts w:cs="Times New Roman"/>
          <w:sz w:val="20"/>
          <w:szCs w:val="20"/>
          <w:lang w:val="fr-FR"/>
        </w:rPr>
        <w:t xml:space="preserve"> des documents déposés; </w:t>
      </w:r>
    </w:p>
    <w:p w:rsidR="003501C4" w:rsidRPr="003501C4" w:rsidRDefault="003501C4" w:rsidP="003501C4">
      <w:pPr>
        <w:spacing w:line="233" w:lineRule="auto"/>
        <w:jc w:val="both"/>
        <w:rPr>
          <w:rFonts w:cs="Times New Roman"/>
          <w:sz w:val="20"/>
          <w:szCs w:val="20"/>
          <w:lang w:val="fr-FR"/>
        </w:rPr>
      </w:pPr>
    </w:p>
    <w:p w:rsidR="003501C4" w:rsidRPr="003501C4" w:rsidRDefault="003501C4" w:rsidP="003501C4">
      <w:pPr>
        <w:spacing w:line="233" w:lineRule="auto"/>
        <w:jc w:val="both"/>
        <w:rPr>
          <w:rFonts w:cs="Times New Roman"/>
          <w:b/>
          <w:sz w:val="20"/>
          <w:szCs w:val="20"/>
          <w:lang w:val="fr-FR"/>
        </w:rPr>
      </w:pPr>
      <w:r w:rsidRPr="003501C4">
        <w:rPr>
          <w:rFonts w:cs="Times New Roman"/>
          <w:b/>
          <w:sz w:val="20"/>
          <w:szCs w:val="20"/>
          <w:lang w:val="fr-FR"/>
        </w:rPr>
        <w:t xml:space="preserve">IL EST ORDONNÉ CE QUI SUIT : </w:t>
      </w:r>
    </w:p>
    <w:p w:rsidR="003501C4" w:rsidRPr="003501C4" w:rsidRDefault="003501C4" w:rsidP="003501C4">
      <w:pPr>
        <w:spacing w:line="233" w:lineRule="auto"/>
        <w:jc w:val="both"/>
        <w:rPr>
          <w:rFonts w:cs="Times New Roman"/>
          <w:sz w:val="20"/>
          <w:szCs w:val="20"/>
          <w:lang w:val="fr-FR"/>
        </w:rPr>
      </w:pPr>
    </w:p>
    <w:p w:rsidR="003501C4" w:rsidRPr="003501C4" w:rsidRDefault="003501C4" w:rsidP="003501C4">
      <w:pPr>
        <w:spacing w:line="233" w:lineRule="auto"/>
        <w:jc w:val="both"/>
        <w:rPr>
          <w:rFonts w:cs="Times New Roman"/>
          <w:sz w:val="20"/>
          <w:szCs w:val="20"/>
          <w:lang w:val="fr-FR"/>
        </w:rPr>
      </w:pPr>
      <w:r w:rsidRPr="003501C4">
        <w:rPr>
          <w:rFonts w:cs="Times New Roman"/>
          <w:sz w:val="20"/>
          <w:szCs w:val="20"/>
          <w:lang w:val="fr-FR"/>
        </w:rPr>
        <w:t xml:space="preserve">La requête en prorogation du délai applicable à une demande d'autorisation d'intervenir et en autorisation d'intervenir présentée par l’Association du Barreau canadien est accordée.  La requérante pourra signifier et déposer un mémoire d'au plus dix (10) pages au plus tard le 30 juillet 2012. </w:t>
      </w:r>
    </w:p>
    <w:p w:rsidR="003501C4" w:rsidRPr="003501C4" w:rsidRDefault="003501C4" w:rsidP="003501C4">
      <w:pPr>
        <w:spacing w:line="233" w:lineRule="auto"/>
        <w:jc w:val="both"/>
        <w:rPr>
          <w:rFonts w:cs="Times New Roman"/>
          <w:sz w:val="20"/>
          <w:szCs w:val="20"/>
          <w:lang w:val="fr-FR"/>
        </w:rPr>
      </w:pPr>
    </w:p>
    <w:p w:rsidR="003501C4" w:rsidRPr="003501C4" w:rsidRDefault="003501C4" w:rsidP="003501C4">
      <w:pPr>
        <w:spacing w:line="233" w:lineRule="auto"/>
        <w:jc w:val="both"/>
        <w:rPr>
          <w:rFonts w:cs="Times New Roman"/>
          <w:sz w:val="20"/>
          <w:szCs w:val="20"/>
          <w:lang w:val="fr-FR"/>
        </w:rPr>
      </w:pPr>
      <w:r w:rsidRPr="003501C4">
        <w:rPr>
          <w:rFonts w:cs="Times New Roman"/>
          <w:sz w:val="20"/>
          <w:szCs w:val="20"/>
          <w:lang w:val="fr-FR"/>
        </w:rPr>
        <w:t xml:space="preserve">Les requêtes en autorisation d'intervenir présentées par le procureur général de l’Ontario et par la Trial </w:t>
      </w:r>
      <w:proofErr w:type="spellStart"/>
      <w:r w:rsidRPr="003501C4">
        <w:rPr>
          <w:rFonts w:cs="Times New Roman"/>
          <w:sz w:val="20"/>
          <w:szCs w:val="20"/>
          <w:lang w:val="fr-FR"/>
        </w:rPr>
        <w:t>Lawyers</w:t>
      </w:r>
      <w:proofErr w:type="spellEnd"/>
      <w:r w:rsidRPr="003501C4">
        <w:rPr>
          <w:rFonts w:cs="Times New Roman"/>
          <w:sz w:val="20"/>
          <w:szCs w:val="20"/>
          <w:lang w:val="fr-FR"/>
        </w:rPr>
        <w:t xml:space="preserve"> Association of British Columbia sont accordées et les requérants pourront chacun signifier et déposer un mémoire d'au plus dix (10) pages au plus tard le 30 juillet 2012.</w:t>
      </w:r>
    </w:p>
    <w:p w:rsidR="003501C4" w:rsidRPr="003501C4" w:rsidRDefault="003501C4" w:rsidP="003501C4">
      <w:pPr>
        <w:spacing w:line="233" w:lineRule="auto"/>
        <w:jc w:val="both"/>
        <w:rPr>
          <w:rFonts w:cs="Times New Roman"/>
          <w:sz w:val="20"/>
          <w:szCs w:val="20"/>
          <w:lang w:val="fr-FR"/>
        </w:rPr>
      </w:pPr>
    </w:p>
    <w:p w:rsidR="003501C4" w:rsidRPr="003501C4" w:rsidRDefault="003501C4" w:rsidP="003501C4">
      <w:pPr>
        <w:spacing w:line="233" w:lineRule="auto"/>
        <w:jc w:val="both"/>
        <w:rPr>
          <w:rFonts w:cs="Times New Roman"/>
          <w:sz w:val="20"/>
          <w:szCs w:val="20"/>
          <w:lang w:val="fr-FR"/>
        </w:rPr>
      </w:pPr>
      <w:r w:rsidRPr="003501C4">
        <w:rPr>
          <w:rFonts w:cs="Times New Roman"/>
          <w:sz w:val="20"/>
          <w:szCs w:val="20"/>
          <w:lang w:val="fr-FR"/>
        </w:rPr>
        <w:t xml:space="preserve">La décision sur la demande en vue de présenter une plaidoirie orale sera rendue après réception et examen des arguments écrits des parties et de l'intervenante. </w:t>
      </w:r>
    </w:p>
    <w:p w:rsidR="003501C4" w:rsidRPr="003501C4" w:rsidRDefault="003501C4" w:rsidP="003501C4">
      <w:pPr>
        <w:spacing w:line="233" w:lineRule="auto"/>
        <w:jc w:val="both"/>
        <w:rPr>
          <w:rFonts w:cs="Times New Roman"/>
          <w:sz w:val="20"/>
          <w:szCs w:val="20"/>
          <w:lang w:val="fr-FR"/>
        </w:rPr>
      </w:pPr>
    </w:p>
    <w:p w:rsidR="003501C4" w:rsidRPr="003501C4" w:rsidRDefault="003501C4" w:rsidP="003501C4">
      <w:pPr>
        <w:spacing w:line="233" w:lineRule="auto"/>
        <w:jc w:val="both"/>
        <w:rPr>
          <w:rFonts w:cs="Times New Roman"/>
          <w:sz w:val="20"/>
          <w:szCs w:val="20"/>
          <w:lang w:val="fr-FR"/>
        </w:rPr>
      </w:pPr>
      <w:r w:rsidRPr="003501C4">
        <w:rPr>
          <w:rFonts w:cs="Times New Roman"/>
          <w:sz w:val="20"/>
          <w:szCs w:val="20"/>
          <w:lang w:val="fr-FR"/>
        </w:rPr>
        <w:t>L'intervenante n'a pas le droit de soulever de nouvelles questions, de produire d'autres éléments de preuve ni de compléter de quelque autre façon le dossier des parties.</w:t>
      </w:r>
    </w:p>
    <w:p w:rsidR="003501C4" w:rsidRPr="003501C4" w:rsidRDefault="003501C4" w:rsidP="003501C4">
      <w:pPr>
        <w:spacing w:line="233" w:lineRule="auto"/>
        <w:jc w:val="both"/>
        <w:rPr>
          <w:rFonts w:cs="Times New Roman"/>
          <w:sz w:val="20"/>
          <w:szCs w:val="20"/>
          <w:lang w:val="fr-FR"/>
        </w:rPr>
      </w:pPr>
    </w:p>
    <w:p w:rsidR="003501C4" w:rsidRPr="003501C4" w:rsidRDefault="003501C4" w:rsidP="003501C4">
      <w:pPr>
        <w:spacing w:line="233" w:lineRule="auto"/>
        <w:jc w:val="both"/>
        <w:rPr>
          <w:rFonts w:cs="Times New Roman"/>
          <w:sz w:val="20"/>
          <w:szCs w:val="20"/>
          <w:lang w:val="fr-FR"/>
        </w:rPr>
      </w:pPr>
      <w:r w:rsidRPr="003501C4">
        <w:rPr>
          <w:rFonts w:cs="Times New Roman"/>
          <w:sz w:val="20"/>
          <w:szCs w:val="20"/>
          <w:lang w:val="fr-FR"/>
        </w:rPr>
        <w:t>Conformément à l'alinéa 59(1)</w:t>
      </w:r>
      <w:r w:rsidRPr="003501C4">
        <w:rPr>
          <w:rFonts w:cs="Times New Roman"/>
          <w:i/>
          <w:sz w:val="20"/>
          <w:szCs w:val="20"/>
          <w:lang w:val="fr-FR"/>
        </w:rPr>
        <w:t>a</w:t>
      </w:r>
      <w:r w:rsidRPr="003501C4">
        <w:rPr>
          <w:rFonts w:cs="Times New Roman"/>
          <w:sz w:val="20"/>
          <w:szCs w:val="20"/>
          <w:lang w:val="fr-FR"/>
        </w:rPr>
        <w:t xml:space="preserve">) des </w:t>
      </w:r>
      <w:r w:rsidRPr="003501C4">
        <w:rPr>
          <w:rFonts w:cs="Times New Roman"/>
          <w:i/>
          <w:sz w:val="20"/>
          <w:szCs w:val="20"/>
          <w:lang w:val="fr-FR"/>
        </w:rPr>
        <w:t>Règles de la Cour suprême du Canada</w:t>
      </w:r>
      <w:r w:rsidRPr="003501C4">
        <w:rPr>
          <w:rFonts w:cs="Times New Roman"/>
          <w:sz w:val="20"/>
          <w:szCs w:val="20"/>
          <w:lang w:val="fr-FR"/>
        </w:rPr>
        <w:t>, l'intervenante paiera aux appelants et aux intimés</w:t>
      </w:r>
      <w:r>
        <w:rPr>
          <w:rFonts w:cs="Times New Roman"/>
          <w:sz w:val="20"/>
          <w:szCs w:val="20"/>
          <w:lang w:val="fr-FR"/>
        </w:rPr>
        <w:t xml:space="preserve"> </w:t>
      </w:r>
      <w:r w:rsidRPr="003501C4">
        <w:rPr>
          <w:rFonts w:cs="Times New Roman"/>
          <w:sz w:val="20"/>
          <w:szCs w:val="20"/>
          <w:lang w:val="fr-FR"/>
        </w:rPr>
        <w:t>tous débours supplémentaires résultant de son intervention.</w:t>
      </w:r>
    </w:p>
    <w:p w:rsidR="003501C4" w:rsidRPr="003501C4" w:rsidRDefault="003501C4" w:rsidP="003501C4">
      <w:pPr>
        <w:tabs>
          <w:tab w:val="left" w:pos="-1440"/>
          <w:tab w:val="left" w:pos="-720"/>
        </w:tabs>
        <w:jc w:val="both"/>
        <w:rPr>
          <w:sz w:val="20"/>
          <w:szCs w:val="20"/>
          <w:lang w:val="fr-FR"/>
        </w:rPr>
      </w:pPr>
    </w:p>
    <w:p w:rsidR="003501C4" w:rsidRPr="003501C4" w:rsidRDefault="003501C4" w:rsidP="003501C4">
      <w:pPr>
        <w:tabs>
          <w:tab w:val="left" w:pos="-1440"/>
          <w:tab w:val="left" w:pos="-720"/>
        </w:tabs>
        <w:spacing w:line="-19" w:lineRule="auto"/>
        <w:jc w:val="both"/>
        <w:rPr>
          <w:sz w:val="20"/>
          <w:szCs w:val="20"/>
          <w:lang w:val="fr-CA"/>
        </w:rPr>
      </w:pPr>
    </w:p>
    <w:p w:rsidR="003501C4" w:rsidRPr="003501C4" w:rsidRDefault="00ED3438" w:rsidP="003501C4">
      <w:pPr>
        <w:tabs>
          <w:tab w:val="left" w:pos="-1440"/>
          <w:tab w:val="left" w:pos="-720"/>
        </w:tabs>
        <w:jc w:val="both"/>
        <w:rPr>
          <w:sz w:val="20"/>
          <w:szCs w:val="20"/>
        </w:rPr>
      </w:pPr>
      <w:r w:rsidRPr="00ED3438">
        <w:rPr>
          <w:sz w:val="20"/>
          <w:szCs w:val="20"/>
          <w:lang w:val="fr-CA"/>
        </w:rPr>
        <w:pict>
          <v:rect id="_x0000_i1071" style="width:2in;height:1pt" o:hrpct="0" o:hralign="center" o:hrstd="t" o:hrnoshade="t" o:hr="t" fillcolor="black [3213]" stroked="f"/>
        </w:pict>
      </w:r>
    </w:p>
    <w:p w:rsidR="003501C4" w:rsidRDefault="003501C4" w:rsidP="003501C4">
      <w:pPr>
        <w:rPr>
          <w:sz w:val="20"/>
          <w:szCs w:val="20"/>
        </w:rPr>
      </w:pPr>
    </w:p>
    <w:p w:rsidR="00C97C57" w:rsidRPr="00C97C57" w:rsidRDefault="00C97C57" w:rsidP="00C97C57">
      <w:pPr>
        <w:tabs>
          <w:tab w:val="left" w:pos="-1440"/>
          <w:tab w:val="left" w:pos="-720"/>
        </w:tabs>
        <w:jc w:val="both"/>
        <w:rPr>
          <w:sz w:val="20"/>
          <w:szCs w:val="20"/>
        </w:rPr>
      </w:pPr>
      <w:r w:rsidRPr="00C97C57">
        <w:rPr>
          <w:sz w:val="20"/>
          <w:szCs w:val="20"/>
        </w:rPr>
        <w:t>06.06.2012</w:t>
      </w:r>
    </w:p>
    <w:p w:rsidR="00C97C57" w:rsidRPr="00C97C57" w:rsidRDefault="00C97C57" w:rsidP="00C97C57">
      <w:pPr>
        <w:tabs>
          <w:tab w:val="left" w:pos="-1440"/>
          <w:tab w:val="left" w:pos="-720"/>
        </w:tabs>
        <w:jc w:val="both"/>
        <w:rPr>
          <w:sz w:val="20"/>
          <w:szCs w:val="20"/>
        </w:rPr>
      </w:pPr>
    </w:p>
    <w:p w:rsidR="00C97C57" w:rsidRPr="00C97C57" w:rsidRDefault="00C97C57" w:rsidP="00C97C57">
      <w:pPr>
        <w:tabs>
          <w:tab w:val="left" w:pos="-1440"/>
          <w:tab w:val="left" w:pos="-720"/>
        </w:tabs>
        <w:jc w:val="both"/>
        <w:rPr>
          <w:sz w:val="20"/>
          <w:szCs w:val="20"/>
        </w:rPr>
      </w:pPr>
      <w:r w:rsidRPr="00C97C57">
        <w:rPr>
          <w:sz w:val="20"/>
          <w:szCs w:val="20"/>
        </w:rPr>
        <w:t xml:space="preserve">Before / </w:t>
      </w:r>
      <w:proofErr w:type="spellStart"/>
      <w:proofErr w:type="gramStart"/>
      <w:r w:rsidRPr="00C97C57">
        <w:rPr>
          <w:sz w:val="20"/>
          <w:szCs w:val="20"/>
        </w:rPr>
        <w:t>Devant</w:t>
      </w:r>
      <w:proofErr w:type="spellEnd"/>
      <w:r w:rsidRPr="00C97C57">
        <w:rPr>
          <w:sz w:val="20"/>
          <w:szCs w:val="20"/>
        </w:rPr>
        <w:t xml:space="preserve"> :</w:t>
      </w:r>
      <w:proofErr w:type="gramEnd"/>
      <w:r w:rsidRPr="00C97C57">
        <w:rPr>
          <w:sz w:val="20"/>
          <w:szCs w:val="20"/>
        </w:rPr>
        <w:t xml:space="preserve">   THE REGISTRAR / LE REGISTRAIRE</w:t>
      </w:r>
    </w:p>
    <w:p w:rsidR="00C97C57" w:rsidRPr="00C97C57" w:rsidRDefault="00C97C57" w:rsidP="00C97C57">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97C57" w:rsidRPr="00017BF4" w:rsidTr="004F6B8D">
        <w:tc>
          <w:tcPr>
            <w:tcW w:w="4338" w:type="dxa"/>
          </w:tcPr>
          <w:p w:rsidR="00C97C57" w:rsidRPr="00C97C57" w:rsidRDefault="00ED3438" w:rsidP="004F6B8D">
            <w:pPr>
              <w:tabs>
                <w:tab w:val="left" w:pos="-1440"/>
                <w:tab w:val="left" w:pos="-720"/>
              </w:tabs>
              <w:jc w:val="both"/>
              <w:rPr>
                <w:b/>
                <w:sz w:val="20"/>
                <w:szCs w:val="20"/>
              </w:rPr>
            </w:pPr>
            <w:r w:rsidRPr="00C97C57">
              <w:rPr>
                <w:sz w:val="20"/>
                <w:szCs w:val="20"/>
              </w:rPr>
              <w:fldChar w:fldCharType="begin"/>
            </w:r>
            <w:r w:rsidR="00C97C57" w:rsidRPr="00C97C57">
              <w:rPr>
                <w:sz w:val="20"/>
                <w:szCs w:val="20"/>
              </w:rPr>
              <w:instrText xml:space="preserve"> SEQ CHAPTER \h \r 1</w:instrText>
            </w:r>
            <w:r w:rsidRPr="00C97C57">
              <w:rPr>
                <w:sz w:val="20"/>
                <w:szCs w:val="20"/>
              </w:rPr>
              <w:fldChar w:fldCharType="end"/>
            </w:r>
            <w:r w:rsidR="00C97C57" w:rsidRPr="00C97C57">
              <w:rPr>
                <w:b/>
                <w:bCs/>
                <w:sz w:val="20"/>
                <w:szCs w:val="20"/>
              </w:rPr>
              <w:t>Motion to file additional documents</w:t>
            </w:r>
            <w:r w:rsidR="00C97C57" w:rsidRPr="00C97C57">
              <w:rPr>
                <w:sz w:val="20"/>
                <w:szCs w:val="20"/>
              </w:rPr>
              <w:t xml:space="preserve"> </w:t>
            </w:r>
            <w:r w:rsidR="00C97C57" w:rsidRPr="00C97C57">
              <w:rPr>
                <w:b/>
                <w:bCs/>
                <w:sz w:val="20"/>
                <w:szCs w:val="20"/>
              </w:rPr>
              <w:t xml:space="preserve">pursuant to Rule 32(2) of the </w:t>
            </w:r>
            <w:r w:rsidR="00C97C57" w:rsidRPr="00C97C57">
              <w:rPr>
                <w:b/>
                <w:bCs/>
                <w:i/>
                <w:iCs/>
                <w:sz w:val="20"/>
                <w:szCs w:val="20"/>
              </w:rPr>
              <w:t>Rules of the Supreme Court of Canada</w:t>
            </w:r>
            <w:r w:rsidR="00C97C57" w:rsidRPr="00C97C57">
              <w:rPr>
                <w:sz w:val="20"/>
                <w:szCs w:val="20"/>
              </w:rPr>
              <w:t xml:space="preserve"> </w:t>
            </w:r>
            <w:r w:rsidRPr="00C97C57">
              <w:rPr>
                <w:sz w:val="20"/>
                <w:szCs w:val="20"/>
              </w:rPr>
              <w:fldChar w:fldCharType="begin"/>
            </w:r>
            <w:r w:rsidR="00C97C57" w:rsidRPr="00C97C57">
              <w:rPr>
                <w:sz w:val="20"/>
                <w:szCs w:val="20"/>
              </w:rPr>
              <w:instrText xml:space="preserve"> SEQ CHAPTER \h \r 1</w:instrText>
            </w:r>
            <w:r w:rsidRPr="00C97C57">
              <w:rPr>
                <w:sz w:val="20"/>
                <w:szCs w:val="20"/>
              </w:rPr>
              <w:fldChar w:fldCharType="end"/>
            </w:r>
          </w:p>
        </w:tc>
        <w:tc>
          <w:tcPr>
            <w:tcW w:w="1170" w:type="dxa"/>
          </w:tcPr>
          <w:p w:rsidR="00C97C57" w:rsidRPr="00C97C57" w:rsidRDefault="00C97C57" w:rsidP="004F6B8D">
            <w:pPr>
              <w:tabs>
                <w:tab w:val="left" w:pos="-1440"/>
                <w:tab w:val="left" w:pos="-720"/>
              </w:tabs>
              <w:jc w:val="both"/>
              <w:rPr>
                <w:sz w:val="20"/>
                <w:szCs w:val="20"/>
              </w:rPr>
            </w:pPr>
          </w:p>
          <w:p w:rsidR="00C97C57" w:rsidRPr="00C97C57" w:rsidRDefault="00C97C57" w:rsidP="004F6B8D">
            <w:pPr>
              <w:tabs>
                <w:tab w:val="left" w:pos="-1440"/>
                <w:tab w:val="left" w:pos="-720"/>
              </w:tabs>
              <w:jc w:val="both"/>
              <w:rPr>
                <w:sz w:val="20"/>
                <w:szCs w:val="20"/>
              </w:rPr>
            </w:pPr>
          </w:p>
        </w:tc>
        <w:tc>
          <w:tcPr>
            <w:tcW w:w="4327" w:type="dxa"/>
          </w:tcPr>
          <w:p w:rsidR="00C97C57" w:rsidRPr="00C97C57" w:rsidRDefault="00ED3438" w:rsidP="004F6B8D">
            <w:pPr>
              <w:tabs>
                <w:tab w:val="left" w:pos="-1440"/>
                <w:tab w:val="left" w:pos="-720"/>
              </w:tabs>
              <w:jc w:val="both"/>
              <w:rPr>
                <w:b/>
                <w:bCs/>
                <w:i/>
                <w:iCs/>
                <w:sz w:val="20"/>
                <w:szCs w:val="20"/>
                <w:lang w:val="fr-CA"/>
              </w:rPr>
            </w:pPr>
            <w:r w:rsidRPr="00C97C57">
              <w:rPr>
                <w:sz w:val="20"/>
                <w:szCs w:val="20"/>
              </w:rPr>
              <w:fldChar w:fldCharType="begin"/>
            </w:r>
            <w:r w:rsidR="00C97C57" w:rsidRPr="00C97C57">
              <w:rPr>
                <w:sz w:val="20"/>
                <w:szCs w:val="20"/>
                <w:lang w:val="fr-CA"/>
              </w:rPr>
              <w:instrText xml:space="preserve"> SEQ CHAPTER \h \r 1</w:instrText>
            </w:r>
            <w:r w:rsidRPr="00C97C57">
              <w:rPr>
                <w:sz w:val="20"/>
                <w:szCs w:val="20"/>
              </w:rPr>
              <w:fldChar w:fldCharType="end"/>
            </w:r>
            <w:r w:rsidR="00C97C57" w:rsidRPr="00C97C57">
              <w:rPr>
                <w:b/>
                <w:bCs/>
                <w:sz w:val="20"/>
                <w:szCs w:val="20"/>
                <w:lang w:val="fr-CA"/>
              </w:rPr>
              <w:t>Requête en vue de déposer des documents supplémentaires</w:t>
            </w:r>
            <w:r w:rsidR="00C97C57" w:rsidRPr="00C97C57">
              <w:rPr>
                <w:sz w:val="20"/>
                <w:szCs w:val="20"/>
                <w:lang w:val="fr-CA"/>
              </w:rPr>
              <w:t xml:space="preserve"> </w:t>
            </w:r>
            <w:r w:rsidR="00C97C57" w:rsidRPr="00C97C57">
              <w:rPr>
                <w:b/>
                <w:bCs/>
                <w:sz w:val="20"/>
                <w:szCs w:val="20"/>
                <w:lang w:val="fr-CA"/>
              </w:rPr>
              <w:t xml:space="preserve">en vertu du paragraphe 32(2) des </w:t>
            </w:r>
            <w:r w:rsidR="00C97C57" w:rsidRPr="00C97C57">
              <w:rPr>
                <w:b/>
                <w:bCs/>
                <w:i/>
                <w:iCs/>
                <w:sz w:val="20"/>
                <w:szCs w:val="20"/>
                <w:lang w:val="fr-CA"/>
              </w:rPr>
              <w:t>Règles de la Cour suprême du Canada</w:t>
            </w:r>
          </w:p>
          <w:p w:rsidR="00C97C57" w:rsidRPr="00C97C57" w:rsidRDefault="00ED3438" w:rsidP="004F6B8D">
            <w:pPr>
              <w:tabs>
                <w:tab w:val="left" w:pos="-1440"/>
                <w:tab w:val="left" w:pos="-720"/>
              </w:tabs>
              <w:jc w:val="both"/>
              <w:rPr>
                <w:sz w:val="20"/>
                <w:szCs w:val="20"/>
                <w:lang w:val="fr-CA"/>
              </w:rPr>
            </w:pPr>
            <w:r w:rsidRPr="00C97C57">
              <w:rPr>
                <w:sz w:val="20"/>
                <w:szCs w:val="20"/>
              </w:rPr>
              <w:fldChar w:fldCharType="begin"/>
            </w:r>
            <w:r w:rsidR="00C97C57" w:rsidRPr="00C97C57">
              <w:rPr>
                <w:sz w:val="20"/>
                <w:szCs w:val="20"/>
                <w:lang w:val="fr-CA"/>
              </w:rPr>
              <w:instrText xml:space="preserve"> SEQ CHAPTER \h \r 1</w:instrText>
            </w:r>
            <w:r w:rsidRPr="00C97C57">
              <w:rPr>
                <w:sz w:val="20"/>
                <w:szCs w:val="20"/>
              </w:rPr>
              <w:fldChar w:fldCharType="end"/>
            </w:r>
            <w:r w:rsidRPr="00C97C57">
              <w:rPr>
                <w:sz w:val="20"/>
                <w:szCs w:val="20"/>
              </w:rPr>
              <w:fldChar w:fldCharType="begin"/>
            </w:r>
            <w:r w:rsidR="00C97C57" w:rsidRPr="00C97C57">
              <w:rPr>
                <w:sz w:val="20"/>
                <w:szCs w:val="20"/>
                <w:lang w:val="fr-CA"/>
              </w:rPr>
              <w:instrText xml:space="preserve"> SEQ CHAPTER \h \r 1</w:instrText>
            </w:r>
            <w:r w:rsidRPr="00C97C57">
              <w:rPr>
                <w:sz w:val="20"/>
                <w:szCs w:val="20"/>
              </w:rPr>
              <w:fldChar w:fldCharType="end"/>
            </w:r>
            <w:r w:rsidRPr="00C97C57">
              <w:rPr>
                <w:sz w:val="20"/>
                <w:szCs w:val="20"/>
              </w:rPr>
              <w:fldChar w:fldCharType="begin"/>
            </w:r>
            <w:r w:rsidR="00C97C57" w:rsidRPr="00C97C57">
              <w:rPr>
                <w:sz w:val="20"/>
                <w:szCs w:val="20"/>
                <w:lang w:val="fr-CA"/>
              </w:rPr>
              <w:instrText xml:space="preserve"> SEQ CHAPTER \h \r 1</w:instrText>
            </w:r>
            <w:r w:rsidRPr="00C97C57">
              <w:rPr>
                <w:sz w:val="20"/>
                <w:szCs w:val="20"/>
              </w:rPr>
              <w:fldChar w:fldCharType="end"/>
            </w:r>
          </w:p>
        </w:tc>
      </w:tr>
      <w:tr w:rsidR="00C97C57" w:rsidRPr="00C97C57" w:rsidTr="004F6B8D">
        <w:tc>
          <w:tcPr>
            <w:tcW w:w="4338" w:type="dxa"/>
          </w:tcPr>
          <w:p w:rsidR="00C97C57" w:rsidRPr="00C97C57" w:rsidRDefault="00C97C57" w:rsidP="004F6B8D">
            <w:pPr>
              <w:tabs>
                <w:tab w:val="left" w:pos="-1440"/>
                <w:tab w:val="left" w:pos="-720"/>
              </w:tabs>
              <w:jc w:val="both"/>
              <w:rPr>
                <w:sz w:val="20"/>
                <w:szCs w:val="20"/>
              </w:rPr>
            </w:pPr>
            <w:r w:rsidRPr="00C97C57">
              <w:rPr>
                <w:sz w:val="20"/>
                <w:szCs w:val="20"/>
              </w:rPr>
              <w:t>Envision Credit Union</w:t>
            </w:r>
          </w:p>
          <w:p w:rsidR="00C97C57" w:rsidRPr="00C97C57" w:rsidRDefault="00C97C57" w:rsidP="004F6B8D">
            <w:pPr>
              <w:tabs>
                <w:tab w:val="left" w:pos="-1440"/>
                <w:tab w:val="left" w:pos="-720"/>
              </w:tabs>
              <w:jc w:val="both"/>
              <w:rPr>
                <w:sz w:val="20"/>
                <w:szCs w:val="20"/>
              </w:rPr>
            </w:pPr>
          </w:p>
          <w:p w:rsidR="00C97C57" w:rsidRPr="00C97C57" w:rsidRDefault="00C97C57" w:rsidP="004F6B8D">
            <w:pPr>
              <w:tabs>
                <w:tab w:val="left" w:pos="-1440"/>
                <w:tab w:val="left" w:pos="-720"/>
              </w:tabs>
              <w:jc w:val="both"/>
              <w:rPr>
                <w:sz w:val="20"/>
                <w:szCs w:val="20"/>
              </w:rPr>
            </w:pPr>
            <w:r w:rsidRPr="00C97C57">
              <w:rPr>
                <w:sz w:val="20"/>
                <w:szCs w:val="20"/>
              </w:rPr>
              <w:tab/>
              <w:t>v. (34619)</w:t>
            </w:r>
          </w:p>
          <w:p w:rsidR="00C97C57" w:rsidRPr="00C97C57" w:rsidRDefault="00C97C57" w:rsidP="004F6B8D">
            <w:pPr>
              <w:tabs>
                <w:tab w:val="left" w:pos="-1440"/>
                <w:tab w:val="left" w:pos="-720"/>
              </w:tabs>
              <w:jc w:val="both"/>
              <w:rPr>
                <w:sz w:val="20"/>
                <w:szCs w:val="20"/>
              </w:rPr>
            </w:pPr>
          </w:p>
          <w:p w:rsidR="00C97C57" w:rsidRPr="00C97C57" w:rsidRDefault="00C97C57" w:rsidP="004F6B8D">
            <w:pPr>
              <w:tabs>
                <w:tab w:val="left" w:pos="-1440"/>
                <w:tab w:val="left" w:pos="-720"/>
              </w:tabs>
              <w:jc w:val="both"/>
              <w:rPr>
                <w:sz w:val="20"/>
                <w:szCs w:val="20"/>
              </w:rPr>
            </w:pPr>
            <w:r w:rsidRPr="00C97C57">
              <w:rPr>
                <w:sz w:val="20"/>
                <w:szCs w:val="20"/>
              </w:rPr>
              <w:t>Her Majesty the Queen (F.C.)</w:t>
            </w:r>
          </w:p>
        </w:tc>
        <w:tc>
          <w:tcPr>
            <w:tcW w:w="1170" w:type="dxa"/>
          </w:tcPr>
          <w:p w:rsidR="00C97C57" w:rsidRPr="00C97C57" w:rsidRDefault="00C97C57" w:rsidP="004F6B8D">
            <w:pPr>
              <w:tabs>
                <w:tab w:val="left" w:pos="-1440"/>
                <w:tab w:val="left" w:pos="-720"/>
              </w:tabs>
              <w:jc w:val="both"/>
              <w:rPr>
                <w:sz w:val="20"/>
                <w:szCs w:val="20"/>
              </w:rPr>
            </w:pPr>
          </w:p>
        </w:tc>
        <w:tc>
          <w:tcPr>
            <w:tcW w:w="4327" w:type="dxa"/>
          </w:tcPr>
          <w:p w:rsidR="00C97C57" w:rsidRPr="00C97C57" w:rsidRDefault="00C97C57" w:rsidP="004F6B8D">
            <w:pPr>
              <w:tabs>
                <w:tab w:val="left" w:pos="-1440"/>
                <w:tab w:val="left" w:pos="-720"/>
              </w:tabs>
              <w:jc w:val="both"/>
              <w:rPr>
                <w:sz w:val="20"/>
                <w:szCs w:val="20"/>
              </w:rPr>
            </w:pPr>
          </w:p>
        </w:tc>
      </w:tr>
    </w:tbl>
    <w:p w:rsidR="00C97C57" w:rsidRPr="00C97C57" w:rsidRDefault="00C97C57" w:rsidP="00C97C57">
      <w:pPr>
        <w:tabs>
          <w:tab w:val="left" w:pos="-1440"/>
          <w:tab w:val="left" w:pos="-720"/>
        </w:tabs>
        <w:jc w:val="both"/>
        <w:rPr>
          <w:sz w:val="20"/>
          <w:szCs w:val="20"/>
        </w:rPr>
      </w:pPr>
    </w:p>
    <w:p w:rsidR="00C97C57" w:rsidRPr="00C97C57" w:rsidRDefault="00C97C57" w:rsidP="00C97C57">
      <w:pPr>
        <w:tabs>
          <w:tab w:val="left" w:pos="-1440"/>
          <w:tab w:val="left" w:pos="-720"/>
        </w:tabs>
        <w:jc w:val="both"/>
        <w:rPr>
          <w:b/>
          <w:sz w:val="20"/>
          <w:szCs w:val="20"/>
        </w:rPr>
      </w:pPr>
      <w:r w:rsidRPr="00C97C57">
        <w:rPr>
          <w:b/>
          <w:sz w:val="20"/>
          <w:szCs w:val="20"/>
        </w:rPr>
        <w:t>DISMISSED / REJETÉE</w:t>
      </w:r>
    </w:p>
    <w:p w:rsidR="00C97C57" w:rsidRPr="00C97C57" w:rsidRDefault="00C97C57" w:rsidP="00C97C57">
      <w:pPr>
        <w:tabs>
          <w:tab w:val="left" w:pos="-1440"/>
          <w:tab w:val="left" w:pos="-720"/>
        </w:tabs>
        <w:jc w:val="both"/>
        <w:rPr>
          <w:sz w:val="20"/>
          <w:szCs w:val="20"/>
        </w:rPr>
      </w:pPr>
    </w:p>
    <w:p w:rsidR="00C97C57" w:rsidRPr="00C97C57" w:rsidRDefault="00C97C57" w:rsidP="00C97C57">
      <w:pPr>
        <w:jc w:val="both"/>
        <w:rPr>
          <w:sz w:val="20"/>
          <w:szCs w:val="20"/>
        </w:rPr>
      </w:pPr>
      <w:r w:rsidRPr="00C97C57">
        <w:rPr>
          <w:b/>
          <w:sz w:val="20"/>
          <w:szCs w:val="20"/>
        </w:rPr>
        <w:t>UPON APPLICATION</w:t>
      </w:r>
      <w:r w:rsidRPr="00C97C57">
        <w:rPr>
          <w:sz w:val="20"/>
          <w:szCs w:val="20"/>
        </w:rPr>
        <w:t xml:space="preserve"> </w:t>
      </w:r>
      <w:r w:rsidR="00ED3438" w:rsidRPr="00C97C57">
        <w:rPr>
          <w:sz w:val="20"/>
          <w:szCs w:val="20"/>
        </w:rPr>
        <w:fldChar w:fldCharType="begin"/>
      </w:r>
      <w:r w:rsidRPr="00C97C57">
        <w:rPr>
          <w:sz w:val="20"/>
          <w:szCs w:val="20"/>
        </w:rPr>
        <w:instrText xml:space="preserve"> SEQ CHAPTER \h \r 1</w:instrText>
      </w:r>
      <w:r w:rsidR="00ED3438" w:rsidRPr="00C97C57">
        <w:rPr>
          <w:sz w:val="20"/>
          <w:szCs w:val="20"/>
        </w:rPr>
        <w:fldChar w:fldCharType="end"/>
      </w:r>
      <w:r w:rsidRPr="00C97C57">
        <w:rPr>
          <w:sz w:val="20"/>
          <w:szCs w:val="20"/>
        </w:rPr>
        <w:t>made on behalf of the Applicant pursuant to the provisions of Rule 32(2) for an order to file additional material namely two articles published on May 11 and May 29, 2012, to be submitted to the leave panel;</w:t>
      </w:r>
    </w:p>
    <w:p w:rsidR="00C97C57" w:rsidRPr="00C97C57" w:rsidRDefault="00C97C57" w:rsidP="00C97C57">
      <w:pPr>
        <w:jc w:val="both"/>
        <w:rPr>
          <w:sz w:val="20"/>
          <w:szCs w:val="20"/>
        </w:rPr>
      </w:pPr>
    </w:p>
    <w:p w:rsidR="00C97C57" w:rsidRPr="00C97C57" w:rsidRDefault="00ED3438" w:rsidP="00C97C57">
      <w:pPr>
        <w:jc w:val="both"/>
        <w:rPr>
          <w:sz w:val="20"/>
          <w:szCs w:val="20"/>
        </w:rPr>
      </w:pPr>
      <w:r w:rsidRPr="00C97C57">
        <w:rPr>
          <w:sz w:val="20"/>
          <w:szCs w:val="20"/>
        </w:rPr>
        <w:fldChar w:fldCharType="begin"/>
      </w:r>
      <w:r w:rsidR="00C97C57" w:rsidRPr="00C97C57">
        <w:rPr>
          <w:sz w:val="20"/>
          <w:szCs w:val="20"/>
        </w:rPr>
        <w:instrText xml:space="preserve"> SEQ CHAPTER \h \r 1</w:instrText>
      </w:r>
      <w:r w:rsidRPr="00C97C57">
        <w:rPr>
          <w:sz w:val="20"/>
          <w:szCs w:val="20"/>
        </w:rPr>
        <w:fldChar w:fldCharType="end"/>
      </w:r>
      <w:r w:rsidR="00C97C57" w:rsidRPr="00C97C57">
        <w:rPr>
          <w:b/>
          <w:bCs/>
          <w:sz w:val="20"/>
          <w:szCs w:val="20"/>
        </w:rPr>
        <w:t>AND HAVING READ</w:t>
      </w:r>
      <w:r w:rsidR="00C97C57" w:rsidRPr="00C97C57">
        <w:rPr>
          <w:sz w:val="20"/>
          <w:szCs w:val="20"/>
        </w:rPr>
        <w:t xml:space="preserve"> the material filed;</w:t>
      </w:r>
    </w:p>
    <w:p w:rsidR="00C97C57" w:rsidRPr="00C97C57" w:rsidRDefault="00C97C57" w:rsidP="00C97C57">
      <w:pPr>
        <w:jc w:val="both"/>
        <w:rPr>
          <w:sz w:val="20"/>
          <w:szCs w:val="20"/>
        </w:rPr>
      </w:pPr>
    </w:p>
    <w:p w:rsidR="00C97C57" w:rsidRPr="00C97C57" w:rsidRDefault="00C97C57" w:rsidP="00C97C57">
      <w:pPr>
        <w:jc w:val="both"/>
        <w:rPr>
          <w:b/>
          <w:sz w:val="20"/>
          <w:szCs w:val="20"/>
        </w:rPr>
      </w:pPr>
      <w:r w:rsidRPr="00C97C57">
        <w:rPr>
          <w:b/>
          <w:sz w:val="20"/>
          <w:szCs w:val="20"/>
        </w:rPr>
        <w:t>IT IS HEREBY ORDERED THAT:</w:t>
      </w:r>
    </w:p>
    <w:p w:rsidR="00C97C57" w:rsidRPr="00C97C57" w:rsidRDefault="00C97C57" w:rsidP="00C97C57">
      <w:pPr>
        <w:pStyle w:val="ListParagraph"/>
        <w:ind w:left="360"/>
        <w:jc w:val="both"/>
        <w:rPr>
          <w:sz w:val="20"/>
          <w:szCs w:val="20"/>
        </w:rPr>
      </w:pPr>
    </w:p>
    <w:p w:rsidR="00C97C57" w:rsidRPr="00C97C57" w:rsidRDefault="00C97C57" w:rsidP="00C97C57">
      <w:pPr>
        <w:pStyle w:val="ListParagraph"/>
        <w:ind w:left="360"/>
        <w:jc w:val="both"/>
        <w:rPr>
          <w:sz w:val="20"/>
          <w:szCs w:val="20"/>
          <w:lang w:val="fr-CA"/>
        </w:rPr>
      </w:pPr>
      <w:r w:rsidRPr="00C97C57">
        <w:rPr>
          <w:sz w:val="20"/>
          <w:szCs w:val="20"/>
          <w:lang w:val="fr-CA"/>
        </w:rPr>
        <w:t xml:space="preserve">The motion </w:t>
      </w:r>
      <w:proofErr w:type="spellStart"/>
      <w:r w:rsidRPr="00C97C57">
        <w:rPr>
          <w:sz w:val="20"/>
          <w:szCs w:val="20"/>
          <w:lang w:val="fr-CA"/>
        </w:rPr>
        <w:t>is</w:t>
      </w:r>
      <w:proofErr w:type="spellEnd"/>
      <w:r w:rsidRPr="00C97C57">
        <w:rPr>
          <w:sz w:val="20"/>
          <w:szCs w:val="20"/>
          <w:lang w:val="fr-CA"/>
        </w:rPr>
        <w:t xml:space="preserve"> </w:t>
      </w:r>
      <w:proofErr w:type="spellStart"/>
      <w:r w:rsidRPr="00C97C57">
        <w:rPr>
          <w:sz w:val="20"/>
          <w:szCs w:val="20"/>
          <w:lang w:val="fr-CA"/>
        </w:rPr>
        <w:t>dismissed</w:t>
      </w:r>
      <w:proofErr w:type="spellEnd"/>
      <w:r w:rsidRPr="00C97C57">
        <w:rPr>
          <w:sz w:val="20"/>
          <w:szCs w:val="20"/>
          <w:lang w:val="fr-CA"/>
        </w:rPr>
        <w:t>.</w:t>
      </w:r>
    </w:p>
    <w:p w:rsidR="00C97C57" w:rsidRPr="00C97C57" w:rsidRDefault="00C97C57" w:rsidP="00C97C57">
      <w:pPr>
        <w:tabs>
          <w:tab w:val="left" w:pos="-1440"/>
          <w:tab w:val="left" w:pos="-720"/>
        </w:tabs>
        <w:jc w:val="both"/>
        <w:rPr>
          <w:sz w:val="20"/>
          <w:szCs w:val="20"/>
          <w:lang w:val="fr-CA"/>
        </w:rPr>
      </w:pPr>
    </w:p>
    <w:p w:rsidR="00C97C57" w:rsidRPr="00C97C57" w:rsidRDefault="00C97C57" w:rsidP="00C97C57">
      <w:pPr>
        <w:tabs>
          <w:tab w:val="left" w:pos="-1440"/>
          <w:tab w:val="left" w:pos="-720"/>
        </w:tabs>
        <w:jc w:val="both"/>
        <w:rPr>
          <w:sz w:val="20"/>
          <w:szCs w:val="20"/>
          <w:lang w:val="fr-CA"/>
        </w:rPr>
      </w:pPr>
    </w:p>
    <w:p w:rsidR="00C97C57" w:rsidRPr="00C97C57" w:rsidRDefault="00C97C57" w:rsidP="00C97C57">
      <w:pPr>
        <w:tabs>
          <w:tab w:val="left" w:pos="-1440"/>
          <w:tab w:val="left" w:pos="-720"/>
        </w:tabs>
        <w:jc w:val="both"/>
        <w:rPr>
          <w:sz w:val="20"/>
          <w:szCs w:val="20"/>
          <w:lang w:val="fr-CA"/>
        </w:rPr>
      </w:pPr>
    </w:p>
    <w:p w:rsidR="00C97C57" w:rsidRPr="00C97C57" w:rsidRDefault="00C97C57" w:rsidP="00C97C57">
      <w:pPr>
        <w:jc w:val="both"/>
        <w:rPr>
          <w:sz w:val="20"/>
          <w:szCs w:val="20"/>
          <w:lang w:val="fr-FR"/>
        </w:rPr>
      </w:pPr>
      <w:r w:rsidRPr="00C97C57">
        <w:rPr>
          <w:b/>
          <w:sz w:val="20"/>
          <w:szCs w:val="20"/>
          <w:lang w:val="fr-FR"/>
        </w:rPr>
        <w:t>À LA SUITE DE LA REQUÊTE</w:t>
      </w:r>
      <w:r w:rsidRPr="00C97C57">
        <w:rPr>
          <w:sz w:val="20"/>
          <w:szCs w:val="20"/>
          <w:lang w:val="fr-FR"/>
        </w:rPr>
        <w:t xml:space="preserve"> présentée au nom du demandeur en application du par. 32(2) des </w:t>
      </w:r>
      <w:r w:rsidRPr="00C97C57">
        <w:rPr>
          <w:i/>
          <w:sz w:val="20"/>
          <w:szCs w:val="20"/>
          <w:lang w:val="fr-FR"/>
        </w:rPr>
        <w:t>Règles de la Cour suprême du Canada</w:t>
      </w:r>
      <w:r w:rsidRPr="00C97C57">
        <w:rPr>
          <w:sz w:val="20"/>
          <w:szCs w:val="20"/>
          <w:lang w:val="fr-FR"/>
        </w:rPr>
        <w:t xml:space="preserve"> sollicitant l’autorisation de déposer des documents additionnels, soit deux articles publiés les 11 et 29 mai 2012, pour examen par la formation de juges qui seront saisis de la demande d’autorisation;</w:t>
      </w:r>
    </w:p>
    <w:p w:rsidR="00C97C57" w:rsidRPr="00C97C57" w:rsidRDefault="00C97C57" w:rsidP="00C97C57">
      <w:pPr>
        <w:jc w:val="both"/>
        <w:rPr>
          <w:sz w:val="20"/>
          <w:szCs w:val="20"/>
          <w:lang w:val="fr-FR"/>
        </w:rPr>
      </w:pPr>
    </w:p>
    <w:p w:rsidR="00C97C57" w:rsidRPr="00C97C57" w:rsidRDefault="00C97C57" w:rsidP="00C97C57">
      <w:pPr>
        <w:jc w:val="both"/>
        <w:rPr>
          <w:sz w:val="20"/>
          <w:szCs w:val="20"/>
          <w:lang w:val="fr-FR"/>
        </w:rPr>
      </w:pPr>
      <w:r w:rsidRPr="00C97C57">
        <w:rPr>
          <w:b/>
          <w:sz w:val="20"/>
          <w:szCs w:val="20"/>
          <w:lang w:val="fr-FR"/>
        </w:rPr>
        <w:t>ET APRÈS EXAMEN</w:t>
      </w:r>
      <w:r w:rsidRPr="00C97C57">
        <w:rPr>
          <w:sz w:val="20"/>
          <w:szCs w:val="20"/>
          <w:lang w:val="fr-FR"/>
        </w:rPr>
        <w:t xml:space="preserve"> des documents déposés;</w:t>
      </w:r>
    </w:p>
    <w:p w:rsidR="00C97C57" w:rsidRPr="00C97C57" w:rsidRDefault="00C97C57" w:rsidP="00C97C57">
      <w:pPr>
        <w:jc w:val="both"/>
        <w:rPr>
          <w:sz w:val="20"/>
          <w:szCs w:val="20"/>
          <w:lang w:val="fr-FR"/>
        </w:rPr>
      </w:pPr>
    </w:p>
    <w:p w:rsidR="00C97C57" w:rsidRPr="00C97C57" w:rsidRDefault="00C97C57" w:rsidP="00C97C57">
      <w:pPr>
        <w:jc w:val="both"/>
        <w:rPr>
          <w:b/>
          <w:sz w:val="20"/>
          <w:szCs w:val="20"/>
          <w:lang w:val="fr-FR"/>
        </w:rPr>
      </w:pPr>
      <w:r w:rsidRPr="00C97C57">
        <w:rPr>
          <w:b/>
          <w:sz w:val="20"/>
          <w:szCs w:val="20"/>
          <w:lang w:val="fr-FR"/>
        </w:rPr>
        <w:t>IL EST ORDONNÉ CE QUI SUIT :</w:t>
      </w:r>
    </w:p>
    <w:p w:rsidR="00C97C57" w:rsidRPr="00C97C57" w:rsidRDefault="00C97C57" w:rsidP="00C97C57">
      <w:pPr>
        <w:jc w:val="both"/>
        <w:rPr>
          <w:sz w:val="20"/>
          <w:szCs w:val="20"/>
          <w:lang w:val="fr-FR"/>
        </w:rPr>
      </w:pPr>
    </w:p>
    <w:p w:rsidR="00C97C57" w:rsidRPr="00C97C57" w:rsidRDefault="00C97C57" w:rsidP="00C97C57">
      <w:pPr>
        <w:jc w:val="both"/>
        <w:rPr>
          <w:sz w:val="20"/>
          <w:szCs w:val="20"/>
          <w:lang w:val="fr-FR"/>
        </w:rPr>
      </w:pPr>
      <w:r w:rsidRPr="00C97C57">
        <w:rPr>
          <w:sz w:val="20"/>
          <w:szCs w:val="20"/>
          <w:lang w:val="fr-FR"/>
        </w:rPr>
        <w:tab/>
        <w:t>La requête est rejetée.</w:t>
      </w:r>
    </w:p>
    <w:p w:rsidR="00C97C57" w:rsidRPr="00C97C57" w:rsidRDefault="00C97C57" w:rsidP="00C97C57">
      <w:pPr>
        <w:tabs>
          <w:tab w:val="left" w:pos="-1440"/>
          <w:tab w:val="left" w:pos="-720"/>
        </w:tabs>
        <w:jc w:val="both"/>
        <w:rPr>
          <w:sz w:val="20"/>
          <w:szCs w:val="20"/>
          <w:lang w:val="fr-CA"/>
        </w:rPr>
      </w:pPr>
    </w:p>
    <w:p w:rsidR="00C97C57" w:rsidRPr="00C97C57" w:rsidRDefault="00ED3438" w:rsidP="00C97C57">
      <w:pPr>
        <w:tabs>
          <w:tab w:val="left" w:pos="-1440"/>
          <w:tab w:val="left" w:pos="-720"/>
        </w:tabs>
        <w:jc w:val="both"/>
        <w:rPr>
          <w:sz w:val="20"/>
          <w:szCs w:val="20"/>
          <w:lang w:val="fr-CA"/>
        </w:rPr>
      </w:pPr>
      <w:r w:rsidRPr="00ED3438">
        <w:rPr>
          <w:sz w:val="20"/>
          <w:szCs w:val="20"/>
          <w:lang w:val="fr-CA"/>
        </w:rPr>
        <w:pict>
          <v:rect id="_x0000_i1072" style="width:2in;height:1pt" o:hrpct="0" o:hralign="center" o:hrstd="t" o:hrnoshade="t" o:hr="t" fillcolor="black [3213]" stroked="f"/>
        </w:pict>
      </w:r>
    </w:p>
    <w:p w:rsidR="00C97C57" w:rsidRPr="00C97C57" w:rsidRDefault="00C97C57" w:rsidP="00C97C57">
      <w:pPr>
        <w:tabs>
          <w:tab w:val="left" w:pos="-1440"/>
          <w:tab w:val="left" w:pos="-720"/>
        </w:tabs>
        <w:jc w:val="both"/>
        <w:rPr>
          <w:sz w:val="20"/>
          <w:szCs w:val="20"/>
          <w:lang w:val="fr-CA"/>
        </w:rPr>
      </w:pPr>
    </w:p>
    <w:p w:rsidR="00C97C57" w:rsidRPr="003501C4" w:rsidRDefault="00C97C57" w:rsidP="003501C4">
      <w:pPr>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017BF4"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286985" w:rsidP="003B3977">
            <w:pPr>
              <w:rPr>
                <w:sz w:val="20"/>
                <w:szCs w:val="20"/>
              </w:rPr>
            </w:pPr>
            <w:r>
              <w:rPr>
                <w:sz w:val="20"/>
                <w:szCs w:val="20"/>
              </w:rPr>
              <w:t>11</w:t>
            </w:r>
            <w:r w:rsidR="0010587F" w:rsidRPr="003B3977">
              <w:rPr>
                <w:sz w:val="20"/>
                <w:szCs w:val="20"/>
              </w:rPr>
              <w:t>.0</w:t>
            </w:r>
            <w:r>
              <w:rPr>
                <w:sz w:val="20"/>
                <w:szCs w:val="20"/>
              </w:rPr>
              <w:t>6</w:t>
            </w:r>
            <w:r w:rsidR="0010587F" w:rsidRPr="003B3977">
              <w:rPr>
                <w:sz w:val="20"/>
                <w:szCs w:val="20"/>
              </w:rPr>
              <w:t>.201</w:t>
            </w:r>
            <w:r>
              <w:rPr>
                <w:sz w:val="20"/>
                <w:szCs w:val="20"/>
              </w:rPr>
              <w:t>2</w:t>
            </w:r>
          </w:p>
          <w:p w:rsidR="0010587F" w:rsidRPr="003B3977" w:rsidRDefault="0010587F" w:rsidP="003B3977">
            <w:pPr>
              <w:rPr>
                <w:sz w:val="20"/>
                <w:szCs w:val="20"/>
              </w:rPr>
            </w:pPr>
          </w:p>
          <w:p w:rsidR="0010587F" w:rsidRPr="003B3977" w:rsidRDefault="00286985" w:rsidP="003B3977">
            <w:pPr>
              <w:rPr>
                <w:b/>
                <w:sz w:val="20"/>
                <w:szCs w:val="20"/>
              </w:rPr>
            </w:pPr>
            <w:r>
              <w:rPr>
                <w:b/>
                <w:sz w:val="20"/>
                <w:szCs w:val="20"/>
              </w:rPr>
              <w:t>B</w:t>
            </w:r>
            <w:r w:rsidR="0010587F" w:rsidRPr="003B3977">
              <w:rPr>
                <w:b/>
                <w:sz w:val="20"/>
                <w:szCs w:val="20"/>
              </w:rPr>
              <w:t>e</w:t>
            </w:r>
            <w:r>
              <w:rPr>
                <w:b/>
                <w:sz w:val="20"/>
                <w:szCs w:val="20"/>
              </w:rPr>
              <w:t>nj</w:t>
            </w:r>
            <w:r w:rsidR="0010587F" w:rsidRPr="003B3977">
              <w:rPr>
                <w:b/>
                <w:sz w:val="20"/>
                <w:szCs w:val="20"/>
              </w:rPr>
              <w:t>am</w:t>
            </w:r>
            <w:r>
              <w:rPr>
                <w:b/>
                <w:sz w:val="20"/>
                <w:szCs w:val="20"/>
              </w:rPr>
              <w:t xml:space="preserve">in Cain </w:t>
            </w:r>
            <w:proofErr w:type="spellStart"/>
            <w:r>
              <w:rPr>
                <w:b/>
                <w:sz w:val="20"/>
                <w:szCs w:val="20"/>
              </w:rPr>
              <w:t>MacK</w:t>
            </w:r>
            <w:r w:rsidR="0010587F" w:rsidRPr="003B3977">
              <w:rPr>
                <w:b/>
                <w:sz w:val="20"/>
                <w:szCs w:val="20"/>
              </w:rPr>
              <w:t>en</w:t>
            </w:r>
            <w:r>
              <w:rPr>
                <w:b/>
                <w:sz w:val="20"/>
                <w:szCs w:val="20"/>
              </w:rPr>
              <w:t>zie</w:t>
            </w:r>
            <w:proofErr w:type="spellEnd"/>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286985">
              <w:rPr>
                <w:b/>
                <w:sz w:val="20"/>
                <w:szCs w:val="20"/>
              </w:rPr>
              <w:t>43</w:t>
            </w:r>
            <w:r w:rsidRPr="003B3977">
              <w:rPr>
                <w:b/>
                <w:sz w:val="20"/>
                <w:szCs w:val="20"/>
              </w:rPr>
              <w:t>9</w:t>
            </w:r>
            <w:r w:rsidR="00286985">
              <w:rPr>
                <w:b/>
                <w:sz w:val="20"/>
                <w:szCs w:val="20"/>
              </w:rPr>
              <w:t>7</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w:t>
            </w:r>
            <w:r w:rsidR="00286985">
              <w:rPr>
                <w:b/>
                <w:sz w:val="20"/>
                <w:szCs w:val="20"/>
              </w:rPr>
              <w:t>S</w:t>
            </w:r>
            <w:r w:rsidRPr="003B3977">
              <w:rPr>
                <w:b/>
                <w:sz w:val="20"/>
                <w:szCs w:val="20"/>
              </w:rPr>
              <w:t>a</w:t>
            </w:r>
            <w:r w:rsidR="00286985">
              <w:rPr>
                <w:b/>
                <w:sz w:val="20"/>
                <w:szCs w:val="20"/>
              </w:rPr>
              <w:t>sk</w:t>
            </w:r>
            <w:r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286985">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ED3438" w:rsidP="003B3977">
            <w:pPr>
              <w:rPr>
                <w:sz w:val="20"/>
                <w:szCs w:val="20"/>
                <w:lang w:val="fr-CA"/>
              </w:rPr>
            </w:pPr>
            <w:r w:rsidRPr="00ED3438">
              <w:rPr>
                <w:sz w:val="20"/>
                <w:szCs w:val="20"/>
                <w:lang w:val="fr-CA"/>
              </w:rPr>
              <w:pict>
                <v:rect id="_x0000_i1075"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017BF4"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AE3198" w:rsidP="00732DB7">
      <w:pPr>
        <w:widowControl w:val="0"/>
        <w:rPr>
          <w:sz w:val="20"/>
          <w:szCs w:val="20"/>
        </w:rPr>
      </w:pPr>
      <w:r>
        <w:rPr>
          <w:sz w:val="20"/>
          <w:szCs w:val="20"/>
        </w:rPr>
        <w:t>11</w:t>
      </w:r>
      <w:r w:rsidR="00732DB7" w:rsidRPr="00C50A5C">
        <w:rPr>
          <w:sz w:val="20"/>
          <w:szCs w:val="20"/>
        </w:rPr>
        <w:t>.06.201</w:t>
      </w:r>
      <w:r>
        <w:rPr>
          <w:sz w:val="20"/>
          <w:szCs w:val="20"/>
        </w:rPr>
        <w:t>2</w:t>
      </w:r>
    </w:p>
    <w:p w:rsidR="00732DB7" w:rsidRDefault="00732DB7" w:rsidP="00732DB7">
      <w:pPr>
        <w:widowControl w:val="0"/>
        <w:rPr>
          <w:sz w:val="20"/>
          <w:szCs w:val="20"/>
        </w:rPr>
      </w:pPr>
    </w:p>
    <w:p w:rsidR="002F207F" w:rsidRPr="00D2585D" w:rsidRDefault="002F207F" w:rsidP="002F207F">
      <w:pPr>
        <w:widowControl w:val="0"/>
        <w:ind w:left="720" w:hanging="720"/>
        <w:rPr>
          <w:rFonts w:eastAsia="Calibri" w:cs="Times New Roman"/>
          <w:sz w:val="20"/>
          <w:szCs w:val="20"/>
        </w:rPr>
      </w:pPr>
      <w:r w:rsidRPr="00D2585D">
        <w:rPr>
          <w:rFonts w:eastAsia="Calibri" w:cs="Times New Roman"/>
          <w:sz w:val="20"/>
          <w:szCs w:val="20"/>
        </w:rPr>
        <w:t xml:space="preserve">Coram: </w:t>
      </w:r>
      <w:r w:rsidRPr="00D2585D">
        <w:rPr>
          <w:rFonts w:eastAsia="Calibri" w:cs="Times New Roman"/>
          <w:sz w:val="20"/>
          <w:szCs w:val="20"/>
        </w:rPr>
        <w:tab/>
      </w:r>
      <w:proofErr w:type="spellStart"/>
      <w:r w:rsidRPr="00D2585D">
        <w:rPr>
          <w:rFonts w:eastAsia="Calibri" w:cs="Times New Roman"/>
          <w:sz w:val="20"/>
          <w:szCs w:val="20"/>
          <w:u w:val="single"/>
        </w:rPr>
        <w:t>McLachlin</w:t>
      </w:r>
      <w:proofErr w:type="spellEnd"/>
      <w:r w:rsidRPr="00D2585D">
        <w:rPr>
          <w:rFonts w:eastAsia="Calibri" w:cs="Times New Roman"/>
          <w:sz w:val="20"/>
          <w:szCs w:val="20"/>
          <w:u w:val="single"/>
        </w:rPr>
        <w:t xml:space="preserve"> C.J. and </w:t>
      </w:r>
      <w:proofErr w:type="spellStart"/>
      <w:r w:rsidRPr="00D2585D">
        <w:rPr>
          <w:rFonts w:eastAsia="Calibri" w:cs="Times New Roman"/>
          <w:sz w:val="20"/>
          <w:szCs w:val="20"/>
          <w:u w:val="single"/>
        </w:rPr>
        <w:t>LeBel</w:t>
      </w:r>
      <w:proofErr w:type="spellEnd"/>
      <w:r w:rsidRPr="00D2585D">
        <w:rPr>
          <w:rFonts w:eastAsia="Calibri" w:cs="Times New Roman"/>
          <w:sz w:val="20"/>
          <w:szCs w:val="20"/>
          <w:u w:val="single"/>
        </w:rPr>
        <w:t xml:space="preserve">, Fish, </w:t>
      </w:r>
      <w:proofErr w:type="spellStart"/>
      <w:r w:rsidRPr="00D2585D">
        <w:rPr>
          <w:rFonts w:eastAsia="Calibri" w:cs="Times New Roman"/>
          <w:sz w:val="20"/>
          <w:szCs w:val="20"/>
          <w:u w:val="single"/>
        </w:rPr>
        <w:t>Abella</w:t>
      </w:r>
      <w:proofErr w:type="spellEnd"/>
      <w:r w:rsidRPr="00D2585D">
        <w:rPr>
          <w:rFonts w:eastAsia="Calibri" w:cs="Times New Roman"/>
          <w:sz w:val="20"/>
          <w:szCs w:val="20"/>
          <w:u w:val="single"/>
        </w:rPr>
        <w:t xml:space="preserve">, Rothstein, Cromwell and </w:t>
      </w:r>
      <w:proofErr w:type="spellStart"/>
      <w:r w:rsidRPr="00D2585D">
        <w:rPr>
          <w:rFonts w:eastAsia="Calibri" w:cs="Times New Roman"/>
          <w:sz w:val="20"/>
          <w:szCs w:val="20"/>
          <w:u w:val="single"/>
        </w:rPr>
        <w:t>Karakatsanis</w:t>
      </w:r>
      <w:proofErr w:type="spellEnd"/>
      <w:r w:rsidRPr="00D2585D">
        <w:rPr>
          <w:rFonts w:eastAsia="Calibri" w:cs="Times New Roman"/>
          <w:sz w:val="20"/>
          <w:szCs w:val="20"/>
          <w:u w:val="single"/>
        </w:rPr>
        <w:t xml:space="preserve"> JJ.</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732DB7" w:rsidRPr="00C50A5C" w:rsidRDefault="00AE3198" w:rsidP="00C1697B">
            <w:pPr>
              <w:widowControl w:val="0"/>
              <w:jc w:val="both"/>
              <w:rPr>
                <w:b/>
                <w:sz w:val="20"/>
                <w:szCs w:val="20"/>
              </w:rPr>
            </w:pPr>
            <w:r>
              <w:rPr>
                <w:b/>
                <w:sz w:val="20"/>
                <w:szCs w:val="20"/>
              </w:rPr>
              <w:t xml:space="preserve">Suresh </w:t>
            </w:r>
            <w:proofErr w:type="spellStart"/>
            <w:r>
              <w:rPr>
                <w:b/>
                <w:sz w:val="20"/>
                <w:szCs w:val="20"/>
              </w:rPr>
              <w:t>Sriskandarajah</w:t>
            </w:r>
            <w:proofErr w:type="spellEnd"/>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v. (3</w:t>
            </w:r>
            <w:r w:rsidR="00AE3198">
              <w:rPr>
                <w:b/>
                <w:sz w:val="20"/>
                <w:szCs w:val="20"/>
              </w:rPr>
              <w:t>4009</w:t>
            </w:r>
            <w:r w:rsidRPr="00C50A5C">
              <w:rPr>
                <w:b/>
                <w:sz w:val="20"/>
                <w:szCs w:val="20"/>
              </w:rPr>
              <w:t>)</w:t>
            </w:r>
          </w:p>
          <w:p w:rsidR="00732DB7" w:rsidRPr="00C50A5C" w:rsidRDefault="00732DB7" w:rsidP="00C1697B">
            <w:pPr>
              <w:widowControl w:val="0"/>
              <w:jc w:val="both"/>
              <w:rPr>
                <w:b/>
                <w:sz w:val="20"/>
                <w:szCs w:val="20"/>
              </w:rPr>
            </w:pPr>
          </w:p>
          <w:p w:rsidR="00732DB7" w:rsidRDefault="00AE3198" w:rsidP="00C1697B">
            <w:pPr>
              <w:widowControl w:val="0"/>
              <w:jc w:val="both"/>
              <w:rPr>
                <w:b/>
                <w:sz w:val="20"/>
                <w:szCs w:val="20"/>
              </w:rPr>
            </w:pPr>
            <w:r>
              <w:rPr>
                <w:b/>
                <w:sz w:val="20"/>
                <w:szCs w:val="20"/>
              </w:rPr>
              <w:t>United States of America et al.</w:t>
            </w:r>
            <w:r w:rsidR="00732DB7" w:rsidRPr="00C50A5C">
              <w:rPr>
                <w:b/>
                <w:sz w:val="20"/>
                <w:szCs w:val="20"/>
              </w:rPr>
              <w:t xml:space="preserve"> (</w:t>
            </w:r>
            <w:r>
              <w:rPr>
                <w:b/>
                <w:sz w:val="20"/>
                <w:szCs w:val="20"/>
              </w:rPr>
              <w:t>Ont.</w:t>
            </w:r>
            <w:r w:rsidR="00732DB7" w:rsidRPr="00C50A5C">
              <w:rPr>
                <w:b/>
                <w:sz w:val="20"/>
                <w:szCs w:val="20"/>
              </w:rPr>
              <w:t>) (C</w:t>
            </w:r>
            <w:r>
              <w:rPr>
                <w:b/>
                <w:sz w:val="20"/>
                <w:szCs w:val="20"/>
              </w:rPr>
              <w:t>r</w:t>
            </w:r>
            <w:r w:rsidR="00732DB7" w:rsidRPr="00C50A5C">
              <w:rPr>
                <w:b/>
                <w:sz w:val="20"/>
                <w:szCs w:val="20"/>
              </w:rPr>
              <w:t>i</w:t>
            </w:r>
            <w:r>
              <w:rPr>
                <w:b/>
                <w:sz w:val="20"/>
                <w:szCs w:val="20"/>
              </w:rPr>
              <w:t>m.</w:t>
            </w:r>
            <w:r w:rsidR="00732DB7" w:rsidRPr="00C50A5C">
              <w:rPr>
                <w:b/>
                <w:sz w:val="20"/>
                <w:szCs w:val="20"/>
              </w:rPr>
              <w:t>) (By</w:t>
            </w:r>
            <w:r>
              <w:rPr>
                <w:b/>
                <w:sz w:val="20"/>
                <w:szCs w:val="20"/>
              </w:rPr>
              <w:t> </w:t>
            </w:r>
            <w:r w:rsidR="00732DB7" w:rsidRPr="00C50A5C">
              <w:rPr>
                <w:b/>
                <w:sz w:val="20"/>
                <w:szCs w:val="20"/>
              </w:rPr>
              <w:t>Leave)</w:t>
            </w:r>
          </w:p>
          <w:p w:rsidR="00AE3198" w:rsidRDefault="00AE3198" w:rsidP="00C1697B">
            <w:pPr>
              <w:widowControl w:val="0"/>
              <w:jc w:val="both"/>
              <w:rPr>
                <w:b/>
                <w:sz w:val="20"/>
                <w:szCs w:val="20"/>
              </w:rPr>
            </w:pPr>
          </w:p>
          <w:p w:rsidR="00AE3198" w:rsidRPr="00C50A5C" w:rsidRDefault="00AE3198" w:rsidP="00C1697B">
            <w:pPr>
              <w:widowControl w:val="0"/>
              <w:jc w:val="both"/>
              <w:rPr>
                <w:b/>
                <w:sz w:val="20"/>
                <w:szCs w:val="20"/>
              </w:rPr>
            </w:pPr>
            <w:r>
              <w:rPr>
                <w:b/>
                <w:sz w:val="20"/>
                <w:szCs w:val="20"/>
              </w:rPr>
              <w:t>- and between -</w:t>
            </w:r>
          </w:p>
          <w:p w:rsidR="00732DB7" w:rsidRDefault="00732DB7" w:rsidP="00C1697B">
            <w:pPr>
              <w:widowControl w:val="0"/>
              <w:jc w:val="both"/>
              <w:rPr>
                <w:sz w:val="20"/>
                <w:szCs w:val="20"/>
              </w:rPr>
            </w:pPr>
          </w:p>
          <w:p w:rsidR="00AE3198" w:rsidRPr="00C50A5C" w:rsidRDefault="00505B6D" w:rsidP="00AE3198">
            <w:pPr>
              <w:widowControl w:val="0"/>
              <w:jc w:val="both"/>
              <w:rPr>
                <w:b/>
                <w:sz w:val="20"/>
                <w:szCs w:val="20"/>
              </w:rPr>
            </w:pPr>
            <w:proofErr w:type="spellStart"/>
            <w:r>
              <w:rPr>
                <w:b/>
                <w:sz w:val="20"/>
                <w:szCs w:val="20"/>
              </w:rPr>
              <w:t>Piratheepan</w:t>
            </w:r>
            <w:proofErr w:type="spellEnd"/>
            <w:r w:rsidR="00AE3198">
              <w:rPr>
                <w:b/>
                <w:sz w:val="20"/>
                <w:szCs w:val="20"/>
              </w:rPr>
              <w:t xml:space="preserve"> </w:t>
            </w:r>
            <w:proofErr w:type="spellStart"/>
            <w:r>
              <w:rPr>
                <w:b/>
                <w:sz w:val="20"/>
                <w:szCs w:val="20"/>
              </w:rPr>
              <w:t>N</w:t>
            </w:r>
            <w:r w:rsidR="00AE3198">
              <w:rPr>
                <w:b/>
                <w:sz w:val="20"/>
                <w:szCs w:val="20"/>
              </w:rPr>
              <w:t>adarajah</w:t>
            </w:r>
            <w:proofErr w:type="spellEnd"/>
          </w:p>
          <w:p w:rsidR="00AE3198" w:rsidRPr="00C50A5C" w:rsidRDefault="00AE3198" w:rsidP="00AE3198">
            <w:pPr>
              <w:widowControl w:val="0"/>
              <w:jc w:val="both"/>
              <w:rPr>
                <w:b/>
                <w:sz w:val="20"/>
                <w:szCs w:val="20"/>
              </w:rPr>
            </w:pPr>
          </w:p>
          <w:p w:rsidR="00AE3198" w:rsidRPr="00C50A5C" w:rsidRDefault="00AE3198" w:rsidP="00AE3198">
            <w:pPr>
              <w:widowControl w:val="0"/>
              <w:tabs>
                <w:tab w:val="left" w:pos="736"/>
              </w:tabs>
              <w:jc w:val="both"/>
              <w:rPr>
                <w:b/>
                <w:sz w:val="20"/>
                <w:szCs w:val="20"/>
              </w:rPr>
            </w:pPr>
            <w:r w:rsidRPr="00C50A5C">
              <w:rPr>
                <w:b/>
                <w:sz w:val="20"/>
                <w:szCs w:val="20"/>
              </w:rPr>
              <w:tab/>
              <w:t>v. (3</w:t>
            </w:r>
            <w:r>
              <w:rPr>
                <w:b/>
                <w:sz w:val="20"/>
                <w:szCs w:val="20"/>
              </w:rPr>
              <w:t>40</w:t>
            </w:r>
            <w:r w:rsidR="00505B6D">
              <w:rPr>
                <w:b/>
                <w:sz w:val="20"/>
                <w:szCs w:val="20"/>
              </w:rPr>
              <w:t>13</w:t>
            </w:r>
            <w:r w:rsidRPr="00C50A5C">
              <w:rPr>
                <w:b/>
                <w:sz w:val="20"/>
                <w:szCs w:val="20"/>
              </w:rPr>
              <w:t>)</w:t>
            </w:r>
          </w:p>
          <w:p w:rsidR="00AE3198" w:rsidRPr="00C50A5C" w:rsidRDefault="00AE3198" w:rsidP="00AE3198">
            <w:pPr>
              <w:widowControl w:val="0"/>
              <w:jc w:val="both"/>
              <w:rPr>
                <w:b/>
                <w:sz w:val="20"/>
                <w:szCs w:val="20"/>
              </w:rPr>
            </w:pPr>
          </w:p>
          <w:p w:rsidR="00AE3198" w:rsidRDefault="00AE3198" w:rsidP="00AE3198">
            <w:pPr>
              <w:widowControl w:val="0"/>
              <w:jc w:val="both"/>
              <w:rPr>
                <w:b/>
                <w:sz w:val="20"/>
                <w:szCs w:val="20"/>
              </w:rPr>
            </w:pPr>
            <w:r>
              <w:rPr>
                <w:b/>
                <w:sz w:val="20"/>
                <w:szCs w:val="20"/>
              </w:rPr>
              <w:t>United States of America et al.</w:t>
            </w:r>
            <w:r w:rsidRPr="00C50A5C">
              <w:rPr>
                <w:b/>
                <w:sz w:val="20"/>
                <w:szCs w:val="20"/>
              </w:rPr>
              <w:t xml:space="preserve"> (</w:t>
            </w:r>
            <w:r>
              <w:rPr>
                <w:b/>
                <w:sz w:val="20"/>
                <w:szCs w:val="20"/>
              </w:rPr>
              <w:t>Ont.</w:t>
            </w:r>
            <w:r w:rsidRPr="00C50A5C">
              <w:rPr>
                <w:b/>
                <w:sz w:val="20"/>
                <w:szCs w:val="20"/>
              </w:rPr>
              <w:t>) (C</w:t>
            </w:r>
            <w:r>
              <w:rPr>
                <w:b/>
                <w:sz w:val="20"/>
                <w:szCs w:val="20"/>
              </w:rPr>
              <w:t>r</w:t>
            </w:r>
            <w:r w:rsidRPr="00C50A5C">
              <w:rPr>
                <w:b/>
                <w:sz w:val="20"/>
                <w:szCs w:val="20"/>
              </w:rPr>
              <w:t>i</w:t>
            </w:r>
            <w:r>
              <w:rPr>
                <w:b/>
                <w:sz w:val="20"/>
                <w:szCs w:val="20"/>
              </w:rPr>
              <w:t>m.</w:t>
            </w:r>
            <w:r w:rsidRPr="00C50A5C">
              <w:rPr>
                <w:b/>
                <w:sz w:val="20"/>
                <w:szCs w:val="20"/>
              </w:rPr>
              <w:t>) (By</w:t>
            </w:r>
            <w:r>
              <w:rPr>
                <w:b/>
                <w:sz w:val="20"/>
                <w:szCs w:val="20"/>
              </w:rPr>
              <w:t> </w:t>
            </w:r>
            <w:r w:rsidRPr="00C50A5C">
              <w:rPr>
                <w:b/>
                <w:sz w:val="20"/>
                <w:szCs w:val="20"/>
              </w:rPr>
              <w:t>Leave)</w:t>
            </w:r>
          </w:p>
          <w:p w:rsidR="00AE3198" w:rsidRDefault="00AE3198" w:rsidP="00AE3198">
            <w:pPr>
              <w:widowControl w:val="0"/>
              <w:jc w:val="both"/>
              <w:rPr>
                <w:b/>
                <w:sz w:val="20"/>
                <w:szCs w:val="20"/>
              </w:rPr>
            </w:pPr>
          </w:p>
          <w:p w:rsidR="00AE3198" w:rsidRPr="00C50A5C" w:rsidRDefault="00AE3198" w:rsidP="00AE3198">
            <w:pPr>
              <w:widowControl w:val="0"/>
              <w:jc w:val="both"/>
              <w:rPr>
                <w:b/>
                <w:sz w:val="20"/>
                <w:szCs w:val="20"/>
              </w:rPr>
            </w:pPr>
            <w:r>
              <w:rPr>
                <w:b/>
                <w:sz w:val="20"/>
                <w:szCs w:val="20"/>
              </w:rPr>
              <w:t>- and between -</w:t>
            </w:r>
          </w:p>
          <w:p w:rsidR="00AE3198" w:rsidRDefault="00AE3198" w:rsidP="00C1697B">
            <w:pPr>
              <w:widowControl w:val="0"/>
              <w:jc w:val="both"/>
              <w:rPr>
                <w:sz w:val="20"/>
                <w:szCs w:val="20"/>
              </w:rPr>
            </w:pPr>
          </w:p>
          <w:p w:rsidR="00505B6D" w:rsidRPr="00C50A5C" w:rsidRDefault="00505B6D" w:rsidP="00505B6D">
            <w:pPr>
              <w:widowControl w:val="0"/>
              <w:jc w:val="both"/>
              <w:rPr>
                <w:b/>
                <w:sz w:val="20"/>
                <w:szCs w:val="20"/>
              </w:rPr>
            </w:pPr>
            <w:r>
              <w:rPr>
                <w:b/>
                <w:sz w:val="20"/>
                <w:szCs w:val="20"/>
              </w:rPr>
              <w:t xml:space="preserve">Mohammad </w:t>
            </w:r>
            <w:proofErr w:type="spellStart"/>
            <w:r>
              <w:rPr>
                <w:b/>
                <w:sz w:val="20"/>
                <w:szCs w:val="20"/>
              </w:rPr>
              <w:t>Momin</w:t>
            </w:r>
            <w:proofErr w:type="spellEnd"/>
            <w:r>
              <w:rPr>
                <w:b/>
                <w:sz w:val="20"/>
                <w:szCs w:val="20"/>
              </w:rPr>
              <w:t xml:space="preserve"> </w:t>
            </w:r>
            <w:proofErr w:type="spellStart"/>
            <w:r>
              <w:rPr>
                <w:b/>
                <w:sz w:val="20"/>
                <w:szCs w:val="20"/>
              </w:rPr>
              <w:t>Khawaja</w:t>
            </w:r>
            <w:proofErr w:type="spellEnd"/>
          </w:p>
          <w:p w:rsidR="00505B6D" w:rsidRPr="00C50A5C" w:rsidRDefault="00505B6D" w:rsidP="00505B6D">
            <w:pPr>
              <w:widowControl w:val="0"/>
              <w:jc w:val="both"/>
              <w:rPr>
                <w:b/>
                <w:sz w:val="20"/>
                <w:szCs w:val="20"/>
              </w:rPr>
            </w:pPr>
          </w:p>
          <w:p w:rsidR="00505B6D" w:rsidRPr="00C50A5C" w:rsidRDefault="00505B6D" w:rsidP="00505B6D">
            <w:pPr>
              <w:widowControl w:val="0"/>
              <w:tabs>
                <w:tab w:val="left" w:pos="736"/>
              </w:tabs>
              <w:jc w:val="both"/>
              <w:rPr>
                <w:b/>
                <w:sz w:val="20"/>
                <w:szCs w:val="20"/>
              </w:rPr>
            </w:pPr>
            <w:r w:rsidRPr="00C50A5C">
              <w:rPr>
                <w:b/>
                <w:sz w:val="20"/>
                <w:szCs w:val="20"/>
              </w:rPr>
              <w:tab/>
              <w:t>v. (3</w:t>
            </w:r>
            <w:r>
              <w:rPr>
                <w:b/>
                <w:sz w:val="20"/>
                <w:szCs w:val="20"/>
              </w:rPr>
              <w:t>4</w:t>
            </w:r>
            <w:r w:rsidR="00824B50">
              <w:rPr>
                <w:b/>
                <w:sz w:val="20"/>
                <w:szCs w:val="20"/>
              </w:rPr>
              <w:t>1</w:t>
            </w:r>
            <w:r>
              <w:rPr>
                <w:b/>
                <w:sz w:val="20"/>
                <w:szCs w:val="20"/>
              </w:rPr>
              <w:t>0</w:t>
            </w:r>
            <w:r w:rsidR="00824B50">
              <w:rPr>
                <w:b/>
                <w:sz w:val="20"/>
                <w:szCs w:val="20"/>
              </w:rPr>
              <w:t>3</w:t>
            </w:r>
            <w:r w:rsidRPr="00C50A5C">
              <w:rPr>
                <w:b/>
                <w:sz w:val="20"/>
                <w:szCs w:val="20"/>
              </w:rPr>
              <w:t>)</w:t>
            </w:r>
          </w:p>
          <w:p w:rsidR="00505B6D" w:rsidRPr="00C50A5C" w:rsidRDefault="00505B6D" w:rsidP="00505B6D">
            <w:pPr>
              <w:widowControl w:val="0"/>
              <w:jc w:val="both"/>
              <w:rPr>
                <w:b/>
                <w:sz w:val="20"/>
                <w:szCs w:val="20"/>
              </w:rPr>
            </w:pPr>
          </w:p>
          <w:p w:rsidR="00505B6D" w:rsidRPr="00AE3198" w:rsidRDefault="00505B6D" w:rsidP="00505B6D">
            <w:pPr>
              <w:widowControl w:val="0"/>
              <w:jc w:val="both"/>
              <w:rPr>
                <w:sz w:val="20"/>
                <w:szCs w:val="20"/>
              </w:rPr>
            </w:pPr>
            <w:r>
              <w:rPr>
                <w:b/>
                <w:sz w:val="20"/>
                <w:szCs w:val="20"/>
              </w:rPr>
              <w:t>Her Majesty the Queen</w:t>
            </w:r>
            <w:r w:rsidRPr="00C50A5C">
              <w:rPr>
                <w:b/>
                <w:sz w:val="20"/>
                <w:szCs w:val="20"/>
              </w:rPr>
              <w:t>(</w:t>
            </w:r>
            <w:r>
              <w:rPr>
                <w:b/>
                <w:sz w:val="20"/>
                <w:szCs w:val="20"/>
              </w:rPr>
              <w:t>Ont.</w:t>
            </w:r>
            <w:r w:rsidRPr="00C50A5C">
              <w:rPr>
                <w:b/>
                <w:sz w:val="20"/>
                <w:szCs w:val="20"/>
              </w:rPr>
              <w:t>) (C</w:t>
            </w:r>
            <w:r>
              <w:rPr>
                <w:b/>
                <w:sz w:val="20"/>
                <w:szCs w:val="20"/>
              </w:rPr>
              <w:t>r</w:t>
            </w:r>
            <w:r w:rsidRPr="00C50A5C">
              <w:rPr>
                <w:b/>
                <w:sz w:val="20"/>
                <w:szCs w:val="20"/>
              </w:rPr>
              <w:t>i</w:t>
            </w:r>
            <w:r>
              <w:rPr>
                <w:b/>
                <w:sz w:val="20"/>
                <w:szCs w:val="20"/>
              </w:rPr>
              <w:t>m.</w:t>
            </w:r>
            <w:r w:rsidRPr="00C50A5C">
              <w:rPr>
                <w:b/>
                <w:sz w:val="20"/>
                <w:szCs w:val="20"/>
              </w:rPr>
              <w:t>) (By</w:t>
            </w:r>
            <w:r>
              <w:rPr>
                <w:b/>
                <w:sz w:val="20"/>
                <w:szCs w:val="20"/>
              </w:rPr>
              <w:t> </w:t>
            </w:r>
            <w:r w:rsidRPr="00C50A5C">
              <w:rPr>
                <w:b/>
                <w:sz w:val="20"/>
                <w:szCs w:val="20"/>
              </w:rPr>
              <w:t>Leave)</w:t>
            </w:r>
          </w:p>
        </w:tc>
        <w:tc>
          <w:tcPr>
            <w:tcW w:w="720" w:type="dxa"/>
            <w:tcMar>
              <w:left w:w="0" w:type="dxa"/>
              <w:right w:w="0" w:type="dxa"/>
            </w:tcMar>
          </w:tcPr>
          <w:p w:rsidR="00732DB7" w:rsidRPr="00AE3198" w:rsidRDefault="00732DB7" w:rsidP="00732DB7">
            <w:pPr>
              <w:widowControl w:val="0"/>
              <w:jc w:val="center"/>
              <w:rPr>
                <w:sz w:val="20"/>
                <w:szCs w:val="20"/>
              </w:rPr>
            </w:pPr>
          </w:p>
        </w:tc>
        <w:tc>
          <w:tcPr>
            <w:tcW w:w="4380" w:type="dxa"/>
            <w:tcMar>
              <w:left w:w="0" w:type="dxa"/>
              <w:right w:w="0" w:type="dxa"/>
            </w:tcMar>
          </w:tcPr>
          <w:p w:rsidR="003F4424" w:rsidRDefault="003F4424" w:rsidP="003F4424">
            <w:pPr>
              <w:jc w:val="both"/>
              <w:rPr>
                <w:sz w:val="20"/>
                <w:szCs w:val="20"/>
              </w:rPr>
            </w:pPr>
            <w:r w:rsidRPr="0052188A">
              <w:rPr>
                <w:sz w:val="20"/>
                <w:szCs w:val="20"/>
              </w:rPr>
              <w:t>John Norris</w:t>
            </w:r>
            <w:r>
              <w:rPr>
                <w:sz w:val="20"/>
                <w:szCs w:val="20"/>
              </w:rPr>
              <w:t xml:space="preserve">, </w:t>
            </w:r>
            <w:r w:rsidRPr="0052188A">
              <w:rPr>
                <w:sz w:val="20"/>
                <w:szCs w:val="20"/>
              </w:rPr>
              <w:t>Breese Davies</w:t>
            </w:r>
            <w:r>
              <w:rPr>
                <w:sz w:val="20"/>
                <w:szCs w:val="20"/>
              </w:rPr>
              <w:t xml:space="preserve">, </w:t>
            </w:r>
            <w:proofErr w:type="spellStart"/>
            <w:r w:rsidRPr="0052188A">
              <w:rPr>
                <w:sz w:val="20"/>
                <w:szCs w:val="20"/>
              </w:rPr>
              <w:t>Brydie</w:t>
            </w:r>
            <w:proofErr w:type="spellEnd"/>
            <w:r w:rsidRPr="0052188A">
              <w:rPr>
                <w:sz w:val="20"/>
                <w:szCs w:val="20"/>
              </w:rPr>
              <w:t xml:space="preserve"> </w:t>
            </w:r>
            <w:proofErr w:type="spellStart"/>
            <w:r w:rsidRPr="0052188A">
              <w:rPr>
                <w:sz w:val="20"/>
                <w:szCs w:val="20"/>
              </w:rPr>
              <w:t>Bethell</w:t>
            </w:r>
            <w:proofErr w:type="spellEnd"/>
            <w:r>
              <w:rPr>
                <w:sz w:val="20"/>
                <w:szCs w:val="20"/>
              </w:rPr>
              <w:t xml:space="preserve"> and </w:t>
            </w:r>
            <w:r w:rsidRPr="0052188A">
              <w:rPr>
                <w:sz w:val="20"/>
                <w:szCs w:val="20"/>
              </w:rPr>
              <w:t xml:space="preserve">Erin </w:t>
            </w:r>
            <w:proofErr w:type="spellStart"/>
            <w:r w:rsidRPr="0052188A">
              <w:rPr>
                <w:sz w:val="20"/>
                <w:szCs w:val="20"/>
              </w:rPr>
              <w:t>Dann</w:t>
            </w:r>
            <w:proofErr w:type="spellEnd"/>
            <w:r w:rsidRPr="0052188A">
              <w:rPr>
                <w:sz w:val="20"/>
                <w:szCs w:val="20"/>
              </w:rPr>
              <w:t xml:space="preserve"> </w:t>
            </w:r>
            <w:r>
              <w:rPr>
                <w:sz w:val="20"/>
                <w:szCs w:val="20"/>
              </w:rPr>
              <w:t>f</w:t>
            </w:r>
            <w:r w:rsidRPr="0052188A">
              <w:rPr>
                <w:sz w:val="20"/>
                <w:szCs w:val="20"/>
              </w:rPr>
              <w:t xml:space="preserve">or the </w:t>
            </w:r>
            <w:r>
              <w:rPr>
                <w:sz w:val="20"/>
                <w:szCs w:val="20"/>
              </w:rPr>
              <w:t>a</w:t>
            </w:r>
            <w:r w:rsidRPr="0052188A">
              <w:rPr>
                <w:sz w:val="20"/>
                <w:szCs w:val="20"/>
              </w:rPr>
              <w:t>ppellants (34009-34013)</w:t>
            </w:r>
            <w:r>
              <w:rPr>
                <w:sz w:val="20"/>
                <w:szCs w:val="20"/>
              </w:rPr>
              <w:t>.</w:t>
            </w:r>
          </w:p>
          <w:p w:rsidR="003F4424" w:rsidRPr="0052188A" w:rsidRDefault="003F4424" w:rsidP="003F4424">
            <w:pPr>
              <w:jc w:val="both"/>
              <w:rPr>
                <w:sz w:val="20"/>
                <w:szCs w:val="20"/>
              </w:rPr>
            </w:pPr>
          </w:p>
          <w:p w:rsidR="003F4424" w:rsidRPr="0052188A" w:rsidRDefault="003F4424" w:rsidP="003F4424">
            <w:pPr>
              <w:jc w:val="both"/>
              <w:rPr>
                <w:sz w:val="20"/>
                <w:szCs w:val="20"/>
              </w:rPr>
            </w:pPr>
            <w:r w:rsidRPr="0052188A">
              <w:rPr>
                <w:sz w:val="20"/>
                <w:szCs w:val="20"/>
              </w:rPr>
              <w:t xml:space="preserve">Lawrence </w:t>
            </w:r>
            <w:proofErr w:type="spellStart"/>
            <w:r w:rsidRPr="0052188A">
              <w:rPr>
                <w:sz w:val="20"/>
                <w:szCs w:val="20"/>
              </w:rPr>
              <w:t>Greenspon</w:t>
            </w:r>
            <w:proofErr w:type="spellEnd"/>
            <w:r>
              <w:rPr>
                <w:sz w:val="20"/>
                <w:szCs w:val="20"/>
              </w:rPr>
              <w:t xml:space="preserve"> and </w:t>
            </w:r>
            <w:r w:rsidRPr="0052188A">
              <w:rPr>
                <w:sz w:val="20"/>
                <w:szCs w:val="20"/>
              </w:rPr>
              <w:t>Eric Granger</w:t>
            </w:r>
            <w:r>
              <w:rPr>
                <w:sz w:val="20"/>
                <w:szCs w:val="20"/>
              </w:rPr>
              <w:t xml:space="preserve"> f</w:t>
            </w:r>
            <w:r w:rsidRPr="0052188A">
              <w:rPr>
                <w:sz w:val="20"/>
                <w:szCs w:val="20"/>
              </w:rPr>
              <w:t xml:space="preserve">or the </w:t>
            </w:r>
            <w:r>
              <w:rPr>
                <w:sz w:val="20"/>
                <w:szCs w:val="20"/>
              </w:rPr>
              <w:t>a</w:t>
            </w:r>
            <w:r w:rsidRPr="0052188A">
              <w:rPr>
                <w:sz w:val="20"/>
                <w:szCs w:val="20"/>
              </w:rPr>
              <w:t>ppellant (34103).</w:t>
            </w:r>
          </w:p>
          <w:p w:rsidR="003F4424" w:rsidRPr="0052188A" w:rsidRDefault="003F4424" w:rsidP="003F4424">
            <w:pPr>
              <w:jc w:val="both"/>
              <w:rPr>
                <w:sz w:val="20"/>
                <w:szCs w:val="20"/>
              </w:rPr>
            </w:pPr>
          </w:p>
          <w:p w:rsidR="003F4424" w:rsidRPr="0052188A" w:rsidRDefault="003F4424" w:rsidP="003F4424">
            <w:pPr>
              <w:jc w:val="both"/>
              <w:rPr>
                <w:sz w:val="20"/>
                <w:szCs w:val="20"/>
              </w:rPr>
            </w:pPr>
            <w:r w:rsidRPr="0052188A">
              <w:rPr>
                <w:sz w:val="20"/>
                <w:szCs w:val="20"/>
              </w:rPr>
              <w:t xml:space="preserve">Anil K. </w:t>
            </w:r>
            <w:proofErr w:type="spellStart"/>
            <w:r w:rsidRPr="0052188A">
              <w:rPr>
                <w:sz w:val="20"/>
                <w:szCs w:val="20"/>
              </w:rPr>
              <w:t>Kapoor</w:t>
            </w:r>
            <w:proofErr w:type="spellEnd"/>
            <w:r>
              <w:rPr>
                <w:sz w:val="20"/>
                <w:szCs w:val="20"/>
              </w:rPr>
              <w:t xml:space="preserve"> and </w:t>
            </w:r>
            <w:r w:rsidRPr="0052188A">
              <w:rPr>
                <w:sz w:val="20"/>
                <w:szCs w:val="20"/>
              </w:rPr>
              <w:t xml:space="preserve">Lindsay L. </w:t>
            </w:r>
            <w:proofErr w:type="spellStart"/>
            <w:r w:rsidRPr="0052188A">
              <w:rPr>
                <w:sz w:val="20"/>
                <w:szCs w:val="20"/>
              </w:rPr>
              <w:t>Daviau</w:t>
            </w:r>
            <w:proofErr w:type="spellEnd"/>
            <w:r>
              <w:rPr>
                <w:sz w:val="20"/>
                <w:szCs w:val="20"/>
              </w:rPr>
              <w:t xml:space="preserve"> f</w:t>
            </w:r>
            <w:r w:rsidRPr="0052188A">
              <w:rPr>
                <w:sz w:val="20"/>
                <w:szCs w:val="20"/>
              </w:rPr>
              <w:t xml:space="preserve">or the </w:t>
            </w:r>
            <w:r>
              <w:rPr>
                <w:sz w:val="20"/>
                <w:szCs w:val="20"/>
              </w:rPr>
              <w:t>i</w:t>
            </w:r>
            <w:r w:rsidRPr="0052188A">
              <w:rPr>
                <w:sz w:val="20"/>
                <w:szCs w:val="20"/>
              </w:rPr>
              <w:t>ntervener Canadian Civil Liberties Association</w:t>
            </w:r>
            <w:r>
              <w:rPr>
                <w:sz w:val="20"/>
                <w:szCs w:val="20"/>
              </w:rPr>
              <w:t xml:space="preserve"> </w:t>
            </w:r>
            <w:r w:rsidRPr="0052188A">
              <w:rPr>
                <w:sz w:val="20"/>
                <w:szCs w:val="20"/>
              </w:rPr>
              <w:t>(34009 – 34013 – 34103).</w:t>
            </w:r>
          </w:p>
          <w:p w:rsidR="003F4424" w:rsidRPr="0052188A" w:rsidRDefault="003F4424" w:rsidP="003F4424">
            <w:pPr>
              <w:jc w:val="both"/>
              <w:rPr>
                <w:sz w:val="20"/>
                <w:szCs w:val="20"/>
              </w:rPr>
            </w:pPr>
          </w:p>
          <w:p w:rsidR="003F4424" w:rsidRPr="0052188A" w:rsidRDefault="003F4424" w:rsidP="003F4424">
            <w:pPr>
              <w:jc w:val="both"/>
              <w:rPr>
                <w:sz w:val="20"/>
                <w:szCs w:val="20"/>
              </w:rPr>
            </w:pPr>
            <w:r w:rsidRPr="0052188A">
              <w:rPr>
                <w:sz w:val="20"/>
                <w:szCs w:val="20"/>
              </w:rPr>
              <w:t>Kent Roach</w:t>
            </w:r>
            <w:r>
              <w:rPr>
                <w:sz w:val="20"/>
                <w:szCs w:val="20"/>
              </w:rPr>
              <w:t xml:space="preserve"> and </w:t>
            </w:r>
            <w:r w:rsidRPr="0052188A">
              <w:rPr>
                <w:sz w:val="20"/>
                <w:szCs w:val="20"/>
              </w:rPr>
              <w:t xml:space="preserve">Michael </w:t>
            </w:r>
            <w:proofErr w:type="spellStart"/>
            <w:r w:rsidRPr="0052188A">
              <w:rPr>
                <w:sz w:val="20"/>
                <w:szCs w:val="20"/>
              </w:rPr>
              <w:t>Fenrick</w:t>
            </w:r>
            <w:proofErr w:type="spellEnd"/>
            <w:r>
              <w:rPr>
                <w:sz w:val="20"/>
                <w:szCs w:val="20"/>
              </w:rPr>
              <w:t xml:space="preserve"> f</w:t>
            </w:r>
            <w:r w:rsidRPr="0052188A">
              <w:rPr>
                <w:sz w:val="20"/>
                <w:szCs w:val="20"/>
              </w:rPr>
              <w:t xml:space="preserve">or the </w:t>
            </w:r>
            <w:r>
              <w:rPr>
                <w:sz w:val="20"/>
                <w:szCs w:val="20"/>
              </w:rPr>
              <w:t>i</w:t>
            </w:r>
            <w:r w:rsidRPr="0052188A">
              <w:rPr>
                <w:sz w:val="20"/>
                <w:szCs w:val="20"/>
              </w:rPr>
              <w:t>ntervener British Columbia Civil Liberties Association</w:t>
            </w:r>
            <w:r>
              <w:rPr>
                <w:sz w:val="20"/>
                <w:szCs w:val="20"/>
              </w:rPr>
              <w:t xml:space="preserve"> </w:t>
            </w:r>
            <w:r w:rsidRPr="0052188A">
              <w:rPr>
                <w:sz w:val="20"/>
                <w:szCs w:val="20"/>
              </w:rPr>
              <w:t>(34009 – 34013 – 34103).</w:t>
            </w:r>
          </w:p>
          <w:p w:rsidR="003F4424" w:rsidRPr="0052188A" w:rsidRDefault="003F4424" w:rsidP="003F4424">
            <w:pPr>
              <w:jc w:val="both"/>
              <w:rPr>
                <w:sz w:val="20"/>
                <w:szCs w:val="20"/>
              </w:rPr>
            </w:pPr>
          </w:p>
          <w:p w:rsidR="003F4424" w:rsidRPr="0052188A" w:rsidRDefault="003F4424" w:rsidP="003F4424">
            <w:pPr>
              <w:jc w:val="both"/>
              <w:rPr>
                <w:sz w:val="20"/>
                <w:szCs w:val="20"/>
                <w:lang w:val="fr-CA"/>
              </w:rPr>
            </w:pPr>
            <w:r w:rsidRPr="0052188A">
              <w:rPr>
                <w:sz w:val="20"/>
                <w:szCs w:val="20"/>
                <w:lang w:val="fr-CA"/>
              </w:rPr>
              <w:t>Yan Paquette</w:t>
            </w:r>
            <w:r>
              <w:rPr>
                <w:sz w:val="20"/>
                <w:szCs w:val="20"/>
                <w:lang w:val="fr-CA"/>
              </w:rPr>
              <w:t xml:space="preserve"> et </w:t>
            </w:r>
            <w:r w:rsidRPr="0052188A">
              <w:rPr>
                <w:sz w:val="20"/>
                <w:szCs w:val="20"/>
                <w:lang w:val="fr-CA"/>
              </w:rPr>
              <w:t>Louis-Philippe Lampron</w:t>
            </w:r>
            <w:r>
              <w:rPr>
                <w:sz w:val="20"/>
                <w:szCs w:val="20"/>
                <w:lang w:val="fr-CA"/>
              </w:rPr>
              <w:t xml:space="preserve"> p</w:t>
            </w:r>
            <w:r w:rsidRPr="0052188A">
              <w:rPr>
                <w:sz w:val="20"/>
                <w:szCs w:val="20"/>
                <w:lang w:val="fr-CA"/>
              </w:rPr>
              <w:t>our l’intervenant Groupe d’étude en droits et libertés de la Faculté</w:t>
            </w:r>
            <w:r>
              <w:rPr>
                <w:sz w:val="20"/>
                <w:szCs w:val="20"/>
                <w:lang w:val="fr-CA"/>
              </w:rPr>
              <w:t xml:space="preserve"> </w:t>
            </w:r>
            <w:r w:rsidRPr="0052188A">
              <w:rPr>
                <w:sz w:val="20"/>
                <w:szCs w:val="20"/>
                <w:lang w:val="fr-CA"/>
              </w:rPr>
              <w:t>de droit de l’Université Laval (34103).</w:t>
            </w:r>
          </w:p>
          <w:p w:rsidR="003F4424" w:rsidRPr="0052188A" w:rsidRDefault="003F4424" w:rsidP="003F4424">
            <w:pPr>
              <w:jc w:val="both"/>
              <w:rPr>
                <w:sz w:val="20"/>
                <w:szCs w:val="20"/>
                <w:lang w:val="fr-CA"/>
              </w:rPr>
            </w:pPr>
          </w:p>
          <w:p w:rsidR="003F4424" w:rsidRPr="0052188A" w:rsidRDefault="003F4424" w:rsidP="003F4424">
            <w:pPr>
              <w:jc w:val="both"/>
              <w:rPr>
                <w:sz w:val="20"/>
                <w:szCs w:val="20"/>
              </w:rPr>
            </w:pPr>
            <w:r w:rsidRPr="0052188A">
              <w:rPr>
                <w:sz w:val="20"/>
                <w:szCs w:val="20"/>
              </w:rPr>
              <w:t xml:space="preserve">Croft </w:t>
            </w:r>
            <w:proofErr w:type="spellStart"/>
            <w:r w:rsidRPr="0052188A">
              <w:rPr>
                <w:sz w:val="20"/>
                <w:szCs w:val="20"/>
              </w:rPr>
              <w:t>Michaelson</w:t>
            </w:r>
            <w:proofErr w:type="spellEnd"/>
            <w:r>
              <w:rPr>
                <w:sz w:val="20"/>
                <w:szCs w:val="20"/>
              </w:rPr>
              <w:t xml:space="preserve">, </w:t>
            </w:r>
            <w:r w:rsidRPr="0052188A">
              <w:rPr>
                <w:sz w:val="20"/>
                <w:szCs w:val="20"/>
                <w:lang w:val="en-US"/>
              </w:rPr>
              <w:t>Nancy Dennison</w:t>
            </w:r>
            <w:r>
              <w:rPr>
                <w:sz w:val="20"/>
                <w:szCs w:val="20"/>
                <w:lang w:val="en-US"/>
              </w:rPr>
              <w:t xml:space="preserve"> and </w:t>
            </w:r>
            <w:r w:rsidRPr="0052188A">
              <w:rPr>
                <w:sz w:val="20"/>
                <w:szCs w:val="20"/>
                <w:lang w:val="en-US"/>
              </w:rPr>
              <w:t xml:space="preserve">Sean </w:t>
            </w:r>
            <w:proofErr w:type="spellStart"/>
            <w:r w:rsidRPr="0052188A">
              <w:rPr>
                <w:sz w:val="20"/>
                <w:szCs w:val="20"/>
                <w:lang w:val="en-US"/>
              </w:rPr>
              <w:t>Gaudet</w:t>
            </w:r>
            <w:proofErr w:type="spellEnd"/>
            <w:r>
              <w:rPr>
                <w:sz w:val="20"/>
                <w:szCs w:val="20"/>
                <w:lang w:val="en-US"/>
              </w:rPr>
              <w:t xml:space="preserve"> f</w:t>
            </w:r>
            <w:r w:rsidRPr="0052188A">
              <w:rPr>
                <w:sz w:val="20"/>
                <w:szCs w:val="20"/>
              </w:rPr>
              <w:t xml:space="preserve">or the </w:t>
            </w:r>
            <w:r>
              <w:rPr>
                <w:sz w:val="20"/>
                <w:szCs w:val="20"/>
              </w:rPr>
              <w:t>r</w:t>
            </w:r>
            <w:r w:rsidRPr="0052188A">
              <w:rPr>
                <w:sz w:val="20"/>
                <w:szCs w:val="20"/>
              </w:rPr>
              <w:t>espondents (34009 - 34013).</w:t>
            </w:r>
          </w:p>
          <w:p w:rsidR="003F4424" w:rsidRPr="0052188A" w:rsidRDefault="003F4424" w:rsidP="003F4424">
            <w:pPr>
              <w:jc w:val="both"/>
              <w:rPr>
                <w:sz w:val="20"/>
                <w:szCs w:val="20"/>
                <w:lang w:val="en-US"/>
              </w:rPr>
            </w:pPr>
          </w:p>
          <w:p w:rsidR="00732DB7" w:rsidRPr="00C50A5C" w:rsidRDefault="003F4424" w:rsidP="003F4424">
            <w:pPr>
              <w:jc w:val="both"/>
              <w:rPr>
                <w:sz w:val="20"/>
                <w:szCs w:val="20"/>
              </w:rPr>
            </w:pPr>
            <w:r w:rsidRPr="0052188A">
              <w:rPr>
                <w:sz w:val="20"/>
                <w:szCs w:val="20"/>
                <w:lang w:val="en-US"/>
              </w:rPr>
              <w:t>Michael Bernstein</w:t>
            </w:r>
            <w:r>
              <w:rPr>
                <w:sz w:val="20"/>
                <w:szCs w:val="20"/>
                <w:lang w:val="en-US"/>
              </w:rPr>
              <w:t xml:space="preserve"> f</w:t>
            </w:r>
            <w:r w:rsidRPr="0052188A">
              <w:rPr>
                <w:sz w:val="20"/>
                <w:szCs w:val="20"/>
                <w:lang w:val="en-US"/>
              </w:rPr>
              <w:t xml:space="preserve">or the Intervener </w:t>
            </w:r>
            <w:r w:rsidRPr="0052188A">
              <w:rPr>
                <w:sz w:val="20"/>
                <w:szCs w:val="20"/>
              </w:rPr>
              <w:t>Attorney General of Ontario</w:t>
            </w:r>
            <w:r w:rsidRPr="0052188A">
              <w:rPr>
                <w:sz w:val="20"/>
                <w:szCs w:val="20"/>
                <w:lang w:val="en-US"/>
              </w:rPr>
              <w:t xml:space="preserve"> (34009 - 34013 - 34103)</w:t>
            </w:r>
            <w:r w:rsidRPr="0052188A">
              <w:rPr>
                <w:sz w:val="20"/>
                <w:szCs w:val="20"/>
              </w:rPr>
              <w: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AE3198">
        <w:rPr>
          <w:b/>
          <w:sz w:val="20"/>
          <w:szCs w:val="20"/>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017BF4"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r w:rsidR="00AE3198">
              <w:rPr>
                <w:b/>
                <w:sz w:val="20"/>
                <w:szCs w:val="20"/>
                <w:u w:val="single"/>
              </w:rPr>
              <w:t xml:space="preserve"> - 34009</w:t>
            </w:r>
            <w:r w:rsidRPr="00CC4D84">
              <w:rPr>
                <w:b/>
                <w:sz w:val="20"/>
                <w:szCs w:val="20"/>
                <w:u w:val="single"/>
              </w:rPr>
              <w:t>:</w:t>
            </w:r>
          </w:p>
          <w:p w:rsidR="00C1697B" w:rsidRPr="00C1697B" w:rsidRDefault="00C1697B" w:rsidP="00C1697B">
            <w:pPr>
              <w:widowControl w:val="0"/>
              <w:jc w:val="both"/>
              <w:rPr>
                <w:b/>
                <w:sz w:val="20"/>
                <w:szCs w:val="20"/>
              </w:rPr>
            </w:pPr>
          </w:p>
          <w:p w:rsidR="00C1697B" w:rsidRPr="00C1697B" w:rsidRDefault="00F32C9B" w:rsidP="00F32C9B">
            <w:pPr>
              <w:widowControl w:val="0"/>
              <w:jc w:val="both"/>
              <w:rPr>
                <w:b/>
                <w:sz w:val="20"/>
                <w:szCs w:val="20"/>
              </w:rPr>
            </w:pPr>
            <w:r w:rsidRPr="00083CE5">
              <w:rPr>
                <w:i/>
                <w:sz w:val="20"/>
                <w:szCs w:val="20"/>
              </w:rPr>
              <w:t>Canadian Charter of Rights and Freedoms</w:t>
            </w:r>
            <w:r w:rsidRPr="00083CE5">
              <w:rPr>
                <w:sz w:val="20"/>
                <w:szCs w:val="20"/>
              </w:rPr>
              <w:t xml:space="preserve"> </w:t>
            </w:r>
            <w:r w:rsidRPr="00083CE5">
              <w:rPr>
                <w:sz w:val="20"/>
                <w:szCs w:val="20"/>
              </w:rPr>
              <w:noBreakHyphen/>
              <w:t xml:space="preserve"> Extradition </w:t>
            </w:r>
            <w:r w:rsidRPr="00083CE5">
              <w:rPr>
                <w:sz w:val="20"/>
                <w:szCs w:val="20"/>
              </w:rPr>
              <w:noBreakHyphen/>
              <w:t xml:space="preserve"> Appeal from committal </w:t>
            </w:r>
            <w:r w:rsidRPr="00083CE5">
              <w:rPr>
                <w:sz w:val="20"/>
                <w:szCs w:val="20"/>
              </w:rPr>
              <w:noBreakHyphen/>
              <w:t xml:space="preserve"> Judicial Review of Surrender Order </w:t>
            </w:r>
            <w:r w:rsidRPr="00083CE5">
              <w:rPr>
                <w:sz w:val="20"/>
                <w:szCs w:val="20"/>
              </w:rPr>
              <w:noBreakHyphen/>
              <w:t xml:space="preserve"> Whether ss. 83.03, 83.18 or 83.21 of the </w:t>
            </w:r>
            <w:r w:rsidRPr="00083CE5">
              <w:rPr>
                <w:i/>
                <w:sz w:val="20"/>
                <w:szCs w:val="20"/>
              </w:rPr>
              <w:t>Criminal Code</w:t>
            </w:r>
            <w:r w:rsidRPr="00083CE5">
              <w:rPr>
                <w:sz w:val="20"/>
                <w:szCs w:val="20"/>
              </w:rPr>
              <w:t xml:space="preserve">, which incorporate the definition of “terrorist activity” in s. 83.01(1) of the </w:t>
            </w:r>
            <w:r w:rsidRPr="00083CE5">
              <w:rPr>
                <w:i/>
                <w:sz w:val="20"/>
                <w:szCs w:val="20"/>
              </w:rPr>
              <w:t>Criminal Code</w:t>
            </w:r>
            <w:r w:rsidRPr="00083CE5">
              <w:rPr>
                <w:sz w:val="20"/>
                <w:szCs w:val="20"/>
              </w:rPr>
              <w:t xml:space="preserve">, infringe s. 2(b) of the </w:t>
            </w:r>
            <w:r w:rsidRPr="00083CE5">
              <w:rPr>
                <w:i/>
                <w:sz w:val="20"/>
                <w:szCs w:val="20"/>
              </w:rPr>
              <w:t xml:space="preserve">Charter </w:t>
            </w:r>
            <w:r w:rsidRPr="00083CE5">
              <w:rPr>
                <w:sz w:val="20"/>
                <w:szCs w:val="20"/>
              </w:rPr>
              <w:noBreakHyphen/>
              <w:t xml:space="preserve"> If so, whether the infringement is a reasonable limit prescribed by law that can be demonstrably justified in a free and democratic society under s. 1 of the </w:t>
            </w:r>
            <w:r w:rsidRPr="00083CE5">
              <w:rPr>
                <w:i/>
                <w:sz w:val="20"/>
                <w:szCs w:val="20"/>
              </w:rPr>
              <w:t xml:space="preserve">Charter </w:t>
            </w:r>
            <w:r w:rsidRPr="00083CE5">
              <w:rPr>
                <w:sz w:val="20"/>
                <w:szCs w:val="20"/>
              </w:rPr>
              <w:noBreakHyphen/>
              <w:t xml:space="preserve"> Whether s. 83.18 of the </w:t>
            </w:r>
            <w:r w:rsidRPr="00083CE5">
              <w:rPr>
                <w:i/>
                <w:sz w:val="20"/>
                <w:szCs w:val="20"/>
              </w:rPr>
              <w:t>Criminal Code</w:t>
            </w:r>
            <w:r w:rsidRPr="00083CE5">
              <w:rPr>
                <w:sz w:val="20"/>
                <w:szCs w:val="20"/>
              </w:rPr>
              <w:t xml:space="preserve">, which incorporates the definition of “terrorist activity” in s. 83.01(1) of the </w:t>
            </w:r>
            <w:r w:rsidRPr="00083CE5">
              <w:rPr>
                <w:i/>
                <w:sz w:val="20"/>
                <w:szCs w:val="20"/>
              </w:rPr>
              <w:t>Criminal Code</w:t>
            </w:r>
            <w:r w:rsidRPr="00083CE5">
              <w:rPr>
                <w:sz w:val="20"/>
                <w:szCs w:val="20"/>
              </w:rPr>
              <w:t xml:space="preserve">, infringes s. 7 of the </w:t>
            </w:r>
            <w:r w:rsidRPr="00083CE5">
              <w:rPr>
                <w:i/>
                <w:sz w:val="20"/>
                <w:szCs w:val="20"/>
              </w:rPr>
              <w:t>Charter</w:t>
            </w:r>
            <w:r w:rsidRPr="00083CE5">
              <w:rPr>
                <w:sz w:val="20"/>
                <w:szCs w:val="20"/>
              </w:rPr>
              <w:t xml:space="preserve"> </w:t>
            </w:r>
            <w:r w:rsidRPr="00083CE5">
              <w:rPr>
                <w:sz w:val="20"/>
                <w:szCs w:val="20"/>
              </w:rPr>
              <w:noBreakHyphen/>
              <w:t xml:space="preserve"> If so, whether the infringement is a reasonable limit prescribed by law that can be demonstrably justified in a free and democratic society under s. 1 of the </w:t>
            </w:r>
            <w:r w:rsidRPr="00083CE5">
              <w:rPr>
                <w:i/>
                <w:sz w:val="20"/>
                <w:szCs w:val="20"/>
              </w:rPr>
              <w:t>Charter</w:t>
            </w:r>
            <w:r w:rsidRPr="00083CE5">
              <w:rPr>
                <w:sz w:val="20"/>
                <w:szCs w:val="20"/>
              </w:rPr>
              <w:t xml:space="preserve"> </w:t>
            </w:r>
            <w:r w:rsidRPr="00083CE5">
              <w:rPr>
                <w:sz w:val="20"/>
                <w:szCs w:val="20"/>
              </w:rPr>
              <w:noBreakHyphen/>
              <w:t xml:space="preserve"> Whether the Court of Appeal erred in failing to find that the Minister denied the appellant procedural fairness </w:t>
            </w:r>
            <w:r w:rsidRPr="00083CE5">
              <w:rPr>
                <w:sz w:val="20"/>
                <w:szCs w:val="20"/>
              </w:rPr>
              <w:noBreakHyphen/>
              <w:t xml:space="preserve"> Whether the Court of Appeal erred in concluding that the Minister’s decision that surrender would not unjustifiably limit the appellant’s s. 6(1) </w:t>
            </w:r>
            <w:r w:rsidRPr="00083CE5">
              <w:rPr>
                <w:i/>
                <w:sz w:val="20"/>
                <w:szCs w:val="20"/>
              </w:rPr>
              <w:t>Charter</w:t>
            </w:r>
            <w:r w:rsidRPr="00083CE5">
              <w:rPr>
                <w:sz w:val="20"/>
                <w:szCs w:val="20"/>
              </w:rPr>
              <w:t xml:space="preserve"> rights was reasonable </w:t>
            </w:r>
            <w:r w:rsidRPr="00083CE5">
              <w:rPr>
                <w:sz w:val="20"/>
                <w:szCs w:val="20"/>
              </w:rPr>
              <w:noBreakHyphen/>
              <w:t xml:space="preserve">  </w:t>
            </w:r>
            <w:r w:rsidRPr="00083CE5">
              <w:rPr>
                <w:i/>
                <w:sz w:val="20"/>
                <w:szCs w:val="20"/>
              </w:rPr>
              <w:t>Criminal Code</w:t>
            </w:r>
            <w:r w:rsidRPr="00083CE5">
              <w:rPr>
                <w:sz w:val="20"/>
                <w:szCs w:val="20"/>
              </w:rPr>
              <w:t>, R.S.C. 1985, c. C</w:t>
            </w:r>
            <w:r w:rsidRPr="00083CE5">
              <w:rPr>
                <w:sz w:val="20"/>
                <w:szCs w:val="20"/>
              </w:rPr>
              <w:noBreakHyphen/>
              <w:t xml:space="preserve">46, ss. 83.01(1), 83.03, 83.18 and 83.21 </w:t>
            </w:r>
            <w:r w:rsidRPr="00083CE5">
              <w:rPr>
                <w:sz w:val="20"/>
                <w:szCs w:val="20"/>
              </w:rPr>
              <w:noBreakHyphen/>
              <w:t xml:space="preserve"> </w:t>
            </w:r>
            <w:r w:rsidRPr="00083CE5">
              <w:rPr>
                <w:i/>
                <w:sz w:val="20"/>
                <w:szCs w:val="20"/>
              </w:rPr>
              <w:t>Canadian Charter of Rights and Freedoms</w:t>
            </w:r>
            <w:r w:rsidRPr="00083CE5">
              <w:rPr>
                <w:sz w:val="20"/>
                <w:szCs w:val="20"/>
              </w:rPr>
              <w:t>, ss. 1, 2(b), 6(1) and 7.</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w:t>
            </w:r>
            <w:r w:rsidR="00AE3198">
              <w:rPr>
                <w:b/>
                <w:sz w:val="20"/>
                <w:szCs w:val="20"/>
                <w:u w:val="single"/>
                <w:lang w:val="fr-CA"/>
              </w:rPr>
              <w:t xml:space="preserve"> - 34009</w:t>
            </w:r>
            <w:r w:rsidRPr="00CC4D84">
              <w:rPr>
                <w:b/>
                <w:sz w:val="20"/>
                <w:szCs w:val="20"/>
                <w:u w:val="single"/>
                <w:lang w:val="fr-CA"/>
              </w:rPr>
              <w:t xml:space="preserve"> :</w:t>
            </w:r>
          </w:p>
          <w:p w:rsidR="00C1697B" w:rsidRPr="00C1697B" w:rsidRDefault="00C1697B" w:rsidP="00C1697B">
            <w:pPr>
              <w:widowControl w:val="0"/>
              <w:jc w:val="both"/>
              <w:rPr>
                <w:sz w:val="20"/>
                <w:szCs w:val="20"/>
                <w:lang w:val="fr-CA"/>
              </w:rPr>
            </w:pPr>
          </w:p>
          <w:p w:rsidR="00C1697B" w:rsidRPr="00C1697B" w:rsidRDefault="00F32C9B" w:rsidP="00C1697B">
            <w:pPr>
              <w:widowControl w:val="0"/>
              <w:jc w:val="both"/>
              <w:rPr>
                <w:sz w:val="20"/>
                <w:szCs w:val="20"/>
                <w:lang w:val="fr-CA"/>
              </w:rPr>
            </w:pPr>
            <w:r w:rsidRPr="00415A48">
              <w:rPr>
                <w:i/>
                <w:sz w:val="20"/>
                <w:szCs w:val="20"/>
                <w:lang w:val="fr-CA"/>
              </w:rPr>
              <w:t xml:space="preserve">Charte canadienne des droits et libertés </w:t>
            </w:r>
            <w:r w:rsidRPr="00415A48">
              <w:rPr>
                <w:sz w:val="20"/>
                <w:szCs w:val="20"/>
                <w:lang w:val="fr-CA"/>
              </w:rPr>
              <w:noBreakHyphen/>
              <w:t xml:space="preserve"> Extradition </w:t>
            </w:r>
            <w:r w:rsidRPr="00415A48">
              <w:rPr>
                <w:sz w:val="20"/>
                <w:szCs w:val="20"/>
                <w:lang w:val="fr-CA"/>
              </w:rPr>
              <w:noBreakHyphen/>
              <w:t xml:space="preserve"> Appel de l’incarcération </w:t>
            </w:r>
            <w:r w:rsidRPr="00415A48">
              <w:rPr>
                <w:sz w:val="20"/>
                <w:szCs w:val="20"/>
                <w:lang w:val="fr-CA"/>
              </w:rPr>
              <w:noBreakHyphen/>
              <w:t xml:space="preserve"> Contrôle judiciaire de l’arrêté d’extradition </w:t>
            </w:r>
            <w:r w:rsidRPr="00415A48">
              <w:rPr>
                <w:sz w:val="20"/>
                <w:szCs w:val="20"/>
                <w:lang w:val="fr-CA"/>
              </w:rPr>
              <w:noBreakHyphen/>
              <w:t xml:space="preserve"> Les art. 83.03, 83.18 ou 83.21 du </w:t>
            </w:r>
            <w:r w:rsidRPr="00415A48">
              <w:rPr>
                <w:i/>
                <w:sz w:val="20"/>
                <w:szCs w:val="20"/>
                <w:lang w:val="fr-CA"/>
              </w:rPr>
              <w:t>Code criminel</w:t>
            </w:r>
            <w:r w:rsidRPr="00415A48">
              <w:rPr>
                <w:sz w:val="20"/>
                <w:szCs w:val="20"/>
                <w:lang w:val="fr-CA"/>
              </w:rPr>
              <w:t xml:space="preserve">, qui incorporent la définition d’« activité terroriste » dans le par. 83.01(1) du </w:t>
            </w:r>
            <w:r w:rsidRPr="00415A48">
              <w:rPr>
                <w:i/>
                <w:sz w:val="20"/>
                <w:szCs w:val="20"/>
                <w:lang w:val="fr-CA"/>
              </w:rPr>
              <w:t>Code criminel</w:t>
            </w:r>
            <w:r w:rsidRPr="00415A48">
              <w:rPr>
                <w:sz w:val="20"/>
                <w:szCs w:val="20"/>
                <w:lang w:val="fr-CA"/>
              </w:rPr>
              <w:t xml:space="preserve">, </w:t>
            </w:r>
            <w:proofErr w:type="spellStart"/>
            <w:r w:rsidRPr="00415A48">
              <w:rPr>
                <w:sz w:val="20"/>
                <w:szCs w:val="20"/>
                <w:lang w:val="fr-CA"/>
              </w:rPr>
              <w:t>portent</w:t>
            </w:r>
            <w:r w:rsidRPr="00415A48">
              <w:rPr>
                <w:sz w:val="20"/>
                <w:szCs w:val="20"/>
                <w:lang w:val="fr-CA"/>
              </w:rPr>
              <w:noBreakHyphen/>
              <w:t>ils</w:t>
            </w:r>
            <w:proofErr w:type="spellEnd"/>
            <w:r w:rsidRPr="00415A48">
              <w:rPr>
                <w:sz w:val="20"/>
                <w:szCs w:val="20"/>
                <w:lang w:val="fr-CA"/>
              </w:rPr>
              <w:t xml:space="preserve"> atteinte à l’al. 2</w:t>
            </w:r>
            <w:r w:rsidRPr="00415A48">
              <w:rPr>
                <w:i/>
                <w:sz w:val="20"/>
                <w:szCs w:val="20"/>
                <w:lang w:val="fr-CA"/>
              </w:rPr>
              <w:t>b</w:t>
            </w:r>
            <w:r w:rsidRPr="00415A48">
              <w:rPr>
                <w:sz w:val="20"/>
                <w:szCs w:val="20"/>
                <w:lang w:val="fr-CA"/>
              </w:rPr>
              <w:t xml:space="preserve">) de la </w:t>
            </w:r>
            <w:r w:rsidRPr="00415A48">
              <w:rPr>
                <w:i/>
                <w:sz w:val="20"/>
                <w:szCs w:val="20"/>
                <w:lang w:val="fr-CA"/>
              </w:rPr>
              <w:t>Charte</w:t>
            </w:r>
            <w:r w:rsidRPr="00415A48">
              <w:rPr>
                <w:sz w:val="20"/>
                <w:szCs w:val="20"/>
                <w:lang w:val="fr-CA"/>
              </w:rPr>
              <w:t xml:space="preserve">? </w:t>
            </w:r>
            <w:r w:rsidRPr="00415A48">
              <w:rPr>
                <w:sz w:val="20"/>
                <w:szCs w:val="20"/>
                <w:lang w:val="fr-CA"/>
              </w:rPr>
              <w:noBreakHyphen/>
              <w:t xml:space="preserve"> Dans l’affirmative, l’atteinte </w:t>
            </w:r>
            <w:proofErr w:type="spellStart"/>
            <w:r w:rsidRPr="00415A48">
              <w:rPr>
                <w:sz w:val="20"/>
                <w:szCs w:val="20"/>
                <w:lang w:val="fr-CA"/>
              </w:rPr>
              <w:t>constitue</w:t>
            </w:r>
            <w:r w:rsidRPr="00415A48">
              <w:rPr>
                <w:sz w:val="20"/>
                <w:szCs w:val="20"/>
                <w:lang w:val="fr-CA"/>
              </w:rPr>
              <w:noBreakHyphen/>
              <w:t>t</w:t>
            </w:r>
            <w:r w:rsidRPr="00415A48">
              <w:rPr>
                <w:sz w:val="20"/>
                <w:szCs w:val="20"/>
                <w:lang w:val="fr-CA"/>
              </w:rPr>
              <w:noBreakHyphen/>
              <w:t>elle</w:t>
            </w:r>
            <w:proofErr w:type="spellEnd"/>
            <w:r w:rsidRPr="00415A48">
              <w:rPr>
                <w:sz w:val="20"/>
                <w:szCs w:val="20"/>
                <w:lang w:val="fr-CA"/>
              </w:rPr>
              <w:t xml:space="preserve"> une limite raisonnable dont la justification peut se démontrer dans le cadre d’une société libre et démocratique au sens de l’article premier de la </w:t>
            </w:r>
            <w:r w:rsidRPr="00415A48">
              <w:rPr>
                <w:i/>
                <w:sz w:val="20"/>
                <w:szCs w:val="20"/>
                <w:lang w:val="fr-CA"/>
              </w:rPr>
              <w:t>Charte</w:t>
            </w:r>
            <w:r w:rsidRPr="00415A48">
              <w:rPr>
                <w:sz w:val="20"/>
                <w:szCs w:val="20"/>
                <w:lang w:val="fr-CA"/>
              </w:rPr>
              <w:t xml:space="preserve">? </w:t>
            </w:r>
            <w:r w:rsidRPr="00415A48">
              <w:rPr>
                <w:sz w:val="20"/>
                <w:szCs w:val="20"/>
                <w:lang w:val="fr-CA"/>
              </w:rPr>
              <w:noBreakHyphen/>
              <w:t xml:space="preserve"> L’art. 83.18 du </w:t>
            </w:r>
            <w:r w:rsidRPr="00415A48">
              <w:rPr>
                <w:i/>
                <w:sz w:val="20"/>
                <w:szCs w:val="20"/>
                <w:lang w:val="fr-CA"/>
              </w:rPr>
              <w:t>Code criminel</w:t>
            </w:r>
            <w:r w:rsidRPr="00415A48">
              <w:rPr>
                <w:sz w:val="20"/>
                <w:szCs w:val="20"/>
                <w:lang w:val="fr-CA"/>
              </w:rPr>
              <w:t xml:space="preserve">, qui incorpore la définition d’« activité terroriste » dans le par. 83.01(1) du </w:t>
            </w:r>
            <w:r w:rsidRPr="00415A48">
              <w:rPr>
                <w:i/>
                <w:sz w:val="20"/>
                <w:szCs w:val="20"/>
                <w:lang w:val="fr-CA"/>
              </w:rPr>
              <w:t>Code criminel</w:t>
            </w:r>
            <w:r w:rsidRPr="00415A48">
              <w:rPr>
                <w:sz w:val="20"/>
                <w:szCs w:val="20"/>
                <w:lang w:val="fr-CA"/>
              </w:rPr>
              <w:t xml:space="preserve"> </w:t>
            </w:r>
            <w:proofErr w:type="spellStart"/>
            <w:r w:rsidRPr="00415A48">
              <w:rPr>
                <w:sz w:val="20"/>
                <w:szCs w:val="20"/>
                <w:lang w:val="fr-CA"/>
              </w:rPr>
              <w:t>porte</w:t>
            </w:r>
            <w:r w:rsidRPr="00415A48">
              <w:rPr>
                <w:sz w:val="20"/>
                <w:szCs w:val="20"/>
                <w:lang w:val="fr-CA"/>
              </w:rPr>
              <w:noBreakHyphen/>
              <w:t>t</w:t>
            </w:r>
            <w:r w:rsidRPr="00415A48">
              <w:rPr>
                <w:sz w:val="20"/>
                <w:szCs w:val="20"/>
                <w:lang w:val="fr-CA"/>
              </w:rPr>
              <w:noBreakHyphen/>
              <w:t>il</w:t>
            </w:r>
            <w:proofErr w:type="spellEnd"/>
            <w:r w:rsidRPr="00415A48">
              <w:rPr>
                <w:sz w:val="20"/>
                <w:szCs w:val="20"/>
                <w:lang w:val="fr-CA"/>
              </w:rPr>
              <w:t xml:space="preserve"> atteinte à l’art. 7 de la </w:t>
            </w:r>
            <w:r w:rsidRPr="00415A48">
              <w:rPr>
                <w:i/>
                <w:sz w:val="20"/>
                <w:szCs w:val="20"/>
                <w:lang w:val="fr-CA"/>
              </w:rPr>
              <w:t>Charte</w:t>
            </w:r>
            <w:r w:rsidRPr="00415A48">
              <w:rPr>
                <w:sz w:val="20"/>
                <w:szCs w:val="20"/>
                <w:lang w:val="fr-CA"/>
              </w:rPr>
              <w:t xml:space="preserve">? </w:t>
            </w:r>
            <w:r w:rsidRPr="00415A48">
              <w:rPr>
                <w:sz w:val="20"/>
                <w:szCs w:val="20"/>
                <w:lang w:val="fr-CA"/>
              </w:rPr>
              <w:noBreakHyphen/>
              <w:t xml:space="preserve"> Dans l’affirmative, l’atteinte </w:t>
            </w:r>
            <w:proofErr w:type="spellStart"/>
            <w:r w:rsidRPr="00415A48">
              <w:rPr>
                <w:sz w:val="20"/>
                <w:szCs w:val="20"/>
                <w:lang w:val="fr-CA"/>
              </w:rPr>
              <w:t>constitue</w:t>
            </w:r>
            <w:r w:rsidRPr="00415A48">
              <w:rPr>
                <w:sz w:val="20"/>
                <w:szCs w:val="20"/>
                <w:lang w:val="fr-CA"/>
              </w:rPr>
              <w:noBreakHyphen/>
              <w:t>t</w:t>
            </w:r>
            <w:r w:rsidRPr="00415A48">
              <w:rPr>
                <w:sz w:val="20"/>
                <w:szCs w:val="20"/>
                <w:lang w:val="fr-CA"/>
              </w:rPr>
              <w:noBreakHyphen/>
              <w:t>elle</w:t>
            </w:r>
            <w:proofErr w:type="spellEnd"/>
            <w:r w:rsidRPr="00415A48">
              <w:rPr>
                <w:sz w:val="20"/>
                <w:szCs w:val="20"/>
                <w:lang w:val="fr-CA"/>
              </w:rPr>
              <w:t xml:space="preserve"> une limite raisonnable dont la justification peut se démontrer dans le cadre d’une société libre et démocratique  au sens de l’article premier de la </w:t>
            </w:r>
            <w:r w:rsidRPr="00415A48">
              <w:rPr>
                <w:i/>
                <w:sz w:val="20"/>
                <w:szCs w:val="20"/>
                <w:lang w:val="fr-CA"/>
              </w:rPr>
              <w:t>Charte</w:t>
            </w:r>
            <w:r w:rsidRPr="00415A48">
              <w:rPr>
                <w:sz w:val="20"/>
                <w:szCs w:val="20"/>
                <w:lang w:val="fr-CA"/>
              </w:rPr>
              <w:t xml:space="preserve">? </w:t>
            </w:r>
            <w:r w:rsidRPr="00415A48">
              <w:rPr>
                <w:sz w:val="20"/>
                <w:szCs w:val="20"/>
                <w:lang w:val="fr-CA"/>
              </w:rPr>
              <w:noBreakHyphen/>
              <w:t xml:space="preserve"> La Cour d’appel </w:t>
            </w:r>
            <w:proofErr w:type="spellStart"/>
            <w:r w:rsidRPr="00415A48">
              <w:rPr>
                <w:sz w:val="20"/>
                <w:szCs w:val="20"/>
                <w:lang w:val="fr-CA"/>
              </w:rPr>
              <w:t>a</w:t>
            </w:r>
            <w:r w:rsidRPr="00415A48">
              <w:rPr>
                <w:sz w:val="20"/>
                <w:szCs w:val="20"/>
                <w:lang w:val="fr-CA"/>
              </w:rPr>
              <w:noBreakHyphen/>
              <w:t>t</w:t>
            </w:r>
            <w:r w:rsidRPr="00415A48">
              <w:rPr>
                <w:sz w:val="20"/>
                <w:szCs w:val="20"/>
                <w:lang w:val="fr-CA"/>
              </w:rPr>
              <w:noBreakHyphen/>
              <w:t>elle</w:t>
            </w:r>
            <w:proofErr w:type="spellEnd"/>
            <w:r w:rsidRPr="00415A48">
              <w:rPr>
                <w:sz w:val="20"/>
                <w:szCs w:val="20"/>
                <w:lang w:val="fr-CA"/>
              </w:rPr>
              <w:t xml:space="preserve"> eu tort de conclure que le ministre avait manqué à son obligation d’équité procédurale envers l’appelant? </w:t>
            </w:r>
            <w:r w:rsidRPr="00415A48">
              <w:rPr>
                <w:sz w:val="20"/>
                <w:szCs w:val="20"/>
                <w:lang w:val="fr-CA"/>
              </w:rPr>
              <w:noBreakHyphen/>
              <w:t xml:space="preserve"> La Cour d’appel </w:t>
            </w:r>
            <w:proofErr w:type="spellStart"/>
            <w:r w:rsidRPr="00415A48">
              <w:rPr>
                <w:sz w:val="20"/>
                <w:szCs w:val="20"/>
                <w:lang w:val="fr-CA"/>
              </w:rPr>
              <w:t>a</w:t>
            </w:r>
            <w:r w:rsidRPr="00415A48">
              <w:rPr>
                <w:sz w:val="20"/>
                <w:szCs w:val="20"/>
                <w:lang w:val="fr-CA"/>
              </w:rPr>
              <w:noBreakHyphen/>
              <w:t>t</w:t>
            </w:r>
            <w:r w:rsidRPr="00415A48">
              <w:rPr>
                <w:sz w:val="20"/>
                <w:szCs w:val="20"/>
                <w:lang w:val="fr-CA"/>
              </w:rPr>
              <w:noBreakHyphen/>
              <w:t>elle</w:t>
            </w:r>
            <w:proofErr w:type="spellEnd"/>
            <w:r w:rsidRPr="00415A48">
              <w:rPr>
                <w:sz w:val="20"/>
                <w:szCs w:val="20"/>
                <w:lang w:val="fr-CA"/>
              </w:rPr>
              <w:t xml:space="preserve"> eu tort de conclure que la décision du ministre selon laquelle l’extradition ne restreindrait pas de manière injustifiée les droits de l’appelant garantis par le par. 6(1) de la </w:t>
            </w:r>
            <w:r w:rsidRPr="00415A48">
              <w:rPr>
                <w:i/>
                <w:sz w:val="20"/>
                <w:szCs w:val="20"/>
                <w:lang w:val="fr-CA"/>
              </w:rPr>
              <w:t>Charte</w:t>
            </w:r>
            <w:r w:rsidRPr="00415A48">
              <w:rPr>
                <w:sz w:val="20"/>
                <w:szCs w:val="20"/>
                <w:lang w:val="fr-CA"/>
              </w:rPr>
              <w:t xml:space="preserve"> était raisonnable? </w:t>
            </w:r>
            <w:r w:rsidRPr="00415A48">
              <w:rPr>
                <w:sz w:val="20"/>
                <w:szCs w:val="20"/>
                <w:lang w:val="fr-CA"/>
              </w:rPr>
              <w:noBreakHyphen/>
            </w:r>
            <w:r w:rsidRPr="00415A48">
              <w:rPr>
                <w:i/>
                <w:sz w:val="20"/>
                <w:szCs w:val="20"/>
                <w:lang w:val="fr-CA"/>
              </w:rPr>
              <w:t xml:space="preserve"> Code criminel</w:t>
            </w:r>
            <w:r w:rsidRPr="00415A48">
              <w:rPr>
                <w:sz w:val="20"/>
                <w:szCs w:val="20"/>
                <w:lang w:val="fr-CA"/>
              </w:rPr>
              <w:t>, L.R.C. 1985, ch. C</w:t>
            </w:r>
            <w:r w:rsidRPr="00415A48">
              <w:rPr>
                <w:sz w:val="20"/>
                <w:szCs w:val="20"/>
                <w:lang w:val="fr-CA"/>
              </w:rPr>
              <w:noBreakHyphen/>
              <w:t xml:space="preserve">46, arts. 83.01(1), 83.03, 83.18 et 83.21 </w:t>
            </w:r>
            <w:r w:rsidRPr="00415A48">
              <w:rPr>
                <w:sz w:val="20"/>
                <w:szCs w:val="20"/>
                <w:lang w:val="fr-CA"/>
              </w:rPr>
              <w:noBreakHyphen/>
            </w:r>
            <w:r w:rsidRPr="00415A48">
              <w:rPr>
                <w:i/>
                <w:sz w:val="20"/>
                <w:szCs w:val="20"/>
                <w:lang w:val="fr-CA"/>
              </w:rPr>
              <w:t xml:space="preserve"> Charte canadienne des droits et libertés</w:t>
            </w:r>
            <w:r w:rsidRPr="00415A48">
              <w:rPr>
                <w:sz w:val="20"/>
                <w:szCs w:val="20"/>
                <w:lang w:val="fr-CA"/>
              </w:rPr>
              <w:t>, art. 1, 2(b), 6(1) et 7.</w:t>
            </w:r>
          </w:p>
        </w:tc>
      </w:tr>
    </w:tbl>
    <w:p w:rsidR="00732DB7" w:rsidRDefault="00732DB7" w:rsidP="00732DB7">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AE3198" w:rsidRPr="00017BF4" w:rsidTr="00AE3198">
        <w:tc>
          <w:tcPr>
            <w:tcW w:w="4380" w:type="dxa"/>
            <w:tcMar>
              <w:left w:w="0" w:type="dxa"/>
              <w:right w:w="0" w:type="dxa"/>
            </w:tcMar>
          </w:tcPr>
          <w:p w:rsidR="00AE3198" w:rsidRPr="00CC4D84" w:rsidRDefault="00AE3198" w:rsidP="00AE3198">
            <w:pPr>
              <w:widowControl w:val="0"/>
              <w:jc w:val="both"/>
              <w:rPr>
                <w:b/>
                <w:sz w:val="20"/>
                <w:szCs w:val="20"/>
                <w:u w:val="single"/>
              </w:rPr>
            </w:pPr>
            <w:r w:rsidRPr="00CC4D84">
              <w:rPr>
                <w:b/>
                <w:sz w:val="20"/>
                <w:szCs w:val="20"/>
                <w:u w:val="single"/>
              </w:rPr>
              <w:t>Nature of the case</w:t>
            </w:r>
            <w:r>
              <w:rPr>
                <w:b/>
                <w:sz w:val="20"/>
                <w:szCs w:val="20"/>
                <w:u w:val="single"/>
              </w:rPr>
              <w:t xml:space="preserve"> - 340</w:t>
            </w:r>
            <w:r w:rsidR="00990608">
              <w:rPr>
                <w:b/>
                <w:sz w:val="20"/>
                <w:szCs w:val="20"/>
                <w:u w:val="single"/>
              </w:rPr>
              <w:t>13</w:t>
            </w:r>
            <w:r w:rsidRPr="00CC4D84">
              <w:rPr>
                <w:b/>
                <w:sz w:val="20"/>
                <w:szCs w:val="20"/>
                <w:u w:val="single"/>
              </w:rPr>
              <w:t>:</w:t>
            </w:r>
          </w:p>
          <w:p w:rsidR="00AE3198" w:rsidRPr="00C1697B" w:rsidRDefault="00AE3198" w:rsidP="00AE3198">
            <w:pPr>
              <w:widowControl w:val="0"/>
              <w:jc w:val="both"/>
              <w:rPr>
                <w:b/>
                <w:sz w:val="20"/>
                <w:szCs w:val="20"/>
              </w:rPr>
            </w:pPr>
          </w:p>
          <w:p w:rsidR="00AE3198" w:rsidRPr="00C1697B" w:rsidRDefault="00824B50" w:rsidP="00AE3198">
            <w:pPr>
              <w:widowControl w:val="0"/>
              <w:jc w:val="both"/>
              <w:rPr>
                <w:b/>
                <w:sz w:val="20"/>
                <w:szCs w:val="20"/>
              </w:rPr>
            </w:pPr>
            <w:r w:rsidRPr="00E27278">
              <w:rPr>
                <w:i/>
                <w:sz w:val="20"/>
                <w:szCs w:val="20"/>
              </w:rPr>
              <w:t>Canadian Charter of Rights and Freedoms</w:t>
            </w:r>
            <w:r w:rsidRPr="00E27278">
              <w:rPr>
                <w:sz w:val="20"/>
                <w:szCs w:val="20"/>
              </w:rPr>
              <w:t xml:space="preserve"> </w:t>
            </w:r>
            <w:r w:rsidRPr="00E27278">
              <w:rPr>
                <w:sz w:val="20"/>
                <w:szCs w:val="20"/>
              </w:rPr>
              <w:noBreakHyphen/>
              <w:t xml:space="preserve"> Extradition </w:t>
            </w:r>
            <w:r w:rsidRPr="00E27278">
              <w:rPr>
                <w:sz w:val="20"/>
                <w:szCs w:val="20"/>
              </w:rPr>
              <w:noBreakHyphen/>
              <w:t xml:space="preserve"> Appeal from committal </w:t>
            </w:r>
            <w:r w:rsidRPr="00E27278">
              <w:rPr>
                <w:sz w:val="20"/>
                <w:szCs w:val="20"/>
              </w:rPr>
              <w:noBreakHyphen/>
              <w:t xml:space="preserve"> Judicial Review of Surrender Order </w:t>
            </w:r>
            <w:r w:rsidRPr="00E27278">
              <w:rPr>
                <w:sz w:val="20"/>
                <w:szCs w:val="20"/>
              </w:rPr>
              <w:noBreakHyphen/>
              <w:t xml:space="preserve"> Whether ss. 83.03, 83.18 or 83.21 of the </w:t>
            </w:r>
            <w:r w:rsidRPr="00E27278">
              <w:rPr>
                <w:i/>
                <w:sz w:val="20"/>
                <w:szCs w:val="20"/>
              </w:rPr>
              <w:t>Criminal Code</w:t>
            </w:r>
            <w:r w:rsidRPr="00E27278">
              <w:rPr>
                <w:sz w:val="20"/>
                <w:szCs w:val="20"/>
              </w:rPr>
              <w:t xml:space="preserve">, which incorporate the definition of “terrorist activity” in s. 83.01(1) of the </w:t>
            </w:r>
            <w:r w:rsidRPr="00E27278">
              <w:rPr>
                <w:i/>
                <w:sz w:val="20"/>
                <w:szCs w:val="20"/>
              </w:rPr>
              <w:t>Criminal Code</w:t>
            </w:r>
            <w:r w:rsidRPr="00E27278">
              <w:rPr>
                <w:sz w:val="20"/>
                <w:szCs w:val="20"/>
              </w:rPr>
              <w:t xml:space="preserve">, infringe s. 2(b) of the </w:t>
            </w:r>
            <w:r w:rsidRPr="00E27278">
              <w:rPr>
                <w:i/>
                <w:sz w:val="20"/>
                <w:szCs w:val="20"/>
              </w:rPr>
              <w:t xml:space="preserve">Charter </w:t>
            </w:r>
            <w:r w:rsidRPr="00E27278">
              <w:rPr>
                <w:sz w:val="20"/>
                <w:szCs w:val="20"/>
              </w:rPr>
              <w:noBreakHyphen/>
              <w:t xml:space="preserve"> If so, whether the infringement is a reasonable limit prescribed by law that can be demonstrably justified in a free and democratic society under s. 1 of the </w:t>
            </w:r>
            <w:r w:rsidRPr="00E27278">
              <w:rPr>
                <w:i/>
                <w:sz w:val="20"/>
                <w:szCs w:val="20"/>
              </w:rPr>
              <w:t xml:space="preserve">Charter </w:t>
            </w:r>
            <w:r w:rsidRPr="00E27278">
              <w:rPr>
                <w:sz w:val="20"/>
                <w:szCs w:val="20"/>
              </w:rPr>
              <w:noBreakHyphen/>
              <w:t xml:space="preserve"> Whether s. 83.18 of the </w:t>
            </w:r>
            <w:r w:rsidRPr="00E27278">
              <w:rPr>
                <w:i/>
                <w:sz w:val="20"/>
                <w:szCs w:val="20"/>
              </w:rPr>
              <w:t>Criminal Code</w:t>
            </w:r>
            <w:r w:rsidRPr="00E27278">
              <w:rPr>
                <w:sz w:val="20"/>
                <w:szCs w:val="20"/>
              </w:rPr>
              <w:t xml:space="preserve">, which incorporates the definition of “terrorist activity” in s. 83.01(1) of the </w:t>
            </w:r>
            <w:r w:rsidRPr="00E27278">
              <w:rPr>
                <w:i/>
                <w:sz w:val="20"/>
                <w:szCs w:val="20"/>
              </w:rPr>
              <w:t>Criminal Code</w:t>
            </w:r>
            <w:r w:rsidRPr="00E27278">
              <w:rPr>
                <w:sz w:val="20"/>
                <w:szCs w:val="20"/>
              </w:rPr>
              <w:t xml:space="preserve">, infringes s. 7 of the </w:t>
            </w:r>
            <w:r w:rsidRPr="00E27278">
              <w:rPr>
                <w:i/>
                <w:sz w:val="20"/>
                <w:szCs w:val="20"/>
              </w:rPr>
              <w:t>Charter</w:t>
            </w:r>
            <w:r w:rsidRPr="00E27278">
              <w:rPr>
                <w:sz w:val="20"/>
                <w:szCs w:val="20"/>
              </w:rPr>
              <w:t xml:space="preserve"> </w:t>
            </w:r>
            <w:r w:rsidRPr="00E27278">
              <w:rPr>
                <w:sz w:val="20"/>
                <w:szCs w:val="20"/>
              </w:rPr>
              <w:noBreakHyphen/>
              <w:t xml:space="preserve"> If so, whether the infringement is a reasonable limit prescribed by law that can be demonstrably justified in a free and democratic society under s. 1 of the </w:t>
            </w:r>
            <w:r w:rsidRPr="00E27278">
              <w:rPr>
                <w:i/>
                <w:sz w:val="20"/>
                <w:szCs w:val="20"/>
              </w:rPr>
              <w:t>Charter</w:t>
            </w:r>
            <w:r w:rsidRPr="00E27278">
              <w:rPr>
                <w:sz w:val="20"/>
                <w:szCs w:val="20"/>
              </w:rPr>
              <w:t xml:space="preserve"> </w:t>
            </w:r>
            <w:r w:rsidRPr="00E27278">
              <w:rPr>
                <w:sz w:val="20"/>
                <w:szCs w:val="20"/>
              </w:rPr>
              <w:noBreakHyphen/>
              <w:t xml:space="preserve"> Whether the Court of Appeal erred in failing to find that the Minister denied the appellant procedural fairness </w:t>
            </w:r>
            <w:r w:rsidRPr="00E27278">
              <w:rPr>
                <w:sz w:val="20"/>
                <w:szCs w:val="20"/>
              </w:rPr>
              <w:noBreakHyphen/>
              <w:t xml:space="preserve"> Whether the Court of Appeal erred in concluding that the Minister’s decision that surrender would not unjustifiably limit the appellant’s s. 6(1) </w:t>
            </w:r>
            <w:r w:rsidRPr="00E27278">
              <w:rPr>
                <w:i/>
                <w:sz w:val="20"/>
                <w:szCs w:val="20"/>
              </w:rPr>
              <w:t>Charter</w:t>
            </w:r>
            <w:r w:rsidRPr="00E27278">
              <w:rPr>
                <w:sz w:val="20"/>
                <w:szCs w:val="20"/>
              </w:rPr>
              <w:t xml:space="preserve"> rights was reasonable </w:t>
            </w:r>
            <w:r w:rsidRPr="00E27278">
              <w:rPr>
                <w:sz w:val="20"/>
                <w:szCs w:val="20"/>
              </w:rPr>
              <w:noBreakHyphen/>
              <w:t xml:space="preserve"> </w:t>
            </w:r>
            <w:r w:rsidRPr="00E27278">
              <w:rPr>
                <w:i/>
                <w:sz w:val="20"/>
                <w:szCs w:val="20"/>
              </w:rPr>
              <w:t>Criminal Code</w:t>
            </w:r>
            <w:r w:rsidRPr="00E27278">
              <w:rPr>
                <w:sz w:val="20"/>
                <w:szCs w:val="20"/>
              </w:rPr>
              <w:t>, R.S.C. 1985, c. C</w:t>
            </w:r>
            <w:r w:rsidRPr="00E27278">
              <w:rPr>
                <w:sz w:val="20"/>
                <w:szCs w:val="20"/>
              </w:rPr>
              <w:noBreakHyphen/>
              <w:t xml:space="preserve">46, ss. 83.01(1), 83.03, 83.18 and 83.21 </w:t>
            </w:r>
            <w:r w:rsidRPr="00E27278">
              <w:rPr>
                <w:sz w:val="20"/>
                <w:szCs w:val="20"/>
              </w:rPr>
              <w:noBreakHyphen/>
              <w:t xml:space="preserve"> </w:t>
            </w:r>
            <w:r w:rsidRPr="00E27278">
              <w:rPr>
                <w:i/>
                <w:sz w:val="20"/>
                <w:szCs w:val="20"/>
              </w:rPr>
              <w:t>Canadian Charter of Rights and Freedoms</w:t>
            </w:r>
            <w:r w:rsidRPr="00E27278">
              <w:rPr>
                <w:sz w:val="20"/>
                <w:szCs w:val="20"/>
              </w:rPr>
              <w:t>, ss. 1, 2(b), 6(1) and 7.</w:t>
            </w:r>
          </w:p>
        </w:tc>
        <w:tc>
          <w:tcPr>
            <w:tcW w:w="720" w:type="dxa"/>
            <w:tcMar>
              <w:left w:w="0" w:type="dxa"/>
              <w:right w:w="0" w:type="dxa"/>
            </w:tcMar>
          </w:tcPr>
          <w:p w:rsidR="00AE3198" w:rsidRPr="00C1697B" w:rsidRDefault="00AE3198" w:rsidP="00AE3198">
            <w:pPr>
              <w:widowControl w:val="0"/>
              <w:jc w:val="center"/>
              <w:rPr>
                <w:sz w:val="20"/>
                <w:szCs w:val="20"/>
              </w:rPr>
            </w:pPr>
          </w:p>
        </w:tc>
        <w:tc>
          <w:tcPr>
            <w:tcW w:w="4380" w:type="dxa"/>
            <w:tcMar>
              <w:left w:w="0" w:type="dxa"/>
              <w:right w:w="0" w:type="dxa"/>
            </w:tcMar>
          </w:tcPr>
          <w:p w:rsidR="00AE3198" w:rsidRPr="00CC4D84" w:rsidRDefault="00AE3198" w:rsidP="00AE3198">
            <w:pPr>
              <w:widowControl w:val="0"/>
              <w:jc w:val="both"/>
              <w:rPr>
                <w:b/>
                <w:sz w:val="20"/>
                <w:szCs w:val="20"/>
                <w:u w:val="single"/>
                <w:lang w:val="fr-CA"/>
              </w:rPr>
            </w:pPr>
            <w:r w:rsidRPr="00CC4D84">
              <w:rPr>
                <w:b/>
                <w:sz w:val="20"/>
                <w:szCs w:val="20"/>
                <w:u w:val="single"/>
                <w:lang w:val="fr-CA"/>
              </w:rPr>
              <w:t>Nature de la cause</w:t>
            </w:r>
            <w:r>
              <w:rPr>
                <w:b/>
                <w:sz w:val="20"/>
                <w:szCs w:val="20"/>
                <w:u w:val="single"/>
                <w:lang w:val="fr-CA"/>
              </w:rPr>
              <w:t xml:space="preserve"> - 340</w:t>
            </w:r>
            <w:r w:rsidR="00990608">
              <w:rPr>
                <w:b/>
                <w:sz w:val="20"/>
                <w:szCs w:val="20"/>
                <w:u w:val="single"/>
                <w:lang w:val="fr-CA"/>
              </w:rPr>
              <w:t>13</w:t>
            </w:r>
            <w:r w:rsidRPr="00CC4D84">
              <w:rPr>
                <w:b/>
                <w:sz w:val="20"/>
                <w:szCs w:val="20"/>
                <w:u w:val="single"/>
                <w:lang w:val="fr-CA"/>
              </w:rPr>
              <w:t xml:space="preserve"> :</w:t>
            </w:r>
          </w:p>
          <w:p w:rsidR="00AE3198" w:rsidRPr="00C1697B" w:rsidRDefault="00AE3198" w:rsidP="00AE3198">
            <w:pPr>
              <w:widowControl w:val="0"/>
              <w:jc w:val="both"/>
              <w:rPr>
                <w:sz w:val="20"/>
                <w:szCs w:val="20"/>
                <w:lang w:val="fr-CA"/>
              </w:rPr>
            </w:pPr>
          </w:p>
          <w:p w:rsidR="00AE3198" w:rsidRPr="00C1697B" w:rsidRDefault="00824B50" w:rsidP="00AE3198">
            <w:pPr>
              <w:widowControl w:val="0"/>
              <w:jc w:val="both"/>
              <w:rPr>
                <w:sz w:val="20"/>
                <w:szCs w:val="20"/>
                <w:lang w:val="fr-CA"/>
              </w:rPr>
            </w:pPr>
            <w:r w:rsidRPr="008C5263">
              <w:rPr>
                <w:i/>
                <w:sz w:val="20"/>
                <w:szCs w:val="20"/>
                <w:lang w:val="fr-CA"/>
              </w:rPr>
              <w:t xml:space="preserve">Charte canadienne des droits et libertés </w:t>
            </w:r>
            <w:r w:rsidRPr="008C5263">
              <w:rPr>
                <w:sz w:val="20"/>
                <w:szCs w:val="20"/>
                <w:lang w:val="fr-CA"/>
              </w:rPr>
              <w:noBreakHyphen/>
              <w:t xml:space="preserve"> Extradition </w:t>
            </w:r>
            <w:r w:rsidRPr="008C5263">
              <w:rPr>
                <w:sz w:val="20"/>
                <w:szCs w:val="20"/>
                <w:lang w:val="fr-CA"/>
              </w:rPr>
              <w:noBreakHyphen/>
              <w:t xml:space="preserve"> Appel de l’incarcération </w:t>
            </w:r>
            <w:r w:rsidRPr="008C5263">
              <w:rPr>
                <w:sz w:val="20"/>
                <w:szCs w:val="20"/>
                <w:lang w:val="fr-CA"/>
              </w:rPr>
              <w:noBreakHyphen/>
              <w:t xml:space="preserve"> Contrôle judiciaire de l’arrêté d’extradition </w:t>
            </w:r>
            <w:r w:rsidRPr="008C5263">
              <w:rPr>
                <w:sz w:val="20"/>
                <w:szCs w:val="20"/>
                <w:lang w:val="fr-CA"/>
              </w:rPr>
              <w:noBreakHyphen/>
              <w:t xml:space="preserve"> Les art. 83.03, 83.18 ou 83.21 du </w:t>
            </w:r>
            <w:r w:rsidRPr="008C5263">
              <w:rPr>
                <w:i/>
                <w:sz w:val="20"/>
                <w:szCs w:val="20"/>
                <w:lang w:val="fr-CA"/>
              </w:rPr>
              <w:t>Code criminel</w:t>
            </w:r>
            <w:r w:rsidRPr="008C5263">
              <w:rPr>
                <w:sz w:val="20"/>
                <w:szCs w:val="20"/>
                <w:lang w:val="fr-CA"/>
              </w:rPr>
              <w:t xml:space="preserve">, qui incorporent la définition d’« activité terroriste » dans le par. 83.01(1) du </w:t>
            </w:r>
            <w:r w:rsidRPr="008C5263">
              <w:rPr>
                <w:i/>
                <w:sz w:val="20"/>
                <w:szCs w:val="20"/>
                <w:lang w:val="fr-CA"/>
              </w:rPr>
              <w:t>Code criminel</w:t>
            </w:r>
            <w:r w:rsidRPr="008C5263">
              <w:rPr>
                <w:sz w:val="20"/>
                <w:szCs w:val="20"/>
                <w:lang w:val="fr-CA"/>
              </w:rPr>
              <w:t xml:space="preserve">, </w:t>
            </w:r>
            <w:proofErr w:type="spellStart"/>
            <w:r w:rsidRPr="008C5263">
              <w:rPr>
                <w:sz w:val="20"/>
                <w:szCs w:val="20"/>
                <w:lang w:val="fr-CA"/>
              </w:rPr>
              <w:t>portent</w:t>
            </w:r>
            <w:r w:rsidRPr="008C5263">
              <w:rPr>
                <w:sz w:val="20"/>
                <w:szCs w:val="20"/>
                <w:lang w:val="fr-CA"/>
              </w:rPr>
              <w:noBreakHyphen/>
              <w:t>ils</w:t>
            </w:r>
            <w:proofErr w:type="spellEnd"/>
            <w:r w:rsidRPr="008C5263">
              <w:rPr>
                <w:sz w:val="20"/>
                <w:szCs w:val="20"/>
                <w:lang w:val="fr-CA"/>
              </w:rPr>
              <w:t xml:space="preserve"> atteinte à l’al. 2</w:t>
            </w:r>
            <w:r w:rsidRPr="008C5263">
              <w:rPr>
                <w:i/>
                <w:sz w:val="20"/>
                <w:szCs w:val="20"/>
                <w:lang w:val="fr-CA"/>
              </w:rPr>
              <w:t>b</w:t>
            </w:r>
            <w:r w:rsidRPr="008C5263">
              <w:rPr>
                <w:sz w:val="20"/>
                <w:szCs w:val="20"/>
                <w:lang w:val="fr-CA"/>
              </w:rPr>
              <w:t xml:space="preserve">) de la </w:t>
            </w:r>
            <w:r w:rsidRPr="008C5263">
              <w:rPr>
                <w:i/>
                <w:sz w:val="20"/>
                <w:szCs w:val="20"/>
                <w:lang w:val="fr-CA"/>
              </w:rPr>
              <w:t>Charte</w:t>
            </w:r>
            <w:r w:rsidRPr="008C5263">
              <w:rPr>
                <w:sz w:val="20"/>
                <w:szCs w:val="20"/>
                <w:lang w:val="fr-CA"/>
              </w:rPr>
              <w:t xml:space="preserve">? </w:t>
            </w:r>
            <w:r w:rsidRPr="008C5263">
              <w:rPr>
                <w:sz w:val="20"/>
                <w:szCs w:val="20"/>
                <w:lang w:val="fr-CA"/>
              </w:rPr>
              <w:noBreakHyphen/>
              <w:t xml:space="preserve"> Dans l’affirmative, l’atteinte </w:t>
            </w:r>
            <w:proofErr w:type="spellStart"/>
            <w:r w:rsidRPr="008C5263">
              <w:rPr>
                <w:sz w:val="20"/>
                <w:szCs w:val="20"/>
                <w:lang w:val="fr-CA"/>
              </w:rPr>
              <w:t>constitue</w:t>
            </w:r>
            <w:r w:rsidRPr="008C5263">
              <w:rPr>
                <w:sz w:val="20"/>
                <w:szCs w:val="20"/>
                <w:lang w:val="fr-CA"/>
              </w:rPr>
              <w:noBreakHyphen/>
              <w:t>t</w:t>
            </w:r>
            <w:r w:rsidRPr="008C5263">
              <w:rPr>
                <w:sz w:val="20"/>
                <w:szCs w:val="20"/>
                <w:lang w:val="fr-CA"/>
              </w:rPr>
              <w:noBreakHyphen/>
              <w:t>elle</w:t>
            </w:r>
            <w:proofErr w:type="spellEnd"/>
            <w:r w:rsidRPr="008C5263">
              <w:rPr>
                <w:sz w:val="20"/>
                <w:szCs w:val="20"/>
                <w:lang w:val="fr-CA"/>
              </w:rPr>
              <w:t xml:space="preserve"> une limite raisonnable dont la justification peut se démontrer dans le cadre d’une société libre et démocratique au sens de l’article premier de la </w:t>
            </w:r>
            <w:r w:rsidRPr="008C5263">
              <w:rPr>
                <w:i/>
                <w:sz w:val="20"/>
                <w:szCs w:val="20"/>
                <w:lang w:val="fr-CA"/>
              </w:rPr>
              <w:t>Charte</w:t>
            </w:r>
            <w:r w:rsidRPr="008C5263">
              <w:rPr>
                <w:sz w:val="20"/>
                <w:szCs w:val="20"/>
                <w:lang w:val="fr-CA"/>
              </w:rPr>
              <w:t xml:space="preserve">? </w:t>
            </w:r>
            <w:r w:rsidRPr="008C5263">
              <w:rPr>
                <w:sz w:val="20"/>
                <w:szCs w:val="20"/>
                <w:lang w:val="fr-CA"/>
              </w:rPr>
              <w:noBreakHyphen/>
              <w:t xml:space="preserve"> L’art. 83.18 du </w:t>
            </w:r>
            <w:r w:rsidRPr="008C5263">
              <w:rPr>
                <w:i/>
                <w:sz w:val="20"/>
                <w:szCs w:val="20"/>
                <w:lang w:val="fr-CA"/>
              </w:rPr>
              <w:t>Code criminel</w:t>
            </w:r>
            <w:r w:rsidRPr="008C5263">
              <w:rPr>
                <w:sz w:val="20"/>
                <w:szCs w:val="20"/>
                <w:lang w:val="fr-CA"/>
              </w:rPr>
              <w:t xml:space="preserve">, qui incorpore la définition d’« activité terroriste » dans le par. 83.01(1) du </w:t>
            </w:r>
            <w:r w:rsidRPr="008C5263">
              <w:rPr>
                <w:i/>
                <w:sz w:val="20"/>
                <w:szCs w:val="20"/>
                <w:lang w:val="fr-CA"/>
              </w:rPr>
              <w:t>Code criminel</w:t>
            </w:r>
            <w:r w:rsidRPr="008C5263">
              <w:rPr>
                <w:sz w:val="20"/>
                <w:szCs w:val="20"/>
                <w:lang w:val="fr-CA"/>
              </w:rPr>
              <w:t xml:space="preserve"> </w:t>
            </w:r>
            <w:proofErr w:type="spellStart"/>
            <w:r w:rsidRPr="008C5263">
              <w:rPr>
                <w:sz w:val="20"/>
                <w:szCs w:val="20"/>
                <w:lang w:val="fr-CA"/>
              </w:rPr>
              <w:t>porte</w:t>
            </w:r>
            <w:r w:rsidRPr="008C5263">
              <w:rPr>
                <w:sz w:val="20"/>
                <w:szCs w:val="20"/>
                <w:lang w:val="fr-CA"/>
              </w:rPr>
              <w:noBreakHyphen/>
              <w:t>t</w:t>
            </w:r>
            <w:r w:rsidRPr="008C5263">
              <w:rPr>
                <w:sz w:val="20"/>
                <w:szCs w:val="20"/>
                <w:lang w:val="fr-CA"/>
              </w:rPr>
              <w:noBreakHyphen/>
              <w:t>il</w:t>
            </w:r>
            <w:proofErr w:type="spellEnd"/>
            <w:r w:rsidRPr="008C5263">
              <w:rPr>
                <w:sz w:val="20"/>
                <w:szCs w:val="20"/>
                <w:lang w:val="fr-CA"/>
              </w:rPr>
              <w:t xml:space="preserve"> atteinte à l’art. 7 de la </w:t>
            </w:r>
            <w:r w:rsidRPr="008C5263">
              <w:rPr>
                <w:i/>
                <w:sz w:val="20"/>
                <w:szCs w:val="20"/>
                <w:lang w:val="fr-CA"/>
              </w:rPr>
              <w:t>Charte</w:t>
            </w:r>
            <w:r w:rsidRPr="008C5263">
              <w:rPr>
                <w:sz w:val="20"/>
                <w:szCs w:val="20"/>
                <w:lang w:val="fr-CA"/>
              </w:rPr>
              <w:t xml:space="preserve">? </w:t>
            </w:r>
            <w:r w:rsidRPr="008C5263">
              <w:rPr>
                <w:sz w:val="20"/>
                <w:szCs w:val="20"/>
                <w:lang w:val="fr-CA"/>
              </w:rPr>
              <w:noBreakHyphen/>
              <w:t xml:space="preserve"> Dans l’affirmative, l’atteinte </w:t>
            </w:r>
            <w:proofErr w:type="spellStart"/>
            <w:r w:rsidRPr="008C5263">
              <w:rPr>
                <w:sz w:val="20"/>
                <w:szCs w:val="20"/>
                <w:lang w:val="fr-CA"/>
              </w:rPr>
              <w:t>constitue</w:t>
            </w:r>
            <w:r w:rsidRPr="008C5263">
              <w:rPr>
                <w:sz w:val="20"/>
                <w:szCs w:val="20"/>
                <w:lang w:val="fr-CA"/>
              </w:rPr>
              <w:noBreakHyphen/>
              <w:t>t</w:t>
            </w:r>
            <w:r w:rsidRPr="008C5263">
              <w:rPr>
                <w:sz w:val="20"/>
                <w:szCs w:val="20"/>
                <w:lang w:val="fr-CA"/>
              </w:rPr>
              <w:noBreakHyphen/>
              <w:t>elle</w:t>
            </w:r>
            <w:proofErr w:type="spellEnd"/>
            <w:r w:rsidRPr="008C5263">
              <w:rPr>
                <w:sz w:val="20"/>
                <w:szCs w:val="20"/>
                <w:lang w:val="fr-CA"/>
              </w:rPr>
              <w:t xml:space="preserve"> une limite raisonnable dont la justification peut se démontrer dans le cadre d’une société libre et démocratique  au sens de l’article premier de la </w:t>
            </w:r>
            <w:r w:rsidRPr="008C5263">
              <w:rPr>
                <w:i/>
                <w:sz w:val="20"/>
                <w:szCs w:val="20"/>
                <w:lang w:val="fr-CA"/>
              </w:rPr>
              <w:t>Charte</w:t>
            </w:r>
            <w:r w:rsidRPr="008C5263">
              <w:rPr>
                <w:sz w:val="20"/>
                <w:szCs w:val="20"/>
                <w:lang w:val="fr-CA"/>
              </w:rPr>
              <w:t xml:space="preserve">? </w:t>
            </w:r>
            <w:r w:rsidRPr="008C5263">
              <w:rPr>
                <w:sz w:val="20"/>
                <w:szCs w:val="20"/>
                <w:lang w:val="fr-CA"/>
              </w:rPr>
              <w:noBreakHyphen/>
              <w:t xml:space="preserve"> La Cour d’appel </w:t>
            </w:r>
            <w:proofErr w:type="spellStart"/>
            <w:r w:rsidRPr="008C5263">
              <w:rPr>
                <w:sz w:val="20"/>
                <w:szCs w:val="20"/>
                <w:lang w:val="fr-CA"/>
              </w:rPr>
              <w:t>a</w:t>
            </w:r>
            <w:r w:rsidRPr="008C5263">
              <w:rPr>
                <w:sz w:val="20"/>
                <w:szCs w:val="20"/>
                <w:lang w:val="fr-CA"/>
              </w:rPr>
              <w:noBreakHyphen/>
              <w:t>t</w:t>
            </w:r>
            <w:r w:rsidRPr="008C5263">
              <w:rPr>
                <w:sz w:val="20"/>
                <w:szCs w:val="20"/>
                <w:lang w:val="fr-CA"/>
              </w:rPr>
              <w:noBreakHyphen/>
              <w:t>elle</w:t>
            </w:r>
            <w:proofErr w:type="spellEnd"/>
            <w:r w:rsidRPr="008C5263">
              <w:rPr>
                <w:sz w:val="20"/>
                <w:szCs w:val="20"/>
                <w:lang w:val="fr-CA"/>
              </w:rPr>
              <w:t xml:space="preserve"> eu tort de conclure que le ministre avait manqué à son obligation d’équité procédurale envers l’appelant? </w:t>
            </w:r>
            <w:r w:rsidRPr="008C5263">
              <w:rPr>
                <w:sz w:val="20"/>
                <w:szCs w:val="20"/>
                <w:lang w:val="fr-CA"/>
              </w:rPr>
              <w:noBreakHyphen/>
              <w:t xml:space="preserve"> La Cour d’appel </w:t>
            </w:r>
            <w:proofErr w:type="spellStart"/>
            <w:r w:rsidRPr="008C5263">
              <w:rPr>
                <w:sz w:val="20"/>
                <w:szCs w:val="20"/>
                <w:lang w:val="fr-CA"/>
              </w:rPr>
              <w:t>a</w:t>
            </w:r>
            <w:r w:rsidRPr="008C5263">
              <w:rPr>
                <w:sz w:val="20"/>
                <w:szCs w:val="20"/>
                <w:lang w:val="fr-CA"/>
              </w:rPr>
              <w:noBreakHyphen/>
              <w:t>t</w:t>
            </w:r>
            <w:r w:rsidRPr="008C5263">
              <w:rPr>
                <w:sz w:val="20"/>
                <w:szCs w:val="20"/>
                <w:lang w:val="fr-CA"/>
              </w:rPr>
              <w:noBreakHyphen/>
              <w:t>elle</w:t>
            </w:r>
            <w:proofErr w:type="spellEnd"/>
            <w:r w:rsidRPr="008C5263">
              <w:rPr>
                <w:sz w:val="20"/>
                <w:szCs w:val="20"/>
                <w:lang w:val="fr-CA"/>
              </w:rPr>
              <w:t xml:space="preserve"> eu tort de conclure que la décision du ministre selon laquelle l’extradition ne restreindrait pas de manière injustifiée les droits de l’appelant garantis par le par. 6(1) de la </w:t>
            </w:r>
            <w:r w:rsidRPr="008C5263">
              <w:rPr>
                <w:i/>
                <w:sz w:val="20"/>
                <w:szCs w:val="20"/>
                <w:lang w:val="fr-CA"/>
              </w:rPr>
              <w:t>Charte</w:t>
            </w:r>
            <w:r w:rsidRPr="008C5263">
              <w:rPr>
                <w:sz w:val="20"/>
                <w:szCs w:val="20"/>
                <w:lang w:val="fr-CA"/>
              </w:rPr>
              <w:t xml:space="preserve"> était raisonnable? </w:t>
            </w:r>
            <w:r w:rsidRPr="008C5263">
              <w:rPr>
                <w:sz w:val="20"/>
                <w:szCs w:val="20"/>
                <w:lang w:val="fr-CA"/>
              </w:rPr>
              <w:noBreakHyphen/>
            </w:r>
            <w:r w:rsidRPr="008C5263">
              <w:rPr>
                <w:i/>
                <w:sz w:val="20"/>
                <w:szCs w:val="20"/>
                <w:lang w:val="fr-CA"/>
              </w:rPr>
              <w:t xml:space="preserve"> Code criminel</w:t>
            </w:r>
            <w:r w:rsidRPr="008C5263">
              <w:rPr>
                <w:sz w:val="20"/>
                <w:szCs w:val="20"/>
                <w:lang w:val="fr-CA"/>
              </w:rPr>
              <w:t>, L.R.C. 1985, ch. C</w:t>
            </w:r>
            <w:r w:rsidRPr="008C5263">
              <w:rPr>
                <w:sz w:val="20"/>
                <w:szCs w:val="20"/>
                <w:lang w:val="fr-CA"/>
              </w:rPr>
              <w:noBreakHyphen/>
              <w:t xml:space="preserve">46, arts. 83.01(1), 83.03, 83.18 et 83.21 </w:t>
            </w:r>
            <w:r w:rsidRPr="008C5263">
              <w:rPr>
                <w:sz w:val="20"/>
                <w:szCs w:val="20"/>
                <w:lang w:val="fr-CA"/>
              </w:rPr>
              <w:noBreakHyphen/>
            </w:r>
            <w:r w:rsidRPr="008C5263">
              <w:rPr>
                <w:i/>
                <w:sz w:val="20"/>
                <w:szCs w:val="20"/>
                <w:lang w:val="fr-CA"/>
              </w:rPr>
              <w:t xml:space="preserve"> Charte canadienne des droits et libertés</w:t>
            </w:r>
            <w:r w:rsidRPr="008C5263">
              <w:rPr>
                <w:sz w:val="20"/>
                <w:szCs w:val="20"/>
                <w:lang w:val="fr-CA"/>
              </w:rPr>
              <w:t>, art. 1, 2(b), 6(1) et 7.</w:t>
            </w:r>
          </w:p>
        </w:tc>
      </w:tr>
    </w:tbl>
    <w:p w:rsidR="00AE3198" w:rsidRDefault="00AE3198" w:rsidP="00732DB7">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AE3198" w:rsidRPr="00017BF4" w:rsidTr="00AE3198">
        <w:tc>
          <w:tcPr>
            <w:tcW w:w="4380" w:type="dxa"/>
            <w:tcMar>
              <w:left w:w="0" w:type="dxa"/>
              <w:right w:w="0" w:type="dxa"/>
            </w:tcMar>
          </w:tcPr>
          <w:p w:rsidR="00AE3198" w:rsidRPr="00CC4D84" w:rsidRDefault="00AE3198" w:rsidP="00AE3198">
            <w:pPr>
              <w:widowControl w:val="0"/>
              <w:jc w:val="both"/>
              <w:rPr>
                <w:b/>
                <w:sz w:val="20"/>
                <w:szCs w:val="20"/>
                <w:u w:val="single"/>
              </w:rPr>
            </w:pPr>
            <w:r w:rsidRPr="00CC4D84">
              <w:rPr>
                <w:b/>
                <w:sz w:val="20"/>
                <w:szCs w:val="20"/>
                <w:u w:val="single"/>
              </w:rPr>
              <w:t>Nature of the case</w:t>
            </w:r>
            <w:r>
              <w:rPr>
                <w:b/>
                <w:sz w:val="20"/>
                <w:szCs w:val="20"/>
                <w:u w:val="single"/>
              </w:rPr>
              <w:t xml:space="preserve"> - 34</w:t>
            </w:r>
            <w:r w:rsidR="00990608">
              <w:rPr>
                <w:b/>
                <w:sz w:val="20"/>
                <w:szCs w:val="20"/>
                <w:u w:val="single"/>
              </w:rPr>
              <w:t>1</w:t>
            </w:r>
            <w:r>
              <w:rPr>
                <w:b/>
                <w:sz w:val="20"/>
                <w:szCs w:val="20"/>
                <w:u w:val="single"/>
              </w:rPr>
              <w:t>0</w:t>
            </w:r>
            <w:r w:rsidR="00990608">
              <w:rPr>
                <w:b/>
                <w:sz w:val="20"/>
                <w:szCs w:val="20"/>
                <w:u w:val="single"/>
              </w:rPr>
              <w:t>3</w:t>
            </w:r>
            <w:r w:rsidRPr="00CC4D84">
              <w:rPr>
                <w:b/>
                <w:sz w:val="20"/>
                <w:szCs w:val="20"/>
                <w:u w:val="single"/>
              </w:rPr>
              <w:t>:</w:t>
            </w:r>
          </w:p>
          <w:p w:rsidR="00AE3198" w:rsidRPr="00C1697B" w:rsidRDefault="00AE3198" w:rsidP="00AE3198">
            <w:pPr>
              <w:widowControl w:val="0"/>
              <w:jc w:val="both"/>
              <w:rPr>
                <w:b/>
                <w:sz w:val="20"/>
                <w:szCs w:val="20"/>
              </w:rPr>
            </w:pPr>
          </w:p>
          <w:p w:rsidR="00AE3198" w:rsidRPr="00C1697B" w:rsidRDefault="00824B50" w:rsidP="00AE3198">
            <w:pPr>
              <w:widowControl w:val="0"/>
              <w:jc w:val="both"/>
              <w:rPr>
                <w:b/>
                <w:sz w:val="20"/>
                <w:szCs w:val="20"/>
              </w:rPr>
            </w:pPr>
            <w:r w:rsidRPr="003E52AC">
              <w:rPr>
                <w:i/>
                <w:sz w:val="20"/>
                <w:szCs w:val="20"/>
              </w:rPr>
              <w:t>Canadian Charter of Rights and Freedoms</w:t>
            </w:r>
            <w:r w:rsidRPr="003E52AC">
              <w:rPr>
                <w:sz w:val="20"/>
                <w:szCs w:val="20"/>
              </w:rPr>
              <w:t xml:space="preserve"> </w:t>
            </w:r>
            <w:r w:rsidRPr="003E52AC">
              <w:rPr>
                <w:sz w:val="20"/>
                <w:szCs w:val="20"/>
              </w:rPr>
              <w:noBreakHyphen/>
              <w:t xml:space="preserve"> Criminal Law </w:t>
            </w:r>
            <w:r w:rsidRPr="003E52AC">
              <w:rPr>
                <w:sz w:val="20"/>
                <w:szCs w:val="20"/>
              </w:rPr>
              <w:noBreakHyphen/>
              <w:t xml:space="preserve"> Terrorism offences </w:t>
            </w:r>
            <w:r w:rsidRPr="003E52AC">
              <w:rPr>
                <w:sz w:val="20"/>
                <w:szCs w:val="20"/>
              </w:rPr>
              <w:noBreakHyphen/>
              <w:t xml:space="preserve"> Elements of offence </w:t>
            </w:r>
            <w:r w:rsidRPr="003E52AC">
              <w:rPr>
                <w:sz w:val="20"/>
                <w:szCs w:val="20"/>
              </w:rPr>
              <w:noBreakHyphen/>
              <w:t xml:space="preserve"> Whether ss. 83.03, 83.18, 83.19 or 83.21 of the </w:t>
            </w:r>
            <w:r w:rsidRPr="003E52AC">
              <w:rPr>
                <w:i/>
                <w:sz w:val="20"/>
                <w:szCs w:val="20"/>
              </w:rPr>
              <w:t>Criminal Code</w:t>
            </w:r>
            <w:r w:rsidRPr="003E52AC">
              <w:rPr>
                <w:sz w:val="20"/>
                <w:szCs w:val="20"/>
              </w:rPr>
              <w:t xml:space="preserve">, which incorporate the definition of “terrorist activity” in s. 83.01(1) of the </w:t>
            </w:r>
            <w:r w:rsidRPr="003E52AC">
              <w:rPr>
                <w:i/>
                <w:sz w:val="20"/>
                <w:szCs w:val="20"/>
              </w:rPr>
              <w:t>Criminal Code</w:t>
            </w:r>
            <w:r w:rsidRPr="003E52AC">
              <w:rPr>
                <w:sz w:val="20"/>
                <w:szCs w:val="20"/>
              </w:rPr>
              <w:t xml:space="preserve">, infringe s. 2(a), 2(b) or 2(d) of the </w:t>
            </w:r>
            <w:r w:rsidRPr="003E52AC">
              <w:rPr>
                <w:i/>
                <w:sz w:val="20"/>
                <w:szCs w:val="20"/>
              </w:rPr>
              <w:t xml:space="preserve">Charter </w:t>
            </w:r>
            <w:r w:rsidRPr="003E52AC">
              <w:rPr>
                <w:sz w:val="20"/>
                <w:szCs w:val="20"/>
              </w:rPr>
              <w:noBreakHyphen/>
              <w:t xml:space="preserve"> If so, whether the infringement is a reasonable limit prescribed by law that can be demonstrably justified in a free and democratic society under s. 1 of the </w:t>
            </w:r>
            <w:r w:rsidRPr="003E52AC">
              <w:rPr>
                <w:i/>
                <w:sz w:val="20"/>
                <w:szCs w:val="20"/>
              </w:rPr>
              <w:t xml:space="preserve">Charter </w:t>
            </w:r>
            <w:r w:rsidRPr="003E52AC">
              <w:rPr>
                <w:sz w:val="20"/>
                <w:szCs w:val="20"/>
              </w:rPr>
              <w:noBreakHyphen/>
              <w:t xml:space="preserve"> Whether the Court of Appeal erred in overturning the trial judge’s finding that s. 83.01(1)(b)(</w:t>
            </w:r>
            <w:proofErr w:type="spellStart"/>
            <w:r w:rsidRPr="003E52AC">
              <w:rPr>
                <w:sz w:val="20"/>
                <w:szCs w:val="20"/>
              </w:rPr>
              <w:t>i</w:t>
            </w:r>
            <w:proofErr w:type="spellEnd"/>
            <w:r w:rsidRPr="003E52AC">
              <w:rPr>
                <w:sz w:val="20"/>
                <w:szCs w:val="20"/>
              </w:rPr>
              <w:t xml:space="preserve">)(A) of the </w:t>
            </w:r>
            <w:r w:rsidRPr="003E52AC">
              <w:rPr>
                <w:i/>
                <w:sz w:val="20"/>
                <w:szCs w:val="20"/>
              </w:rPr>
              <w:t>Criminal Code</w:t>
            </w:r>
            <w:r w:rsidRPr="003E52AC">
              <w:rPr>
                <w:sz w:val="20"/>
                <w:szCs w:val="20"/>
              </w:rPr>
              <w:t xml:space="preserve"> infringes ss. 2(a), (b) and (d) of the </w:t>
            </w:r>
            <w:r w:rsidRPr="003E52AC">
              <w:rPr>
                <w:i/>
                <w:sz w:val="20"/>
                <w:szCs w:val="20"/>
              </w:rPr>
              <w:t>Charter</w:t>
            </w:r>
            <w:r w:rsidRPr="003E52AC">
              <w:rPr>
                <w:sz w:val="20"/>
                <w:szCs w:val="20"/>
              </w:rPr>
              <w:t xml:space="preserve"> </w:t>
            </w:r>
            <w:r w:rsidRPr="003E52AC">
              <w:rPr>
                <w:sz w:val="20"/>
                <w:szCs w:val="20"/>
              </w:rPr>
              <w:noBreakHyphen/>
              <w:t xml:space="preserve"> Whether, in the alternative, the Court of Appeal erred in allowing the appellant to stand convicted of more robust offences than those he had faced at trial </w:t>
            </w:r>
            <w:r w:rsidRPr="003E52AC">
              <w:rPr>
                <w:sz w:val="20"/>
                <w:szCs w:val="20"/>
              </w:rPr>
              <w:noBreakHyphen/>
              <w:t xml:space="preserve"> Whether the Court of Appeal erred in its interpretation of the “armed conflict exception” to the definition of “terrorist activity” in the </w:t>
            </w:r>
            <w:r w:rsidRPr="003E52AC">
              <w:rPr>
                <w:i/>
                <w:sz w:val="20"/>
                <w:szCs w:val="20"/>
              </w:rPr>
              <w:t>Criminal Code</w:t>
            </w:r>
            <w:r w:rsidRPr="003E52AC">
              <w:rPr>
                <w:sz w:val="20"/>
                <w:szCs w:val="20"/>
              </w:rPr>
              <w:t xml:space="preserve"> </w:t>
            </w:r>
            <w:r w:rsidRPr="003E52AC">
              <w:rPr>
                <w:sz w:val="20"/>
                <w:szCs w:val="20"/>
              </w:rPr>
              <w:noBreakHyphen/>
              <w:t xml:space="preserve"> Whether the Court of Appeal erred in permitting broad judicial notice to be taken of the “facts” surrounding the armed conflict in Afghanistan </w:t>
            </w:r>
            <w:r w:rsidRPr="003E52AC">
              <w:rPr>
                <w:sz w:val="20"/>
                <w:szCs w:val="20"/>
              </w:rPr>
              <w:noBreakHyphen/>
              <w:t xml:space="preserve"> Whether, assuming the appellant’s acts in furtherance in the armed conflict in Afghanistan were not proven to amount, in law, to “terrorist activity”, the convictions were unreasonable </w:t>
            </w:r>
            <w:r w:rsidRPr="003E52AC">
              <w:rPr>
                <w:sz w:val="20"/>
                <w:szCs w:val="20"/>
              </w:rPr>
              <w:noBreakHyphen/>
              <w:t xml:space="preserve"> Whether the Court of Appeal erred with respect to each of the three errors on the part of the trial judge that it identified with respect to sentencing </w:t>
            </w:r>
            <w:r w:rsidRPr="003E52AC">
              <w:rPr>
                <w:sz w:val="20"/>
                <w:szCs w:val="20"/>
              </w:rPr>
              <w:noBreakHyphen/>
              <w:t xml:space="preserve"> Whether the Court of Appeal and the trial judge sentenced the appellant based on aggravating factors which, on the trial judge’s unchallenged findings of fact, were inapplicable and/or had not been proven beyond a reasonable doubt </w:t>
            </w:r>
            <w:r w:rsidRPr="003E52AC">
              <w:rPr>
                <w:sz w:val="20"/>
                <w:szCs w:val="20"/>
              </w:rPr>
              <w:noBreakHyphen/>
              <w:t xml:space="preserve"> Whether the trial judge erred in his treatment of pre</w:t>
            </w:r>
            <w:r w:rsidRPr="003E52AC">
              <w:rPr>
                <w:sz w:val="20"/>
                <w:szCs w:val="20"/>
              </w:rPr>
              <w:noBreakHyphen/>
              <w:t xml:space="preserve">sentence custody </w:t>
            </w:r>
            <w:r w:rsidRPr="003E52AC">
              <w:rPr>
                <w:sz w:val="20"/>
                <w:szCs w:val="20"/>
              </w:rPr>
              <w:noBreakHyphen/>
              <w:t xml:space="preserve"> </w:t>
            </w:r>
            <w:r w:rsidRPr="003E52AC">
              <w:rPr>
                <w:i/>
                <w:sz w:val="20"/>
                <w:szCs w:val="20"/>
              </w:rPr>
              <w:t>Criminal Code</w:t>
            </w:r>
            <w:r w:rsidRPr="003E52AC">
              <w:rPr>
                <w:sz w:val="20"/>
                <w:szCs w:val="20"/>
              </w:rPr>
              <w:t>, R.S.C. 1985, c. C</w:t>
            </w:r>
            <w:r w:rsidRPr="003E52AC">
              <w:rPr>
                <w:sz w:val="20"/>
                <w:szCs w:val="20"/>
              </w:rPr>
              <w:noBreakHyphen/>
              <w:t xml:space="preserve">46, ss. 83.01(1), 83.03, 83.18, 83.19 and 83.21 </w:t>
            </w:r>
            <w:r w:rsidRPr="003E52AC">
              <w:rPr>
                <w:sz w:val="20"/>
                <w:szCs w:val="20"/>
              </w:rPr>
              <w:noBreakHyphen/>
              <w:t xml:space="preserve"> </w:t>
            </w:r>
            <w:r w:rsidRPr="003E52AC">
              <w:rPr>
                <w:i/>
                <w:sz w:val="20"/>
                <w:szCs w:val="20"/>
              </w:rPr>
              <w:t>Canadian Charter of Rights and Freedoms</w:t>
            </w:r>
            <w:r w:rsidRPr="003E52AC">
              <w:rPr>
                <w:sz w:val="20"/>
                <w:szCs w:val="20"/>
              </w:rPr>
              <w:t>, ss. 1, 2(a), 2(b) and 2(d).</w:t>
            </w:r>
          </w:p>
        </w:tc>
        <w:tc>
          <w:tcPr>
            <w:tcW w:w="720" w:type="dxa"/>
            <w:tcMar>
              <w:left w:w="0" w:type="dxa"/>
              <w:right w:w="0" w:type="dxa"/>
            </w:tcMar>
          </w:tcPr>
          <w:p w:rsidR="00AE3198" w:rsidRPr="00C1697B" w:rsidRDefault="00AE3198" w:rsidP="00AE3198">
            <w:pPr>
              <w:widowControl w:val="0"/>
              <w:jc w:val="center"/>
              <w:rPr>
                <w:sz w:val="20"/>
                <w:szCs w:val="20"/>
              </w:rPr>
            </w:pPr>
          </w:p>
        </w:tc>
        <w:tc>
          <w:tcPr>
            <w:tcW w:w="4380" w:type="dxa"/>
            <w:tcMar>
              <w:left w:w="0" w:type="dxa"/>
              <w:right w:w="0" w:type="dxa"/>
            </w:tcMar>
          </w:tcPr>
          <w:p w:rsidR="00AE3198" w:rsidRPr="00CC4D84" w:rsidRDefault="00AE3198" w:rsidP="00AE3198">
            <w:pPr>
              <w:widowControl w:val="0"/>
              <w:jc w:val="both"/>
              <w:rPr>
                <w:b/>
                <w:sz w:val="20"/>
                <w:szCs w:val="20"/>
                <w:u w:val="single"/>
                <w:lang w:val="fr-CA"/>
              </w:rPr>
            </w:pPr>
            <w:r w:rsidRPr="00CC4D84">
              <w:rPr>
                <w:b/>
                <w:sz w:val="20"/>
                <w:szCs w:val="20"/>
                <w:u w:val="single"/>
                <w:lang w:val="fr-CA"/>
              </w:rPr>
              <w:t>Nature de la cause</w:t>
            </w:r>
            <w:r>
              <w:rPr>
                <w:b/>
                <w:sz w:val="20"/>
                <w:szCs w:val="20"/>
                <w:u w:val="single"/>
                <w:lang w:val="fr-CA"/>
              </w:rPr>
              <w:t xml:space="preserve"> - 34</w:t>
            </w:r>
            <w:r w:rsidR="00990608">
              <w:rPr>
                <w:b/>
                <w:sz w:val="20"/>
                <w:szCs w:val="20"/>
                <w:u w:val="single"/>
                <w:lang w:val="fr-CA"/>
              </w:rPr>
              <w:t>1</w:t>
            </w:r>
            <w:r>
              <w:rPr>
                <w:b/>
                <w:sz w:val="20"/>
                <w:szCs w:val="20"/>
                <w:u w:val="single"/>
                <w:lang w:val="fr-CA"/>
              </w:rPr>
              <w:t>0</w:t>
            </w:r>
            <w:r w:rsidR="00990608">
              <w:rPr>
                <w:b/>
                <w:sz w:val="20"/>
                <w:szCs w:val="20"/>
                <w:u w:val="single"/>
                <w:lang w:val="fr-CA"/>
              </w:rPr>
              <w:t>3</w:t>
            </w:r>
            <w:r w:rsidRPr="00CC4D84">
              <w:rPr>
                <w:b/>
                <w:sz w:val="20"/>
                <w:szCs w:val="20"/>
                <w:u w:val="single"/>
                <w:lang w:val="fr-CA"/>
              </w:rPr>
              <w:t xml:space="preserve"> :</w:t>
            </w:r>
          </w:p>
          <w:p w:rsidR="00AE3198" w:rsidRPr="00C1697B" w:rsidRDefault="00AE3198" w:rsidP="00AE3198">
            <w:pPr>
              <w:widowControl w:val="0"/>
              <w:jc w:val="both"/>
              <w:rPr>
                <w:sz w:val="20"/>
                <w:szCs w:val="20"/>
                <w:lang w:val="fr-CA"/>
              </w:rPr>
            </w:pPr>
          </w:p>
          <w:p w:rsidR="00AE3198" w:rsidRPr="00C1697B" w:rsidRDefault="00824B50" w:rsidP="00AE3198">
            <w:pPr>
              <w:widowControl w:val="0"/>
              <w:jc w:val="both"/>
              <w:rPr>
                <w:sz w:val="20"/>
                <w:szCs w:val="20"/>
                <w:lang w:val="fr-CA"/>
              </w:rPr>
            </w:pPr>
            <w:r w:rsidRPr="00E81E5D">
              <w:rPr>
                <w:i/>
                <w:sz w:val="20"/>
                <w:szCs w:val="20"/>
                <w:lang w:val="fr-CA"/>
              </w:rPr>
              <w:t xml:space="preserve">Charte canadienne des droits et libertés </w:t>
            </w:r>
            <w:r w:rsidRPr="00E81E5D">
              <w:rPr>
                <w:sz w:val="20"/>
                <w:szCs w:val="20"/>
                <w:lang w:val="fr-CA"/>
              </w:rPr>
              <w:noBreakHyphen/>
              <w:t xml:space="preserve"> Droit criminel </w:t>
            </w:r>
            <w:r w:rsidRPr="00E81E5D">
              <w:rPr>
                <w:sz w:val="20"/>
                <w:szCs w:val="20"/>
                <w:lang w:val="fr-CA"/>
              </w:rPr>
              <w:noBreakHyphen/>
              <w:t xml:space="preserve"> Infractions de terrorisme </w:t>
            </w:r>
            <w:r w:rsidRPr="00E81E5D">
              <w:rPr>
                <w:sz w:val="20"/>
                <w:szCs w:val="20"/>
                <w:lang w:val="fr-CA"/>
              </w:rPr>
              <w:noBreakHyphen/>
              <w:t xml:space="preserve"> Éléments de l’infraction </w:t>
            </w:r>
            <w:r w:rsidRPr="00E81E5D">
              <w:rPr>
                <w:sz w:val="20"/>
                <w:szCs w:val="20"/>
                <w:lang w:val="fr-CA"/>
              </w:rPr>
              <w:noBreakHyphen/>
              <w:t xml:space="preserve"> Les art. 83.03, 83.18, 83.19 et 83.21 du</w:t>
            </w:r>
            <w:r w:rsidRPr="00E81E5D">
              <w:rPr>
                <w:i/>
                <w:sz w:val="20"/>
                <w:szCs w:val="20"/>
                <w:lang w:val="fr-CA"/>
              </w:rPr>
              <w:t xml:space="preserve"> Code criminel</w:t>
            </w:r>
            <w:r w:rsidRPr="00E81E5D">
              <w:rPr>
                <w:sz w:val="20"/>
                <w:szCs w:val="20"/>
                <w:lang w:val="fr-CA"/>
              </w:rPr>
              <w:t xml:space="preserve">, qui incorporent la définition d’« activité terroriste » dans le par. 83.01(1) du </w:t>
            </w:r>
            <w:r w:rsidRPr="00E81E5D">
              <w:rPr>
                <w:i/>
                <w:sz w:val="20"/>
                <w:szCs w:val="20"/>
                <w:lang w:val="fr-CA"/>
              </w:rPr>
              <w:t>Code criminel</w:t>
            </w:r>
            <w:r w:rsidRPr="00E81E5D">
              <w:rPr>
                <w:sz w:val="20"/>
                <w:szCs w:val="20"/>
                <w:lang w:val="fr-CA"/>
              </w:rPr>
              <w:t xml:space="preserve"> </w:t>
            </w:r>
            <w:proofErr w:type="spellStart"/>
            <w:r w:rsidRPr="00E81E5D">
              <w:rPr>
                <w:sz w:val="20"/>
                <w:szCs w:val="20"/>
                <w:lang w:val="fr-CA"/>
              </w:rPr>
              <w:t>portent</w:t>
            </w:r>
            <w:r w:rsidRPr="00E81E5D">
              <w:rPr>
                <w:sz w:val="20"/>
                <w:szCs w:val="20"/>
                <w:lang w:val="fr-CA"/>
              </w:rPr>
              <w:noBreakHyphen/>
              <w:t>ils</w:t>
            </w:r>
            <w:proofErr w:type="spellEnd"/>
            <w:r w:rsidRPr="00E81E5D">
              <w:rPr>
                <w:sz w:val="20"/>
                <w:szCs w:val="20"/>
                <w:lang w:val="fr-CA"/>
              </w:rPr>
              <w:t xml:space="preserve"> atteinte aux al. 2</w:t>
            </w:r>
            <w:r w:rsidRPr="00E81E5D">
              <w:rPr>
                <w:i/>
                <w:sz w:val="20"/>
                <w:szCs w:val="20"/>
                <w:lang w:val="fr-CA"/>
              </w:rPr>
              <w:t>a</w:t>
            </w:r>
            <w:r w:rsidRPr="00E81E5D">
              <w:rPr>
                <w:sz w:val="20"/>
                <w:szCs w:val="20"/>
                <w:lang w:val="fr-CA"/>
              </w:rPr>
              <w:t>), 2</w:t>
            </w:r>
            <w:r w:rsidRPr="00E81E5D">
              <w:rPr>
                <w:i/>
                <w:sz w:val="20"/>
                <w:szCs w:val="20"/>
                <w:lang w:val="fr-CA"/>
              </w:rPr>
              <w:t>b</w:t>
            </w:r>
            <w:r w:rsidRPr="00E81E5D">
              <w:rPr>
                <w:sz w:val="20"/>
                <w:szCs w:val="20"/>
                <w:lang w:val="fr-CA"/>
              </w:rPr>
              <w:t>) ou 2</w:t>
            </w:r>
            <w:r w:rsidRPr="00E81E5D">
              <w:rPr>
                <w:i/>
                <w:sz w:val="20"/>
                <w:szCs w:val="20"/>
                <w:lang w:val="fr-CA"/>
              </w:rPr>
              <w:t>d</w:t>
            </w:r>
            <w:r w:rsidRPr="00E81E5D">
              <w:rPr>
                <w:sz w:val="20"/>
                <w:szCs w:val="20"/>
                <w:lang w:val="fr-CA"/>
              </w:rPr>
              <w:t xml:space="preserve">) de la </w:t>
            </w:r>
            <w:r w:rsidRPr="00E81E5D">
              <w:rPr>
                <w:i/>
                <w:sz w:val="20"/>
                <w:szCs w:val="20"/>
                <w:lang w:val="fr-CA"/>
              </w:rPr>
              <w:t>Charte</w:t>
            </w:r>
            <w:r w:rsidRPr="00E81E5D">
              <w:rPr>
                <w:sz w:val="20"/>
                <w:szCs w:val="20"/>
                <w:lang w:val="fr-CA"/>
              </w:rPr>
              <w:t xml:space="preserve">? </w:t>
            </w:r>
            <w:r w:rsidRPr="00E81E5D">
              <w:rPr>
                <w:sz w:val="20"/>
                <w:szCs w:val="20"/>
                <w:lang w:val="fr-CA"/>
              </w:rPr>
              <w:noBreakHyphen/>
              <w:t xml:space="preserve"> Dans l’affirmative, l’atteinte </w:t>
            </w:r>
            <w:proofErr w:type="spellStart"/>
            <w:r w:rsidRPr="00E81E5D">
              <w:rPr>
                <w:sz w:val="20"/>
                <w:szCs w:val="20"/>
                <w:lang w:val="fr-CA"/>
              </w:rPr>
              <w:t>constitue</w:t>
            </w:r>
            <w:r w:rsidRPr="00E81E5D">
              <w:rPr>
                <w:sz w:val="20"/>
                <w:szCs w:val="20"/>
                <w:lang w:val="fr-CA"/>
              </w:rPr>
              <w:noBreakHyphen/>
              <w:t>t</w:t>
            </w:r>
            <w:r w:rsidRPr="00E81E5D">
              <w:rPr>
                <w:sz w:val="20"/>
                <w:szCs w:val="20"/>
                <w:lang w:val="fr-CA"/>
              </w:rPr>
              <w:noBreakHyphen/>
              <w:t>elle</w:t>
            </w:r>
            <w:proofErr w:type="spellEnd"/>
            <w:r w:rsidRPr="00E81E5D">
              <w:rPr>
                <w:sz w:val="20"/>
                <w:szCs w:val="20"/>
                <w:lang w:val="fr-CA"/>
              </w:rPr>
              <w:t xml:space="preserve"> une limite raisonnable dont la justification peut se démontrer dans le cadre d’une société libre et démocratique au sens de l’article premier de la </w:t>
            </w:r>
            <w:r w:rsidRPr="00E81E5D">
              <w:rPr>
                <w:i/>
                <w:sz w:val="20"/>
                <w:szCs w:val="20"/>
                <w:lang w:val="fr-CA"/>
              </w:rPr>
              <w:t>Charte</w:t>
            </w:r>
            <w:r w:rsidRPr="00E81E5D">
              <w:rPr>
                <w:sz w:val="20"/>
                <w:szCs w:val="20"/>
                <w:lang w:val="fr-CA"/>
              </w:rPr>
              <w:t xml:space="preserve">? </w:t>
            </w:r>
            <w:r w:rsidRPr="00E81E5D">
              <w:rPr>
                <w:sz w:val="20"/>
                <w:szCs w:val="20"/>
                <w:lang w:val="fr-CA"/>
              </w:rPr>
              <w:noBreakHyphen/>
              <w:t xml:space="preserve"> La Cour d’appel </w:t>
            </w:r>
            <w:proofErr w:type="spellStart"/>
            <w:r w:rsidRPr="00E81E5D">
              <w:rPr>
                <w:sz w:val="20"/>
                <w:szCs w:val="20"/>
                <w:lang w:val="fr-CA"/>
              </w:rPr>
              <w:t>a</w:t>
            </w:r>
            <w:r w:rsidRPr="00E81E5D">
              <w:rPr>
                <w:sz w:val="20"/>
                <w:szCs w:val="20"/>
                <w:lang w:val="fr-CA"/>
              </w:rPr>
              <w:noBreakHyphen/>
              <w:t>t</w:t>
            </w:r>
            <w:r w:rsidRPr="00E81E5D">
              <w:rPr>
                <w:sz w:val="20"/>
                <w:szCs w:val="20"/>
                <w:lang w:val="fr-CA"/>
              </w:rPr>
              <w:noBreakHyphen/>
              <w:t>elle</w:t>
            </w:r>
            <w:proofErr w:type="spellEnd"/>
            <w:r w:rsidRPr="00E81E5D">
              <w:rPr>
                <w:sz w:val="20"/>
                <w:szCs w:val="20"/>
                <w:lang w:val="fr-CA"/>
              </w:rPr>
              <w:t xml:space="preserve"> eu tort d’infirmer la conclusion du juge du procès selon laquelle la division 83.01(1)</w:t>
            </w:r>
            <w:r w:rsidRPr="00E81E5D">
              <w:rPr>
                <w:i/>
                <w:sz w:val="20"/>
                <w:szCs w:val="20"/>
                <w:lang w:val="fr-CA"/>
              </w:rPr>
              <w:t>b</w:t>
            </w:r>
            <w:proofErr w:type="gramStart"/>
            <w:r w:rsidRPr="00E81E5D">
              <w:rPr>
                <w:sz w:val="20"/>
                <w:szCs w:val="20"/>
                <w:lang w:val="fr-CA"/>
              </w:rPr>
              <w:t>)(</w:t>
            </w:r>
            <w:proofErr w:type="gramEnd"/>
            <w:r w:rsidRPr="00E81E5D">
              <w:rPr>
                <w:sz w:val="20"/>
                <w:szCs w:val="20"/>
                <w:lang w:val="fr-CA"/>
              </w:rPr>
              <w:t xml:space="preserve">i)(A) du </w:t>
            </w:r>
            <w:r w:rsidRPr="00E81E5D">
              <w:rPr>
                <w:i/>
                <w:sz w:val="20"/>
                <w:szCs w:val="20"/>
                <w:lang w:val="fr-CA"/>
              </w:rPr>
              <w:t>Code criminel</w:t>
            </w:r>
            <w:r w:rsidRPr="00E81E5D">
              <w:rPr>
                <w:sz w:val="20"/>
                <w:szCs w:val="20"/>
                <w:lang w:val="fr-CA"/>
              </w:rPr>
              <w:t xml:space="preserve"> porte atteinte aux al. 2</w:t>
            </w:r>
            <w:r w:rsidRPr="00E81E5D">
              <w:rPr>
                <w:i/>
                <w:sz w:val="20"/>
                <w:szCs w:val="20"/>
                <w:lang w:val="fr-CA"/>
              </w:rPr>
              <w:t>a</w:t>
            </w:r>
            <w:r w:rsidRPr="00E81E5D">
              <w:rPr>
                <w:sz w:val="20"/>
                <w:szCs w:val="20"/>
                <w:lang w:val="fr-CA"/>
              </w:rPr>
              <w:t>), 2</w:t>
            </w:r>
            <w:r w:rsidRPr="00E81E5D">
              <w:rPr>
                <w:i/>
                <w:sz w:val="20"/>
                <w:szCs w:val="20"/>
                <w:lang w:val="fr-CA"/>
              </w:rPr>
              <w:t>b</w:t>
            </w:r>
            <w:r w:rsidRPr="00E81E5D">
              <w:rPr>
                <w:sz w:val="20"/>
                <w:szCs w:val="20"/>
                <w:lang w:val="fr-CA"/>
              </w:rPr>
              <w:t>) ou 2</w:t>
            </w:r>
            <w:r w:rsidRPr="00E81E5D">
              <w:rPr>
                <w:i/>
                <w:sz w:val="20"/>
                <w:szCs w:val="20"/>
                <w:lang w:val="fr-CA"/>
              </w:rPr>
              <w:t>d</w:t>
            </w:r>
            <w:r w:rsidRPr="00E81E5D">
              <w:rPr>
                <w:sz w:val="20"/>
                <w:szCs w:val="20"/>
                <w:lang w:val="fr-CA"/>
              </w:rPr>
              <w:t xml:space="preserve">) de la </w:t>
            </w:r>
            <w:r w:rsidRPr="00E81E5D">
              <w:rPr>
                <w:i/>
                <w:sz w:val="20"/>
                <w:szCs w:val="20"/>
                <w:lang w:val="fr-CA"/>
              </w:rPr>
              <w:t>Charte</w:t>
            </w:r>
            <w:r w:rsidRPr="00E81E5D">
              <w:rPr>
                <w:sz w:val="20"/>
                <w:szCs w:val="20"/>
                <w:lang w:val="fr-CA"/>
              </w:rPr>
              <w:t xml:space="preserve">? </w:t>
            </w:r>
            <w:r w:rsidRPr="00E81E5D">
              <w:rPr>
                <w:sz w:val="20"/>
                <w:szCs w:val="20"/>
                <w:lang w:val="fr-CA"/>
              </w:rPr>
              <w:noBreakHyphen/>
              <w:t xml:space="preserve"> À titre subsidiaire, la Cour d’appel </w:t>
            </w:r>
            <w:proofErr w:type="spellStart"/>
            <w:r w:rsidRPr="00E81E5D">
              <w:rPr>
                <w:sz w:val="20"/>
                <w:szCs w:val="20"/>
                <w:lang w:val="fr-CA"/>
              </w:rPr>
              <w:t>a</w:t>
            </w:r>
            <w:r w:rsidRPr="00E81E5D">
              <w:rPr>
                <w:sz w:val="20"/>
                <w:szCs w:val="20"/>
                <w:lang w:val="fr-CA"/>
              </w:rPr>
              <w:noBreakHyphen/>
              <w:t>t</w:t>
            </w:r>
            <w:r w:rsidRPr="00E81E5D">
              <w:rPr>
                <w:sz w:val="20"/>
                <w:szCs w:val="20"/>
                <w:lang w:val="fr-CA"/>
              </w:rPr>
              <w:noBreakHyphen/>
              <w:t>elle</w:t>
            </w:r>
            <w:proofErr w:type="spellEnd"/>
            <w:r w:rsidRPr="00E81E5D">
              <w:rPr>
                <w:sz w:val="20"/>
                <w:szCs w:val="20"/>
                <w:lang w:val="fr-CA"/>
              </w:rPr>
              <w:t xml:space="preserve"> eu tort de permettre que l’appelant soit déclaré coupable d’infractions plus graves que celles dont il était accusé à son procès? </w:t>
            </w:r>
            <w:r w:rsidRPr="00E81E5D">
              <w:rPr>
                <w:sz w:val="20"/>
                <w:szCs w:val="20"/>
                <w:lang w:val="fr-CA"/>
              </w:rPr>
              <w:noBreakHyphen/>
              <w:t xml:space="preserve"> La Cour d’appel </w:t>
            </w:r>
            <w:proofErr w:type="spellStart"/>
            <w:r w:rsidRPr="00E81E5D">
              <w:rPr>
                <w:sz w:val="20"/>
                <w:szCs w:val="20"/>
                <w:lang w:val="fr-CA"/>
              </w:rPr>
              <w:t>a</w:t>
            </w:r>
            <w:r w:rsidRPr="00E81E5D">
              <w:rPr>
                <w:sz w:val="20"/>
                <w:szCs w:val="20"/>
                <w:lang w:val="fr-CA"/>
              </w:rPr>
              <w:noBreakHyphen/>
              <w:t>t</w:t>
            </w:r>
            <w:r w:rsidRPr="00E81E5D">
              <w:rPr>
                <w:sz w:val="20"/>
                <w:szCs w:val="20"/>
                <w:lang w:val="fr-CA"/>
              </w:rPr>
              <w:noBreakHyphen/>
              <w:t>elle</w:t>
            </w:r>
            <w:proofErr w:type="spellEnd"/>
            <w:r w:rsidRPr="00E81E5D">
              <w:rPr>
                <w:sz w:val="20"/>
                <w:szCs w:val="20"/>
                <w:lang w:val="fr-CA"/>
              </w:rPr>
              <w:t xml:space="preserve"> commis une erreur dans son interprétation de l’« exception du conflit armé » à la définition d’« activité terroriste » dans le</w:t>
            </w:r>
            <w:r w:rsidRPr="00E81E5D">
              <w:rPr>
                <w:i/>
                <w:sz w:val="20"/>
                <w:szCs w:val="20"/>
                <w:lang w:val="fr-CA"/>
              </w:rPr>
              <w:t xml:space="preserve"> Code criminel</w:t>
            </w:r>
            <w:r w:rsidRPr="00E81E5D">
              <w:rPr>
                <w:sz w:val="20"/>
                <w:szCs w:val="20"/>
                <w:lang w:val="fr-CA"/>
              </w:rPr>
              <w:t>?</w:t>
            </w:r>
            <w:r w:rsidRPr="00E81E5D">
              <w:rPr>
                <w:i/>
                <w:sz w:val="20"/>
                <w:szCs w:val="20"/>
                <w:lang w:val="fr-CA"/>
              </w:rPr>
              <w:t xml:space="preserve"> </w:t>
            </w:r>
            <w:r w:rsidRPr="00E81E5D">
              <w:rPr>
                <w:sz w:val="20"/>
                <w:szCs w:val="20"/>
                <w:lang w:val="fr-CA"/>
              </w:rPr>
              <w:noBreakHyphen/>
              <w:t xml:space="preserve"> La Cour d’appel </w:t>
            </w:r>
            <w:proofErr w:type="spellStart"/>
            <w:r w:rsidRPr="00E81E5D">
              <w:rPr>
                <w:sz w:val="20"/>
                <w:szCs w:val="20"/>
                <w:lang w:val="fr-CA"/>
              </w:rPr>
              <w:t>a</w:t>
            </w:r>
            <w:r w:rsidRPr="00E81E5D">
              <w:rPr>
                <w:sz w:val="20"/>
                <w:szCs w:val="20"/>
                <w:lang w:val="fr-CA"/>
              </w:rPr>
              <w:noBreakHyphen/>
              <w:t>t</w:t>
            </w:r>
            <w:r w:rsidRPr="00E81E5D">
              <w:rPr>
                <w:sz w:val="20"/>
                <w:szCs w:val="20"/>
                <w:lang w:val="fr-CA"/>
              </w:rPr>
              <w:noBreakHyphen/>
              <w:t>elle</w:t>
            </w:r>
            <w:proofErr w:type="spellEnd"/>
            <w:r w:rsidRPr="00E81E5D">
              <w:rPr>
                <w:sz w:val="20"/>
                <w:szCs w:val="20"/>
                <w:lang w:val="fr-CA"/>
              </w:rPr>
              <w:t xml:space="preserve"> eu tort de permettre une connaissance d’office large de « faits » relatifs au conflit armé en Afghanistan? </w:t>
            </w:r>
            <w:r w:rsidRPr="00E81E5D">
              <w:rPr>
                <w:sz w:val="20"/>
                <w:szCs w:val="20"/>
                <w:lang w:val="fr-CA"/>
              </w:rPr>
              <w:noBreakHyphen/>
              <w:t xml:space="preserve"> En présumant que les actes commis par l’appelant au cours d’un conflit armé n’équivalaient pas, eu égard à la preuve et au droit, à une « activité terroriste », les déclarations de culpabilité </w:t>
            </w:r>
            <w:proofErr w:type="spellStart"/>
            <w:r w:rsidRPr="00E81E5D">
              <w:rPr>
                <w:sz w:val="20"/>
                <w:szCs w:val="20"/>
                <w:lang w:val="fr-CA"/>
              </w:rPr>
              <w:t>était</w:t>
            </w:r>
            <w:r w:rsidRPr="00E81E5D">
              <w:rPr>
                <w:sz w:val="20"/>
                <w:szCs w:val="20"/>
                <w:lang w:val="fr-CA"/>
              </w:rPr>
              <w:noBreakHyphen/>
              <w:t>elle</w:t>
            </w:r>
            <w:proofErr w:type="spellEnd"/>
            <w:r w:rsidRPr="00E81E5D">
              <w:rPr>
                <w:sz w:val="20"/>
                <w:szCs w:val="20"/>
                <w:lang w:val="fr-CA"/>
              </w:rPr>
              <w:t xml:space="preserve"> déraisonnables? </w:t>
            </w:r>
            <w:r w:rsidRPr="00E81E5D">
              <w:rPr>
                <w:sz w:val="20"/>
                <w:szCs w:val="20"/>
                <w:lang w:val="fr-CA"/>
              </w:rPr>
              <w:noBreakHyphen/>
              <w:t xml:space="preserve"> La Cour d’appel s’</w:t>
            </w:r>
            <w:proofErr w:type="spellStart"/>
            <w:r w:rsidRPr="00E81E5D">
              <w:rPr>
                <w:sz w:val="20"/>
                <w:szCs w:val="20"/>
                <w:lang w:val="fr-CA"/>
              </w:rPr>
              <w:t>est</w:t>
            </w:r>
            <w:r w:rsidRPr="00E81E5D">
              <w:rPr>
                <w:sz w:val="20"/>
                <w:szCs w:val="20"/>
                <w:lang w:val="fr-CA"/>
              </w:rPr>
              <w:noBreakHyphen/>
              <w:t>elle</w:t>
            </w:r>
            <w:proofErr w:type="spellEnd"/>
            <w:r w:rsidRPr="00E81E5D">
              <w:rPr>
                <w:sz w:val="20"/>
                <w:szCs w:val="20"/>
                <w:lang w:val="fr-CA"/>
              </w:rPr>
              <w:t xml:space="preserve"> trompée à l’égard de chacune des trois erreurs qu’aurait commises selon elle le juge du procès relativement à la détermination de la peine? </w:t>
            </w:r>
            <w:r w:rsidRPr="00E81E5D">
              <w:rPr>
                <w:sz w:val="20"/>
                <w:szCs w:val="20"/>
                <w:lang w:val="fr-CA"/>
              </w:rPr>
              <w:noBreakHyphen/>
              <w:t xml:space="preserve"> La Cour d’appel et le juge du procès </w:t>
            </w:r>
            <w:proofErr w:type="spellStart"/>
            <w:r w:rsidRPr="00E81E5D">
              <w:rPr>
                <w:sz w:val="20"/>
                <w:szCs w:val="20"/>
                <w:lang w:val="fr-CA"/>
              </w:rPr>
              <w:t>ont</w:t>
            </w:r>
            <w:r w:rsidRPr="00E81E5D">
              <w:rPr>
                <w:sz w:val="20"/>
                <w:szCs w:val="20"/>
                <w:lang w:val="fr-CA"/>
              </w:rPr>
              <w:noBreakHyphen/>
              <w:t>ils</w:t>
            </w:r>
            <w:proofErr w:type="spellEnd"/>
            <w:r w:rsidRPr="00E81E5D">
              <w:rPr>
                <w:sz w:val="20"/>
                <w:szCs w:val="20"/>
                <w:lang w:val="fr-CA"/>
              </w:rPr>
              <w:t xml:space="preserve"> condamné l’appelant en s’appuyant sur des facteurs aggravants qui, eu égard aux conclusions de fait incontestés du juge du procès, étaient inapplicables ou n’avaient pas été prouvés hors de tout doute raisonnable? </w:t>
            </w:r>
            <w:r w:rsidRPr="00E81E5D">
              <w:rPr>
                <w:sz w:val="20"/>
                <w:szCs w:val="20"/>
                <w:lang w:val="fr-CA"/>
              </w:rPr>
              <w:noBreakHyphen/>
              <w:t xml:space="preserve"> Le juge du procès s’</w:t>
            </w:r>
            <w:proofErr w:type="spellStart"/>
            <w:r w:rsidRPr="00E81E5D">
              <w:rPr>
                <w:sz w:val="20"/>
                <w:szCs w:val="20"/>
                <w:lang w:val="fr-CA"/>
              </w:rPr>
              <w:t>est</w:t>
            </w:r>
            <w:r w:rsidRPr="00E81E5D">
              <w:rPr>
                <w:sz w:val="20"/>
                <w:szCs w:val="20"/>
                <w:lang w:val="fr-CA"/>
              </w:rPr>
              <w:noBreakHyphen/>
              <w:t>il</w:t>
            </w:r>
            <w:proofErr w:type="spellEnd"/>
            <w:r w:rsidRPr="00E81E5D">
              <w:rPr>
                <w:sz w:val="20"/>
                <w:szCs w:val="20"/>
                <w:lang w:val="fr-CA"/>
              </w:rPr>
              <w:t xml:space="preserve"> trompé dans son traitement de la détention provisoire? </w:t>
            </w:r>
            <w:r w:rsidRPr="00E81E5D">
              <w:rPr>
                <w:sz w:val="20"/>
                <w:szCs w:val="20"/>
                <w:lang w:val="fr-CA"/>
              </w:rPr>
              <w:noBreakHyphen/>
            </w:r>
            <w:r w:rsidRPr="00E81E5D">
              <w:rPr>
                <w:i/>
                <w:sz w:val="20"/>
                <w:szCs w:val="20"/>
                <w:lang w:val="fr-CA"/>
              </w:rPr>
              <w:t xml:space="preserve"> Code criminel</w:t>
            </w:r>
            <w:r w:rsidRPr="00E81E5D">
              <w:rPr>
                <w:sz w:val="20"/>
                <w:szCs w:val="20"/>
                <w:lang w:val="fr-CA"/>
              </w:rPr>
              <w:t>, L.R.C. 1985, ch. C</w:t>
            </w:r>
            <w:r w:rsidRPr="00E81E5D">
              <w:rPr>
                <w:sz w:val="20"/>
                <w:szCs w:val="20"/>
                <w:lang w:val="fr-CA"/>
              </w:rPr>
              <w:noBreakHyphen/>
              <w:t xml:space="preserve">46, art. 83.01(1), 83.03, 83.18, 83.19 et 83.21 </w:t>
            </w:r>
            <w:r w:rsidRPr="00E81E5D">
              <w:rPr>
                <w:sz w:val="20"/>
                <w:szCs w:val="20"/>
                <w:lang w:val="fr-CA"/>
              </w:rPr>
              <w:noBreakHyphen/>
            </w:r>
            <w:r w:rsidRPr="00E81E5D">
              <w:rPr>
                <w:i/>
                <w:sz w:val="20"/>
                <w:szCs w:val="20"/>
                <w:lang w:val="fr-CA"/>
              </w:rPr>
              <w:t xml:space="preserve"> Charte canadienne des droits et libertés</w:t>
            </w:r>
            <w:r w:rsidRPr="00E81E5D">
              <w:rPr>
                <w:sz w:val="20"/>
                <w:szCs w:val="20"/>
                <w:lang w:val="fr-CA"/>
              </w:rPr>
              <w:t>, art. 1, 2</w:t>
            </w:r>
            <w:r w:rsidRPr="00E81E5D">
              <w:rPr>
                <w:i/>
                <w:sz w:val="20"/>
                <w:szCs w:val="20"/>
                <w:lang w:val="fr-CA"/>
              </w:rPr>
              <w:t>a</w:t>
            </w:r>
            <w:r w:rsidRPr="00E81E5D">
              <w:rPr>
                <w:sz w:val="20"/>
                <w:szCs w:val="20"/>
                <w:lang w:val="fr-CA"/>
              </w:rPr>
              <w:t>), 2</w:t>
            </w:r>
            <w:r w:rsidRPr="00E81E5D">
              <w:rPr>
                <w:i/>
                <w:sz w:val="20"/>
                <w:szCs w:val="20"/>
                <w:lang w:val="fr-CA"/>
              </w:rPr>
              <w:t>b</w:t>
            </w:r>
            <w:r w:rsidRPr="00E81E5D">
              <w:rPr>
                <w:sz w:val="20"/>
                <w:szCs w:val="20"/>
                <w:lang w:val="fr-CA"/>
              </w:rPr>
              <w:t>) et 2</w:t>
            </w:r>
            <w:r w:rsidRPr="00E81E5D">
              <w:rPr>
                <w:i/>
                <w:sz w:val="20"/>
                <w:szCs w:val="20"/>
                <w:lang w:val="fr-CA"/>
              </w:rPr>
              <w:t>d</w:t>
            </w:r>
            <w:r w:rsidRPr="00E81E5D">
              <w:rPr>
                <w:sz w:val="20"/>
                <w:szCs w:val="20"/>
                <w:lang w:val="fr-CA"/>
              </w:rPr>
              <w:t>).</w:t>
            </w:r>
          </w:p>
        </w:tc>
      </w:tr>
    </w:tbl>
    <w:p w:rsidR="00AE3198" w:rsidRDefault="00AE3198" w:rsidP="00732DB7">
      <w:pPr>
        <w:widowControl w:val="0"/>
        <w:rPr>
          <w:sz w:val="20"/>
          <w:szCs w:val="20"/>
          <w:lang w:val="fr-CA"/>
        </w:rPr>
      </w:pPr>
    </w:p>
    <w:p w:rsidR="002A27D1" w:rsidRDefault="00ED3438" w:rsidP="002A27D1">
      <w:pPr>
        <w:widowControl w:val="0"/>
        <w:rPr>
          <w:sz w:val="20"/>
          <w:szCs w:val="20"/>
        </w:rPr>
      </w:pPr>
      <w:r w:rsidRPr="00ED3438">
        <w:rPr>
          <w:sz w:val="20"/>
          <w:szCs w:val="20"/>
          <w:lang w:val="fr-CA"/>
        </w:rPr>
        <w:pict>
          <v:rect id="_x0000_i1078" style="width:2in;height:1pt" o:hrpct="0" o:hralign="center" o:hrstd="t" o:hrnoshade="t" o:hr="t" fillcolor="black [3213]" stroked="f"/>
        </w:pict>
      </w:r>
    </w:p>
    <w:p w:rsidR="002A27D1" w:rsidRDefault="002A27D1" w:rsidP="002A27D1">
      <w:pPr>
        <w:widowControl w:val="0"/>
        <w:rPr>
          <w:sz w:val="20"/>
          <w:szCs w:val="20"/>
        </w:rPr>
      </w:pPr>
    </w:p>
    <w:p w:rsidR="002A27D1" w:rsidRDefault="002F207F" w:rsidP="002A27D1">
      <w:pPr>
        <w:widowControl w:val="0"/>
        <w:rPr>
          <w:sz w:val="20"/>
          <w:szCs w:val="20"/>
        </w:rPr>
      </w:pPr>
      <w:r>
        <w:rPr>
          <w:sz w:val="20"/>
          <w:szCs w:val="20"/>
        </w:rPr>
        <w:t>14</w:t>
      </w:r>
      <w:r w:rsidR="002A27D1">
        <w:rPr>
          <w:sz w:val="20"/>
          <w:szCs w:val="20"/>
        </w:rPr>
        <w:t>.</w:t>
      </w:r>
      <w:r>
        <w:rPr>
          <w:sz w:val="20"/>
          <w:szCs w:val="20"/>
        </w:rPr>
        <w:t>06</w:t>
      </w:r>
      <w:r w:rsidR="002A27D1">
        <w:rPr>
          <w:sz w:val="20"/>
          <w:szCs w:val="20"/>
        </w:rPr>
        <w:t>.201</w:t>
      </w:r>
      <w:r>
        <w:rPr>
          <w:sz w:val="20"/>
          <w:szCs w:val="20"/>
        </w:rPr>
        <w:t>2</w:t>
      </w:r>
    </w:p>
    <w:p w:rsidR="002A27D1" w:rsidRDefault="002A27D1" w:rsidP="002A27D1">
      <w:pPr>
        <w:widowControl w:val="0"/>
        <w:rPr>
          <w:sz w:val="20"/>
          <w:szCs w:val="20"/>
        </w:rPr>
      </w:pPr>
    </w:p>
    <w:p w:rsidR="002F207F" w:rsidRPr="00403B9D" w:rsidRDefault="002F207F" w:rsidP="002F207F">
      <w:pPr>
        <w:widowControl w:val="0"/>
        <w:ind w:left="720" w:hanging="720"/>
        <w:rPr>
          <w:rFonts w:eastAsia="Calibri" w:cs="Times New Roman"/>
          <w:sz w:val="20"/>
          <w:szCs w:val="20"/>
        </w:rPr>
      </w:pPr>
      <w:r w:rsidRPr="00403B9D">
        <w:rPr>
          <w:rFonts w:eastAsia="Calibri" w:cs="Times New Roman"/>
          <w:sz w:val="20"/>
          <w:szCs w:val="20"/>
        </w:rPr>
        <w:t xml:space="preserve">Coram: </w:t>
      </w:r>
      <w:r w:rsidRPr="00403B9D">
        <w:rPr>
          <w:rFonts w:eastAsia="Calibri" w:cs="Times New Roman"/>
          <w:sz w:val="20"/>
          <w:szCs w:val="20"/>
        </w:rPr>
        <w:tab/>
      </w:r>
      <w:proofErr w:type="spellStart"/>
      <w:r w:rsidRPr="00403B9D">
        <w:rPr>
          <w:rFonts w:eastAsia="Calibri" w:cs="Times New Roman"/>
          <w:sz w:val="20"/>
          <w:szCs w:val="20"/>
          <w:u w:val="single"/>
        </w:rPr>
        <w:t>McLachlin</w:t>
      </w:r>
      <w:proofErr w:type="spellEnd"/>
      <w:r w:rsidRPr="00403B9D">
        <w:rPr>
          <w:rFonts w:eastAsia="Calibri" w:cs="Times New Roman"/>
          <w:sz w:val="20"/>
          <w:szCs w:val="20"/>
          <w:u w:val="single"/>
        </w:rPr>
        <w:t xml:space="preserve"> C.J. and </w:t>
      </w:r>
      <w:proofErr w:type="spellStart"/>
      <w:r w:rsidRPr="00403B9D">
        <w:rPr>
          <w:rFonts w:eastAsia="Calibri" w:cs="Times New Roman"/>
          <w:sz w:val="20"/>
          <w:szCs w:val="20"/>
          <w:u w:val="single"/>
        </w:rPr>
        <w:t>LeBel</w:t>
      </w:r>
      <w:proofErr w:type="spellEnd"/>
      <w:r w:rsidRPr="00403B9D">
        <w:rPr>
          <w:rFonts w:eastAsia="Calibri" w:cs="Times New Roman"/>
          <w:sz w:val="20"/>
          <w:szCs w:val="20"/>
          <w:u w:val="single"/>
        </w:rPr>
        <w:t xml:space="preserve">, </w:t>
      </w:r>
      <w:proofErr w:type="spellStart"/>
      <w:r w:rsidRPr="00403B9D">
        <w:rPr>
          <w:rFonts w:eastAsia="Calibri" w:cs="Times New Roman"/>
          <w:sz w:val="20"/>
          <w:szCs w:val="20"/>
          <w:u w:val="single"/>
        </w:rPr>
        <w:t>Deschamps</w:t>
      </w:r>
      <w:proofErr w:type="spellEnd"/>
      <w:r w:rsidRPr="00403B9D">
        <w:rPr>
          <w:rFonts w:eastAsia="Calibri" w:cs="Times New Roman"/>
          <w:sz w:val="20"/>
          <w:szCs w:val="20"/>
          <w:u w:val="single"/>
        </w:rPr>
        <w:t xml:space="preserve">, Fish, </w:t>
      </w:r>
      <w:proofErr w:type="spellStart"/>
      <w:r w:rsidRPr="00403B9D">
        <w:rPr>
          <w:rFonts w:eastAsia="Calibri" w:cs="Times New Roman"/>
          <w:sz w:val="20"/>
          <w:szCs w:val="20"/>
          <w:u w:val="single"/>
        </w:rPr>
        <w:t>Abella</w:t>
      </w:r>
      <w:proofErr w:type="spellEnd"/>
      <w:r w:rsidRPr="00403B9D">
        <w:rPr>
          <w:rFonts w:eastAsia="Calibri" w:cs="Times New Roman"/>
          <w:sz w:val="20"/>
          <w:szCs w:val="20"/>
          <w:u w:val="single"/>
        </w:rPr>
        <w:t xml:space="preserve">, Rothstein, Cromwell, </w:t>
      </w:r>
      <w:proofErr w:type="spellStart"/>
      <w:r w:rsidRPr="00403B9D">
        <w:rPr>
          <w:rFonts w:eastAsia="Calibri" w:cs="Times New Roman"/>
          <w:sz w:val="20"/>
          <w:szCs w:val="20"/>
          <w:u w:val="single"/>
        </w:rPr>
        <w:t>Moldaver</w:t>
      </w:r>
      <w:proofErr w:type="spellEnd"/>
      <w:r w:rsidRPr="00403B9D">
        <w:rPr>
          <w:rFonts w:eastAsia="Calibri" w:cs="Times New Roman"/>
          <w:sz w:val="20"/>
          <w:szCs w:val="20"/>
          <w:u w:val="single"/>
        </w:rPr>
        <w:t xml:space="preserve"> and </w:t>
      </w:r>
      <w:proofErr w:type="spellStart"/>
      <w:r w:rsidRPr="00403B9D">
        <w:rPr>
          <w:rFonts w:eastAsia="Calibri" w:cs="Times New Roman"/>
          <w:sz w:val="20"/>
          <w:szCs w:val="20"/>
          <w:u w:val="single"/>
        </w:rPr>
        <w:t>Karakatsanis</w:t>
      </w:r>
      <w:proofErr w:type="spellEnd"/>
      <w:r w:rsidRPr="00403B9D">
        <w:rPr>
          <w:rFonts w:eastAsia="Calibri" w:cs="Times New Roman"/>
          <w:sz w:val="20"/>
          <w:szCs w:val="20"/>
          <w:u w:val="single"/>
        </w:rPr>
        <w:t xml:space="preserve"> JJ.</w:t>
      </w:r>
    </w:p>
    <w:p w:rsidR="002A27D1" w:rsidRDefault="002A27D1" w:rsidP="002A27D1">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2A27D1" w:rsidRPr="00C50A5C" w:rsidTr="002A4AFA">
        <w:tc>
          <w:tcPr>
            <w:tcW w:w="4380" w:type="dxa"/>
            <w:tcMar>
              <w:left w:w="0" w:type="dxa"/>
              <w:right w:w="0" w:type="dxa"/>
            </w:tcMar>
          </w:tcPr>
          <w:p w:rsidR="002A27D1" w:rsidRDefault="002A27D1" w:rsidP="002A4AFA">
            <w:pPr>
              <w:widowControl w:val="0"/>
              <w:jc w:val="both"/>
              <w:rPr>
                <w:b/>
                <w:sz w:val="20"/>
                <w:szCs w:val="20"/>
              </w:rPr>
            </w:pPr>
            <w:r>
              <w:rPr>
                <w:b/>
                <w:sz w:val="20"/>
                <w:szCs w:val="20"/>
              </w:rPr>
              <w:t>Her Majesty the Queen</w:t>
            </w:r>
          </w:p>
          <w:p w:rsidR="002A27D1" w:rsidRPr="00C50A5C" w:rsidRDefault="002A27D1" w:rsidP="002A4AFA">
            <w:pPr>
              <w:widowControl w:val="0"/>
              <w:jc w:val="both"/>
              <w:rPr>
                <w:b/>
                <w:sz w:val="20"/>
                <w:szCs w:val="20"/>
              </w:rPr>
            </w:pPr>
          </w:p>
          <w:p w:rsidR="002A27D1" w:rsidRPr="00C50A5C" w:rsidRDefault="002A27D1" w:rsidP="002A4AFA">
            <w:pPr>
              <w:widowControl w:val="0"/>
              <w:tabs>
                <w:tab w:val="left" w:pos="736"/>
              </w:tabs>
              <w:jc w:val="both"/>
              <w:rPr>
                <w:b/>
                <w:sz w:val="20"/>
                <w:szCs w:val="20"/>
              </w:rPr>
            </w:pPr>
            <w:r w:rsidRPr="00C50A5C">
              <w:rPr>
                <w:b/>
                <w:sz w:val="20"/>
                <w:szCs w:val="20"/>
              </w:rPr>
              <w:tab/>
              <w:t>v. (3</w:t>
            </w:r>
            <w:r>
              <w:rPr>
                <w:b/>
                <w:sz w:val="20"/>
                <w:szCs w:val="20"/>
              </w:rPr>
              <w:t>4</w:t>
            </w:r>
            <w:r w:rsidR="002F207F">
              <w:rPr>
                <w:b/>
                <w:sz w:val="20"/>
                <w:szCs w:val="20"/>
              </w:rPr>
              <w:t>272</w:t>
            </w:r>
            <w:r w:rsidRPr="00C50A5C">
              <w:rPr>
                <w:b/>
                <w:sz w:val="20"/>
                <w:szCs w:val="20"/>
              </w:rPr>
              <w:t>)</w:t>
            </w:r>
          </w:p>
          <w:p w:rsidR="002A27D1" w:rsidRPr="00C50A5C" w:rsidRDefault="002A27D1" w:rsidP="002A4AFA">
            <w:pPr>
              <w:widowControl w:val="0"/>
              <w:jc w:val="both"/>
              <w:rPr>
                <w:b/>
                <w:sz w:val="20"/>
                <w:szCs w:val="20"/>
              </w:rPr>
            </w:pPr>
          </w:p>
          <w:p w:rsidR="002A27D1" w:rsidRPr="0093057E" w:rsidRDefault="002F207F" w:rsidP="002F207F">
            <w:pPr>
              <w:widowControl w:val="0"/>
              <w:jc w:val="both"/>
              <w:rPr>
                <w:sz w:val="20"/>
                <w:szCs w:val="20"/>
              </w:rPr>
            </w:pPr>
            <w:r w:rsidRPr="002F207F">
              <w:rPr>
                <w:rStyle w:val="SCCSsocChar"/>
                <w:b/>
                <w:i w:val="0"/>
                <w:lang w:val="fr-CA"/>
              </w:rPr>
              <w:t>Nicole Patricia Ryan</w:t>
            </w:r>
            <w:r w:rsidRPr="002F207F">
              <w:rPr>
                <w:b/>
                <w:sz w:val="20"/>
                <w:szCs w:val="20"/>
                <w:lang w:val="fr-CA"/>
              </w:rPr>
              <w:t xml:space="preserve"> </w:t>
            </w:r>
            <w:r w:rsidR="002A27D1" w:rsidRPr="002F207F">
              <w:rPr>
                <w:b/>
                <w:sz w:val="20"/>
                <w:szCs w:val="20"/>
                <w:lang w:val="fr-CA"/>
              </w:rPr>
              <w:t>(</w:t>
            </w:r>
            <w:r w:rsidRPr="002F207F">
              <w:rPr>
                <w:b/>
                <w:sz w:val="20"/>
                <w:szCs w:val="20"/>
                <w:lang w:val="fr-CA"/>
              </w:rPr>
              <w:t>N.S</w:t>
            </w:r>
            <w:r w:rsidR="002A27D1" w:rsidRPr="002F207F">
              <w:rPr>
                <w:b/>
                <w:sz w:val="20"/>
                <w:szCs w:val="20"/>
                <w:lang w:val="fr-CA"/>
              </w:rPr>
              <w:t xml:space="preserve">.) </w:t>
            </w:r>
            <w:r w:rsidR="002A27D1" w:rsidRPr="00C50A5C">
              <w:rPr>
                <w:b/>
                <w:sz w:val="20"/>
                <w:szCs w:val="20"/>
              </w:rPr>
              <w:t>(C</w:t>
            </w:r>
            <w:r w:rsidR="002A27D1">
              <w:rPr>
                <w:b/>
                <w:sz w:val="20"/>
                <w:szCs w:val="20"/>
              </w:rPr>
              <w:t>r</w:t>
            </w:r>
            <w:r w:rsidR="002A27D1" w:rsidRPr="00C50A5C">
              <w:rPr>
                <w:b/>
                <w:sz w:val="20"/>
                <w:szCs w:val="20"/>
              </w:rPr>
              <w:t>i</w:t>
            </w:r>
            <w:r w:rsidR="002A27D1">
              <w:rPr>
                <w:b/>
                <w:sz w:val="20"/>
                <w:szCs w:val="20"/>
              </w:rPr>
              <w:t>m</w:t>
            </w:r>
            <w:r>
              <w:rPr>
                <w:b/>
                <w:sz w:val="20"/>
                <w:szCs w:val="20"/>
              </w:rPr>
              <w:t>.</w:t>
            </w:r>
            <w:r w:rsidR="002A27D1" w:rsidRPr="00C50A5C">
              <w:rPr>
                <w:b/>
                <w:sz w:val="20"/>
                <w:szCs w:val="20"/>
              </w:rPr>
              <w:t>) (</w:t>
            </w:r>
            <w:r>
              <w:rPr>
                <w:b/>
                <w:sz w:val="20"/>
                <w:szCs w:val="20"/>
              </w:rPr>
              <w:t>By Leave</w:t>
            </w:r>
            <w:r w:rsidR="002A27D1" w:rsidRPr="00C50A5C">
              <w:rPr>
                <w:b/>
                <w:sz w:val="20"/>
                <w:szCs w:val="20"/>
              </w:rPr>
              <w:t>)</w:t>
            </w:r>
          </w:p>
        </w:tc>
        <w:tc>
          <w:tcPr>
            <w:tcW w:w="720" w:type="dxa"/>
            <w:tcMar>
              <w:left w:w="0" w:type="dxa"/>
              <w:right w:w="0" w:type="dxa"/>
            </w:tcMar>
          </w:tcPr>
          <w:p w:rsidR="002A27D1" w:rsidRPr="0093057E" w:rsidRDefault="002A27D1" w:rsidP="002A4AFA">
            <w:pPr>
              <w:widowControl w:val="0"/>
              <w:jc w:val="center"/>
              <w:rPr>
                <w:sz w:val="20"/>
                <w:szCs w:val="20"/>
              </w:rPr>
            </w:pPr>
          </w:p>
        </w:tc>
        <w:tc>
          <w:tcPr>
            <w:tcW w:w="4380" w:type="dxa"/>
            <w:tcMar>
              <w:left w:w="0" w:type="dxa"/>
              <w:right w:w="0" w:type="dxa"/>
            </w:tcMar>
          </w:tcPr>
          <w:p w:rsidR="001D3EFE" w:rsidRPr="00991DAA" w:rsidRDefault="001D3EFE" w:rsidP="001D3EFE">
            <w:pPr>
              <w:tabs>
                <w:tab w:val="left" w:pos="-2970"/>
              </w:tabs>
              <w:jc w:val="both"/>
              <w:rPr>
                <w:sz w:val="20"/>
                <w:szCs w:val="20"/>
                <w:lang w:val="en-US"/>
              </w:rPr>
            </w:pPr>
            <w:r w:rsidRPr="00991DAA">
              <w:rPr>
                <w:sz w:val="20"/>
                <w:szCs w:val="20"/>
                <w:lang w:val="en-US"/>
              </w:rPr>
              <w:t>William D. Delaney, Q.C.</w:t>
            </w:r>
            <w:r>
              <w:rPr>
                <w:sz w:val="20"/>
                <w:szCs w:val="20"/>
                <w:lang w:val="en-US"/>
              </w:rPr>
              <w:t xml:space="preserve"> and </w:t>
            </w:r>
            <w:r w:rsidRPr="00991DAA">
              <w:rPr>
                <w:sz w:val="20"/>
                <w:szCs w:val="20"/>
                <w:lang w:val="en-US"/>
              </w:rPr>
              <w:t xml:space="preserve">Jennifer A. </w:t>
            </w:r>
            <w:proofErr w:type="spellStart"/>
            <w:r w:rsidRPr="00991DAA">
              <w:rPr>
                <w:sz w:val="20"/>
                <w:szCs w:val="20"/>
                <w:lang w:val="en-US"/>
              </w:rPr>
              <w:t>MacLellan</w:t>
            </w:r>
            <w:proofErr w:type="spellEnd"/>
            <w:r>
              <w:rPr>
                <w:sz w:val="20"/>
                <w:szCs w:val="20"/>
                <w:lang w:val="en-US"/>
              </w:rPr>
              <w:t xml:space="preserve"> f</w:t>
            </w:r>
            <w:r w:rsidRPr="00991DAA">
              <w:rPr>
                <w:sz w:val="20"/>
                <w:szCs w:val="20"/>
                <w:lang w:val="en-US"/>
              </w:rPr>
              <w:t xml:space="preserve">or the </w:t>
            </w:r>
            <w:r>
              <w:rPr>
                <w:sz w:val="20"/>
                <w:szCs w:val="20"/>
                <w:lang w:val="en-US"/>
              </w:rPr>
              <w:t>a</w:t>
            </w:r>
            <w:r w:rsidRPr="00991DAA">
              <w:rPr>
                <w:sz w:val="20"/>
                <w:szCs w:val="20"/>
                <w:lang w:val="en-US"/>
              </w:rPr>
              <w:t>ppellant</w:t>
            </w:r>
            <w:r>
              <w:rPr>
                <w:sz w:val="20"/>
                <w:szCs w:val="20"/>
                <w:lang w:val="en-US"/>
              </w:rPr>
              <w:t>.</w:t>
            </w:r>
          </w:p>
          <w:p w:rsidR="001D3EFE" w:rsidRPr="00991DAA" w:rsidRDefault="001D3EFE" w:rsidP="001D3EFE">
            <w:pPr>
              <w:tabs>
                <w:tab w:val="left" w:pos="-2970"/>
              </w:tabs>
              <w:jc w:val="both"/>
              <w:rPr>
                <w:sz w:val="20"/>
                <w:szCs w:val="20"/>
                <w:lang w:val="en-US"/>
              </w:rPr>
            </w:pPr>
          </w:p>
          <w:p w:rsidR="001D3EFE" w:rsidRPr="00991DAA" w:rsidRDefault="001D3EFE" w:rsidP="001D3EFE">
            <w:pPr>
              <w:tabs>
                <w:tab w:val="left" w:pos="-2970"/>
              </w:tabs>
              <w:jc w:val="both"/>
              <w:rPr>
                <w:sz w:val="20"/>
                <w:szCs w:val="20"/>
                <w:lang w:val="en-US"/>
              </w:rPr>
            </w:pPr>
            <w:r w:rsidRPr="00991DAA">
              <w:rPr>
                <w:sz w:val="20"/>
                <w:szCs w:val="20"/>
                <w:lang w:val="en-US"/>
              </w:rPr>
              <w:t>John Corelli</w:t>
            </w:r>
            <w:r>
              <w:rPr>
                <w:sz w:val="20"/>
                <w:szCs w:val="20"/>
                <w:lang w:val="en-US"/>
              </w:rPr>
              <w:t xml:space="preserve"> and </w:t>
            </w:r>
            <w:r w:rsidRPr="00991DAA">
              <w:rPr>
                <w:sz w:val="20"/>
                <w:szCs w:val="20"/>
                <w:lang w:val="en-US"/>
              </w:rPr>
              <w:t xml:space="preserve">Holly </w:t>
            </w:r>
            <w:proofErr w:type="spellStart"/>
            <w:r w:rsidRPr="00991DAA">
              <w:rPr>
                <w:sz w:val="20"/>
                <w:szCs w:val="20"/>
                <w:lang w:val="en-US"/>
              </w:rPr>
              <w:t>Loubert</w:t>
            </w:r>
            <w:proofErr w:type="spellEnd"/>
            <w:r>
              <w:rPr>
                <w:sz w:val="20"/>
                <w:szCs w:val="20"/>
                <w:lang w:val="en-US"/>
              </w:rPr>
              <w:t xml:space="preserve"> f</w:t>
            </w:r>
            <w:r w:rsidRPr="00991DAA">
              <w:rPr>
                <w:sz w:val="20"/>
                <w:szCs w:val="20"/>
                <w:lang w:val="en-US"/>
              </w:rPr>
              <w:t xml:space="preserve">or the </w:t>
            </w:r>
            <w:r>
              <w:rPr>
                <w:sz w:val="20"/>
                <w:szCs w:val="20"/>
                <w:lang w:val="en-US"/>
              </w:rPr>
              <w:t>i</w:t>
            </w:r>
            <w:r w:rsidRPr="00991DAA">
              <w:rPr>
                <w:sz w:val="20"/>
                <w:szCs w:val="20"/>
                <w:lang w:val="en-US"/>
              </w:rPr>
              <w:t>ntervener</w:t>
            </w:r>
            <w:r>
              <w:rPr>
                <w:sz w:val="20"/>
                <w:szCs w:val="20"/>
                <w:lang w:val="en-US"/>
              </w:rPr>
              <w:t xml:space="preserve"> </w:t>
            </w:r>
            <w:r w:rsidRPr="00991DAA">
              <w:rPr>
                <w:sz w:val="20"/>
                <w:szCs w:val="20"/>
                <w:lang w:val="en-US"/>
              </w:rPr>
              <w:t>Attorney General of Ontario</w:t>
            </w:r>
            <w:r>
              <w:rPr>
                <w:sz w:val="20"/>
                <w:szCs w:val="20"/>
                <w:lang w:val="en-US"/>
              </w:rPr>
              <w:t>.</w:t>
            </w:r>
            <w:r w:rsidRPr="00991DAA">
              <w:rPr>
                <w:sz w:val="20"/>
                <w:szCs w:val="20"/>
                <w:lang w:val="en-US"/>
              </w:rPr>
              <w:t xml:space="preserve"> </w:t>
            </w:r>
          </w:p>
          <w:p w:rsidR="001D3EFE" w:rsidRPr="00991DAA" w:rsidRDefault="001D3EFE" w:rsidP="001D3EFE">
            <w:pPr>
              <w:tabs>
                <w:tab w:val="left" w:pos="-2970"/>
              </w:tabs>
              <w:jc w:val="both"/>
              <w:rPr>
                <w:sz w:val="20"/>
                <w:szCs w:val="20"/>
                <w:lang w:val="en-US"/>
              </w:rPr>
            </w:pPr>
          </w:p>
          <w:p w:rsidR="001D3EFE" w:rsidRPr="00991DAA" w:rsidRDefault="001D3EFE" w:rsidP="001D3EFE">
            <w:pPr>
              <w:tabs>
                <w:tab w:val="left" w:pos="-2970"/>
              </w:tabs>
              <w:jc w:val="both"/>
              <w:rPr>
                <w:sz w:val="20"/>
                <w:szCs w:val="20"/>
                <w:lang w:val="en-US"/>
              </w:rPr>
            </w:pPr>
            <w:r w:rsidRPr="00991DAA">
              <w:rPr>
                <w:sz w:val="20"/>
                <w:szCs w:val="20"/>
                <w:lang w:val="en-US"/>
              </w:rPr>
              <w:t>Joel E. Pink, Q.C.</w:t>
            </w:r>
            <w:r>
              <w:rPr>
                <w:sz w:val="20"/>
                <w:szCs w:val="20"/>
                <w:lang w:val="en-US"/>
              </w:rPr>
              <w:t xml:space="preserve">, </w:t>
            </w:r>
            <w:r w:rsidRPr="00991DAA">
              <w:rPr>
                <w:sz w:val="20"/>
                <w:szCs w:val="20"/>
                <w:lang w:val="en-US"/>
              </w:rPr>
              <w:t>Brian H. Greenspan</w:t>
            </w:r>
            <w:r>
              <w:rPr>
                <w:sz w:val="20"/>
                <w:szCs w:val="20"/>
                <w:lang w:val="en-US"/>
              </w:rPr>
              <w:t xml:space="preserve">, </w:t>
            </w:r>
            <w:r w:rsidRPr="00991DAA">
              <w:rPr>
                <w:sz w:val="20"/>
                <w:szCs w:val="20"/>
                <w:lang w:val="en-US"/>
              </w:rPr>
              <w:t>Andrew Nielson</w:t>
            </w:r>
            <w:r>
              <w:rPr>
                <w:sz w:val="20"/>
                <w:szCs w:val="20"/>
                <w:lang w:val="en-US"/>
              </w:rPr>
              <w:t xml:space="preserve"> and </w:t>
            </w:r>
            <w:r w:rsidRPr="00991DAA">
              <w:rPr>
                <w:sz w:val="20"/>
                <w:szCs w:val="20"/>
                <w:lang w:val="en-US"/>
              </w:rPr>
              <w:t xml:space="preserve">Naomi Lutes </w:t>
            </w:r>
            <w:r>
              <w:rPr>
                <w:sz w:val="20"/>
                <w:szCs w:val="20"/>
                <w:lang w:val="en-US"/>
              </w:rPr>
              <w:t>f</w:t>
            </w:r>
            <w:r w:rsidRPr="00991DAA">
              <w:rPr>
                <w:sz w:val="20"/>
                <w:szCs w:val="20"/>
                <w:lang w:val="en-US"/>
              </w:rPr>
              <w:t xml:space="preserve">or the </w:t>
            </w:r>
            <w:r>
              <w:rPr>
                <w:sz w:val="20"/>
                <w:szCs w:val="20"/>
                <w:lang w:val="en-US"/>
              </w:rPr>
              <w:t>r</w:t>
            </w:r>
            <w:r w:rsidRPr="00991DAA">
              <w:rPr>
                <w:sz w:val="20"/>
                <w:szCs w:val="20"/>
                <w:lang w:val="en-US"/>
              </w:rPr>
              <w:t>espondent.</w:t>
            </w:r>
          </w:p>
          <w:p w:rsidR="001D3EFE" w:rsidRPr="00991DAA" w:rsidRDefault="001D3EFE" w:rsidP="001D3EFE">
            <w:pPr>
              <w:tabs>
                <w:tab w:val="left" w:pos="-2970"/>
              </w:tabs>
              <w:jc w:val="both"/>
              <w:rPr>
                <w:sz w:val="20"/>
                <w:szCs w:val="20"/>
                <w:lang w:val="en-US"/>
              </w:rPr>
            </w:pPr>
          </w:p>
          <w:p w:rsidR="001D3EFE" w:rsidRPr="00991DAA" w:rsidRDefault="001D3EFE" w:rsidP="001D3EFE">
            <w:pPr>
              <w:tabs>
                <w:tab w:val="left" w:pos="-2970"/>
              </w:tabs>
              <w:jc w:val="both"/>
              <w:rPr>
                <w:sz w:val="20"/>
                <w:szCs w:val="20"/>
                <w:lang w:val="en-US"/>
              </w:rPr>
            </w:pPr>
            <w:r w:rsidRPr="00991DAA">
              <w:rPr>
                <w:sz w:val="20"/>
                <w:szCs w:val="20"/>
                <w:lang w:val="en-US"/>
              </w:rPr>
              <w:t>Christine Boyle</w:t>
            </w:r>
            <w:r>
              <w:rPr>
                <w:sz w:val="20"/>
                <w:szCs w:val="20"/>
                <w:lang w:val="en-US"/>
              </w:rPr>
              <w:t xml:space="preserve"> f</w:t>
            </w:r>
            <w:r w:rsidRPr="00991DAA">
              <w:rPr>
                <w:sz w:val="20"/>
                <w:szCs w:val="20"/>
                <w:lang w:val="en-US"/>
              </w:rPr>
              <w:t xml:space="preserve">or the </w:t>
            </w:r>
            <w:r>
              <w:rPr>
                <w:sz w:val="20"/>
                <w:szCs w:val="20"/>
                <w:lang w:val="en-US"/>
              </w:rPr>
              <w:t>i</w:t>
            </w:r>
            <w:r w:rsidRPr="00991DAA">
              <w:rPr>
                <w:sz w:val="20"/>
                <w:szCs w:val="20"/>
                <w:lang w:val="en-US"/>
              </w:rPr>
              <w:t>ntervener</w:t>
            </w:r>
            <w:r>
              <w:rPr>
                <w:sz w:val="20"/>
                <w:szCs w:val="20"/>
                <w:lang w:val="en-US"/>
              </w:rPr>
              <w:t xml:space="preserve"> </w:t>
            </w:r>
            <w:r w:rsidRPr="00991DAA">
              <w:rPr>
                <w:sz w:val="20"/>
                <w:szCs w:val="20"/>
                <w:lang w:val="en-US"/>
              </w:rPr>
              <w:t>Canadian Association of Elizabeth Fry Societies</w:t>
            </w:r>
            <w:r>
              <w:rPr>
                <w:sz w:val="20"/>
                <w:szCs w:val="20"/>
                <w:lang w:val="en-US"/>
              </w:rPr>
              <w:t xml:space="preserve"> </w:t>
            </w:r>
            <w:r w:rsidRPr="00991DAA">
              <w:rPr>
                <w:sz w:val="20"/>
                <w:szCs w:val="20"/>
                <w:lang w:val="en-US"/>
              </w:rPr>
              <w:t>and Women’s Legal Education and Action Fund</w:t>
            </w:r>
            <w:r>
              <w:rPr>
                <w:sz w:val="20"/>
                <w:szCs w:val="20"/>
                <w:lang w:val="en-US"/>
              </w:rPr>
              <w:t>.</w:t>
            </w:r>
          </w:p>
          <w:p w:rsidR="001D3EFE" w:rsidRPr="00991DAA" w:rsidRDefault="001D3EFE" w:rsidP="001D3EFE">
            <w:pPr>
              <w:tabs>
                <w:tab w:val="left" w:pos="-2970"/>
              </w:tabs>
              <w:jc w:val="both"/>
              <w:rPr>
                <w:sz w:val="20"/>
                <w:szCs w:val="20"/>
                <w:lang w:val="en-US"/>
              </w:rPr>
            </w:pPr>
          </w:p>
          <w:p w:rsidR="002A27D1" w:rsidRPr="00C50A5C" w:rsidRDefault="001D3EFE" w:rsidP="001D3EFE">
            <w:pPr>
              <w:widowControl w:val="0"/>
              <w:jc w:val="both"/>
              <w:rPr>
                <w:sz w:val="20"/>
                <w:szCs w:val="20"/>
              </w:rPr>
            </w:pPr>
            <w:r w:rsidRPr="00991DAA">
              <w:rPr>
                <w:sz w:val="20"/>
                <w:szCs w:val="20"/>
                <w:lang w:val="en-US"/>
              </w:rPr>
              <w:t>Susan Chapman</w:t>
            </w:r>
            <w:r>
              <w:rPr>
                <w:sz w:val="20"/>
                <w:szCs w:val="20"/>
                <w:lang w:val="en-US"/>
              </w:rPr>
              <w:t xml:space="preserve"> and </w:t>
            </w:r>
            <w:r w:rsidRPr="00991DAA">
              <w:rPr>
                <w:sz w:val="20"/>
                <w:szCs w:val="20"/>
                <w:lang w:val="en-US"/>
              </w:rPr>
              <w:t xml:space="preserve">Howard </w:t>
            </w:r>
            <w:proofErr w:type="spellStart"/>
            <w:r w:rsidRPr="00991DAA">
              <w:rPr>
                <w:sz w:val="20"/>
                <w:szCs w:val="20"/>
                <w:lang w:val="en-US"/>
              </w:rPr>
              <w:t>Krongold</w:t>
            </w:r>
            <w:proofErr w:type="spellEnd"/>
            <w:r>
              <w:rPr>
                <w:sz w:val="20"/>
                <w:szCs w:val="20"/>
                <w:lang w:val="en-US"/>
              </w:rPr>
              <w:t xml:space="preserve"> f</w:t>
            </w:r>
            <w:r w:rsidRPr="00991DAA">
              <w:rPr>
                <w:sz w:val="20"/>
                <w:szCs w:val="20"/>
                <w:lang w:val="en-US"/>
              </w:rPr>
              <w:t xml:space="preserve">or the </w:t>
            </w:r>
            <w:r>
              <w:rPr>
                <w:sz w:val="20"/>
                <w:szCs w:val="20"/>
                <w:lang w:val="en-US"/>
              </w:rPr>
              <w:t>i</w:t>
            </w:r>
            <w:r w:rsidRPr="00991DAA">
              <w:rPr>
                <w:sz w:val="20"/>
                <w:szCs w:val="20"/>
                <w:lang w:val="en-US"/>
              </w:rPr>
              <w:t>ntervener</w:t>
            </w:r>
            <w:r>
              <w:rPr>
                <w:sz w:val="20"/>
                <w:szCs w:val="20"/>
                <w:lang w:val="en-US"/>
              </w:rPr>
              <w:t xml:space="preserve"> </w:t>
            </w:r>
            <w:r w:rsidRPr="00991DAA">
              <w:rPr>
                <w:sz w:val="20"/>
                <w:szCs w:val="20"/>
                <w:lang w:val="en-US"/>
              </w:rPr>
              <w:t>Criminal Lawyers’ Association of Ontario</w:t>
            </w:r>
            <w:r>
              <w:rPr>
                <w:sz w:val="20"/>
                <w:szCs w:val="20"/>
                <w:lang w:val="en-US"/>
              </w:rPr>
              <w:t>.</w:t>
            </w:r>
          </w:p>
        </w:tc>
      </w:tr>
    </w:tbl>
    <w:p w:rsidR="002A27D1" w:rsidRDefault="002A27D1" w:rsidP="002A27D1">
      <w:pPr>
        <w:widowControl w:val="0"/>
        <w:rPr>
          <w:sz w:val="20"/>
          <w:szCs w:val="20"/>
        </w:rPr>
      </w:pPr>
    </w:p>
    <w:p w:rsidR="002A27D1" w:rsidRPr="0085476B" w:rsidRDefault="002F207F" w:rsidP="002A27D1">
      <w:pPr>
        <w:widowControl w:val="0"/>
        <w:rPr>
          <w:sz w:val="20"/>
          <w:szCs w:val="20"/>
        </w:rPr>
      </w:pPr>
      <w:r>
        <w:rPr>
          <w:b/>
          <w:sz w:val="20"/>
          <w:szCs w:val="20"/>
        </w:rPr>
        <w:t>RESERV</w:t>
      </w:r>
      <w:r w:rsidR="002A27D1" w:rsidRPr="0085476B">
        <w:rPr>
          <w:b/>
          <w:sz w:val="20"/>
          <w:szCs w:val="20"/>
        </w:rPr>
        <w:t xml:space="preserve">ED / </w:t>
      </w:r>
      <w:r w:rsidR="002A27D1" w:rsidRPr="0085476B">
        <w:rPr>
          <w:b/>
          <w:sz w:val="20"/>
          <w:szCs w:val="20"/>
          <w:lang w:val="fr-CA"/>
        </w:rPr>
        <w:t>E</w:t>
      </w:r>
      <w:r>
        <w:rPr>
          <w:b/>
          <w:sz w:val="20"/>
          <w:szCs w:val="20"/>
          <w:lang w:val="fr-CA"/>
        </w:rPr>
        <w:t>N DÉLIBÉRÉ</w:t>
      </w:r>
    </w:p>
    <w:p w:rsidR="001D3EFE" w:rsidRDefault="001D3EFE"/>
    <w:p w:rsidR="001D3EFE" w:rsidRDefault="001D3EFE">
      <w:r>
        <w:br w:type="page"/>
      </w:r>
    </w:p>
    <w:tbl>
      <w:tblPr>
        <w:tblW w:w="0" w:type="auto"/>
        <w:tblLayout w:type="fixed"/>
        <w:tblCellMar>
          <w:left w:w="0" w:type="dxa"/>
          <w:right w:w="0" w:type="dxa"/>
        </w:tblCellMar>
        <w:tblLook w:val="0000"/>
      </w:tblPr>
      <w:tblGrid>
        <w:gridCol w:w="4380"/>
        <w:gridCol w:w="720"/>
        <w:gridCol w:w="4380"/>
      </w:tblGrid>
      <w:tr w:rsidR="002A27D1" w:rsidRPr="00017BF4" w:rsidTr="002A4AFA">
        <w:tc>
          <w:tcPr>
            <w:tcW w:w="4380" w:type="dxa"/>
            <w:tcMar>
              <w:left w:w="0" w:type="dxa"/>
              <w:right w:w="0" w:type="dxa"/>
            </w:tcMar>
          </w:tcPr>
          <w:p w:rsidR="002A27D1" w:rsidRPr="00CC4D84" w:rsidRDefault="002A27D1" w:rsidP="002A4AFA">
            <w:pPr>
              <w:widowControl w:val="0"/>
              <w:jc w:val="both"/>
              <w:rPr>
                <w:b/>
                <w:sz w:val="20"/>
                <w:szCs w:val="20"/>
                <w:u w:val="single"/>
              </w:rPr>
            </w:pPr>
            <w:r w:rsidRPr="00CC4D84">
              <w:rPr>
                <w:b/>
                <w:sz w:val="20"/>
                <w:szCs w:val="20"/>
                <w:u w:val="single"/>
              </w:rPr>
              <w:t>Nature of the case:</w:t>
            </w:r>
          </w:p>
          <w:p w:rsidR="002A27D1" w:rsidRPr="001A663B" w:rsidRDefault="002A27D1" w:rsidP="002A4AFA">
            <w:pPr>
              <w:widowControl w:val="0"/>
              <w:jc w:val="both"/>
              <w:rPr>
                <w:b/>
                <w:sz w:val="20"/>
                <w:szCs w:val="20"/>
              </w:rPr>
            </w:pPr>
          </w:p>
          <w:p w:rsidR="001D3EFE" w:rsidRPr="008E1A32" w:rsidRDefault="001D3EFE" w:rsidP="001D3EFE">
            <w:pPr>
              <w:widowControl w:val="0"/>
              <w:jc w:val="both"/>
              <w:rPr>
                <w:smallCaps/>
                <w:sz w:val="20"/>
                <w:szCs w:val="20"/>
              </w:rPr>
            </w:pPr>
            <w:r w:rsidRPr="008E1A32">
              <w:rPr>
                <w:smallCaps/>
                <w:sz w:val="20"/>
                <w:szCs w:val="20"/>
              </w:rPr>
              <w:t xml:space="preserve">(Publication </w:t>
            </w:r>
            <w:r>
              <w:rPr>
                <w:smallCaps/>
                <w:sz w:val="20"/>
                <w:szCs w:val="20"/>
              </w:rPr>
              <w:t>B</w:t>
            </w:r>
            <w:r w:rsidRPr="008E1A32">
              <w:rPr>
                <w:smallCaps/>
                <w:sz w:val="20"/>
                <w:szCs w:val="20"/>
              </w:rPr>
              <w:t xml:space="preserve">an in </w:t>
            </w:r>
            <w:r>
              <w:rPr>
                <w:smallCaps/>
                <w:sz w:val="20"/>
                <w:szCs w:val="20"/>
              </w:rPr>
              <w:t>C</w:t>
            </w:r>
            <w:r w:rsidRPr="008E1A32">
              <w:rPr>
                <w:smallCaps/>
                <w:sz w:val="20"/>
                <w:szCs w:val="20"/>
              </w:rPr>
              <w:t xml:space="preserve">ase) (Sealing </w:t>
            </w:r>
            <w:r>
              <w:rPr>
                <w:smallCaps/>
                <w:sz w:val="20"/>
                <w:szCs w:val="20"/>
              </w:rPr>
              <w:t>O</w:t>
            </w:r>
            <w:r w:rsidRPr="008E1A32">
              <w:rPr>
                <w:smallCaps/>
                <w:sz w:val="20"/>
                <w:szCs w:val="20"/>
              </w:rPr>
              <w:t>rder)</w:t>
            </w:r>
          </w:p>
          <w:p w:rsidR="001D3EFE" w:rsidRDefault="001D3EFE" w:rsidP="001D3EFE">
            <w:pPr>
              <w:widowControl w:val="0"/>
              <w:jc w:val="both"/>
              <w:rPr>
                <w:sz w:val="20"/>
                <w:szCs w:val="20"/>
              </w:rPr>
            </w:pPr>
          </w:p>
          <w:p w:rsidR="001D3EFE" w:rsidRPr="008E1A32" w:rsidRDefault="001D3EFE" w:rsidP="001D3EFE">
            <w:pPr>
              <w:widowControl w:val="0"/>
              <w:jc w:val="both"/>
              <w:rPr>
                <w:sz w:val="20"/>
                <w:szCs w:val="20"/>
              </w:rPr>
            </w:pPr>
          </w:p>
          <w:p w:rsidR="002A27D1" w:rsidRPr="00C1697B" w:rsidRDefault="001D3EFE" w:rsidP="001D3EFE">
            <w:pPr>
              <w:widowControl w:val="0"/>
              <w:jc w:val="both"/>
              <w:rPr>
                <w:b/>
                <w:sz w:val="20"/>
                <w:szCs w:val="20"/>
              </w:rPr>
            </w:pPr>
            <w:r w:rsidRPr="008E1A32">
              <w:rPr>
                <w:sz w:val="20"/>
                <w:szCs w:val="20"/>
              </w:rPr>
              <w:t xml:space="preserve">Criminal law </w:t>
            </w:r>
            <w:r w:rsidRPr="008E1A32">
              <w:rPr>
                <w:sz w:val="20"/>
                <w:szCs w:val="20"/>
              </w:rPr>
              <w:noBreakHyphen/>
              <w:t xml:space="preserve"> Counselling to commit murder </w:t>
            </w:r>
            <w:r w:rsidRPr="008E1A32">
              <w:rPr>
                <w:sz w:val="20"/>
                <w:szCs w:val="20"/>
              </w:rPr>
              <w:noBreakHyphen/>
              <w:t xml:space="preserve"> Defences </w:t>
            </w:r>
            <w:r w:rsidRPr="008E1A32">
              <w:rPr>
                <w:sz w:val="20"/>
                <w:szCs w:val="20"/>
              </w:rPr>
              <w:noBreakHyphen/>
              <w:t xml:space="preserve"> Duress </w:t>
            </w:r>
            <w:r w:rsidRPr="008E1A32">
              <w:rPr>
                <w:sz w:val="20"/>
                <w:szCs w:val="20"/>
              </w:rPr>
              <w:noBreakHyphen/>
              <w:t xml:space="preserve"> Whether the Court of Appeal erred in holding that the defence of duress was conceptually available in the circumstances </w:t>
            </w:r>
            <w:r w:rsidRPr="008E1A32">
              <w:rPr>
                <w:sz w:val="20"/>
                <w:szCs w:val="20"/>
              </w:rPr>
              <w:noBreakHyphen/>
              <w:t xml:space="preserve"> Whether the Court of Appeal erred in approving a deficient legal test for the defence of duress </w:t>
            </w:r>
            <w:r w:rsidRPr="008E1A32">
              <w:rPr>
                <w:sz w:val="20"/>
                <w:szCs w:val="20"/>
              </w:rPr>
              <w:noBreakHyphen/>
              <w:t xml:space="preserve"> Whether the Court of Appeal erred in its consideration of whether there was evidence to support the defence of duress which could meet the air of reality test </w:t>
            </w:r>
            <w:r w:rsidRPr="008E1A32">
              <w:rPr>
                <w:sz w:val="20"/>
                <w:szCs w:val="20"/>
              </w:rPr>
              <w:noBreakHyphen/>
              <w:t xml:space="preserve"> Whether the Court of Appeal erred by applying the common law defence of duress, while the defence had previously been limited to a party to an offence pursuant to s. 21 of the </w:t>
            </w:r>
            <w:r w:rsidRPr="008E1A32">
              <w:rPr>
                <w:i/>
                <w:sz w:val="20"/>
                <w:szCs w:val="20"/>
              </w:rPr>
              <w:t>Criminal Code</w:t>
            </w:r>
            <w:r w:rsidRPr="008E1A32">
              <w:rPr>
                <w:sz w:val="20"/>
                <w:szCs w:val="20"/>
              </w:rPr>
              <w:t xml:space="preserve"> </w:t>
            </w:r>
            <w:r w:rsidRPr="008E1A32">
              <w:rPr>
                <w:sz w:val="20"/>
                <w:szCs w:val="20"/>
              </w:rPr>
              <w:noBreakHyphen/>
              <w:t xml:space="preserve"> Whether the Court of Appeal erred in applying the common law defence of duress, since that defence is unavailable in a homicide case </w:t>
            </w:r>
            <w:r w:rsidRPr="008E1A32">
              <w:rPr>
                <w:sz w:val="20"/>
                <w:szCs w:val="20"/>
              </w:rPr>
              <w:noBreakHyphen/>
              <w:t xml:space="preserve"> Whether the Court of Appeal’s reliance on s. 17 of the </w:t>
            </w:r>
            <w:r w:rsidRPr="008E1A32">
              <w:rPr>
                <w:i/>
                <w:sz w:val="20"/>
                <w:szCs w:val="20"/>
              </w:rPr>
              <w:t>Criminal Code</w:t>
            </w:r>
            <w:r w:rsidRPr="008E1A32">
              <w:rPr>
                <w:sz w:val="20"/>
                <w:szCs w:val="20"/>
              </w:rPr>
              <w:t xml:space="preserve"> in the circumstances raises a question with respect to the fairness of the appellate process.</w:t>
            </w:r>
          </w:p>
        </w:tc>
        <w:tc>
          <w:tcPr>
            <w:tcW w:w="720" w:type="dxa"/>
            <w:tcMar>
              <w:left w:w="0" w:type="dxa"/>
              <w:right w:w="0" w:type="dxa"/>
            </w:tcMar>
          </w:tcPr>
          <w:p w:rsidR="002A27D1" w:rsidRPr="00C1697B" w:rsidRDefault="002A27D1" w:rsidP="002A4AFA">
            <w:pPr>
              <w:widowControl w:val="0"/>
              <w:jc w:val="center"/>
              <w:rPr>
                <w:sz w:val="20"/>
                <w:szCs w:val="20"/>
              </w:rPr>
            </w:pPr>
          </w:p>
        </w:tc>
        <w:tc>
          <w:tcPr>
            <w:tcW w:w="4380" w:type="dxa"/>
            <w:tcMar>
              <w:left w:w="0" w:type="dxa"/>
              <w:right w:w="0" w:type="dxa"/>
            </w:tcMar>
          </w:tcPr>
          <w:p w:rsidR="002A27D1" w:rsidRPr="00CC4D84" w:rsidRDefault="002A27D1" w:rsidP="002A4AFA">
            <w:pPr>
              <w:widowControl w:val="0"/>
              <w:jc w:val="both"/>
              <w:rPr>
                <w:b/>
                <w:sz w:val="20"/>
                <w:szCs w:val="20"/>
                <w:u w:val="single"/>
                <w:lang w:val="fr-CA"/>
              </w:rPr>
            </w:pPr>
            <w:r w:rsidRPr="00CC4D84">
              <w:rPr>
                <w:b/>
                <w:sz w:val="20"/>
                <w:szCs w:val="20"/>
                <w:u w:val="single"/>
                <w:lang w:val="fr-CA"/>
              </w:rPr>
              <w:t>Nature de la cause :</w:t>
            </w:r>
          </w:p>
          <w:p w:rsidR="002A27D1" w:rsidRDefault="002A27D1" w:rsidP="002A4AFA">
            <w:pPr>
              <w:widowControl w:val="0"/>
              <w:jc w:val="both"/>
              <w:rPr>
                <w:sz w:val="20"/>
                <w:szCs w:val="20"/>
                <w:lang w:val="fr-CA"/>
              </w:rPr>
            </w:pPr>
          </w:p>
          <w:p w:rsidR="001D3EFE" w:rsidRPr="00857FA1" w:rsidRDefault="001D3EFE" w:rsidP="001D3EFE">
            <w:pPr>
              <w:widowControl w:val="0"/>
              <w:jc w:val="both"/>
              <w:rPr>
                <w:smallCaps/>
                <w:sz w:val="20"/>
                <w:szCs w:val="20"/>
                <w:lang w:val="fr-CA"/>
              </w:rPr>
            </w:pPr>
            <w:r w:rsidRPr="00857FA1">
              <w:rPr>
                <w:smallCaps/>
                <w:sz w:val="20"/>
                <w:szCs w:val="20"/>
                <w:lang w:val="fr-CA"/>
              </w:rPr>
              <w:t xml:space="preserve">(Ordonnance de </w:t>
            </w:r>
            <w:proofErr w:type="spellStart"/>
            <w:r w:rsidRPr="00857FA1">
              <w:rPr>
                <w:smallCaps/>
                <w:sz w:val="20"/>
                <w:szCs w:val="20"/>
                <w:lang w:val="fr-CA"/>
              </w:rPr>
              <w:t>non</w:t>
            </w:r>
            <w:r w:rsidRPr="00857FA1">
              <w:rPr>
                <w:smallCaps/>
                <w:sz w:val="20"/>
                <w:szCs w:val="20"/>
                <w:lang w:val="fr-CA"/>
              </w:rPr>
              <w:noBreakHyphen/>
              <w:t>publication</w:t>
            </w:r>
            <w:proofErr w:type="spellEnd"/>
            <w:r w:rsidRPr="00857FA1">
              <w:rPr>
                <w:smallCaps/>
                <w:sz w:val="20"/>
                <w:szCs w:val="20"/>
                <w:lang w:val="fr-CA"/>
              </w:rPr>
              <w:t xml:space="preserve"> dans le dossier) (ordonnance de mise sous scellés)</w:t>
            </w:r>
          </w:p>
          <w:p w:rsidR="001D3EFE" w:rsidRPr="00857FA1" w:rsidRDefault="001D3EFE" w:rsidP="001D3EFE">
            <w:pPr>
              <w:widowControl w:val="0"/>
              <w:jc w:val="both"/>
              <w:rPr>
                <w:sz w:val="20"/>
                <w:szCs w:val="20"/>
                <w:lang w:val="fr-CA"/>
              </w:rPr>
            </w:pPr>
          </w:p>
          <w:p w:rsidR="002F207F" w:rsidRPr="00C1697B" w:rsidRDefault="001D3EFE" w:rsidP="001D3EFE">
            <w:pPr>
              <w:widowControl w:val="0"/>
              <w:jc w:val="both"/>
              <w:rPr>
                <w:sz w:val="20"/>
                <w:szCs w:val="20"/>
                <w:lang w:val="fr-CA"/>
              </w:rPr>
            </w:pPr>
            <w:r w:rsidRPr="00857FA1">
              <w:rPr>
                <w:sz w:val="20"/>
                <w:szCs w:val="20"/>
                <w:lang w:val="fr-CA"/>
              </w:rPr>
              <w:t xml:space="preserve">Droit criminel </w:t>
            </w:r>
            <w:r w:rsidRPr="00857FA1">
              <w:rPr>
                <w:sz w:val="20"/>
                <w:szCs w:val="20"/>
                <w:lang w:val="fr-CA"/>
              </w:rPr>
              <w:noBreakHyphen/>
              <w:t xml:space="preserve"> Conseiller la perpétration d’un meurtre </w:t>
            </w:r>
            <w:r w:rsidRPr="00857FA1">
              <w:rPr>
                <w:sz w:val="20"/>
                <w:szCs w:val="20"/>
                <w:lang w:val="fr-CA"/>
              </w:rPr>
              <w:noBreakHyphen/>
              <w:t xml:space="preserve"> Moyens de défense </w:t>
            </w:r>
            <w:r w:rsidRPr="00857FA1">
              <w:rPr>
                <w:sz w:val="20"/>
                <w:szCs w:val="20"/>
                <w:lang w:val="fr-CA"/>
              </w:rPr>
              <w:noBreakHyphen/>
              <w:t xml:space="preserve"> Contrainte </w:t>
            </w:r>
            <w:r w:rsidRPr="00857FA1">
              <w:rPr>
                <w:sz w:val="20"/>
                <w:szCs w:val="20"/>
                <w:lang w:val="fr-CA"/>
              </w:rPr>
              <w:noBreakHyphen/>
              <w:t xml:space="preserve"> La Cour d’appel </w:t>
            </w:r>
            <w:proofErr w:type="spellStart"/>
            <w:r w:rsidRPr="00857FA1">
              <w:rPr>
                <w:sz w:val="20"/>
                <w:szCs w:val="20"/>
                <w:lang w:val="fr-CA"/>
              </w:rPr>
              <w:t>a</w:t>
            </w:r>
            <w:r w:rsidRPr="00857FA1">
              <w:rPr>
                <w:sz w:val="20"/>
                <w:szCs w:val="20"/>
                <w:lang w:val="fr-CA"/>
              </w:rPr>
              <w:noBreakHyphen/>
              <w:t>t</w:t>
            </w:r>
            <w:r w:rsidRPr="00857FA1">
              <w:rPr>
                <w:sz w:val="20"/>
                <w:szCs w:val="20"/>
                <w:lang w:val="fr-CA"/>
              </w:rPr>
              <w:noBreakHyphen/>
              <w:t>elle</w:t>
            </w:r>
            <w:proofErr w:type="spellEnd"/>
            <w:r w:rsidRPr="00857FA1">
              <w:rPr>
                <w:sz w:val="20"/>
                <w:szCs w:val="20"/>
                <w:lang w:val="fr-CA"/>
              </w:rPr>
              <w:t xml:space="preserve"> eu tort de conclure que, sur le plan conceptuel, le moyen de défense fondé sur la contrainte pouvait être invoqué en l’espèce? </w:t>
            </w:r>
            <w:r w:rsidRPr="00857FA1">
              <w:rPr>
                <w:sz w:val="20"/>
                <w:szCs w:val="20"/>
                <w:lang w:val="fr-CA"/>
              </w:rPr>
              <w:noBreakHyphen/>
              <w:t xml:space="preserve"> La Cour d’appel </w:t>
            </w:r>
            <w:proofErr w:type="spellStart"/>
            <w:r w:rsidRPr="00857FA1">
              <w:rPr>
                <w:sz w:val="20"/>
                <w:szCs w:val="20"/>
                <w:lang w:val="fr-CA"/>
              </w:rPr>
              <w:t>a</w:t>
            </w:r>
            <w:r w:rsidRPr="00857FA1">
              <w:rPr>
                <w:sz w:val="20"/>
                <w:szCs w:val="20"/>
                <w:lang w:val="fr-CA"/>
              </w:rPr>
              <w:noBreakHyphen/>
              <w:t>t</w:t>
            </w:r>
            <w:r w:rsidRPr="00857FA1">
              <w:rPr>
                <w:sz w:val="20"/>
                <w:szCs w:val="20"/>
                <w:lang w:val="fr-CA"/>
              </w:rPr>
              <w:noBreakHyphen/>
              <w:t>elle</w:t>
            </w:r>
            <w:proofErr w:type="spellEnd"/>
            <w:r w:rsidRPr="00857FA1">
              <w:rPr>
                <w:sz w:val="20"/>
                <w:szCs w:val="20"/>
                <w:lang w:val="fr-CA"/>
              </w:rPr>
              <w:t xml:space="preserve"> eu tort d’approuver un critère juridique déficient relativement au moyen de défense fondé sur la contrainte? </w:t>
            </w:r>
            <w:r w:rsidRPr="00857FA1">
              <w:rPr>
                <w:sz w:val="20"/>
                <w:szCs w:val="20"/>
                <w:lang w:val="fr-CA"/>
              </w:rPr>
              <w:noBreakHyphen/>
              <w:t xml:space="preserve"> La Cour d’appel s’</w:t>
            </w:r>
            <w:proofErr w:type="spellStart"/>
            <w:r w:rsidRPr="00857FA1">
              <w:rPr>
                <w:sz w:val="20"/>
                <w:szCs w:val="20"/>
                <w:lang w:val="fr-CA"/>
              </w:rPr>
              <w:t>est</w:t>
            </w:r>
            <w:r w:rsidRPr="00857FA1">
              <w:rPr>
                <w:sz w:val="20"/>
                <w:szCs w:val="20"/>
                <w:lang w:val="fr-CA"/>
              </w:rPr>
              <w:noBreakHyphen/>
              <w:t>elle</w:t>
            </w:r>
            <w:proofErr w:type="spellEnd"/>
            <w:r w:rsidRPr="00857FA1">
              <w:rPr>
                <w:sz w:val="20"/>
                <w:szCs w:val="20"/>
                <w:lang w:val="fr-CA"/>
              </w:rPr>
              <w:t xml:space="preserve"> trompée dans sa considération de la question de savoir s’il y avait des éléments de preuve susceptibles de répondre au critère de l’apparence de vraisemblance? </w:t>
            </w:r>
            <w:r w:rsidRPr="00857FA1">
              <w:rPr>
                <w:sz w:val="20"/>
                <w:szCs w:val="20"/>
                <w:lang w:val="fr-CA"/>
              </w:rPr>
              <w:noBreakHyphen/>
              <w:t xml:space="preserve"> La Cour d’appel </w:t>
            </w:r>
            <w:proofErr w:type="spellStart"/>
            <w:r w:rsidRPr="00857FA1">
              <w:rPr>
                <w:sz w:val="20"/>
                <w:szCs w:val="20"/>
                <w:lang w:val="fr-CA"/>
              </w:rPr>
              <w:t>a</w:t>
            </w:r>
            <w:r w:rsidRPr="00857FA1">
              <w:rPr>
                <w:sz w:val="20"/>
                <w:szCs w:val="20"/>
                <w:lang w:val="fr-CA"/>
              </w:rPr>
              <w:noBreakHyphen/>
              <w:t>t</w:t>
            </w:r>
            <w:r w:rsidRPr="00857FA1">
              <w:rPr>
                <w:sz w:val="20"/>
                <w:szCs w:val="20"/>
                <w:lang w:val="fr-CA"/>
              </w:rPr>
              <w:noBreakHyphen/>
              <w:t>elle</w:t>
            </w:r>
            <w:proofErr w:type="spellEnd"/>
            <w:r w:rsidRPr="00857FA1">
              <w:rPr>
                <w:sz w:val="20"/>
                <w:szCs w:val="20"/>
                <w:lang w:val="fr-CA"/>
              </w:rPr>
              <w:t xml:space="preserve"> eu tort d’appliquer le moyen de défense de </w:t>
            </w:r>
            <w:proofErr w:type="spellStart"/>
            <w:r w:rsidRPr="00857FA1">
              <w:rPr>
                <w:sz w:val="20"/>
                <w:szCs w:val="20"/>
                <w:lang w:val="fr-CA"/>
              </w:rPr>
              <w:t>common</w:t>
            </w:r>
            <w:proofErr w:type="spellEnd"/>
            <w:r w:rsidRPr="00857FA1">
              <w:rPr>
                <w:sz w:val="20"/>
                <w:szCs w:val="20"/>
                <w:lang w:val="fr-CA"/>
              </w:rPr>
              <w:t xml:space="preserve"> </w:t>
            </w:r>
            <w:proofErr w:type="spellStart"/>
            <w:r w:rsidRPr="00857FA1">
              <w:rPr>
                <w:sz w:val="20"/>
                <w:szCs w:val="20"/>
                <w:lang w:val="fr-CA"/>
              </w:rPr>
              <w:t>law</w:t>
            </w:r>
            <w:proofErr w:type="spellEnd"/>
            <w:r w:rsidRPr="00857FA1">
              <w:rPr>
                <w:sz w:val="20"/>
                <w:szCs w:val="20"/>
                <w:lang w:val="fr-CA"/>
              </w:rPr>
              <w:t xml:space="preserve"> fondé sur la contrainte, alors que par la passé, ce moyen de défense se limitait à un participant à une infraction aux termes de l’art. 21 du </w:t>
            </w:r>
            <w:r w:rsidRPr="00857FA1">
              <w:rPr>
                <w:i/>
                <w:sz w:val="20"/>
                <w:szCs w:val="20"/>
                <w:lang w:val="fr-CA"/>
              </w:rPr>
              <w:t>Code criminel</w:t>
            </w:r>
            <w:r w:rsidRPr="00857FA1">
              <w:rPr>
                <w:sz w:val="20"/>
                <w:szCs w:val="20"/>
                <w:lang w:val="fr-CA"/>
              </w:rPr>
              <w:t xml:space="preserve">? </w:t>
            </w:r>
            <w:r w:rsidRPr="00857FA1">
              <w:rPr>
                <w:sz w:val="20"/>
                <w:szCs w:val="20"/>
                <w:lang w:val="fr-CA"/>
              </w:rPr>
              <w:noBreakHyphen/>
              <w:t xml:space="preserve"> La Cour d’appel </w:t>
            </w:r>
            <w:proofErr w:type="spellStart"/>
            <w:r w:rsidRPr="00857FA1">
              <w:rPr>
                <w:sz w:val="20"/>
                <w:szCs w:val="20"/>
                <w:lang w:val="fr-CA"/>
              </w:rPr>
              <w:t>a</w:t>
            </w:r>
            <w:r w:rsidRPr="00857FA1">
              <w:rPr>
                <w:sz w:val="20"/>
                <w:szCs w:val="20"/>
                <w:lang w:val="fr-CA"/>
              </w:rPr>
              <w:noBreakHyphen/>
              <w:t>t</w:t>
            </w:r>
            <w:r w:rsidRPr="00857FA1">
              <w:rPr>
                <w:sz w:val="20"/>
                <w:szCs w:val="20"/>
                <w:lang w:val="fr-CA"/>
              </w:rPr>
              <w:noBreakHyphen/>
              <w:t>elle</w:t>
            </w:r>
            <w:proofErr w:type="spellEnd"/>
            <w:r w:rsidRPr="00857FA1">
              <w:rPr>
                <w:sz w:val="20"/>
                <w:szCs w:val="20"/>
                <w:lang w:val="fr-CA"/>
              </w:rPr>
              <w:t xml:space="preserve"> eu tort d’appliquer le moyen de défense de </w:t>
            </w:r>
            <w:proofErr w:type="spellStart"/>
            <w:r w:rsidRPr="00857FA1">
              <w:rPr>
                <w:sz w:val="20"/>
                <w:szCs w:val="20"/>
                <w:lang w:val="fr-CA"/>
              </w:rPr>
              <w:t>common</w:t>
            </w:r>
            <w:proofErr w:type="spellEnd"/>
            <w:r w:rsidRPr="00857FA1">
              <w:rPr>
                <w:sz w:val="20"/>
                <w:szCs w:val="20"/>
                <w:lang w:val="fr-CA"/>
              </w:rPr>
              <w:t xml:space="preserve"> </w:t>
            </w:r>
            <w:proofErr w:type="spellStart"/>
            <w:r w:rsidRPr="00857FA1">
              <w:rPr>
                <w:sz w:val="20"/>
                <w:szCs w:val="20"/>
                <w:lang w:val="fr-CA"/>
              </w:rPr>
              <w:t>law</w:t>
            </w:r>
            <w:proofErr w:type="spellEnd"/>
            <w:r w:rsidRPr="00857FA1">
              <w:rPr>
                <w:sz w:val="20"/>
                <w:szCs w:val="20"/>
                <w:lang w:val="fr-CA"/>
              </w:rPr>
              <w:t xml:space="preserve"> fondé sur la contrainte, puisque ce moyen de défense ne peut être invoqué dans une affaire d’homicide? </w:t>
            </w:r>
            <w:r w:rsidRPr="00857FA1">
              <w:rPr>
                <w:sz w:val="20"/>
                <w:szCs w:val="20"/>
                <w:lang w:val="fr-CA"/>
              </w:rPr>
              <w:noBreakHyphen/>
              <w:t xml:space="preserve"> Le fait que la Cour d’appel se soit appuyée sur l’art. 17 du </w:t>
            </w:r>
            <w:r w:rsidRPr="00857FA1">
              <w:rPr>
                <w:i/>
                <w:sz w:val="20"/>
                <w:szCs w:val="20"/>
                <w:lang w:val="fr-CA"/>
              </w:rPr>
              <w:t>Code criminel</w:t>
            </w:r>
            <w:r w:rsidRPr="00857FA1">
              <w:rPr>
                <w:sz w:val="20"/>
                <w:szCs w:val="20"/>
                <w:lang w:val="fr-CA"/>
              </w:rPr>
              <w:t xml:space="preserve"> en l’espèce </w:t>
            </w:r>
            <w:proofErr w:type="spellStart"/>
            <w:r w:rsidRPr="00857FA1">
              <w:rPr>
                <w:sz w:val="20"/>
                <w:szCs w:val="20"/>
                <w:lang w:val="fr-CA"/>
              </w:rPr>
              <w:t>soulève</w:t>
            </w:r>
            <w:r w:rsidRPr="00857FA1">
              <w:rPr>
                <w:sz w:val="20"/>
                <w:szCs w:val="20"/>
                <w:lang w:val="fr-CA"/>
              </w:rPr>
              <w:noBreakHyphen/>
              <w:t>t</w:t>
            </w:r>
            <w:r w:rsidRPr="00857FA1">
              <w:rPr>
                <w:sz w:val="20"/>
                <w:szCs w:val="20"/>
                <w:lang w:val="fr-CA"/>
              </w:rPr>
              <w:noBreakHyphen/>
              <w:t>il</w:t>
            </w:r>
            <w:proofErr w:type="spellEnd"/>
            <w:r w:rsidRPr="00857FA1">
              <w:rPr>
                <w:sz w:val="20"/>
                <w:szCs w:val="20"/>
                <w:lang w:val="fr-CA"/>
              </w:rPr>
              <w:t xml:space="preserve"> une question ayant trait à l’équité du processus d’appel?</w:t>
            </w:r>
          </w:p>
        </w:tc>
      </w:tr>
    </w:tbl>
    <w:p w:rsidR="002A27D1" w:rsidRDefault="002A27D1" w:rsidP="002A27D1">
      <w:pPr>
        <w:widowControl w:val="0"/>
        <w:rPr>
          <w:sz w:val="20"/>
          <w:szCs w:val="20"/>
          <w:lang w:val="fr-CA"/>
        </w:rPr>
      </w:pPr>
    </w:p>
    <w:p w:rsidR="00E940EB" w:rsidRPr="00C1697B" w:rsidRDefault="00ED3438" w:rsidP="00732DB7">
      <w:pPr>
        <w:widowControl w:val="0"/>
        <w:rPr>
          <w:sz w:val="20"/>
          <w:szCs w:val="20"/>
          <w:lang w:val="fr-CA"/>
        </w:rPr>
      </w:pPr>
      <w:r w:rsidRPr="00ED3438">
        <w:rPr>
          <w:sz w:val="20"/>
          <w:szCs w:val="20"/>
          <w:lang w:val="fr-CA"/>
        </w:rPr>
        <w:pict>
          <v:rect id="_x0000_i1079" style="width:2in;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017BF4"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990608" w:rsidP="00AF1715">
      <w:pPr>
        <w:rPr>
          <w:b/>
          <w:sz w:val="20"/>
          <w:szCs w:val="20"/>
        </w:rPr>
      </w:pPr>
      <w:r>
        <w:rPr>
          <w:b/>
          <w:sz w:val="20"/>
          <w:szCs w:val="20"/>
        </w:rPr>
        <w:t>JU</w:t>
      </w:r>
      <w:r w:rsidR="00AF1715" w:rsidRPr="003B3977">
        <w:rPr>
          <w:b/>
          <w:sz w:val="20"/>
          <w:szCs w:val="20"/>
        </w:rPr>
        <w:t>NE</w:t>
      </w:r>
      <w:r>
        <w:rPr>
          <w:b/>
          <w:sz w:val="20"/>
          <w:szCs w:val="20"/>
        </w:rPr>
        <w:t xml:space="preserve"> 15</w:t>
      </w:r>
      <w:r w:rsidR="00AF1715" w:rsidRPr="003B3977">
        <w:rPr>
          <w:b/>
          <w:sz w:val="20"/>
          <w:szCs w:val="20"/>
        </w:rPr>
        <w:t>, 201</w:t>
      </w:r>
      <w:r>
        <w:rPr>
          <w:b/>
          <w:sz w:val="20"/>
          <w:szCs w:val="20"/>
        </w:rPr>
        <w:t>2</w:t>
      </w:r>
      <w:r w:rsidR="00AF1715" w:rsidRPr="003B3977">
        <w:rPr>
          <w:b/>
          <w:sz w:val="20"/>
          <w:szCs w:val="20"/>
        </w:rPr>
        <w:t xml:space="preserve"> / LE </w:t>
      </w:r>
      <w:r>
        <w:rPr>
          <w:b/>
          <w:sz w:val="20"/>
          <w:szCs w:val="20"/>
        </w:rPr>
        <w:t>15 JUI</w:t>
      </w:r>
      <w:r w:rsidR="00AF1715" w:rsidRPr="003B3977">
        <w:rPr>
          <w:b/>
          <w:sz w:val="20"/>
          <w:szCs w:val="20"/>
        </w:rPr>
        <w:t>N 201</w:t>
      </w:r>
      <w:r>
        <w:rPr>
          <w:b/>
          <w:sz w:val="20"/>
          <w:szCs w:val="20"/>
        </w:rPr>
        <w:t>2</w:t>
      </w:r>
    </w:p>
    <w:p w:rsidR="00AF1715" w:rsidRDefault="00AF1715" w:rsidP="00AF1715">
      <w:pPr>
        <w:rPr>
          <w:sz w:val="20"/>
          <w:szCs w:val="20"/>
        </w:rPr>
      </w:pPr>
    </w:p>
    <w:p w:rsidR="00E8567C" w:rsidRPr="00E8567C" w:rsidRDefault="00E8567C" w:rsidP="00E8567C">
      <w:pPr>
        <w:ind w:left="1440" w:hanging="1440"/>
        <w:jc w:val="both"/>
        <w:rPr>
          <w:sz w:val="20"/>
          <w:szCs w:val="20"/>
        </w:rPr>
      </w:pPr>
      <w:proofErr w:type="gramStart"/>
      <w:r w:rsidRPr="00E8567C">
        <w:rPr>
          <w:b/>
          <w:sz w:val="20"/>
          <w:szCs w:val="20"/>
        </w:rPr>
        <w:t>33876</w:t>
      </w:r>
      <w:r w:rsidRPr="00E8567C">
        <w:rPr>
          <w:b/>
          <w:sz w:val="20"/>
          <w:szCs w:val="20"/>
        </w:rPr>
        <w:tab/>
      </w:r>
      <w:r w:rsidRPr="00E8567C">
        <w:rPr>
          <w:b/>
          <w:sz w:val="20"/>
          <w:szCs w:val="20"/>
          <w:u w:val="single"/>
        </w:rPr>
        <w:t>Halifax Regional Municipality v.</w:t>
      </w:r>
      <w:proofErr w:type="gramEnd"/>
      <w:r w:rsidRPr="00E8567C">
        <w:rPr>
          <w:b/>
          <w:sz w:val="20"/>
          <w:szCs w:val="20"/>
          <w:u w:val="single"/>
        </w:rPr>
        <w:t xml:space="preserve"> Her Majesty the Queen in Right of Canada, as represented by the Minister of Public Works and Government Services – and – City of Toronto, Federation of Canadian Municipalities, Association of Canadian Port Authorities and City of Québec</w:t>
      </w:r>
      <w:r w:rsidRPr="00E8567C">
        <w:rPr>
          <w:b/>
          <w:sz w:val="20"/>
          <w:szCs w:val="20"/>
        </w:rPr>
        <w:t xml:space="preserve"> </w:t>
      </w:r>
      <w:r w:rsidRPr="00E8567C">
        <w:rPr>
          <w:sz w:val="20"/>
          <w:szCs w:val="20"/>
        </w:rPr>
        <w:t xml:space="preserve">(F.C.) </w:t>
      </w:r>
    </w:p>
    <w:p w:rsidR="00E8567C" w:rsidRPr="00E8567C" w:rsidRDefault="00E8567C" w:rsidP="00E8567C">
      <w:pPr>
        <w:ind w:left="1440" w:hanging="1440"/>
        <w:jc w:val="both"/>
        <w:rPr>
          <w:b/>
          <w:sz w:val="20"/>
          <w:szCs w:val="20"/>
        </w:rPr>
      </w:pPr>
      <w:r w:rsidRPr="00E8567C">
        <w:rPr>
          <w:b/>
          <w:sz w:val="20"/>
          <w:szCs w:val="20"/>
        </w:rPr>
        <w:tab/>
        <w:t>2012 SCC 29 / 2012 CSC 29</w:t>
      </w:r>
    </w:p>
    <w:p w:rsidR="00E8567C" w:rsidRPr="00E8567C" w:rsidRDefault="00E8567C" w:rsidP="00E8567C">
      <w:pPr>
        <w:ind w:left="1440" w:hanging="1440"/>
        <w:jc w:val="both"/>
        <w:rPr>
          <w:b/>
          <w:sz w:val="20"/>
          <w:szCs w:val="20"/>
        </w:rPr>
      </w:pPr>
    </w:p>
    <w:p w:rsidR="00E8567C" w:rsidRPr="00E8567C" w:rsidRDefault="00E8567C" w:rsidP="00E8567C">
      <w:pPr>
        <w:ind w:left="1440" w:hanging="1440"/>
        <w:jc w:val="both"/>
        <w:rPr>
          <w:sz w:val="20"/>
          <w:szCs w:val="20"/>
          <w:u w:val="single"/>
        </w:rPr>
      </w:pPr>
      <w:r w:rsidRPr="00E8567C">
        <w:rPr>
          <w:sz w:val="20"/>
          <w:szCs w:val="20"/>
        </w:rPr>
        <w:t>Coram:</w:t>
      </w:r>
      <w:r w:rsidRPr="00E8567C">
        <w:rPr>
          <w:sz w:val="20"/>
          <w:szCs w:val="20"/>
        </w:rPr>
        <w:tab/>
      </w:r>
      <w:proofErr w:type="spellStart"/>
      <w:r w:rsidRPr="00E8567C">
        <w:rPr>
          <w:sz w:val="20"/>
          <w:szCs w:val="20"/>
          <w:u w:val="single"/>
        </w:rPr>
        <w:t>McLachlin</w:t>
      </w:r>
      <w:proofErr w:type="spellEnd"/>
      <w:r w:rsidRPr="00E8567C">
        <w:rPr>
          <w:sz w:val="20"/>
          <w:szCs w:val="20"/>
          <w:u w:val="single"/>
        </w:rPr>
        <w:t xml:space="preserve"> C.J. and </w:t>
      </w:r>
      <w:proofErr w:type="spellStart"/>
      <w:r w:rsidRPr="00E8567C">
        <w:rPr>
          <w:sz w:val="20"/>
          <w:szCs w:val="20"/>
          <w:u w:val="single"/>
        </w:rPr>
        <w:t>LeBel</w:t>
      </w:r>
      <w:proofErr w:type="spellEnd"/>
      <w:r w:rsidRPr="00E8567C">
        <w:rPr>
          <w:sz w:val="20"/>
          <w:szCs w:val="20"/>
          <w:u w:val="single"/>
        </w:rPr>
        <w:t xml:space="preserve">, </w:t>
      </w:r>
      <w:proofErr w:type="spellStart"/>
      <w:r w:rsidRPr="00E8567C">
        <w:rPr>
          <w:sz w:val="20"/>
          <w:szCs w:val="20"/>
          <w:u w:val="single"/>
        </w:rPr>
        <w:t>Deschamps</w:t>
      </w:r>
      <w:proofErr w:type="spellEnd"/>
      <w:r w:rsidRPr="00E8567C">
        <w:rPr>
          <w:sz w:val="20"/>
          <w:szCs w:val="20"/>
          <w:u w:val="single"/>
        </w:rPr>
        <w:t xml:space="preserve">, Fish, </w:t>
      </w:r>
      <w:proofErr w:type="spellStart"/>
      <w:r w:rsidRPr="00E8567C">
        <w:rPr>
          <w:sz w:val="20"/>
          <w:szCs w:val="20"/>
          <w:u w:val="single"/>
        </w:rPr>
        <w:t>Abella</w:t>
      </w:r>
      <w:proofErr w:type="spellEnd"/>
      <w:r w:rsidRPr="00E8567C">
        <w:rPr>
          <w:sz w:val="20"/>
          <w:szCs w:val="20"/>
          <w:u w:val="single"/>
        </w:rPr>
        <w:t xml:space="preserve">, Rothstein, Cromwell, </w:t>
      </w:r>
      <w:proofErr w:type="spellStart"/>
      <w:r w:rsidRPr="00E8567C">
        <w:rPr>
          <w:sz w:val="20"/>
          <w:szCs w:val="20"/>
          <w:u w:val="single"/>
        </w:rPr>
        <w:t>Moldaver</w:t>
      </w:r>
      <w:proofErr w:type="spellEnd"/>
      <w:r w:rsidRPr="00E8567C">
        <w:rPr>
          <w:sz w:val="20"/>
          <w:szCs w:val="20"/>
          <w:u w:val="single"/>
        </w:rPr>
        <w:t xml:space="preserve"> and </w:t>
      </w:r>
      <w:proofErr w:type="spellStart"/>
      <w:r w:rsidRPr="00E8567C">
        <w:rPr>
          <w:sz w:val="20"/>
          <w:szCs w:val="20"/>
          <w:u w:val="single"/>
        </w:rPr>
        <w:t>Karakatsanis</w:t>
      </w:r>
      <w:proofErr w:type="spellEnd"/>
      <w:r w:rsidRPr="00E8567C">
        <w:rPr>
          <w:sz w:val="20"/>
          <w:szCs w:val="20"/>
          <w:u w:val="single"/>
        </w:rPr>
        <w:t xml:space="preserve"> JJ.</w:t>
      </w:r>
    </w:p>
    <w:p w:rsidR="00E8567C" w:rsidRPr="00E8567C" w:rsidRDefault="00E8567C" w:rsidP="00E8567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E8567C" w:rsidRPr="00E8567C" w:rsidRDefault="00E8567C" w:rsidP="00E8567C">
      <w:pPr>
        <w:jc w:val="both"/>
        <w:rPr>
          <w:sz w:val="20"/>
          <w:szCs w:val="20"/>
        </w:rPr>
      </w:pPr>
      <w:r w:rsidRPr="00E8567C">
        <w:rPr>
          <w:sz w:val="20"/>
          <w:szCs w:val="20"/>
        </w:rPr>
        <w:t>The appeal from the judgment of the Federal Court of Appeal, Number A-348-09, 2010 FCA 196, dated July 21, 2010, heard on December 12, 2011, is allowed and the matter is remitted to the Minister for redetermination.  Costs are awarded to the appellant throughout.</w:t>
      </w:r>
    </w:p>
    <w:p w:rsidR="00E8567C" w:rsidRPr="002D6634" w:rsidRDefault="00E8567C" w:rsidP="00E8567C">
      <w:pPr>
        <w:jc w:val="both"/>
        <w:rPr>
          <w:sz w:val="20"/>
          <w:szCs w:val="20"/>
          <w:lang w:val="fr-CA"/>
        </w:rPr>
      </w:pPr>
    </w:p>
    <w:p w:rsidR="00E8567C" w:rsidRPr="002D6634" w:rsidRDefault="00E8567C" w:rsidP="00E8567C">
      <w:pPr>
        <w:jc w:val="both"/>
        <w:rPr>
          <w:sz w:val="20"/>
          <w:szCs w:val="20"/>
        </w:rPr>
      </w:pPr>
      <w:r w:rsidRPr="002D6634">
        <w:rPr>
          <w:sz w:val="20"/>
          <w:szCs w:val="20"/>
          <w:lang w:val="fr-CA"/>
        </w:rPr>
        <w:t xml:space="preserve">L’appel interjeté contre l’arrêt de la Cour d’appel fédérale, numéro A-348-09, 2010 CAF 196, en date du 21 juillet 2010, entendu le 12 décembre 2011, est accueilli et l’affaire est renvoyée au ministre pour qu’il rende une nouvelle décision.  L’appelante </w:t>
      </w:r>
      <w:proofErr w:type="gramStart"/>
      <w:r w:rsidRPr="002D6634">
        <w:rPr>
          <w:sz w:val="20"/>
          <w:szCs w:val="20"/>
          <w:lang w:val="fr-CA"/>
        </w:rPr>
        <w:t>a</w:t>
      </w:r>
      <w:proofErr w:type="gramEnd"/>
      <w:r w:rsidRPr="002D6634">
        <w:rPr>
          <w:sz w:val="20"/>
          <w:szCs w:val="20"/>
          <w:lang w:val="fr-CA"/>
        </w:rPr>
        <w:t xml:space="preserve"> droit aux dépens dans toutes les cours.</w:t>
      </w:r>
      <w:r w:rsidRPr="002D6634">
        <w:rPr>
          <w:sz w:val="20"/>
          <w:szCs w:val="20"/>
        </w:rPr>
        <w:t xml:space="preserve"> </w:t>
      </w:r>
    </w:p>
    <w:p w:rsidR="00990608" w:rsidRDefault="00990608" w:rsidP="00AF1715">
      <w:pPr>
        <w:rPr>
          <w:sz w:val="20"/>
          <w:szCs w:val="20"/>
        </w:rPr>
      </w:pPr>
    </w:p>
    <w:p w:rsidR="00AF1715" w:rsidRDefault="00ED3438"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r w:rsidRPr="00ED3438">
        <w:rPr>
          <w:rFonts w:cs="Times New Roman"/>
          <w:b/>
          <w:sz w:val="20"/>
          <w:szCs w:val="20"/>
        </w:rPr>
        <w:pict>
          <v:rect id="_x0000_i1082" style="width:144.3pt;height:1pt" o:hrpct="300" o:hralign="center" o:hrstd="t" o:hrnoshade="t" o:hr="t" fillcolor="black [3213]" stroked="f"/>
        </w:pict>
      </w:r>
    </w:p>
    <w:p w:rsidR="00E8567C" w:rsidRDefault="00E8567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p>
    <w:p w:rsidR="00E8567C" w:rsidRPr="006C5F7A" w:rsidRDefault="00E8567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C6840" w:rsidRPr="003B3977" w:rsidRDefault="00990608" w:rsidP="00990608">
      <w:pPr>
        <w:rPr>
          <w:rFonts w:cs="Times New Roman"/>
          <w:sz w:val="20"/>
          <w:szCs w:val="20"/>
        </w:rPr>
      </w:pPr>
      <w:proofErr w:type="gramStart"/>
      <w:r w:rsidRPr="00E244A3">
        <w:rPr>
          <w:rFonts w:eastAsia="Calibri" w:cs="Times New Roman"/>
          <w:i/>
          <w:sz w:val="20"/>
          <w:szCs w:val="20"/>
        </w:rPr>
        <w:t>Halifax Regional Municipality v.</w:t>
      </w:r>
      <w:proofErr w:type="gramEnd"/>
      <w:r w:rsidRPr="00E244A3">
        <w:rPr>
          <w:rFonts w:eastAsia="Calibri" w:cs="Times New Roman"/>
          <w:i/>
          <w:sz w:val="20"/>
          <w:szCs w:val="20"/>
        </w:rPr>
        <w:t xml:space="preserve"> Her Majesty the Queen in Right of Canada, as represented by the Minister of Public Works and Government Services</w:t>
      </w:r>
      <w:r w:rsidRPr="00E244A3">
        <w:rPr>
          <w:rFonts w:eastAsia="Calibri" w:cs="Times New Roman"/>
          <w:sz w:val="20"/>
          <w:szCs w:val="20"/>
        </w:rPr>
        <w:t xml:space="preserve"> (F.C.) (33876)</w:t>
      </w:r>
    </w:p>
    <w:p w:rsidR="00990608" w:rsidRDefault="00B95ED0" w:rsidP="005C6840">
      <w:pPr>
        <w:jc w:val="both"/>
        <w:rPr>
          <w:b/>
          <w:sz w:val="20"/>
          <w:szCs w:val="20"/>
        </w:rPr>
      </w:pPr>
      <w:r w:rsidRPr="0039057F">
        <w:rPr>
          <w:b/>
          <w:sz w:val="20"/>
          <w:szCs w:val="20"/>
        </w:rPr>
        <w:t xml:space="preserve">Indexed as:  Halifax (Regional Municipality) </w:t>
      </w:r>
      <w:r w:rsidRPr="0039057F">
        <w:rPr>
          <w:b/>
          <w:i/>
          <w:sz w:val="20"/>
          <w:szCs w:val="20"/>
        </w:rPr>
        <w:t>v.</w:t>
      </w:r>
      <w:r w:rsidRPr="0039057F">
        <w:rPr>
          <w:b/>
          <w:sz w:val="20"/>
          <w:szCs w:val="20"/>
        </w:rPr>
        <w:t xml:space="preserve"> Canada (Public Works and Government Services)</w:t>
      </w:r>
      <w:r>
        <w:rPr>
          <w:b/>
          <w:sz w:val="20"/>
          <w:szCs w:val="20"/>
        </w:rPr>
        <w:t xml:space="preserve"> /</w:t>
      </w:r>
    </w:p>
    <w:p w:rsidR="00B95ED0" w:rsidRPr="00B95ED0" w:rsidRDefault="00B95ED0" w:rsidP="00B95ED0">
      <w:pPr>
        <w:jc w:val="both"/>
        <w:rPr>
          <w:b/>
          <w:sz w:val="20"/>
          <w:szCs w:val="20"/>
          <w:lang w:val="fr-CA"/>
        </w:rPr>
      </w:pPr>
      <w:r w:rsidRPr="00B95ED0">
        <w:rPr>
          <w:b/>
          <w:sz w:val="20"/>
          <w:szCs w:val="20"/>
          <w:lang w:val="fr-CA"/>
        </w:rPr>
        <w:t>Répertorié : Halifax (</w:t>
      </w:r>
      <w:proofErr w:type="spellStart"/>
      <w:r w:rsidRPr="00B95ED0">
        <w:rPr>
          <w:b/>
          <w:sz w:val="20"/>
          <w:szCs w:val="20"/>
          <w:lang w:val="fr-CA"/>
        </w:rPr>
        <w:t>Regional</w:t>
      </w:r>
      <w:proofErr w:type="spellEnd"/>
      <w:r w:rsidRPr="00B95ED0">
        <w:rPr>
          <w:b/>
          <w:sz w:val="20"/>
          <w:szCs w:val="20"/>
          <w:lang w:val="fr-CA"/>
        </w:rPr>
        <w:t xml:space="preserve"> </w:t>
      </w:r>
      <w:proofErr w:type="spellStart"/>
      <w:r w:rsidRPr="00B95ED0">
        <w:rPr>
          <w:b/>
          <w:sz w:val="20"/>
          <w:szCs w:val="20"/>
          <w:lang w:val="fr-CA"/>
        </w:rPr>
        <w:t>Municipality</w:t>
      </w:r>
      <w:proofErr w:type="spellEnd"/>
      <w:r w:rsidRPr="00B95ED0">
        <w:rPr>
          <w:b/>
          <w:sz w:val="20"/>
          <w:szCs w:val="20"/>
          <w:lang w:val="fr-CA"/>
        </w:rPr>
        <w:t xml:space="preserve">) </w:t>
      </w:r>
      <w:r w:rsidRPr="00B95ED0">
        <w:rPr>
          <w:b/>
          <w:i/>
          <w:sz w:val="20"/>
          <w:szCs w:val="20"/>
          <w:lang w:val="fr-CA"/>
        </w:rPr>
        <w:t>c.</w:t>
      </w:r>
      <w:r w:rsidRPr="00B95ED0">
        <w:rPr>
          <w:b/>
          <w:sz w:val="20"/>
          <w:szCs w:val="20"/>
          <w:lang w:val="fr-CA"/>
        </w:rPr>
        <w:t xml:space="preserve"> Canada (Travaux publics et Services gouvernementaux)</w:t>
      </w:r>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sidR="00990608">
        <w:rPr>
          <w:sz w:val="20"/>
        </w:rPr>
        <w:t>2</w:t>
      </w:r>
      <w:proofErr w:type="gramEnd"/>
      <w:r w:rsidRPr="003B3977">
        <w:rPr>
          <w:sz w:val="20"/>
        </w:rPr>
        <w:t xml:space="preserve"> SCC </w:t>
      </w:r>
      <w:r w:rsidR="00B95ED0">
        <w:rPr>
          <w:sz w:val="20"/>
        </w:rPr>
        <w:t>29</w:t>
      </w:r>
      <w:r w:rsidRPr="003B3977">
        <w:rPr>
          <w:sz w:val="20"/>
        </w:rPr>
        <w:t xml:space="preserve"> / Référence neutre : 201</w:t>
      </w:r>
      <w:r w:rsidR="00990608">
        <w:rPr>
          <w:sz w:val="20"/>
        </w:rPr>
        <w:t>2</w:t>
      </w:r>
      <w:r w:rsidRPr="003B3977">
        <w:rPr>
          <w:sz w:val="20"/>
        </w:rPr>
        <w:t xml:space="preserve"> CSC </w:t>
      </w:r>
      <w:r w:rsidR="00B95ED0">
        <w:rPr>
          <w:sz w:val="20"/>
        </w:rPr>
        <w:t>29</w:t>
      </w:r>
    </w:p>
    <w:p w:rsidR="005C6840" w:rsidRPr="003B3977" w:rsidRDefault="005C6840" w:rsidP="005C6840">
      <w:pPr>
        <w:rPr>
          <w:rFonts w:cs="Times New Roman"/>
          <w:sz w:val="20"/>
          <w:szCs w:val="20"/>
          <w:lang w:val="fr-CA"/>
        </w:rPr>
      </w:pPr>
      <w:proofErr w:type="spellStart"/>
      <w:r w:rsidRPr="003B3977">
        <w:rPr>
          <w:rFonts w:cs="Times New Roman"/>
          <w:sz w:val="20"/>
          <w:szCs w:val="20"/>
          <w:lang w:val="fr-CA"/>
        </w:rPr>
        <w:t>Hearing</w:t>
      </w:r>
      <w:proofErr w:type="spellEnd"/>
      <w:proofErr w:type="gramStart"/>
      <w:r w:rsidRPr="003B3977">
        <w:rPr>
          <w:rFonts w:cs="Times New Roman"/>
          <w:sz w:val="20"/>
          <w:szCs w:val="20"/>
          <w:lang w:val="fr-CA"/>
        </w:rPr>
        <w:t xml:space="preserve">:  </w:t>
      </w:r>
      <w:proofErr w:type="spellStart"/>
      <w:r w:rsidR="00B95ED0">
        <w:rPr>
          <w:rFonts w:cs="Times New Roman"/>
          <w:sz w:val="20"/>
          <w:szCs w:val="20"/>
          <w:lang w:val="fr-CA"/>
        </w:rPr>
        <w:t>Decem</w:t>
      </w:r>
      <w:r w:rsidRPr="003B3977">
        <w:rPr>
          <w:rFonts w:cs="Times New Roman"/>
          <w:sz w:val="20"/>
          <w:szCs w:val="20"/>
          <w:lang w:val="fr-CA"/>
        </w:rPr>
        <w:t>ber</w:t>
      </w:r>
      <w:proofErr w:type="spellEnd"/>
      <w:proofErr w:type="gramEnd"/>
      <w:r w:rsidRPr="003B3977">
        <w:rPr>
          <w:rFonts w:cs="Times New Roman"/>
          <w:sz w:val="20"/>
          <w:szCs w:val="20"/>
          <w:lang w:val="fr-CA"/>
        </w:rPr>
        <w:t xml:space="preserve"> </w:t>
      </w:r>
      <w:r w:rsidR="00B95ED0">
        <w:rPr>
          <w:rFonts w:cs="Times New Roman"/>
          <w:sz w:val="20"/>
          <w:szCs w:val="20"/>
          <w:lang w:val="fr-CA"/>
        </w:rPr>
        <w:t>12</w:t>
      </w:r>
      <w:r w:rsidRPr="003B3977">
        <w:rPr>
          <w:rFonts w:cs="Times New Roman"/>
          <w:sz w:val="20"/>
          <w:szCs w:val="20"/>
          <w:lang w:val="fr-CA"/>
        </w:rPr>
        <w:t>, 201</w:t>
      </w:r>
      <w:r w:rsidR="00B95ED0">
        <w:rPr>
          <w:rFonts w:cs="Times New Roman"/>
          <w:sz w:val="20"/>
          <w:szCs w:val="20"/>
          <w:lang w:val="fr-CA"/>
        </w:rPr>
        <w:t>1</w:t>
      </w:r>
      <w:r w:rsidRPr="003B3977">
        <w:rPr>
          <w:rFonts w:cs="Times New Roman"/>
          <w:sz w:val="20"/>
          <w:szCs w:val="20"/>
          <w:lang w:val="fr-CA"/>
        </w:rPr>
        <w:t xml:space="preserve">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proofErr w:type="spellStart"/>
      <w:r w:rsidR="00990608">
        <w:rPr>
          <w:rFonts w:cs="Times New Roman"/>
          <w:sz w:val="20"/>
          <w:szCs w:val="20"/>
          <w:lang w:val="fr-CA"/>
        </w:rPr>
        <w:t>June</w:t>
      </w:r>
      <w:proofErr w:type="spellEnd"/>
      <w:r w:rsidR="00990608">
        <w:rPr>
          <w:rFonts w:cs="Times New Roman"/>
          <w:sz w:val="20"/>
          <w:szCs w:val="20"/>
          <w:lang w:val="fr-CA"/>
        </w:rPr>
        <w:t xml:space="preserve"> 15</w:t>
      </w:r>
      <w:r w:rsidRPr="003B3977">
        <w:rPr>
          <w:rFonts w:cs="Times New Roman"/>
          <w:sz w:val="20"/>
          <w:szCs w:val="20"/>
          <w:lang w:val="fr-CA"/>
        </w:rPr>
        <w:t>, 201</w:t>
      </w:r>
      <w:r w:rsidR="00990608">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B95ED0">
        <w:rPr>
          <w:rFonts w:cs="Times New Roman"/>
          <w:sz w:val="20"/>
          <w:szCs w:val="20"/>
          <w:lang w:val="fr-CA"/>
        </w:rPr>
        <w:t>12 décem</w:t>
      </w:r>
      <w:r w:rsidRPr="003B3977">
        <w:rPr>
          <w:rFonts w:cs="Times New Roman"/>
          <w:sz w:val="20"/>
          <w:szCs w:val="20"/>
          <w:lang w:val="fr-CA"/>
        </w:rPr>
        <w:t>bre 201</w:t>
      </w:r>
      <w:r w:rsidR="00B95ED0">
        <w:rPr>
          <w:rFonts w:cs="Times New Roman"/>
          <w:sz w:val="20"/>
          <w:szCs w:val="20"/>
          <w:lang w:val="fr-CA"/>
        </w:rPr>
        <w:t>1</w:t>
      </w:r>
      <w:r w:rsidRPr="003B3977">
        <w:rPr>
          <w:rFonts w:cs="Times New Roman"/>
          <w:sz w:val="20"/>
          <w:szCs w:val="20"/>
          <w:lang w:val="fr-CA"/>
        </w:rPr>
        <w:t xml:space="preserve"> / Jugement : Le </w:t>
      </w:r>
      <w:r w:rsidR="00990608">
        <w:rPr>
          <w:rFonts w:cs="Times New Roman"/>
          <w:sz w:val="20"/>
          <w:szCs w:val="20"/>
          <w:lang w:val="fr-CA"/>
        </w:rPr>
        <w:t>15 juin</w:t>
      </w:r>
      <w:r w:rsidRPr="003B3977">
        <w:rPr>
          <w:rFonts w:cs="Times New Roman"/>
          <w:sz w:val="20"/>
          <w:szCs w:val="20"/>
          <w:lang w:val="fr-CA"/>
        </w:rPr>
        <w:t xml:space="preserve"> 201</w:t>
      </w:r>
      <w:r w:rsidR="00990608">
        <w:rPr>
          <w:rFonts w:cs="Times New Roman"/>
          <w:sz w:val="20"/>
          <w:szCs w:val="20"/>
          <w:lang w:val="fr-CA"/>
        </w:rPr>
        <w:t>2</w:t>
      </w:r>
    </w:p>
    <w:p w:rsidR="005C6840" w:rsidRPr="003B3977" w:rsidRDefault="00ED3438" w:rsidP="005C6840">
      <w:pPr>
        <w:rPr>
          <w:rFonts w:cs="Times New Roman"/>
          <w:sz w:val="20"/>
          <w:szCs w:val="20"/>
          <w:lang w:val="fr-CA"/>
        </w:rPr>
      </w:pPr>
      <w:r w:rsidRPr="00ED3438">
        <w:rPr>
          <w:rFonts w:cs="Times New Roman"/>
          <w:i/>
          <w:sz w:val="20"/>
          <w:szCs w:val="20"/>
        </w:rPr>
        <w:pict>
          <v:rect id="_x0000_i1085"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B95ED0" w:rsidRPr="0039057F" w:rsidRDefault="00B95ED0" w:rsidP="00B95ED0">
      <w:pPr>
        <w:jc w:val="both"/>
        <w:rPr>
          <w:sz w:val="20"/>
          <w:szCs w:val="20"/>
        </w:rPr>
      </w:pPr>
      <w:r w:rsidRPr="0039057F">
        <w:rPr>
          <w:sz w:val="20"/>
          <w:szCs w:val="20"/>
        </w:rPr>
        <w:t xml:space="preserve">Present:  </w:t>
      </w:r>
      <w:proofErr w:type="spellStart"/>
      <w:r w:rsidRPr="0039057F">
        <w:rPr>
          <w:sz w:val="20"/>
          <w:szCs w:val="20"/>
        </w:rPr>
        <w:t>McLachlin</w:t>
      </w:r>
      <w:proofErr w:type="spellEnd"/>
      <w:r w:rsidRPr="0039057F">
        <w:rPr>
          <w:sz w:val="20"/>
          <w:szCs w:val="20"/>
        </w:rPr>
        <w:t xml:space="preserve"> C.J. and </w:t>
      </w:r>
      <w:proofErr w:type="spellStart"/>
      <w:r w:rsidRPr="0039057F">
        <w:rPr>
          <w:sz w:val="20"/>
          <w:szCs w:val="20"/>
        </w:rPr>
        <w:t>LeBel</w:t>
      </w:r>
      <w:proofErr w:type="spellEnd"/>
      <w:r w:rsidRPr="0039057F">
        <w:rPr>
          <w:sz w:val="20"/>
          <w:szCs w:val="20"/>
        </w:rPr>
        <w:t xml:space="preserve">, </w:t>
      </w:r>
      <w:proofErr w:type="spellStart"/>
      <w:r w:rsidRPr="0039057F">
        <w:rPr>
          <w:sz w:val="20"/>
          <w:szCs w:val="20"/>
        </w:rPr>
        <w:t>Deschamps</w:t>
      </w:r>
      <w:proofErr w:type="spellEnd"/>
      <w:r w:rsidRPr="0039057F">
        <w:rPr>
          <w:sz w:val="20"/>
          <w:szCs w:val="20"/>
        </w:rPr>
        <w:t xml:space="preserve">, Fish, </w:t>
      </w:r>
      <w:proofErr w:type="spellStart"/>
      <w:r w:rsidRPr="0039057F">
        <w:rPr>
          <w:sz w:val="20"/>
          <w:szCs w:val="20"/>
        </w:rPr>
        <w:t>Abella</w:t>
      </w:r>
      <w:proofErr w:type="spellEnd"/>
      <w:r w:rsidRPr="0039057F">
        <w:rPr>
          <w:sz w:val="20"/>
          <w:szCs w:val="20"/>
        </w:rPr>
        <w:t xml:space="preserve">, Rothstein, Cromwell, </w:t>
      </w:r>
      <w:proofErr w:type="spellStart"/>
      <w:r w:rsidRPr="0039057F">
        <w:rPr>
          <w:sz w:val="20"/>
          <w:szCs w:val="20"/>
        </w:rPr>
        <w:t>Moldaver</w:t>
      </w:r>
      <w:proofErr w:type="spellEnd"/>
      <w:r w:rsidRPr="0039057F">
        <w:rPr>
          <w:sz w:val="20"/>
          <w:szCs w:val="20"/>
        </w:rPr>
        <w:t xml:space="preserve"> and </w:t>
      </w:r>
      <w:proofErr w:type="spellStart"/>
      <w:r w:rsidRPr="0039057F">
        <w:rPr>
          <w:sz w:val="20"/>
          <w:szCs w:val="20"/>
        </w:rPr>
        <w:t>Karakatsanis</w:t>
      </w:r>
      <w:proofErr w:type="spellEnd"/>
      <w:r w:rsidRPr="0039057F">
        <w:rPr>
          <w:sz w:val="20"/>
          <w:szCs w:val="20"/>
        </w:rPr>
        <w:t> JJ.</w:t>
      </w:r>
    </w:p>
    <w:p w:rsidR="00B95ED0" w:rsidRDefault="00B95ED0" w:rsidP="00B95ED0">
      <w:pPr>
        <w:pStyle w:val="SCCLowerCourtNameLowercase"/>
        <w:spacing w:line="240" w:lineRule="auto"/>
        <w:rPr>
          <w:sz w:val="20"/>
        </w:rPr>
      </w:pPr>
    </w:p>
    <w:p w:rsidR="00B95ED0" w:rsidRPr="0039057F" w:rsidRDefault="00B95ED0" w:rsidP="00B95ED0">
      <w:pPr>
        <w:pStyle w:val="SCCNormalDoubleSpacing"/>
        <w:spacing w:line="240" w:lineRule="auto"/>
        <w:rPr>
          <w:i/>
          <w:sz w:val="20"/>
        </w:rPr>
      </w:pPr>
      <w:r w:rsidRPr="0039057F">
        <w:rPr>
          <w:sz w:val="20"/>
        </w:rPr>
        <w:tab/>
      </w:r>
      <w:r w:rsidRPr="0039057F">
        <w:rPr>
          <w:i/>
          <w:sz w:val="20"/>
        </w:rPr>
        <w:t xml:space="preserve">Crown law ― Real property and </w:t>
      </w:r>
      <w:proofErr w:type="spellStart"/>
      <w:r w:rsidRPr="0039057F">
        <w:rPr>
          <w:i/>
          <w:sz w:val="20"/>
        </w:rPr>
        <w:t>immoveables</w:t>
      </w:r>
      <w:proofErr w:type="spellEnd"/>
      <w:r w:rsidRPr="0039057F">
        <w:rPr>
          <w:i/>
          <w:sz w:val="20"/>
        </w:rPr>
        <w:t xml:space="preserve"> ― Taxation ― Payments in lieu of taxes ― Minister’s valuation of Halifax Citadel National Historic Site millions of dollars lower than value determined by local assessment authority ― What is the scope of Minister’s discretion to determine “property value” for purposes of making payments in lieu of taxes ― What standard of judicial review applies to determination ― Was Minister’s determination of property value reasonable? ― Payments in Lieu of Taxes Act, R.S.C. 1985, c. M</w:t>
      </w:r>
      <w:r w:rsidRPr="0039057F">
        <w:rPr>
          <w:i/>
          <w:sz w:val="20"/>
        </w:rPr>
        <w:noBreakHyphen/>
        <w:t>13, ss. 2(1) and 4(1) ― Assessment Act, R.S.N.S. 1989, c. 23, s. 42(1).</w:t>
      </w:r>
    </w:p>
    <w:p w:rsidR="00B95ED0" w:rsidRDefault="00B95ED0" w:rsidP="00B95ED0">
      <w:pPr>
        <w:pStyle w:val="SCCNormalDoubleSpacing"/>
        <w:tabs>
          <w:tab w:val="left" w:pos="1134"/>
        </w:tabs>
        <w:spacing w:line="240" w:lineRule="auto"/>
        <w:rPr>
          <w:sz w:val="20"/>
        </w:rPr>
      </w:pPr>
    </w:p>
    <w:p w:rsidR="00B95ED0" w:rsidRPr="0039057F" w:rsidRDefault="00B95ED0" w:rsidP="00E8567C">
      <w:pPr>
        <w:pStyle w:val="SCCNormalDoubleSpacing"/>
        <w:spacing w:line="240" w:lineRule="auto"/>
        <w:rPr>
          <w:sz w:val="20"/>
        </w:rPr>
      </w:pPr>
      <w:r w:rsidRPr="0039057F">
        <w:rPr>
          <w:sz w:val="20"/>
        </w:rPr>
        <w:tab/>
        <w:t xml:space="preserve">Under the </w:t>
      </w:r>
      <w:r w:rsidRPr="0039057F">
        <w:rPr>
          <w:i/>
          <w:sz w:val="20"/>
        </w:rPr>
        <w:t>Payments in Lieu of Taxes Act</w:t>
      </w:r>
      <w:r w:rsidRPr="0039057F">
        <w:rPr>
          <w:sz w:val="20"/>
        </w:rPr>
        <w:t xml:space="preserve"> (the Act), the Minister of Public Works and Government Services may make payments in lieu of taxes (PILTs) with respect to federally owned property, which is constitutionally exempt from provincial and municipal property taxation.  The Minister made PILTs to Halifax with respect to the Halifax Citadel National Historic Site on the basis of a valuation of the site with which Halifax disagreed.  Halifax and the Minister were able to agree on the value of the eligible improvements on the site, but not on the value of the structures called casemates and </w:t>
      </w:r>
      <w:proofErr w:type="spellStart"/>
      <w:r w:rsidRPr="0039057F">
        <w:rPr>
          <w:sz w:val="20"/>
        </w:rPr>
        <w:t>demi</w:t>
      </w:r>
      <w:r w:rsidRPr="0039057F">
        <w:rPr>
          <w:sz w:val="20"/>
        </w:rPr>
        <w:noBreakHyphen/>
        <w:t>casemates</w:t>
      </w:r>
      <w:proofErr w:type="spellEnd"/>
      <w:r w:rsidRPr="0039057F">
        <w:rPr>
          <w:sz w:val="20"/>
        </w:rPr>
        <w:t xml:space="preserve"> or of the land on the Citadel site.  The matter was referred to a dispute advisory panel, which advised the Minister that the land beneath the casemates and </w:t>
      </w:r>
      <w:proofErr w:type="spellStart"/>
      <w:r w:rsidRPr="0039057F">
        <w:rPr>
          <w:sz w:val="20"/>
        </w:rPr>
        <w:t>demi</w:t>
      </w:r>
      <w:r w:rsidRPr="0039057F">
        <w:rPr>
          <w:sz w:val="20"/>
        </w:rPr>
        <w:noBreakHyphen/>
        <w:t>casemates</w:t>
      </w:r>
      <w:proofErr w:type="spellEnd"/>
      <w:r w:rsidRPr="0039057F">
        <w:rPr>
          <w:sz w:val="20"/>
        </w:rPr>
        <w:t xml:space="preserve"> should be valued at $1,550,000 while the 42 acres of land beneath a grassy slope called the glacis should be valued at a nominal $10.  It also provided a valuation for the casemates and </w:t>
      </w:r>
      <w:proofErr w:type="spellStart"/>
      <w:r w:rsidRPr="0039057F">
        <w:rPr>
          <w:sz w:val="20"/>
        </w:rPr>
        <w:t>demi</w:t>
      </w:r>
      <w:r w:rsidRPr="0039057F">
        <w:rPr>
          <w:sz w:val="20"/>
        </w:rPr>
        <w:noBreakHyphen/>
        <w:t>casemates</w:t>
      </w:r>
      <w:proofErr w:type="spellEnd"/>
      <w:r w:rsidRPr="0039057F">
        <w:rPr>
          <w:sz w:val="20"/>
        </w:rPr>
        <w:t xml:space="preserve">.  The Minister accepted the Panel’s advice and made further PILTs in accordance with it.  Halifax applied for judicial review in the Federal Court, saying the valuation of the land and of the casemates and </w:t>
      </w:r>
      <w:proofErr w:type="spellStart"/>
      <w:r w:rsidRPr="0039057F">
        <w:rPr>
          <w:sz w:val="20"/>
        </w:rPr>
        <w:t>demi</w:t>
      </w:r>
      <w:r w:rsidRPr="0039057F">
        <w:rPr>
          <w:sz w:val="20"/>
        </w:rPr>
        <w:noBreakHyphen/>
        <w:t>casemates</w:t>
      </w:r>
      <w:proofErr w:type="spellEnd"/>
      <w:r w:rsidRPr="0039057F">
        <w:rPr>
          <w:sz w:val="20"/>
        </w:rPr>
        <w:t xml:space="preserve"> was unreasonable and the court agreed.  This decision was reversed with respect to the land by a majority of the Federal Court of Appeal.  The present appeal relates only to the valuation of the land.  </w:t>
      </w:r>
    </w:p>
    <w:p w:rsidR="00B95ED0" w:rsidRDefault="00B95ED0" w:rsidP="00B95ED0">
      <w:pPr>
        <w:pStyle w:val="SCCNormalDoubleSpacing"/>
        <w:tabs>
          <w:tab w:val="left" w:pos="1134"/>
        </w:tabs>
        <w:spacing w:line="240" w:lineRule="auto"/>
        <w:rPr>
          <w:i/>
          <w:sz w:val="20"/>
        </w:rPr>
      </w:pPr>
    </w:p>
    <w:p w:rsidR="00B95ED0" w:rsidRPr="0039057F" w:rsidRDefault="00B95ED0" w:rsidP="00E8567C">
      <w:pPr>
        <w:pStyle w:val="SCCNormalDoubleSpacing"/>
        <w:spacing w:line="240" w:lineRule="auto"/>
        <w:rPr>
          <w:sz w:val="20"/>
        </w:rPr>
      </w:pPr>
      <w:r w:rsidRPr="0039057F">
        <w:rPr>
          <w:i/>
          <w:sz w:val="20"/>
        </w:rPr>
        <w:tab/>
        <w:t>Held</w:t>
      </w:r>
      <w:r w:rsidRPr="0039057F">
        <w:rPr>
          <w:sz w:val="20"/>
        </w:rPr>
        <w:t xml:space="preserve">:  The appeal should be allowed and the matter remitted to the Minister for redetermination. </w:t>
      </w:r>
    </w:p>
    <w:p w:rsidR="00B95ED0" w:rsidRDefault="00B95ED0" w:rsidP="00B95ED0">
      <w:pPr>
        <w:pStyle w:val="SCCNormalDoubleSpacing"/>
        <w:tabs>
          <w:tab w:val="left" w:pos="1134"/>
        </w:tabs>
        <w:spacing w:line="240" w:lineRule="auto"/>
        <w:rPr>
          <w:sz w:val="20"/>
        </w:rPr>
      </w:pPr>
    </w:p>
    <w:p w:rsidR="00B95ED0" w:rsidRPr="0039057F" w:rsidRDefault="00B95ED0" w:rsidP="00E8567C">
      <w:pPr>
        <w:pStyle w:val="SCCNormalDoubleSpacing"/>
        <w:spacing w:line="240" w:lineRule="auto"/>
        <w:rPr>
          <w:sz w:val="20"/>
        </w:rPr>
      </w:pPr>
      <w:r w:rsidRPr="0039057F">
        <w:rPr>
          <w:sz w:val="20"/>
        </w:rPr>
        <w:tab/>
        <w:t>The Minister’s role under the Act is not to review the assessment authority’s assessment; the Minister’s function with respect to the value of federal property is to reach an opinion about the value that would be attributed by an assessment authority if the property were taxable.  This is done in the context of exercising the discretion to make a PILT that must not exceed the product of the effective rate of tax and the property value as per the Act.  While the view of an assessment authority is an important reference point for the Minister, in reaching his or her opinion the Minister is entitled to make an independent determination of the value that would be attributed to the federal property by a local assessment authority.</w:t>
      </w:r>
    </w:p>
    <w:p w:rsidR="00B95ED0" w:rsidRDefault="00B95ED0" w:rsidP="00B95ED0">
      <w:pPr>
        <w:pStyle w:val="SCCNormalDoubleSpacing"/>
        <w:tabs>
          <w:tab w:val="left" w:pos="1134"/>
        </w:tabs>
        <w:spacing w:line="240" w:lineRule="auto"/>
        <w:rPr>
          <w:sz w:val="20"/>
        </w:rPr>
      </w:pPr>
    </w:p>
    <w:p w:rsidR="00B95ED0" w:rsidRPr="0039057F" w:rsidRDefault="00B95ED0" w:rsidP="00E8567C">
      <w:pPr>
        <w:pStyle w:val="SCCNormalDoubleSpacing"/>
        <w:spacing w:line="240" w:lineRule="auto"/>
        <w:rPr>
          <w:sz w:val="20"/>
        </w:rPr>
      </w:pPr>
      <w:r w:rsidRPr="0039057F">
        <w:rPr>
          <w:sz w:val="20"/>
        </w:rPr>
        <w:tab/>
        <w:t>The Minister’s opinion must be informed by the tax system that would apply to the federal property in issue if it were taxable.  Provided that the Minister applies the correct legal test, his or her exercise of discretion is judicially reviewed for reasonableness.</w:t>
      </w:r>
    </w:p>
    <w:p w:rsidR="00B95ED0" w:rsidRDefault="00B95ED0" w:rsidP="00B95ED0">
      <w:pPr>
        <w:pStyle w:val="SCCNormalDoubleSpacing"/>
        <w:tabs>
          <w:tab w:val="left" w:pos="1134"/>
        </w:tabs>
        <w:spacing w:line="240" w:lineRule="auto"/>
        <w:rPr>
          <w:sz w:val="20"/>
        </w:rPr>
      </w:pPr>
    </w:p>
    <w:p w:rsidR="00B95ED0" w:rsidRPr="0039057F" w:rsidRDefault="00B95ED0" w:rsidP="00E8567C">
      <w:pPr>
        <w:pStyle w:val="SCCNormalDoubleSpacing"/>
        <w:spacing w:line="240" w:lineRule="auto"/>
        <w:rPr>
          <w:sz w:val="20"/>
        </w:rPr>
      </w:pPr>
      <w:r w:rsidRPr="0039057F">
        <w:rPr>
          <w:sz w:val="20"/>
        </w:rPr>
        <w:tab/>
        <w:t xml:space="preserve">The Minister’s decision in this case is unreasonable.  It is unreasonable, first, because the manner in which the Minister formulated his opinion was inconsistent with his obligation to form an opinion about the value that would be established by an assessment authority.  The Minister attributed nominal value to the land under the glacis solely on the basis of the impossibility of developing it.  Not only did the Minister not adopt the approach which the relevant assessment authority actually would apply to value the property, but he also had evidence before him, apparently not contradicted, that other Canadian assessment authorities would not attribute nominal value to land on the basis of use restrictions resulting from a national historic site designation.  And there was no evidence that any assessment authority would do so.  The Minister cannot base his valuation on a fictitious tax system that he himself has created, but that is exactly what happened in this case.  </w:t>
      </w:r>
    </w:p>
    <w:p w:rsidR="00B95ED0" w:rsidRDefault="00B95ED0" w:rsidP="00B95ED0">
      <w:pPr>
        <w:pStyle w:val="SCCNormalDoubleSpacing"/>
        <w:tabs>
          <w:tab w:val="left" w:pos="1134"/>
        </w:tabs>
        <w:spacing w:line="240" w:lineRule="auto"/>
        <w:rPr>
          <w:sz w:val="20"/>
        </w:rPr>
      </w:pPr>
    </w:p>
    <w:p w:rsidR="00B95ED0" w:rsidRPr="0039057F" w:rsidRDefault="00B95ED0" w:rsidP="00E8567C">
      <w:pPr>
        <w:pStyle w:val="SCCNormalDoubleSpacing"/>
        <w:spacing w:line="240" w:lineRule="auto"/>
        <w:rPr>
          <w:sz w:val="20"/>
        </w:rPr>
      </w:pPr>
      <w:r w:rsidRPr="0039057F">
        <w:rPr>
          <w:sz w:val="20"/>
        </w:rPr>
        <w:tab/>
        <w:t xml:space="preserve">The Minister’s opinion is also unreasonable on a second ground: in coming to his decision the Minister frustrated the purposes and policies of the Act.  The Minister adopted a categorical approach to valuation under which federal property is valueless if its status as a national historic site prevents its development or commercial use.  In doing so he defeated Parliament’s purpose in including national historic sites within the PILT scheme.  The Minister’s approach had the effect of frustrating the very legislative scheme under which the power is conferred. </w:t>
      </w:r>
    </w:p>
    <w:p w:rsidR="00B95ED0" w:rsidRDefault="00B95ED0" w:rsidP="00B95ED0">
      <w:pPr>
        <w:pStyle w:val="SCCNormalDoubleSpacing"/>
        <w:tabs>
          <w:tab w:val="left" w:pos="1134"/>
        </w:tabs>
        <w:spacing w:line="240" w:lineRule="auto"/>
        <w:rPr>
          <w:sz w:val="20"/>
        </w:rPr>
      </w:pPr>
    </w:p>
    <w:p w:rsidR="00B95ED0" w:rsidRDefault="00B95ED0" w:rsidP="00E8567C">
      <w:pPr>
        <w:pStyle w:val="SCCNormalDoubleSpacing"/>
        <w:spacing w:line="240" w:lineRule="auto"/>
        <w:rPr>
          <w:sz w:val="20"/>
        </w:rPr>
      </w:pPr>
      <w:r w:rsidRPr="0039057F">
        <w:rPr>
          <w:sz w:val="20"/>
        </w:rPr>
        <w:tab/>
        <w:t xml:space="preserve">The Minister’s position is also at odds with the broader policy of the Act, which is to treat municipalities fairly.  It can hardly be thought either fair or equitable to conclude that 42 acres in the middle of a major metropolitan centre has no value for assessment purposes.  </w:t>
      </w:r>
    </w:p>
    <w:p w:rsidR="00B95ED0" w:rsidRDefault="00B95ED0" w:rsidP="00B95ED0">
      <w:pPr>
        <w:pStyle w:val="SCCNormalDoubleSpacing"/>
        <w:tabs>
          <w:tab w:val="left" w:pos="1134"/>
        </w:tabs>
        <w:spacing w:line="240" w:lineRule="auto"/>
        <w:rPr>
          <w:sz w:val="20"/>
        </w:rPr>
      </w:pPr>
    </w:p>
    <w:p w:rsidR="00B95ED0" w:rsidRPr="0039057F" w:rsidRDefault="00B95ED0" w:rsidP="00E8567C">
      <w:pPr>
        <w:pStyle w:val="ParaNoNdepar-AltN"/>
        <w:numPr>
          <w:ilvl w:val="0"/>
          <w:numId w:val="0"/>
        </w:numPr>
        <w:spacing w:before="0" w:after="0" w:line="240" w:lineRule="auto"/>
        <w:rPr>
          <w:rFonts w:cs="Times New Roman"/>
          <w:sz w:val="20"/>
          <w:szCs w:val="20"/>
        </w:rPr>
      </w:pPr>
      <w:r w:rsidRPr="0039057F">
        <w:rPr>
          <w:rFonts w:cs="Times New Roman"/>
          <w:sz w:val="20"/>
          <w:szCs w:val="20"/>
        </w:rPr>
        <w:tab/>
        <w:t>APPEAL from a judgment of the Federal Court of Appeal (</w:t>
      </w:r>
      <w:proofErr w:type="spellStart"/>
      <w:r w:rsidRPr="0039057F">
        <w:rPr>
          <w:rFonts w:cs="Times New Roman"/>
          <w:sz w:val="20"/>
          <w:szCs w:val="20"/>
        </w:rPr>
        <w:t>Blais</w:t>
      </w:r>
      <w:proofErr w:type="spellEnd"/>
      <w:r w:rsidRPr="0039057F">
        <w:rPr>
          <w:rFonts w:cs="Times New Roman"/>
          <w:sz w:val="20"/>
          <w:szCs w:val="20"/>
        </w:rPr>
        <w:t xml:space="preserve"> C.J. and Evans and </w:t>
      </w:r>
      <w:proofErr w:type="spellStart"/>
      <w:r w:rsidRPr="0039057F">
        <w:rPr>
          <w:rFonts w:cs="Times New Roman"/>
          <w:sz w:val="20"/>
          <w:szCs w:val="20"/>
        </w:rPr>
        <w:t>Sharlow</w:t>
      </w:r>
      <w:proofErr w:type="spellEnd"/>
      <w:r w:rsidRPr="0039057F">
        <w:rPr>
          <w:rFonts w:cs="Times New Roman"/>
          <w:sz w:val="20"/>
          <w:szCs w:val="20"/>
        </w:rPr>
        <w:t xml:space="preserve"> JJ.A.), 2010 FCA 196, [2012] 1 F.C.R. 304, 405 N.R. 133, 321 D.L.R. (4th) 638, 7 Admin. L.R. (5th) 213, 71 M.P.L.R. (4th) 176, 94 R.P.R. (4th) 15, [2010] F.C.J. No. 950 (QL), 2010 </w:t>
      </w:r>
      <w:proofErr w:type="spellStart"/>
      <w:r w:rsidRPr="0039057F">
        <w:rPr>
          <w:rFonts w:cs="Times New Roman"/>
          <w:sz w:val="20"/>
          <w:szCs w:val="20"/>
        </w:rPr>
        <w:t>CarswellNat</w:t>
      </w:r>
      <w:proofErr w:type="spellEnd"/>
      <w:r w:rsidRPr="0039057F">
        <w:rPr>
          <w:rFonts w:cs="Times New Roman"/>
          <w:sz w:val="20"/>
          <w:szCs w:val="20"/>
        </w:rPr>
        <w:t xml:space="preserve"> 2417, reversing in part a decision of Phelan J., 2009 FC 670, 346 F.T.R. 264, 61 M.P.L.R. (4th) 187, 85 R.P.R. (4th) 52, [2009] F.C.J. No. 842 (QL), 2009 </w:t>
      </w:r>
      <w:proofErr w:type="spellStart"/>
      <w:r w:rsidRPr="0039057F">
        <w:rPr>
          <w:rFonts w:cs="Times New Roman"/>
          <w:sz w:val="20"/>
          <w:szCs w:val="20"/>
        </w:rPr>
        <w:t>CarswellNat</w:t>
      </w:r>
      <w:proofErr w:type="spellEnd"/>
      <w:r w:rsidRPr="0039057F">
        <w:rPr>
          <w:rFonts w:cs="Times New Roman"/>
          <w:sz w:val="20"/>
          <w:szCs w:val="20"/>
        </w:rPr>
        <w:t xml:space="preserve"> 2045.  The appeal should be allowed and the matter remitted to the Minister for redetermination. </w:t>
      </w:r>
    </w:p>
    <w:p w:rsidR="00B95ED0" w:rsidRDefault="00B95ED0" w:rsidP="00B95ED0">
      <w:pPr>
        <w:pStyle w:val="SCCNormalDoubleSpacing"/>
        <w:spacing w:line="240" w:lineRule="auto"/>
        <w:rPr>
          <w:i/>
          <w:sz w:val="20"/>
        </w:rPr>
      </w:pPr>
    </w:p>
    <w:p w:rsidR="00B95ED0" w:rsidRPr="0039057F" w:rsidRDefault="00B95ED0" w:rsidP="00B95ED0">
      <w:pPr>
        <w:pStyle w:val="SCCNormalDoubleSpacing"/>
        <w:spacing w:line="240" w:lineRule="auto"/>
        <w:rPr>
          <w:sz w:val="20"/>
        </w:rPr>
      </w:pPr>
      <w:r w:rsidRPr="0039057F">
        <w:rPr>
          <w:i/>
          <w:sz w:val="20"/>
        </w:rPr>
        <w:tab/>
      </w:r>
      <w:proofErr w:type="gramStart"/>
      <w:r w:rsidRPr="0039057F">
        <w:rPr>
          <w:i/>
          <w:sz w:val="20"/>
        </w:rPr>
        <w:t>Daniel M. Campbell</w:t>
      </w:r>
      <w:r w:rsidRPr="0039057F">
        <w:rPr>
          <w:sz w:val="20"/>
        </w:rPr>
        <w:t xml:space="preserve">, </w:t>
      </w:r>
      <w:r w:rsidRPr="0039057F">
        <w:rPr>
          <w:i/>
          <w:sz w:val="20"/>
        </w:rPr>
        <w:t>Q.C.</w:t>
      </w:r>
      <w:r w:rsidRPr="0039057F">
        <w:rPr>
          <w:sz w:val="20"/>
        </w:rPr>
        <w:t xml:space="preserve">, and </w:t>
      </w:r>
      <w:r w:rsidRPr="0039057F">
        <w:rPr>
          <w:i/>
          <w:sz w:val="20"/>
        </w:rPr>
        <w:t>Joseph F. Burke</w:t>
      </w:r>
      <w:r w:rsidRPr="0039057F">
        <w:rPr>
          <w:sz w:val="20"/>
        </w:rPr>
        <w:t>, for the appellant.</w:t>
      </w:r>
      <w:proofErr w:type="gramEnd"/>
    </w:p>
    <w:p w:rsidR="00B95ED0" w:rsidRDefault="00B95ED0" w:rsidP="00B95ED0">
      <w:pPr>
        <w:pStyle w:val="SCCNormalDoubleSpacing"/>
        <w:spacing w:line="240" w:lineRule="auto"/>
        <w:rPr>
          <w:i/>
          <w:sz w:val="20"/>
        </w:rPr>
      </w:pPr>
    </w:p>
    <w:p w:rsidR="00B95ED0" w:rsidRPr="0039057F" w:rsidRDefault="00B95ED0" w:rsidP="00B95ED0">
      <w:pPr>
        <w:pStyle w:val="SCCNormalDoubleSpacing"/>
        <w:spacing w:line="240" w:lineRule="auto"/>
        <w:rPr>
          <w:sz w:val="20"/>
        </w:rPr>
      </w:pPr>
      <w:r w:rsidRPr="0039057F">
        <w:rPr>
          <w:i/>
          <w:sz w:val="20"/>
        </w:rPr>
        <w:tab/>
      </w:r>
      <w:proofErr w:type="spellStart"/>
      <w:proofErr w:type="gramStart"/>
      <w:r w:rsidRPr="0039057F">
        <w:rPr>
          <w:i/>
          <w:sz w:val="20"/>
        </w:rPr>
        <w:t>Ginette</w:t>
      </w:r>
      <w:proofErr w:type="spellEnd"/>
      <w:r w:rsidRPr="0039057F">
        <w:rPr>
          <w:i/>
          <w:sz w:val="20"/>
        </w:rPr>
        <w:t xml:space="preserve"> </w:t>
      </w:r>
      <w:proofErr w:type="spellStart"/>
      <w:r w:rsidRPr="0039057F">
        <w:rPr>
          <w:i/>
          <w:sz w:val="20"/>
        </w:rPr>
        <w:t>Gobeil</w:t>
      </w:r>
      <w:proofErr w:type="spellEnd"/>
      <w:r w:rsidRPr="0039057F">
        <w:rPr>
          <w:i/>
          <w:sz w:val="20"/>
        </w:rPr>
        <w:t xml:space="preserve"> </w:t>
      </w:r>
      <w:r w:rsidRPr="0039057F">
        <w:rPr>
          <w:sz w:val="20"/>
        </w:rPr>
        <w:t>and</w:t>
      </w:r>
      <w:r w:rsidRPr="0039057F">
        <w:rPr>
          <w:i/>
          <w:sz w:val="20"/>
        </w:rPr>
        <w:t xml:space="preserve"> René LeBlanc</w:t>
      </w:r>
      <w:r w:rsidRPr="0039057F">
        <w:rPr>
          <w:sz w:val="20"/>
        </w:rPr>
        <w:t>, for the respondent.</w:t>
      </w:r>
      <w:proofErr w:type="gramEnd"/>
    </w:p>
    <w:p w:rsidR="00B95ED0" w:rsidRDefault="00B95ED0" w:rsidP="00B95ED0">
      <w:pPr>
        <w:pStyle w:val="SCCNormalDoubleSpacing"/>
        <w:spacing w:line="240" w:lineRule="auto"/>
        <w:rPr>
          <w:i/>
          <w:sz w:val="20"/>
        </w:rPr>
      </w:pPr>
    </w:p>
    <w:p w:rsidR="00B95ED0" w:rsidRPr="0039057F" w:rsidRDefault="00B95ED0" w:rsidP="00B95ED0">
      <w:pPr>
        <w:pStyle w:val="SCCNormalDoubleSpacing"/>
        <w:spacing w:line="240" w:lineRule="auto"/>
        <w:rPr>
          <w:sz w:val="20"/>
        </w:rPr>
      </w:pPr>
      <w:r w:rsidRPr="0039057F">
        <w:rPr>
          <w:i/>
          <w:sz w:val="20"/>
        </w:rPr>
        <w:tab/>
      </w:r>
      <w:proofErr w:type="gramStart"/>
      <w:r w:rsidRPr="0039057F">
        <w:rPr>
          <w:i/>
          <w:sz w:val="20"/>
        </w:rPr>
        <w:t>Diana W. Dimmer</w:t>
      </w:r>
      <w:r w:rsidRPr="0039057F">
        <w:rPr>
          <w:sz w:val="20"/>
        </w:rPr>
        <w:t xml:space="preserve"> and </w:t>
      </w:r>
      <w:r w:rsidRPr="0039057F">
        <w:rPr>
          <w:i/>
          <w:sz w:val="20"/>
        </w:rPr>
        <w:t>Angus S. MacKay</w:t>
      </w:r>
      <w:r w:rsidRPr="0039057F">
        <w:rPr>
          <w:sz w:val="20"/>
        </w:rPr>
        <w:t>, for the intervener the City of Toronto.</w:t>
      </w:r>
      <w:proofErr w:type="gramEnd"/>
    </w:p>
    <w:p w:rsidR="00B95ED0" w:rsidRDefault="00B95ED0" w:rsidP="00B95ED0">
      <w:pPr>
        <w:pStyle w:val="SCCNormalDoubleSpacing"/>
        <w:spacing w:line="240" w:lineRule="auto"/>
        <w:rPr>
          <w:i/>
          <w:sz w:val="20"/>
        </w:rPr>
      </w:pPr>
    </w:p>
    <w:p w:rsidR="00B95ED0" w:rsidRPr="0039057F" w:rsidRDefault="00B95ED0" w:rsidP="00B95ED0">
      <w:pPr>
        <w:pStyle w:val="SCCNormalDoubleSpacing"/>
        <w:spacing w:line="240" w:lineRule="auto"/>
        <w:rPr>
          <w:sz w:val="20"/>
        </w:rPr>
      </w:pPr>
      <w:r w:rsidRPr="0039057F">
        <w:rPr>
          <w:i/>
          <w:sz w:val="20"/>
        </w:rPr>
        <w:tab/>
      </w:r>
      <w:proofErr w:type="spellStart"/>
      <w:proofErr w:type="gramStart"/>
      <w:r w:rsidRPr="0039057F">
        <w:rPr>
          <w:i/>
          <w:sz w:val="20"/>
        </w:rPr>
        <w:t>Marie</w:t>
      </w:r>
      <w:r w:rsidRPr="0039057F">
        <w:rPr>
          <w:i/>
          <w:sz w:val="20"/>
        </w:rPr>
        <w:noBreakHyphen/>
        <w:t>France</w:t>
      </w:r>
      <w:proofErr w:type="spellEnd"/>
      <w:r w:rsidRPr="0039057F">
        <w:rPr>
          <w:i/>
          <w:sz w:val="20"/>
        </w:rPr>
        <w:t xml:space="preserve"> Major</w:t>
      </w:r>
      <w:r w:rsidRPr="0039057F">
        <w:rPr>
          <w:sz w:val="20"/>
        </w:rPr>
        <w:t>, for the intervener the Federation of Canadian Municipalities.</w:t>
      </w:r>
      <w:proofErr w:type="gramEnd"/>
    </w:p>
    <w:p w:rsidR="00B95ED0" w:rsidRDefault="00B95ED0" w:rsidP="00B95ED0">
      <w:pPr>
        <w:pStyle w:val="SCCNormalDoubleSpacing"/>
        <w:spacing w:line="240" w:lineRule="auto"/>
        <w:rPr>
          <w:i/>
          <w:sz w:val="20"/>
        </w:rPr>
      </w:pPr>
    </w:p>
    <w:p w:rsidR="00B95ED0" w:rsidRPr="0039057F" w:rsidRDefault="00B95ED0" w:rsidP="00B95ED0">
      <w:pPr>
        <w:pStyle w:val="SCCNormalDoubleSpacing"/>
        <w:spacing w:line="240" w:lineRule="auto"/>
        <w:rPr>
          <w:sz w:val="20"/>
        </w:rPr>
      </w:pPr>
      <w:r w:rsidRPr="0039057F">
        <w:rPr>
          <w:i/>
          <w:sz w:val="20"/>
        </w:rPr>
        <w:tab/>
      </w:r>
      <w:proofErr w:type="gramStart"/>
      <w:r w:rsidRPr="0039057F">
        <w:rPr>
          <w:i/>
          <w:sz w:val="20"/>
        </w:rPr>
        <w:t>Harley J. Harris</w:t>
      </w:r>
      <w:r w:rsidRPr="0039057F">
        <w:rPr>
          <w:sz w:val="20"/>
        </w:rPr>
        <w:t xml:space="preserve"> and </w:t>
      </w:r>
      <w:r w:rsidRPr="0039057F">
        <w:rPr>
          <w:i/>
          <w:sz w:val="20"/>
        </w:rPr>
        <w:t>Michael F. Robson</w:t>
      </w:r>
      <w:r w:rsidRPr="0039057F">
        <w:rPr>
          <w:sz w:val="20"/>
        </w:rPr>
        <w:t>, for the intervener the Association of Canadian Port Authorities.</w:t>
      </w:r>
      <w:proofErr w:type="gramEnd"/>
    </w:p>
    <w:p w:rsidR="00B95ED0" w:rsidRDefault="00B95ED0" w:rsidP="00B95ED0">
      <w:pPr>
        <w:pStyle w:val="SCCNormalDoubleSpacing"/>
        <w:spacing w:line="240" w:lineRule="auto"/>
        <w:rPr>
          <w:i/>
          <w:sz w:val="20"/>
        </w:rPr>
      </w:pPr>
    </w:p>
    <w:p w:rsidR="00B95ED0" w:rsidRPr="0039057F" w:rsidRDefault="00B95ED0" w:rsidP="00B95ED0">
      <w:pPr>
        <w:pStyle w:val="SCCNormalDoubleSpacing"/>
        <w:spacing w:line="240" w:lineRule="auto"/>
        <w:rPr>
          <w:sz w:val="20"/>
        </w:rPr>
      </w:pPr>
      <w:r w:rsidRPr="0039057F">
        <w:rPr>
          <w:i/>
          <w:sz w:val="20"/>
        </w:rPr>
        <w:tab/>
      </w:r>
      <w:proofErr w:type="gramStart"/>
      <w:r w:rsidRPr="0039057F">
        <w:rPr>
          <w:i/>
          <w:sz w:val="20"/>
        </w:rPr>
        <w:t xml:space="preserve">Richard </w:t>
      </w:r>
      <w:proofErr w:type="spellStart"/>
      <w:r w:rsidRPr="0039057F">
        <w:rPr>
          <w:i/>
          <w:sz w:val="20"/>
        </w:rPr>
        <w:t>Grondin</w:t>
      </w:r>
      <w:proofErr w:type="spellEnd"/>
      <w:r w:rsidRPr="0039057F">
        <w:rPr>
          <w:sz w:val="20"/>
        </w:rPr>
        <w:t xml:space="preserve"> and </w:t>
      </w:r>
      <w:r w:rsidRPr="0039057F">
        <w:rPr>
          <w:i/>
          <w:sz w:val="20"/>
        </w:rPr>
        <w:t xml:space="preserve">Éric </w:t>
      </w:r>
      <w:proofErr w:type="spellStart"/>
      <w:r w:rsidRPr="0039057F">
        <w:rPr>
          <w:i/>
          <w:sz w:val="20"/>
        </w:rPr>
        <w:t>Boisvert</w:t>
      </w:r>
      <w:proofErr w:type="spellEnd"/>
      <w:r w:rsidRPr="0039057F">
        <w:rPr>
          <w:sz w:val="20"/>
        </w:rPr>
        <w:t>, for the intervener the City of Québec.</w:t>
      </w:r>
      <w:proofErr w:type="gramEnd"/>
    </w:p>
    <w:p w:rsidR="00B95ED0" w:rsidRDefault="00B95ED0" w:rsidP="00B95ED0">
      <w:pPr>
        <w:pStyle w:val="SCCLawFirm"/>
        <w:spacing w:line="240" w:lineRule="auto"/>
        <w:rPr>
          <w:sz w:val="20"/>
        </w:rPr>
      </w:pPr>
    </w:p>
    <w:p w:rsidR="00B95ED0" w:rsidRPr="0039057F" w:rsidRDefault="00B95ED0" w:rsidP="00B95ED0">
      <w:pPr>
        <w:pStyle w:val="SCCLawFirm"/>
        <w:spacing w:line="240" w:lineRule="auto"/>
        <w:rPr>
          <w:sz w:val="20"/>
        </w:rPr>
      </w:pPr>
      <w:r w:rsidRPr="0039057F">
        <w:rPr>
          <w:sz w:val="20"/>
        </w:rPr>
        <w:tab/>
        <w:t>Solicitors for the appellant:  Cox &amp; Palmer, Halifax.</w:t>
      </w:r>
    </w:p>
    <w:p w:rsidR="00B95ED0" w:rsidRDefault="00B95ED0" w:rsidP="00B95ED0">
      <w:pPr>
        <w:pStyle w:val="SCCLawFirm"/>
        <w:spacing w:line="240" w:lineRule="auto"/>
        <w:rPr>
          <w:sz w:val="20"/>
        </w:rPr>
      </w:pPr>
    </w:p>
    <w:p w:rsidR="00B95ED0" w:rsidRPr="0039057F" w:rsidRDefault="00B95ED0" w:rsidP="00B95ED0">
      <w:pPr>
        <w:pStyle w:val="SCCLawFirm"/>
        <w:spacing w:line="240" w:lineRule="auto"/>
        <w:rPr>
          <w:sz w:val="20"/>
        </w:rPr>
      </w:pPr>
      <w:r w:rsidRPr="0039057F">
        <w:rPr>
          <w:sz w:val="20"/>
        </w:rPr>
        <w:tab/>
        <w:t>Solicitor for the respondent:  Attorney General of Canada, Ottawa.</w:t>
      </w:r>
    </w:p>
    <w:p w:rsidR="00B95ED0" w:rsidRDefault="00B95ED0" w:rsidP="00B95ED0">
      <w:pPr>
        <w:pStyle w:val="SCCLawFirm"/>
        <w:spacing w:line="240" w:lineRule="auto"/>
        <w:rPr>
          <w:sz w:val="20"/>
        </w:rPr>
      </w:pPr>
    </w:p>
    <w:p w:rsidR="00B95ED0" w:rsidRPr="0039057F" w:rsidRDefault="00B95ED0" w:rsidP="00B95ED0">
      <w:pPr>
        <w:pStyle w:val="SCCLawFirm"/>
        <w:spacing w:line="240" w:lineRule="auto"/>
        <w:rPr>
          <w:sz w:val="20"/>
        </w:rPr>
      </w:pPr>
      <w:r w:rsidRPr="0039057F">
        <w:rPr>
          <w:sz w:val="20"/>
        </w:rPr>
        <w:tab/>
        <w:t>Solicitor for the intervener the City of Toronto:  City of Toronto, Toronto.</w:t>
      </w:r>
    </w:p>
    <w:p w:rsidR="00B95ED0" w:rsidRDefault="00B95ED0" w:rsidP="00B95ED0">
      <w:pPr>
        <w:pStyle w:val="SCCLawFirm"/>
        <w:spacing w:line="240" w:lineRule="auto"/>
        <w:rPr>
          <w:sz w:val="20"/>
        </w:rPr>
      </w:pPr>
    </w:p>
    <w:p w:rsidR="00B95ED0" w:rsidRPr="0039057F" w:rsidRDefault="00B95ED0" w:rsidP="00B95ED0">
      <w:pPr>
        <w:pStyle w:val="SCCLawFirm"/>
        <w:spacing w:line="240" w:lineRule="auto"/>
        <w:rPr>
          <w:sz w:val="20"/>
        </w:rPr>
      </w:pPr>
      <w:r w:rsidRPr="0039057F">
        <w:rPr>
          <w:sz w:val="20"/>
        </w:rPr>
        <w:tab/>
        <w:t>Solicitors for the intervener the Federation of Canadian Municipalities:  McMillan, Ottawa.</w:t>
      </w:r>
    </w:p>
    <w:p w:rsidR="00B95ED0" w:rsidRDefault="00B95ED0" w:rsidP="00B95ED0">
      <w:pPr>
        <w:pStyle w:val="SCCLawFirm"/>
        <w:spacing w:line="240" w:lineRule="auto"/>
        <w:rPr>
          <w:sz w:val="20"/>
        </w:rPr>
      </w:pPr>
    </w:p>
    <w:p w:rsidR="00B95ED0" w:rsidRPr="0039057F" w:rsidRDefault="00B95ED0" w:rsidP="00B95ED0">
      <w:pPr>
        <w:pStyle w:val="SCCLawFirm"/>
        <w:spacing w:line="240" w:lineRule="auto"/>
        <w:rPr>
          <w:sz w:val="20"/>
        </w:rPr>
      </w:pPr>
      <w:r w:rsidRPr="0039057F">
        <w:rPr>
          <w:sz w:val="20"/>
        </w:rPr>
        <w:tab/>
        <w:t>Solicitors for the intervener the Association of Canadian Port Authorities:  Owen Bird Law Corporation, Vancouver.</w:t>
      </w:r>
    </w:p>
    <w:p w:rsidR="00B95ED0" w:rsidRDefault="00B95ED0" w:rsidP="00B95ED0">
      <w:pPr>
        <w:pStyle w:val="SCCLawFirm"/>
        <w:spacing w:line="240" w:lineRule="auto"/>
        <w:rPr>
          <w:sz w:val="20"/>
        </w:rPr>
      </w:pPr>
    </w:p>
    <w:p w:rsidR="00B95ED0" w:rsidRDefault="00B95ED0" w:rsidP="00B95ED0">
      <w:pPr>
        <w:pStyle w:val="SCCLawFirm"/>
        <w:spacing w:line="240" w:lineRule="auto"/>
        <w:rPr>
          <w:sz w:val="20"/>
        </w:rPr>
      </w:pPr>
      <w:r w:rsidRPr="0039057F">
        <w:rPr>
          <w:sz w:val="20"/>
        </w:rPr>
        <w:tab/>
        <w:t>Solicitors for the intervener the City of Québec:  </w:t>
      </w:r>
      <w:proofErr w:type="spellStart"/>
      <w:r w:rsidRPr="0039057F">
        <w:rPr>
          <w:sz w:val="20"/>
        </w:rPr>
        <w:t>Giasson</w:t>
      </w:r>
      <w:proofErr w:type="spellEnd"/>
      <w:r w:rsidRPr="0039057F">
        <w:rPr>
          <w:sz w:val="20"/>
        </w:rPr>
        <w:t xml:space="preserve"> </w:t>
      </w:r>
      <w:proofErr w:type="gramStart"/>
      <w:r w:rsidRPr="0039057F">
        <w:rPr>
          <w:sz w:val="20"/>
        </w:rPr>
        <w:t>et</w:t>
      </w:r>
      <w:proofErr w:type="gramEnd"/>
      <w:r w:rsidRPr="0039057F">
        <w:rPr>
          <w:sz w:val="20"/>
        </w:rPr>
        <w:t xml:space="preserve"> </w:t>
      </w:r>
      <w:proofErr w:type="spellStart"/>
      <w:r w:rsidRPr="0039057F">
        <w:rPr>
          <w:sz w:val="20"/>
        </w:rPr>
        <w:t>associés</w:t>
      </w:r>
      <w:proofErr w:type="spellEnd"/>
      <w:r w:rsidRPr="0039057F">
        <w:rPr>
          <w:sz w:val="20"/>
        </w:rPr>
        <w:t>, Québec.</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B95ED0" w:rsidRPr="00B95ED0" w:rsidRDefault="00B95ED0" w:rsidP="00B95ED0">
      <w:pPr>
        <w:jc w:val="both"/>
        <w:rPr>
          <w:sz w:val="20"/>
          <w:szCs w:val="20"/>
          <w:lang w:val="fr-CA"/>
        </w:rPr>
      </w:pPr>
      <w:r w:rsidRPr="00B95ED0">
        <w:rPr>
          <w:sz w:val="20"/>
          <w:szCs w:val="20"/>
          <w:lang w:val="fr-CA"/>
        </w:rPr>
        <w:t xml:space="preserve">Présents : La juge en chef </w:t>
      </w:r>
      <w:proofErr w:type="spellStart"/>
      <w:r w:rsidRPr="00B95ED0">
        <w:rPr>
          <w:sz w:val="20"/>
          <w:szCs w:val="20"/>
          <w:lang w:val="fr-CA"/>
        </w:rPr>
        <w:t>McLachlin</w:t>
      </w:r>
      <w:proofErr w:type="spellEnd"/>
      <w:r w:rsidRPr="00B95ED0">
        <w:rPr>
          <w:sz w:val="20"/>
          <w:szCs w:val="20"/>
          <w:lang w:val="fr-CA"/>
        </w:rPr>
        <w:t xml:space="preserve"> et les juges </w:t>
      </w:r>
      <w:proofErr w:type="spellStart"/>
      <w:r w:rsidRPr="00B95ED0">
        <w:rPr>
          <w:sz w:val="20"/>
          <w:szCs w:val="20"/>
          <w:lang w:val="fr-CA"/>
        </w:rPr>
        <w:t>LeBel</w:t>
      </w:r>
      <w:proofErr w:type="spellEnd"/>
      <w:r w:rsidRPr="00B95ED0">
        <w:rPr>
          <w:sz w:val="20"/>
          <w:szCs w:val="20"/>
          <w:lang w:val="fr-CA"/>
        </w:rPr>
        <w:t xml:space="preserve">, Deschamps, Fish, Abella, </w:t>
      </w:r>
      <w:proofErr w:type="spellStart"/>
      <w:r w:rsidRPr="00B95ED0">
        <w:rPr>
          <w:sz w:val="20"/>
          <w:szCs w:val="20"/>
          <w:lang w:val="fr-CA"/>
        </w:rPr>
        <w:t>Rothstein</w:t>
      </w:r>
      <w:proofErr w:type="spellEnd"/>
      <w:r w:rsidRPr="00B95ED0">
        <w:rPr>
          <w:sz w:val="20"/>
          <w:szCs w:val="20"/>
          <w:lang w:val="fr-CA"/>
        </w:rPr>
        <w:t xml:space="preserve">, Cromwell, </w:t>
      </w:r>
      <w:proofErr w:type="spellStart"/>
      <w:r w:rsidRPr="00B95ED0">
        <w:rPr>
          <w:sz w:val="20"/>
          <w:szCs w:val="20"/>
          <w:lang w:val="fr-CA"/>
        </w:rPr>
        <w:t>Moldaver</w:t>
      </w:r>
      <w:proofErr w:type="spellEnd"/>
      <w:r w:rsidRPr="00B95ED0">
        <w:rPr>
          <w:sz w:val="20"/>
          <w:szCs w:val="20"/>
          <w:lang w:val="fr-CA"/>
        </w:rPr>
        <w:t xml:space="preserve"> et </w:t>
      </w:r>
      <w:proofErr w:type="spellStart"/>
      <w:r w:rsidRPr="00B95ED0">
        <w:rPr>
          <w:sz w:val="20"/>
          <w:szCs w:val="20"/>
          <w:lang w:val="fr-CA"/>
        </w:rPr>
        <w:t>Karakatsanis</w:t>
      </w:r>
      <w:proofErr w:type="spellEnd"/>
      <w:r w:rsidRPr="00B95ED0">
        <w:rPr>
          <w:sz w:val="20"/>
          <w:szCs w:val="20"/>
          <w:lang w:val="fr-CA"/>
        </w:rPr>
        <w:t>.</w:t>
      </w:r>
    </w:p>
    <w:p w:rsidR="00B95ED0" w:rsidRPr="00B95ED0" w:rsidRDefault="00B95ED0" w:rsidP="00B95ED0">
      <w:pPr>
        <w:pStyle w:val="SCCLowerCourtNameLowercase"/>
        <w:spacing w:line="240" w:lineRule="auto"/>
        <w:rPr>
          <w:sz w:val="20"/>
          <w:lang w:val="fr-CA"/>
        </w:rPr>
      </w:pPr>
    </w:p>
    <w:p w:rsidR="00B95ED0" w:rsidRPr="000D4AFC" w:rsidRDefault="00B95ED0" w:rsidP="00B95ED0">
      <w:pPr>
        <w:pStyle w:val="SCCNormalDoubleSpacing"/>
        <w:spacing w:line="240" w:lineRule="auto"/>
        <w:rPr>
          <w:i/>
          <w:sz w:val="20"/>
          <w:lang w:val="en-US"/>
        </w:rPr>
      </w:pPr>
      <w:r w:rsidRPr="00B95ED0">
        <w:rPr>
          <w:sz w:val="20"/>
          <w:lang w:val="fr-CA"/>
        </w:rPr>
        <w:tab/>
      </w:r>
      <w:r w:rsidRPr="00B95ED0">
        <w:rPr>
          <w:i/>
          <w:sz w:val="20"/>
          <w:lang w:val="fr-CA"/>
        </w:rPr>
        <w:t>Droit de la Couronne ― Immeubles et biens réels ― Taxation ― Paiements versés en remplacement d’impôts ― Attribution, par le ministre, au lieu</w:t>
      </w:r>
      <w:r w:rsidRPr="00B95ED0">
        <w:rPr>
          <w:sz w:val="20"/>
          <w:lang w:val="fr-CA"/>
        </w:rPr>
        <w:t xml:space="preserve"> </w:t>
      </w:r>
      <w:r w:rsidRPr="00B95ED0">
        <w:rPr>
          <w:i/>
          <w:sz w:val="20"/>
          <w:lang w:val="fr-CA"/>
        </w:rPr>
        <w:t xml:space="preserve">historique national du Canada de la </w:t>
      </w:r>
      <w:proofErr w:type="spellStart"/>
      <w:r w:rsidRPr="00B95ED0">
        <w:rPr>
          <w:i/>
          <w:sz w:val="20"/>
          <w:lang w:val="fr-CA"/>
        </w:rPr>
        <w:t>Citadelle</w:t>
      </w:r>
      <w:r w:rsidRPr="00B95ED0">
        <w:rPr>
          <w:i/>
          <w:sz w:val="20"/>
          <w:lang w:val="fr-CA"/>
        </w:rPr>
        <w:noBreakHyphen/>
        <w:t>d</w:t>
      </w:r>
      <w:proofErr w:type="spellEnd"/>
      <w:r w:rsidRPr="00B95ED0">
        <w:rPr>
          <w:i/>
          <w:sz w:val="20"/>
          <w:lang w:val="fr-CA"/>
        </w:rPr>
        <w:t xml:space="preserve">’Halifax, d’une valeur inférieure de plusieurs millions de dollars à la valeur établie par l’autorité évaluatrice locale ― Quelle est l’étendue du pouvoir discrétionnaire du ministre d’établir la « valeur effective » pour le besoin du versement des paiements en remplacement d’impôts?― Quelle norme de contrôle judiciaire s’applique à cette décision? </w:t>
      </w:r>
      <w:r w:rsidRPr="000D4AFC">
        <w:rPr>
          <w:i/>
          <w:sz w:val="20"/>
          <w:lang w:val="fr-FR"/>
        </w:rPr>
        <w:t xml:space="preserve">― La décision du ministre quant à la valeur effective </w:t>
      </w:r>
      <w:proofErr w:type="spellStart"/>
      <w:r w:rsidRPr="000D4AFC">
        <w:rPr>
          <w:i/>
          <w:sz w:val="20"/>
          <w:lang w:val="fr-FR"/>
        </w:rPr>
        <w:t>était</w:t>
      </w:r>
      <w:r w:rsidRPr="000D4AFC">
        <w:rPr>
          <w:i/>
          <w:sz w:val="20"/>
          <w:lang w:val="fr-FR"/>
        </w:rPr>
        <w:noBreakHyphen/>
        <w:t>elle</w:t>
      </w:r>
      <w:proofErr w:type="spellEnd"/>
      <w:r w:rsidRPr="000D4AFC">
        <w:rPr>
          <w:i/>
          <w:sz w:val="20"/>
          <w:lang w:val="fr-FR"/>
        </w:rPr>
        <w:t xml:space="preserve"> raisonnable? ― Loi sur les paiements versés en remplacement d’impôts, L.R.C. 1985, ch. </w:t>
      </w:r>
      <w:r w:rsidRPr="000D4AFC">
        <w:rPr>
          <w:i/>
          <w:sz w:val="20"/>
          <w:lang w:val="en-US"/>
        </w:rPr>
        <w:t>M</w:t>
      </w:r>
      <w:r w:rsidRPr="000D4AFC">
        <w:rPr>
          <w:i/>
          <w:sz w:val="20"/>
          <w:lang w:val="en-US"/>
        </w:rPr>
        <w:noBreakHyphen/>
        <w:t xml:space="preserve">13, art. 2(1) </w:t>
      </w:r>
      <w:proofErr w:type="gramStart"/>
      <w:r w:rsidRPr="000D4AFC">
        <w:rPr>
          <w:i/>
          <w:sz w:val="20"/>
          <w:lang w:val="en-US"/>
        </w:rPr>
        <w:t>et</w:t>
      </w:r>
      <w:proofErr w:type="gramEnd"/>
      <w:r w:rsidRPr="000D4AFC">
        <w:rPr>
          <w:i/>
          <w:sz w:val="20"/>
          <w:lang w:val="en-US"/>
        </w:rPr>
        <w:t xml:space="preserve"> 4(1) ― Assessment Act, R.S.N.S. 1989, </w:t>
      </w:r>
      <w:proofErr w:type="spellStart"/>
      <w:r w:rsidRPr="000D4AFC">
        <w:rPr>
          <w:i/>
          <w:sz w:val="20"/>
          <w:lang w:val="en-US"/>
        </w:rPr>
        <w:t>ch</w:t>
      </w:r>
      <w:proofErr w:type="spellEnd"/>
      <w:r w:rsidRPr="000D4AFC">
        <w:rPr>
          <w:i/>
          <w:sz w:val="20"/>
          <w:lang w:val="en-US"/>
        </w:rPr>
        <w:t>. 23, art. </w:t>
      </w:r>
      <w:proofErr w:type="gramStart"/>
      <w:r w:rsidRPr="000D4AFC">
        <w:rPr>
          <w:i/>
          <w:sz w:val="20"/>
          <w:lang w:val="en-US"/>
        </w:rPr>
        <w:t>42(1).</w:t>
      </w:r>
      <w:proofErr w:type="gramEnd"/>
    </w:p>
    <w:p w:rsidR="00B95ED0" w:rsidRDefault="00B95ED0" w:rsidP="00B95ED0">
      <w:pPr>
        <w:pStyle w:val="SCCNormalDoubleSpacing"/>
        <w:spacing w:line="240" w:lineRule="auto"/>
        <w:rPr>
          <w:sz w:val="20"/>
          <w:lang w:val="en-US"/>
        </w:rPr>
      </w:pPr>
    </w:p>
    <w:p w:rsidR="00B95ED0" w:rsidRPr="000D4AFC" w:rsidRDefault="00B95ED0" w:rsidP="00B95ED0">
      <w:pPr>
        <w:pStyle w:val="SCCNormalDoubleSpacing"/>
        <w:spacing w:line="240" w:lineRule="auto"/>
        <w:rPr>
          <w:sz w:val="20"/>
          <w:lang w:val="fr-FR"/>
        </w:rPr>
      </w:pPr>
      <w:r w:rsidRPr="000D4AFC">
        <w:rPr>
          <w:sz w:val="20"/>
          <w:lang w:val="en-US"/>
        </w:rPr>
        <w:tab/>
      </w:r>
      <w:r w:rsidRPr="000D4AFC">
        <w:rPr>
          <w:sz w:val="20"/>
          <w:lang w:val="fr-FR"/>
        </w:rPr>
        <w:t xml:space="preserve">La </w:t>
      </w:r>
      <w:r w:rsidRPr="00B95ED0">
        <w:rPr>
          <w:i/>
          <w:sz w:val="20"/>
          <w:lang w:val="fr-CA"/>
        </w:rPr>
        <w:t>Loi</w:t>
      </w:r>
      <w:r w:rsidRPr="000D4AFC">
        <w:rPr>
          <w:i/>
          <w:sz w:val="20"/>
          <w:lang w:val="fr-FR"/>
        </w:rPr>
        <w:t xml:space="preserve"> sur les paiements versés en remplacement d’impôts </w:t>
      </w:r>
      <w:r w:rsidRPr="000D4AFC">
        <w:rPr>
          <w:sz w:val="20"/>
          <w:lang w:val="fr-FR"/>
        </w:rPr>
        <w:t xml:space="preserve">(la Loi) permet au ministre des Travaux publics et des Services gouvernementaux de verser des paiements en remplacement d’impôts (PRI) à l’égard des propriétés appartenant à la Couronne fédérale qui sont exemptes d’imposition provinciale et municipale par la Constitution.  Le ministre </w:t>
      </w:r>
      <w:proofErr w:type="gramStart"/>
      <w:r w:rsidRPr="000D4AFC">
        <w:rPr>
          <w:sz w:val="20"/>
          <w:lang w:val="fr-FR"/>
        </w:rPr>
        <w:t>a</w:t>
      </w:r>
      <w:proofErr w:type="gramEnd"/>
      <w:r w:rsidRPr="000D4AFC">
        <w:rPr>
          <w:sz w:val="20"/>
          <w:lang w:val="fr-FR"/>
        </w:rPr>
        <w:t xml:space="preserve"> versé à Halifax des PRI en ce qui concerne le lieu historique national du Canada de la </w:t>
      </w:r>
      <w:proofErr w:type="spellStart"/>
      <w:r w:rsidRPr="000D4AFC">
        <w:rPr>
          <w:sz w:val="20"/>
          <w:lang w:val="fr-FR"/>
        </w:rPr>
        <w:t>Citadelle</w:t>
      </w:r>
      <w:r w:rsidRPr="000D4AFC">
        <w:rPr>
          <w:sz w:val="20"/>
          <w:lang w:val="fr-FR"/>
        </w:rPr>
        <w:noBreakHyphen/>
        <w:t>d</w:t>
      </w:r>
      <w:proofErr w:type="spellEnd"/>
      <w:r w:rsidRPr="000D4AFC">
        <w:rPr>
          <w:sz w:val="20"/>
          <w:lang w:val="fr-FR"/>
        </w:rPr>
        <w:t xml:space="preserve">’Halifax sur le fondement d’une évaluation du lieu à laquelle s’est opposée Halifax.  Halifax et le ministre sont parvenus à s’entendre sur la valeur des améliorations admissibles sur le site, mais non sur celle des structures que l’on appelle casemates et </w:t>
      </w:r>
      <w:proofErr w:type="spellStart"/>
      <w:r w:rsidRPr="000D4AFC">
        <w:rPr>
          <w:sz w:val="20"/>
          <w:lang w:val="fr-FR"/>
        </w:rPr>
        <w:t>demi</w:t>
      </w:r>
      <w:r w:rsidRPr="000D4AFC">
        <w:rPr>
          <w:sz w:val="20"/>
          <w:lang w:val="fr-FR"/>
        </w:rPr>
        <w:noBreakHyphen/>
        <w:t>casemates</w:t>
      </w:r>
      <w:proofErr w:type="spellEnd"/>
      <w:r w:rsidRPr="000D4AFC">
        <w:rPr>
          <w:sz w:val="20"/>
          <w:lang w:val="fr-FR"/>
        </w:rPr>
        <w:t xml:space="preserve"> ou sur celle du terrain occupé par la Citadelle.  L’affaire a été renvoyée à un comité consultatif sur le règlement des différends, qui a fait savoir au ministre que le terrain occupé par les casemates et </w:t>
      </w:r>
      <w:proofErr w:type="spellStart"/>
      <w:r w:rsidRPr="000D4AFC">
        <w:rPr>
          <w:sz w:val="20"/>
          <w:lang w:val="fr-FR"/>
        </w:rPr>
        <w:t>demi</w:t>
      </w:r>
      <w:r w:rsidRPr="000D4AFC">
        <w:rPr>
          <w:sz w:val="20"/>
          <w:lang w:val="fr-FR"/>
        </w:rPr>
        <w:noBreakHyphen/>
        <w:t>casemates</w:t>
      </w:r>
      <w:proofErr w:type="spellEnd"/>
      <w:r w:rsidRPr="000D4AFC">
        <w:rPr>
          <w:sz w:val="20"/>
          <w:lang w:val="fr-FR"/>
        </w:rPr>
        <w:t xml:space="preserve"> doit être évalué à 1 550 000 $, tandis qu’il faut attribuer une valeur nominale de 10 $ au terrain de 42 acres occupé par un talus gazonné appelé le glacis.  Le comité consultatif a aussi attribué une valeur aux casemates et aux </w:t>
      </w:r>
      <w:proofErr w:type="spellStart"/>
      <w:r w:rsidRPr="000D4AFC">
        <w:rPr>
          <w:sz w:val="20"/>
          <w:lang w:val="fr-FR"/>
        </w:rPr>
        <w:t>demi</w:t>
      </w:r>
      <w:r w:rsidRPr="000D4AFC">
        <w:rPr>
          <w:sz w:val="20"/>
          <w:lang w:val="fr-FR"/>
        </w:rPr>
        <w:noBreakHyphen/>
        <w:t>casemates</w:t>
      </w:r>
      <w:proofErr w:type="spellEnd"/>
      <w:r w:rsidRPr="000D4AFC">
        <w:rPr>
          <w:sz w:val="20"/>
          <w:lang w:val="fr-FR"/>
        </w:rPr>
        <w:t xml:space="preserve">.  Le ministre a retenu l’avis du comité consultatif et a versé d’autres PRI conformément à cet avis.  Halifax a présenté en Cour fédérale une demande de contrôle judiciaire, affirmant que l’évaluation du terrain ainsi que des casemates et </w:t>
      </w:r>
      <w:proofErr w:type="spellStart"/>
      <w:r w:rsidRPr="000D4AFC">
        <w:rPr>
          <w:sz w:val="20"/>
          <w:lang w:val="fr-FR"/>
        </w:rPr>
        <w:t>demi</w:t>
      </w:r>
      <w:r w:rsidRPr="000D4AFC">
        <w:rPr>
          <w:sz w:val="20"/>
          <w:lang w:val="fr-FR"/>
        </w:rPr>
        <w:noBreakHyphen/>
        <w:t>casemates</w:t>
      </w:r>
      <w:proofErr w:type="spellEnd"/>
      <w:r w:rsidRPr="000D4AFC">
        <w:rPr>
          <w:sz w:val="20"/>
          <w:lang w:val="fr-FR"/>
        </w:rPr>
        <w:t xml:space="preserve"> était déraisonnable, et la cour lui a donné raison.  Les juges majoritaires de la Cour d’appel fédérale ont infirmé cette décision en ce qui concerne le terrain.  Le pourvoi ne porte que sur l’évaluation du terrain.  </w:t>
      </w:r>
    </w:p>
    <w:p w:rsidR="00B95ED0" w:rsidRDefault="00B95ED0" w:rsidP="00B95ED0">
      <w:pPr>
        <w:pStyle w:val="SCCNormalDoubleSpacing"/>
        <w:spacing w:line="240" w:lineRule="auto"/>
        <w:rPr>
          <w:i/>
          <w:sz w:val="20"/>
          <w:lang w:val="fr-FR"/>
        </w:rPr>
      </w:pPr>
    </w:p>
    <w:p w:rsidR="00B95ED0" w:rsidRPr="000D4AFC" w:rsidRDefault="00B95ED0" w:rsidP="00B95ED0">
      <w:pPr>
        <w:pStyle w:val="SCCNormalDoubleSpacing"/>
        <w:spacing w:line="240" w:lineRule="auto"/>
        <w:rPr>
          <w:sz w:val="20"/>
          <w:lang w:val="fr-FR"/>
        </w:rPr>
      </w:pPr>
      <w:r w:rsidRPr="000D4AFC">
        <w:rPr>
          <w:i/>
          <w:sz w:val="20"/>
          <w:lang w:val="fr-FR"/>
        </w:rPr>
        <w:tab/>
        <w:t>Arrêt :</w:t>
      </w:r>
      <w:r w:rsidRPr="000D4AFC">
        <w:rPr>
          <w:sz w:val="20"/>
          <w:lang w:val="fr-FR"/>
        </w:rPr>
        <w:t xml:space="preserve"> Le pourvoi est accueilli et l’affaire est renvoyée au ministre pour qu’il rende une nouvelle décision. </w:t>
      </w:r>
    </w:p>
    <w:p w:rsidR="00B95ED0" w:rsidRPr="00B95ED0" w:rsidRDefault="00B95ED0" w:rsidP="00B95ED0">
      <w:pPr>
        <w:pStyle w:val="SCCNormalDoubleSpacing"/>
        <w:spacing w:line="240" w:lineRule="auto"/>
        <w:rPr>
          <w:sz w:val="20"/>
          <w:lang w:val="fr-CA"/>
        </w:rPr>
      </w:pPr>
    </w:p>
    <w:p w:rsidR="00B95ED0" w:rsidRPr="000D4AFC" w:rsidRDefault="00B95ED0" w:rsidP="00B95ED0">
      <w:pPr>
        <w:pStyle w:val="SCCNormalDoubleSpacing"/>
        <w:spacing w:line="240" w:lineRule="auto"/>
        <w:rPr>
          <w:sz w:val="20"/>
          <w:lang w:val="fr-FR"/>
        </w:rPr>
      </w:pPr>
      <w:r w:rsidRPr="00B95ED0">
        <w:rPr>
          <w:sz w:val="20"/>
          <w:lang w:val="fr-CA"/>
        </w:rPr>
        <w:tab/>
        <w:t xml:space="preserve">Le </w:t>
      </w:r>
      <w:r w:rsidRPr="000D4AFC">
        <w:rPr>
          <w:sz w:val="20"/>
          <w:lang w:val="fr-FR"/>
        </w:rPr>
        <w:t>rôle</w:t>
      </w:r>
      <w:r w:rsidRPr="00B95ED0">
        <w:rPr>
          <w:sz w:val="20"/>
          <w:lang w:val="fr-CA"/>
        </w:rPr>
        <w:t xml:space="preserve"> du ministre selon la Loi n’est pas de revoir l’évaluation faite par l’autorité évaluatrice.  Son rôle à l’égard de la valeur d’une propriété fédérale consiste plutôt à se former une opinion de la valeur qu’une autorité évaluatrice déterminerait à l’égard de la propriété en question si </w:t>
      </w:r>
      <w:proofErr w:type="spellStart"/>
      <w:r w:rsidRPr="00B95ED0">
        <w:rPr>
          <w:sz w:val="20"/>
          <w:lang w:val="fr-CA"/>
        </w:rPr>
        <w:t>celle</w:t>
      </w:r>
      <w:r w:rsidRPr="00B95ED0">
        <w:rPr>
          <w:sz w:val="20"/>
          <w:lang w:val="fr-CA"/>
        </w:rPr>
        <w:noBreakHyphen/>
        <w:t>ci</w:t>
      </w:r>
      <w:proofErr w:type="spellEnd"/>
      <w:r w:rsidRPr="00B95ED0">
        <w:rPr>
          <w:sz w:val="20"/>
          <w:lang w:val="fr-CA"/>
        </w:rPr>
        <w:t xml:space="preserve"> était une propriété imposable.  C’est ce qu’il fait dans l’exercice de son pouvoir discrétionnaire de verser un PRI dont le montant ne doit pas, selon la Loi, dépasser le produit du taux d’imposition effectif applicable à la propriété en cause par la valeur effective de </w:t>
      </w:r>
      <w:proofErr w:type="spellStart"/>
      <w:r w:rsidRPr="00B95ED0">
        <w:rPr>
          <w:sz w:val="20"/>
          <w:lang w:val="fr-CA"/>
        </w:rPr>
        <w:t>celle</w:t>
      </w:r>
      <w:r w:rsidRPr="00B95ED0">
        <w:rPr>
          <w:sz w:val="20"/>
          <w:lang w:val="fr-CA"/>
        </w:rPr>
        <w:noBreakHyphen/>
        <w:t>ci</w:t>
      </w:r>
      <w:proofErr w:type="spellEnd"/>
      <w:r w:rsidRPr="00B95ED0">
        <w:rPr>
          <w:sz w:val="20"/>
          <w:lang w:val="fr-CA"/>
        </w:rPr>
        <w:t xml:space="preserve">.  </w:t>
      </w:r>
      <w:r w:rsidRPr="000D4AFC">
        <w:rPr>
          <w:sz w:val="20"/>
          <w:lang w:val="fr-FR"/>
        </w:rPr>
        <w:t xml:space="preserve">Bien que le point de vue qu’adopterait une autorité évaluatrice constitue un facteur de référence important pour le ministre, ce dernier </w:t>
      </w:r>
      <w:r w:rsidRPr="00B95ED0">
        <w:rPr>
          <w:sz w:val="20"/>
          <w:lang w:val="fr-CA"/>
        </w:rPr>
        <w:t>peut, pour se former une opinion, procéder à une détermination indépendante de la valeur qu’une autorité évaluatrice locale attribuerait à la propriété fédérale en cause.</w:t>
      </w:r>
      <w:r w:rsidRPr="000D4AFC">
        <w:rPr>
          <w:sz w:val="20"/>
          <w:lang w:val="fr-FR"/>
        </w:rPr>
        <w:t xml:space="preserve"> </w:t>
      </w:r>
    </w:p>
    <w:p w:rsidR="00B95ED0" w:rsidRDefault="00B95ED0" w:rsidP="00B95ED0">
      <w:pPr>
        <w:pStyle w:val="SCCNormalDoubleSpacing"/>
        <w:spacing w:line="240" w:lineRule="auto"/>
        <w:rPr>
          <w:sz w:val="20"/>
          <w:lang w:val="fr-FR"/>
        </w:rPr>
      </w:pPr>
    </w:p>
    <w:p w:rsidR="00B95ED0" w:rsidRPr="000D4AFC" w:rsidRDefault="00B95ED0" w:rsidP="00B95ED0">
      <w:pPr>
        <w:pStyle w:val="SCCNormalDoubleSpacing"/>
        <w:spacing w:line="240" w:lineRule="auto"/>
        <w:rPr>
          <w:sz w:val="20"/>
          <w:lang w:val="fr-FR"/>
        </w:rPr>
      </w:pPr>
      <w:r w:rsidRPr="000D4AFC">
        <w:rPr>
          <w:sz w:val="20"/>
          <w:lang w:val="fr-FR"/>
        </w:rPr>
        <w:tab/>
        <w:t xml:space="preserve">Pour se faire une opinion, le ministre doit tenir compte du régime fiscal qui s’appliquerait si la propriété fédérale en cause était imposable.  </w:t>
      </w:r>
      <w:r w:rsidRPr="00B95ED0">
        <w:rPr>
          <w:sz w:val="20"/>
          <w:lang w:val="fr-CA"/>
        </w:rPr>
        <w:t>Dans la mesure où le ministre applique le bon critère juridique, la norme de contrôle judiciaire applicable à l’exercice de son pouvoir discrétionnaire est la décision raisonnable</w:t>
      </w:r>
      <w:r w:rsidRPr="000D4AFC">
        <w:rPr>
          <w:sz w:val="20"/>
          <w:lang w:val="fr-FR"/>
        </w:rPr>
        <w:t>.</w:t>
      </w:r>
    </w:p>
    <w:p w:rsidR="00B95ED0" w:rsidRDefault="00B95ED0" w:rsidP="00B95ED0">
      <w:pPr>
        <w:pStyle w:val="SCCNormalDoubleSpacing"/>
        <w:spacing w:line="240" w:lineRule="auto"/>
        <w:rPr>
          <w:sz w:val="20"/>
          <w:lang w:val="fr-FR"/>
        </w:rPr>
      </w:pPr>
    </w:p>
    <w:p w:rsidR="00B95ED0" w:rsidRPr="00B95ED0" w:rsidRDefault="00B95ED0" w:rsidP="00B95ED0">
      <w:pPr>
        <w:pStyle w:val="SCCNormalDoubleSpacing"/>
        <w:spacing w:line="240" w:lineRule="auto"/>
        <w:rPr>
          <w:sz w:val="20"/>
          <w:lang w:val="fr-CA"/>
        </w:rPr>
      </w:pPr>
      <w:r w:rsidRPr="000D4AFC">
        <w:rPr>
          <w:sz w:val="20"/>
          <w:lang w:val="fr-FR"/>
        </w:rPr>
        <w:tab/>
        <w:t xml:space="preserve">En l’espèce, la décision du ministre est déraisonnable.  Premièrement, elle est déraisonnable </w:t>
      </w:r>
      <w:r w:rsidRPr="00B95ED0">
        <w:rPr>
          <w:sz w:val="20"/>
          <w:lang w:val="fr-CA"/>
        </w:rPr>
        <w:t>parce que le ministre a manqué à son obligation de se former une opinion de la valeur que déterminerait une autorité évaluatrice.  Le ministre a attribué au terrain occupé par le glacis une valeur nominale uniquement en raison de l’impossibilité de développer ce terrain.  Non seulement le ministre n’a pas adopté la méthode qu’utiliserait en fait l’autorité évaluatrice compétente pour évaluer la propriété en question, mais il disposait aussi d’éléments de preuve, apparemment non contredits, selon lesquels d’autres autorités évaluatrices canadiennes n’auraient pas attribué au terrain une valeur nominale compte tenu des restrictions applicables à son utilisation du fait de sa désignation comme lieu historique national.  De plus, rien dans la preuve n’indiquait qu’une quelconque autorité évaluatrice aurait évalué la propriété de cette façon</w:t>
      </w:r>
      <w:r w:rsidRPr="000D4AFC">
        <w:rPr>
          <w:sz w:val="20"/>
          <w:lang w:val="fr-FR"/>
        </w:rPr>
        <w:t xml:space="preserve">.  </w:t>
      </w:r>
      <w:r w:rsidRPr="00B95ED0">
        <w:rPr>
          <w:sz w:val="20"/>
          <w:lang w:val="fr-CA"/>
        </w:rPr>
        <w:t xml:space="preserve">Le ministre ne peut baser son évaluation sur un système fiscal fictif qu’il a créé </w:t>
      </w:r>
      <w:proofErr w:type="spellStart"/>
      <w:r w:rsidRPr="00B95ED0">
        <w:rPr>
          <w:sz w:val="20"/>
          <w:lang w:val="fr-CA"/>
        </w:rPr>
        <w:t>lui</w:t>
      </w:r>
      <w:r w:rsidRPr="00B95ED0">
        <w:rPr>
          <w:sz w:val="20"/>
          <w:lang w:val="fr-CA"/>
        </w:rPr>
        <w:noBreakHyphen/>
        <w:t>même</w:t>
      </w:r>
      <w:proofErr w:type="spellEnd"/>
      <w:r w:rsidRPr="00B95ED0">
        <w:rPr>
          <w:sz w:val="20"/>
          <w:lang w:val="fr-CA"/>
        </w:rPr>
        <w:t>.  C’est toutefois exactement ce qui s’est passé en l’espèce.</w:t>
      </w:r>
    </w:p>
    <w:p w:rsidR="00B95ED0" w:rsidRPr="00B95ED0" w:rsidRDefault="00B95ED0" w:rsidP="00B95ED0">
      <w:pPr>
        <w:pStyle w:val="SCCNormalDoubleSpacing"/>
        <w:spacing w:line="240" w:lineRule="auto"/>
        <w:rPr>
          <w:sz w:val="20"/>
          <w:lang w:val="fr-CA"/>
        </w:rPr>
      </w:pPr>
    </w:p>
    <w:p w:rsidR="00B95ED0" w:rsidRPr="000D4AFC" w:rsidRDefault="00B95ED0" w:rsidP="00B95ED0">
      <w:pPr>
        <w:pStyle w:val="SCCNormalDoubleSpacing"/>
        <w:spacing w:line="240" w:lineRule="auto"/>
        <w:rPr>
          <w:sz w:val="20"/>
          <w:lang w:val="fr-FR"/>
        </w:rPr>
      </w:pPr>
      <w:r w:rsidRPr="00B95ED0">
        <w:rPr>
          <w:sz w:val="20"/>
          <w:lang w:val="fr-CA"/>
        </w:rPr>
        <w:tab/>
        <w:t xml:space="preserve">L’opinion du ministre est également déraisonnable pour un deuxième motif : le ministre a contrevenu aux objectifs de la Loi et aux politiques qui la </w:t>
      </w:r>
      <w:proofErr w:type="spellStart"/>
      <w:r w:rsidRPr="00B95ED0">
        <w:rPr>
          <w:sz w:val="20"/>
          <w:lang w:val="fr-CA"/>
        </w:rPr>
        <w:t>sous</w:t>
      </w:r>
      <w:r w:rsidRPr="00B95ED0">
        <w:rPr>
          <w:sz w:val="20"/>
          <w:lang w:val="fr-CA"/>
        </w:rPr>
        <w:noBreakHyphen/>
        <w:t>tendent</w:t>
      </w:r>
      <w:proofErr w:type="spellEnd"/>
      <w:r w:rsidRPr="00B95ED0">
        <w:rPr>
          <w:sz w:val="20"/>
          <w:lang w:val="fr-CA"/>
        </w:rPr>
        <w:t xml:space="preserve"> en arrivant à sa décision.  Le ministre a adopté en matière d’évaluation un point de vue catégorique selon lequel une propriété fédérale est sans valeur si son statut de lieu historique national fait obstacle à son aménagement ou à son utilisation à des fins commerciales.  Ainsi, le ministre est allé à l’encontre de l’intention du législateur d’inclure les lieux historiques nationaux dans le régime des PRI</w:t>
      </w:r>
      <w:r w:rsidRPr="000D4AFC">
        <w:rPr>
          <w:sz w:val="20"/>
          <w:lang w:val="fr-FR"/>
        </w:rPr>
        <w:t xml:space="preserve">.  </w:t>
      </w:r>
      <w:r w:rsidRPr="00B95ED0">
        <w:rPr>
          <w:sz w:val="20"/>
          <w:lang w:val="fr-CA"/>
        </w:rPr>
        <w:t>La méthode retenue par le ministre a eu pour effet de contrecarrer l’économie même de la loi qui confère le pouvoir</w:t>
      </w:r>
      <w:r w:rsidRPr="000D4AFC">
        <w:rPr>
          <w:sz w:val="20"/>
          <w:lang w:val="fr-FR"/>
        </w:rPr>
        <w:t xml:space="preserve">. </w:t>
      </w:r>
    </w:p>
    <w:p w:rsidR="00B95ED0" w:rsidRDefault="00B95ED0" w:rsidP="00B95ED0">
      <w:pPr>
        <w:pStyle w:val="SCCNormalDoubleSpacing"/>
        <w:spacing w:line="240" w:lineRule="auto"/>
        <w:rPr>
          <w:sz w:val="20"/>
          <w:lang w:val="fr-FR"/>
        </w:rPr>
      </w:pPr>
    </w:p>
    <w:p w:rsidR="00B95ED0" w:rsidRPr="00B95ED0" w:rsidRDefault="00B95ED0" w:rsidP="00B95ED0">
      <w:pPr>
        <w:pStyle w:val="SCCNormalDoubleSpacing"/>
        <w:spacing w:line="240" w:lineRule="auto"/>
        <w:rPr>
          <w:sz w:val="20"/>
          <w:lang w:val="fr-CA"/>
        </w:rPr>
      </w:pPr>
      <w:r w:rsidRPr="000D4AFC">
        <w:rPr>
          <w:sz w:val="20"/>
          <w:lang w:val="fr-FR"/>
        </w:rPr>
        <w:tab/>
        <w:t xml:space="preserve">La position du ministre va également à l’encontre de la politique générale de la Loi suivant laquelle les municipalités doivent être traitées équitablement.  </w:t>
      </w:r>
      <w:r w:rsidRPr="00B95ED0">
        <w:rPr>
          <w:sz w:val="20"/>
          <w:lang w:val="fr-CA"/>
        </w:rPr>
        <w:t>La conclusion qu’un terrain de 42 acres situé en plein cœur d’un grand centre métropolitain n’a aucune valeur aux fins de taxation peut difficilement être considérée juste ou équitable.</w:t>
      </w:r>
    </w:p>
    <w:p w:rsidR="00B95ED0" w:rsidRPr="00B95ED0" w:rsidRDefault="00B95ED0" w:rsidP="00B95ED0">
      <w:pPr>
        <w:pStyle w:val="SCCNormalDoubleSpacing"/>
        <w:spacing w:line="240" w:lineRule="auto"/>
        <w:rPr>
          <w:sz w:val="20"/>
          <w:lang w:val="fr-CA"/>
        </w:rPr>
      </w:pPr>
    </w:p>
    <w:p w:rsidR="00B95ED0" w:rsidRPr="00B95ED0" w:rsidRDefault="00B95ED0" w:rsidP="00B95ED0">
      <w:pPr>
        <w:pStyle w:val="SCCNormalDoubleSpacing"/>
        <w:spacing w:line="240" w:lineRule="auto"/>
        <w:rPr>
          <w:sz w:val="20"/>
          <w:lang w:val="fr-CA"/>
        </w:rPr>
      </w:pPr>
      <w:r w:rsidRPr="00B95ED0">
        <w:rPr>
          <w:sz w:val="20"/>
          <w:lang w:val="fr-CA"/>
        </w:rPr>
        <w:tab/>
        <w:t xml:space="preserve">POURVOI contre un arrêt de la Cour d’appel fédérale (le juge en chef Blais et les juges Evans et </w:t>
      </w:r>
      <w:proofErr w:type="spellStart"/>
      <w:r w:rsidRPr="00B95ED0">
        <w:rPr>
          <w:sz w:val="20"/>
          <w:lang w:val="fr-CA"/>
        </w:rPr>
        <w:t>Sharlow</w:t>
      </w:r>
      <w:proofErr w:type="spellEnd"/>
      <w:r w:rsidRPr="00B95ED0">
        <w:rPr>
          <w:sz w:val="20"/>
          <w:lang w:val="fr-CA"/>
        </w:rPr>
        <w:t xml:space="preserve">), 2010 CAF 196, [2012] 1 R.C.F. 304, 405 N.R. 133, 321 D.L.R. (4th) 638, 7 </w:t>
      </w:r>
      <w:proofErr w:type="spellStart"/>
      <w:r w:rsidRPr="00B95ED0">
        <w:rPr>
          <w:sz w:val="20"/>
          <w:lang w:val="fr-CA"/>
        </w:rPr>
        <w:t>Admin</w:t>
      </w:r>
      <w:proofErr w:type="spellEnd"/>
      <w:r w:rsidRPr="00B95ED0">
        <w:rPr>
          <w:sz w:val="20"/>
          <w:lang w:val="fr-CA"/>
        </w:rPr>
        <w:t>. L.R. (5th) 213, 71 M.P.L.R. (4th) 176, 94 R.P.R. (4th) 15, [2010] A.C.F. n</w:t>
      </w:r>
      <w:r w:rsidRPr="00B95ED0">
        <w:rPr>
          <w:sz w:val="20"/>
          <w:vertAlign w:val="superscript"/>
          <w:lang w:val="fr-CA"/>
        </w:rPr>
        <w:t>o</w:t>
      </w:r>
      <w:r w:rsidRPr="00B95ED0">
        <w:rPr>
          <w:sz w:val="20"/>
          <w:lang w:val="fr-CA"/>
        </w:rPr>
        <w:t xml:space="preserve"> 950 (QL), 2010 </w:t>
      </w:r>
      <w:proofErr w:type="spellStart"/>
      <w:r w:rsidRPr="00B95ED0">
        <w:rPr>
          <w:sz w:val="20"/>
          <w:lang w:val="fr-CA"/>
        </w:rPr>
        <w:t>CarswellNat</w:t>
      </w:r>
      <w:proofErr w:type="spellEnd"/>
      <w:r w:rsidRPr="00B95ED0">
        <w:rPr>
          <w:sz w:val="20"/>
          <w:lang w:val="fr-CA"/>
        </w:rPr>
        <w:t xml:space="preserve"> 2417, qui a infirmé en partie une décision du juge Phelan, 2009 CF 670, 346 F.T.R. 264, 61 M.P.L.R. (4th) 187, 85 R.P.R. (4th) 52, [2009] A.C.F. n</w:t>
      </w:r>
      <w:r w:rsidRPr="00B95ED0">
        <w:rPr>
          <w:sz w:val="20"/>
          <w:vertAlign w:val="superscript"/>
          <w:lang w:val="fr-CA"/>
        </w:rPr>
        <w:t>o</w:t>
      </w:r>
      <w:r w:rsidRPr="00B95ED0">
        <w:rPr>
          <w:sz w:val="20"/>
          <w:lang w:val="fr-CA"/>
        </w:rPr>
        <w:t xml:space="preserve"> 842 (QL), 2009 </w:t>
      </w:r>
      <w:proofErr w:type="spellStart"/>
      <w:r w:rsidRPr="00B95ED0">
        <w:rPr>
          <w:sz w:val="20"/>
          <w:lang w:val="fr-CA"/>
        </w:rPr>
        <w:t>CarswellNat</w:t>
      </w:r>
      <w:proofErr w:type="spellEnd"/>
      <w:r w:rsidRPr="00B95ED0">
        <w:rPr>
          <w:sz w:val="20"/>
          <w:lang w:val="fr-CA"/>
        </w:rPr>
        <w:t xml:space="preserve"> 2045.  Pourvoi accueilli et affaire renvoyée au ministre pour nouvelle décision.</w:t>
      </w:r>
    </w:p>
    <w:p w:rsidR="00B95ED0" w:rsidRPr="00B95ED0" w:rsidRDefault="00B95ED0" w:rsidP="00B95ED0">
      <w:pPr>
        <w:pStyle w:val="SCCNormalDoubleSpacing"/>
        <w:spacing w:line="240" w:lineRule="auto"/>
        <w:rPr>
          <w:i/>
          <w:sz w:val="20"/>
          <w:lang w:val="fr-CA"/>
        </w:rPr>
      </w:pPr>
    </w:p>
    <w:p w:rsidR="00B95ED0" w:rsidRPr="00B95ED0" w:rsidRDefault="00B95ED0" w:rsidP="00B95ED0">
      <w:pPr>
        <w:pStyle w:val="SCCNormalDoubleSpacing"/>
        <w:spacing w:line="240" w:lineRule="auto"/>
        <w:rPr>
          <w:sz w:val="20"/>
          <w:lang w:val="fr-CA"/>
        </w:rPr>
      </w:pPr>
      <w:r w:rsidRPr="00B95ED0">
        <w:rPr>
          <w:i/>
          <w:sz w:val="20"/>
          <w:lang w:val="fr-CA"/>
        </w:rPr>
        <w:tab/>
        <w:t>Daniel M. Campbell, c.r.,</w:t>
      </w:r>
      <w:r w:rsidRPr="00B95ED0">
        <w:rPr>
          <w:sz w:val="20"/>
          <w:lang w:val="fr-CA"/>
        </w:rPr>
        <w:t xml:space="preserve"> et </w:t>
      </w:r>
      <w:r w:rsidRPr="00B95ED0">
        <w:rPr>
          <w:i/>
          <w:sz w:val="20"/>
          <w:lang w:val="fr-CA"/>
        </w:rPr>
        <w:t>Joseph F. Burke</w:t>
      </w:r>
      <w:r w:rsidRPr="00B95ED0">
        <w:rPr>
          <w:sz w:val="20"/>
          <w:lang w:val="fr-CA"/>
        </w:rPr>
        <w:t>, pour l’appelante.</w:t>
      </w:r>
    </w:p>
    <w:p w:rsidR="00B95ED0" w:rsidRPr="00B95ED0" w:rsidRDefault="00B95ED0" w:rsidP="00B95ED0">
      <w:pPr>
        <w:pStyle w:val="SCCNormalDoubleSpacing"/>
        <w:spacing w:line="240" w:lineRule="auto"/>
        <w:rPr>
          <w:i/>
          <w:sz w:val="20"/>
          <w:lang w:val="fr-CA"/>
        </w:rPr>
      </w:pPr>
    </w:p>
    <w:p w:rsidR="00B95ED0" w:rsidRPr="00B95ED0" w:rsidRDefault="00B95ED0" w:rsidP="00B95ED0">
      <w:pPr>
        <w:pStyle w:val="SCCNormalDoubleSpacing"/>
        <w:spacing w:line="240" w:lineRule="auto"/>
        <w:rPr>
          <w:sz w:val="20"/>
          <w:lang w:val="fr-CA"/>
        </w:rPr>
      </w:pPr>
      <w:r w:rsidRPr="00B95ED0">
        <w:rPr>
          <w:i/>
          <w:sz w:val="20"/>
          <w:lang w:val="fr-CA"/>
        </w:rPr>
        <w:tab/>
        <w:t xml:space="preserve">Ginette </w:t>
      </w:r>
      <w:proofErr w:type="spellStart"/>
      <w:r w:rsidRPr="00B95ED0">
        <w:rPr>
          <w:i/>
          <w:sz w:val="20"/>
          <w:lang w:val="fr-CA"/>
        </w:rPr>
        <w:t>Gobeil</w:t>
      </w:r>
      <w:proofErr w:type="spellEnd"/>
      <w:r w:rsidRPr="00B95ED0">
        <w:rPr>
          <w:i/>
          <w:sz w:val="20"/>
          <w:lang w:val="fr-CA"/>
        </w:rPr>
        <w:t xml:space="preserve"> </w:t>
      </w:r>
      <w:r w:rsidRPr="00B95ED0">
        <w:rPr>
          <w:sz w:val="20"/>
          <w:lang w:val="fr-CA"/>
        </w:rPr>
        <w:t>et</w:t>
      </w:r>
      <w:r w:rsidRPr="00B95ED0">
        <w:rPr>
          <w:i/>
          <w:sz w:val="20"/>
          <w:lang w:val="fr-CA"/>
        </w:rPr>
        <w:t xml:space="preserve"> René </w:t>
      </w:r>
      <w:proofErr w:type="spellStart"/>
      <w:r w:rsidRPr="00B95ED0">
        <w:rPr>
          <w:i/>
          <w:sz w:val="20"/>
          <w:lang w:val="fr-CA"/>
        </w:rPr>
        <w:t>LeBlanc</w:t>
      </w:r>
      <w:proofErr w:type="spellEnd"/>
      <w:r w:rsidRPr="00B95ED0">
        <w:rPr>
          <w:sz w:val="20"/>
          <w:lang w:val="fr-CA"/>
        </w:rPr>
        <w:t>, pour l’intimée.</w:t>
      </w:r>
    </w:p>
    <w:p w:rsidR="00B95ED0" w:rsidRPr="00B95ED0" w:rsidRDefault="00B95ED0" w:rsidP="00B95ED0">
      <w:pPr>
        <w:pStyle w:val="SCCNormalDoubleSpacing"/>
        <w:spacing w:line="240" w:lineRule="auto"/>
        <w:rPr>
          <w:i/>
          <w:sz w:val="20"/>
          <w:lang w:val="fr-CA"/>
        </w:rPr>
      </w:pPr>
    </w:p>
    <w:p w:rsidR="00B95ED0" w:rsidRPr="00B95ED0" w:rsidRDefault="00B95ED0" w:rsidP="00B95ED0">
      <w:pPr>
        <w:pStyle w:val="SCCNormalDoubleSpacing"/>
        <w:spacing w:line="240" w:lineRule="auto"/>
        <w:rPr>
          <w:sz w:val="20"/>
          <w:lang w:val="fr-CA"/>
        </w:rPr>
      </w:pPr>
      <w:r w:rsidRPr="00B95ED0">
        <w:rPr>
          <w:i/>
          <w:sz w:val="20"/>
          <w:lang w:val="fr-CA"/>
        </w:rPr>
        <w:tab/>
        <w:t xml:space="preserve">Diana W. </w:t>
      </w:r>
      <w:proofErr w:type="spellStart"/>
      <w:r w:rsidRPr="00B95ED0">
        <w:rPr>
          <w:i/>
          <w:sz w:val="20"/>
          <w:lang w:val="fr-CA"/>
        </w:rPr>
        <w:t>Dimmer</w:t>
      </w:r>
      <w:proofErr w:type="spellEnd"/>
      <w:r w:rsidRPr="00B95ED0">
        <w:rPr>
          <w:sz w:val="20"/>
          <w:lang w:val="fr-CA"/>
        </w:rPr>
        <w:t xml:space="preserve"> et </w:t>
      </w:r>
      <w:r w:rsidRPr="00B95ED0">
        <w:rPr>
          <w:i/>
          <w:sz w:val="20"/>
          <w:lang w:val="fr-CA"/>
        </w:rPr>
        <w:t xml:space="preserve">Angus S. </w:t>
      </w:r>
      <w:proofErr w:type="spellStart"/>
      <w:r w:rsidRPr="00B95ED0">
        <w:rPr>
          <w:i/>
          <w:sz w:val="20"/>
          <w:lang w:val="fr-CA"/>
        </w:rPr>
        <w:t>MacKay</w:t>
      </w:r>
      <w:proofErr w:type="spellEnd"/>
      <w:r w:rsidRPr="00B95ED0">
        <w:rPr>
          <w:sz w:val="20"/>
          <w:lang w:val="fr-CA"/>
        </w:rPr>
        <w:t>, pour l’intervenante la Ville de Toronto.</w:t>
      </w:r>
    </w:p>
    <w:p w:rsidR="00B95ED0" w:rsidRPr="00B95ED0" w:rsidRDefault="00B95ED0" w:rsidP="00B95ED0">
      <w:pPr>
        <w:pStyle w:val="SCCNormalDoubleSpacing"/>
        <w:spacing w:line="240" w:lineRule="auto"/>
        <w:rPr>
          <w:i/>
          <w:sz w:val="20"/>
          <w:lang w:val="fr-CA"/>
        </w:rPr>
      </w:pPr>
    </w:p>
    <w:p w:rsidR="00B95ED0" w:rsidRPr="00B95ED0" w:rsidRDefault="00B95ED0" w:rsidP="00B95ED0">
      <w:pPr>
        <w:pStyle w:val="SCCNormalDoubleSpacing"/>
        <w:spacing w:line="240" w:lineRule="auto"/>
        <w:rPr>
          <w:sz w:val="20"/>
          <w:lang w:val="fr-CA"/>
        </w:rPr>
      </w:pPr>
      <w:r w:rsidRPr="00B95ED0">
        <w:rPr>
          <w:i/>
          <w:sz w:val="20"/>
          <w:lang w:val="fr-CA"/>
        </w:rPr>
        <w:tab/>
      </w:r>
      <w:proofErr w:type="spellStart"/>
      <w:r w:rsidRPr="00B95ED0">
        <w:rPr>
          <w:i/>
          <w:sz w:val="20"/>
          <w:lang w:val="fr-CA"/>
        </w:rPr>
        <w:t>Marie</w:t>
      </w:r>
      <w:r w:rsidRPr="00B95ED0">
        <w:rPr>
          <w:i/>
          <w:sz w:val="20"/>
          <w:lang w:val="fr-CA"/>
        </w:rPr>
        <w:noBreakHyphen/>
        <w:t>France</w:t>
      </w:r>
      <w:proofErr w:type="spellEnd"/>
      <w:r w:rsidRPr="00B95ED0">
        <w:rPr>
          <w:i/>
          <w:sz w:val="20"/>
          <w:lang w:val="fr-CA"/>
        </w:rPr>
        <w:t xml:space="preserve"> Major</w:t>
      </w:r>
      <w:r w:rsidRPr="00B95ED0">
        <w:rPr>
          <w:sz w:val="20"/>
          <w:lang w:val="fr-CA"/>
        </w:rPr>
        <w:t>, pour l’intervenante la Fédération canadienne des municipalités.</w:t>
      </w:r>
    </w:p>
    <w:p w:rsidR="00B95ED0" w:rsidRPr="00B95ED0" w:rsidRDefault="00B95ED0" w:rsidP="00B95ED0">
      <w:pPr>
        <w:pStyle w:val="SCCNormalDoubleSpacing"/>
        <w:spacing w:line="240" w:lineRule="auto"/>
        <w:rPr>
          <w:i/>
          <w:sz w:val="20"/>
          <w:lang w:val="fr-CA"/>
        </w:rPr>
      </w:pPr>
    </w:p>
    <w:p w:rsidR="00B95ED0" w:rsidRPr="00B95ED0" w:rsidRDefault="00B95ED0" w:rsidP="00B95ED0">
      <w:pPr>
        <w:pStyle w:val="SCCNormalDoubleSpacing"/>
        <w:spacing w:line="240" w:lineRule="auto"/>
        <w:rPr>
          <w:sz w:val="20"/>
          <w:lang w:val="fr-CA"/>
        </w:rPr>
      </w:pPr>
      <w:r w:rsidRPr="00B95ED0">
        <w:rPr>
          <w:i/>
          <w:sz w:val="20"/>
          <w:lang w:val="fr-CA"/>
        </w:rPr>
        <w:tab/>
        <w:t>Harley J. Harris</w:t>
      </w:r>
      <w:r w:rsidRPr="00B95ED0">
        <w:rPr>
          <w:sz w:val="20"/>
          <w:lang w:val="fr-CA"/>
        </w:rPr>
        <w:t xml:space="preserve"> et </w:t>
      </w:r>
      <w:r w:rsidRPr="00B95ED0">
        <w:rPr>
          <w:i/>
          <w:sz w:val="20"/>
          <w:lang w:val="fr-CA"/>
        </w:rPr>
        <w:t xml:space="preserve">Michael F. </w:t>
      </w:r>
      <w:proofErr w:type="spellStart"/>
      <w:r w:rsidRPr="00B95ED0">
        <w:rPr>
          <w:i/>
          <w:sz w:val="20"/>
          <w:lang w:val="fr-CA"/>
        </w:rPr>
        <w:t>Robson</w:t>
      </w:r>
      <w:proofErr w:type="spellEnd"/>
      <w:r w:rsidRPr="00B95ED0">
        <w:rPr>
          <w:sz w:val="20"/>
          <w:lang w:val="fr-CA"/>
        </w:rPr>
        <w:t>, pour l’intervenante l’Association des administrations portuaires canadiennes.</w:t>
      </w:r>
    </w:p>
    <w:p w:rsidR="00B95ED0" w:rsidRPr="00B95ED0" w:rsidRDefault="00B95ED0" w:rsidP="00B95ED0">
      <w:pPr>
        <w:pStyle w:val="SCCNormalDoubleSpacing"/>
        <w:spacing w:line="240" w:lineRule="auto"/>
        <w:rPr>
          <w:i/>
          <w:sz w:val="20"/>
          <w:lang w:val="fr-CA"/>
        </w:rPr>
      </w:pPr>
    </w:p>
    <w:p w:rsidR="00B95ED0" w:rsidRPr="00B95ED0" w:rsidRDefault="00B95ED0" w:rsidP="00B95ED0">
      <w:pPr>
        <w:pStyle w:val="SCCNormalDoubleSpacing"/>
        <w:spacing w:line="240" w:lineRule="auto"/>
        <w:rPr>
          <w:sz w:val="20"/>
          <w:lang w:val="fr-CA"/>
        </w:rPr>
      </w:pPr>
      <w:r w:rsidRPr="00B95ED0">
        <w:rPr>
          <w:i/>
          <w:sz w:val="20"/>
          <w:lang w:val="fr-CA"/>
        </w:rPr>
        <w:tab/>
        <w:t>Richard Grondin</w:t>
      </w:r>
      <w:r w:rsidRPr="00B95ED0">
        <w:rPr>
          <w:sz w:val="20"/>
          <w:lang w:val="fr-CA"/>
        </w:rPr>
        <w:t xml:space="preserve"> et </w:t>
      </w:r>
      <w:r w:rsidRPr="00B95ED0">
        <w:rPr>
          <w:i/>
          <w:sz w:val="20"/>
          <w:lang w:val="fr-CA"/>
        </w:rPr>
        <w:t>Éric Boisvert</w:t>
      </w:r>
      <w:r w:rsidRPr="00B95ED0">
        <w:rPr>
          <w:sz w:val="20"/>
          <w:lang w:val="fr-CA"/>
        </w:rPr>
        <w:t>, pour l’intervenante la Ville de Québec.</w:t>
      </w:r>
    </w:p>
    <w:p w:rsidR="00B95ED0" w:rsidRPr="00B95ED0" w:rsidRDefault="00B95ED0" w:rsidP="00B95ED0">
      <w:pPr>
        <w:pStyle w:val="SCCLawFirm"/>
        <w:spacing w:line="240" w:lineRule="auto"/>
        <w:rPr>
          <w:sz w:val="20"/>
          <w:lang w:val="fr-CA"/>
        </w:rPr>
      </w:pPr>
    </w:p>
    <w:p w:rsidR="00B95ED0" w:rsidRPr="00B95ED0" w:rsidRDefault="00B95ED0" w:rsidP="00B95ED0">
      <w:pPr>
        <w:pStyle w:val="SCCLawFirm"/>
        <w:spacing w:line="240" w:lineRule="auto"/>
        <w:rPr>
          <w:sz w:val="20"/>
          <w:lang w:val="fr-CA"/>
        </w:rPr>
      </w:pPr>
      <w:r w:rsidRPr="00B95ED0">
        <w:rPr>
          <w:sz w:val="20"/>
          <w:lang w:val="fr-CA"/>
        </w:rPr>
        <w:tab/>
        <w:t>Procureurs de l’appelante : Cox &amp; Palmer, Halifax.</w:t>
      </w:r>
    </w:p>
    <w:p w:rsidR="00B95ED0" w:rsidRPr="00B95ED0" w:rsidRDefault="00B95ED0" w:rsidP="00B95ED0">
      <w:pPr>
        <w:pStyle w:val="SCCLawFirm"/>
        <w:spacing w:line="240" w:lineRule="auto"/>
        <w:rPr>
          <w:sz w:val="20"/>
          <w:lang w:val="fr-CA"/>
        </w:rPr>
      </w:pPr>
    </w:p>
    <w:p w:rsidR="00B95ED0" w:rsidRPr="00B95ED0" w:rsidRDefault="00B95ED0" w:rsidP="00B95ED0">
      <w:pPr>
        <w:pStyle w:val="SCCLawFirm"/>
        <w:spacing w:line="240" w:lineRule="auto"/>
        <w:rPr>
          <w:sz w:val="20"/>
          <w:lang w:val="fr-CA"/>
        </w:rPr>
      </w:pPr>
      <w:r w:rsidRPr="00B95ED0">
        <w:rPr>
          <w:sz w:val="20"/>
          <w:lang w:val="fr-CA"/>
        </w:rPr>
        <w:tab/>
        <w:t>Procureur de l’intimée : Procureur général du Canada, Ottawa.</w:t>
      </w:r>
    </w:p>
    <w:p w:rsidR="00B95ED0" w:rsidRPr="00B95ED0" w:rsidRDefault="00B95ED0" w:rsidP="00B95ED0">
      <w:pPr>
        <w:pStyle w:val="SCCLawFirm"/>
        <w:spacing w:line="240" w:lineRule="auto"/>
        <w:rPr>
          <w:sz w:val="20"/>
          <w:lang w:val="fr-CA"/>
        </w:rPr>
      </w:pPr>
    </w:p>
    <w:p w:rsidR="00B95ED0" w:rsidRPr="00B95ED0" w:rsidRDefault="00B95ED0" w:rsidP="00B95ED0">
      <w:pPr>
        <w:pStyle w:val="SCCLawFirm"/>
        <w:spacing w:line="240" w:lineRule="auto"/>
        <w:rPr>
          <w:sz w:val="20"/>
          <w:lang w:val="fr-CA"/>
        </w:rPr>
      </w:pPr>
      <w:r w:rsidRPr="00B95ED0">
        <w:rPr>
          <w:sz w:val="20"/>
          <w:lang w:val="fr-CA"/>
        </w:rPr>
        <w:tab/>
        <w:t>Procureur de l’intervenante la Ville de Toronto : Ville de Toronto, Toronto.</w:t>
      </w:r>
    </w:p>
    <w:p w:rsidR="00B95ED0" w:rsidRPr="00B95ED0" w:rsidRDefault="00B95ED0" w:rsidP="00B95ED0">
      <w:pPr>
        <w:pStyle w:val="SCCLawFirm"/>
        <w:spacing w:line="240" w:lineRule="auto"/>
        <w:rPr>
          <w:sz w:val="20"/>
          <w:lang w:val="fr-CA"/>
        </w:rPr>
      </w:pPr>
    </w:p>
    <w:p w:rsidR="00B95ED0" w:rsidRPr="00B95ED0" w:rsidRDefault="00B95ED0" w:rsidP="00B95ED0">
      <w:pPr>
        <w:pStyle w:val="SCCLawFirm"/>
        <w:spacing w:line="240" w:lineRule="auto"/>
        <w:rPr>
          <w:sz w:val="20"/>
          <w:lang w:val="fr-CA"/>
        </w:rPr>
      </w:pPr>
      <w:r w:rsidRPr="00B95ED0">
        <w:rPr>
          <w:sz w:val="20"/>
          <w:lang w:val="fr-CA"/>
        </w:rPr>
        <w:tab/>
        <w:t>Procureurs de l’intervenante la Fédération canadienne des municipalités : </w:t>
      </w:r>
      <w:proofErr w:type="spellStart"/>
      <w:r w:rsidRPr="00B95ED0">
        <w:rPr>
          <w:sz w:val="20"/>
          <w:lang w:val="fr-CA"/>
        </w:rPr>
        <w:t>McMillan</w:t>
      </w:r>
      <w:proofErr w:type="spellEnd"/>
      <w:r w:rsidRPr="00B95ED0">
        <w:rPr>
          <w:sz w:val="20"/>
          <w:lang w:val="fr-CA"/>
        </w:rPr>
        <w:t>, Ottawa.</w:t>
      </w:r>
    </w:p>
    <w:p w:rsidR="00B95ED0" w:rsidRPr="00B95ED0" w:rsidRDefault="00B95ED0" w:rsidP="00B95ED0">
      <w:pPr>
        <w:pStyle w:val="SCCLawFirm"/>
        <w:spacing w:line="240" w:lineRule="auto"/>
        <w:rPr>
          <w:sz w:val="20"/>
          <w:lang w:val="fr-CA"/>
        </w:rPr>
      </w:pPr>
    </w:p>
    <w:p w:rsidR="00B95ED0" w:rsidRPr="00B95ED0" w:rsidRDefault="00B95ED0" w:rsidP="00B95ED0">
      <w:pPr>
        <w:pStyle w:val="SCCLawFirm"/>
        <w:spacing w:line="240" w:lineRule="auto"/>
        <w:rPr>
          <w:sz w:val="20"/>
          <w:lang w:val="fr-CA"/>
        </w:rPr>
      </w:pPr>
      <w:r w:rsidRPr="00B95ED0">
        <w:rPr>
          <w:sz w:val="20"/>
          <w:lang w:val="fr-CA"/>
        </w:rPr>
        <w:tab/>
        <w:t xml:space="preserve">Procureurs de l’intervenante l’Association des administrations portuaires canadiennes : Owen </w:t>
      </w:r>
      <w:proofErr w:type="spellStart"/>
      <w:r w:rsidRPr="00B95ED0">
        <w:rPr>
          <w:sz w:val="20"/>
          <w:lang w:val="fr-CA"/>
        </w:rPr>
        <w:t>Bird</w:t>
      </w:r>
      <w:proofErr w:type="spellEnd"/>
      <w:r w:rsidRPr="00B95ED0">
        <w:rPr>
          <w:sz w:val="20"/>
          <w:lang w:val="fr-CA"/>
        </w:rPr>
        <w:t xml:space="preserve"> Law Corporation, Vancouver.</w:t>
      </w:r>
    </w:p>
    <w:p w:rsidR="00B95ED0" w:rsidRPr="00B95ED0" w:rsidRDefault="00B95ED0" w:rsidP="00B95ED0">
      <w:pPr>
        <w:pStyle w:val="SCCLawFirm"/>
        <w:spacing w:line="240" w:lineRule="auto"/>
        <w:rPr>
          <w:sz w:val="20"/>
          <w:lang w:val="fr-CA"/>
        </w:rPr>
      </w:pPr>
    </w:p>
    <w:p w:rsidR="003B3977" w:rsidRPr="00B95ED0" w:rsidRDefault="00B95ED0" w:rsidP="00B95ED0">
      <w:pPr>
        <w:rPr>
          <w:i/>
          <w:sz w:val="20"/>
          <w:szCs w:val="20"/>
          <w:lang w:val="fr-CA"/>
        </w:rPr>
      </w:pPr>
      <w:r w:rsidRPr="00B95ED0">
        <w:rPr>
          <w:i/>
          <w:sz w:val="20"/>
          <w:szCs w:val="20"/>
          <w:lang w:val="fr-CA"/>
        </w:rPr>
        <w:tab/>
        <w:t>Procureurs de l’intervenante la Ville de Québec : </w:t>
      </w:r>
      <w:proofErr w:type="spellStart"/>
      <w:r w:rsidRPr="00B95ED0">
        <w:rPr>
          <w:i/>
          <w:sz w:val="20"/>
          <w:szCs w:val="20"/>
          <w:lang w:val="fr-CA"/>
        </w:rPr>
        <w:t>Giasson</w:t>
      </w:r>
      <w:proofErr w:type="spellEnd"/>
      <w:r w:rsidRPr="00B95ED0">
        <w:rPr>
          <w:i/>
          <w:sz w:val="20"/>
          <w:szCs w:val="20"/>
          <w:lang w:val="fr-CA"/>
        </w:rPr>
        <w:t xml:space="preserve"> et associés, Québec.</w:t>
      </w:r>
    </w:p>
    <w:p w:rsidR="00B95ED0" w:rsidRPr="00B95ED0" w:rsidRDefault="00B95ED0" w:rsidP="00B95ED0">
      <w:pPr>
        <w:rPr>
          <w:rFonts w:cs="Times New Roman"/>
          <w:sz w:val="20"/>
          <w:szCs w:val="20"/>
          <w:lang w:val="fr-CA"/>
        </w:rPr>
      </w:pPr>
    </w:p>
    <w:p w:rsidR="00B95ED0" w:rsidRDefault="00ED3438" w:rsidP="005C6840">
      <w:pPr>
        <w:rPr>
          <w:rFonts w:cs="Times New Roman"/>
          <w:sz w:val="20"/>
          <w:szCs w:val="20"/>
          <w:lang w:val="fr-CA"/>
        </w:rPr>
      </w:pPr>
      <w:r w:rsidRPr="00ED3438">
        <w:rPr>
          <w:rFonts w:cs="Times New Roman"/>
          <w:sz w:val="20"/>
          <w:szCs w:val="20"/>
          <w:lang w:val="fr-CA"/>
        </w:rPr>
        <w:pict>
          <v:rect id="_x0000_i1086" style="width:144.3pt;height:1pt" o:hrpct="300" o:hralign="center" o:hrstd="t" o:hrnoshade="t" o:hr="t" fillcolor="black [3213]" stroked="f"/>
        </w:pict>
      </w:r>
    </w:p>
    <w:p w:rsidR="00B95ED0" w:rsidRDefault="00B95ED0" w:rsidP="005C6840">
      <w:pPr>
        <w:rPr>
          <w:rFonts w:cs="Times New Roman"/>
          <w:sz w:val="20"/>
          <w:szCs w:val="20"/>
          <w:lang w:val="fr-CA"/>
        </w:rPr>
      </w:pP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576" w:footer="960" w:gutter="0"/>
          <w:cols w:space="720"/>
          <w:titlePg/>
          <w:docGrid w:linePitch="272"/>
        </w:sectPr>
      </w:pPr>
    </w:p>
    <w:p w:rsidR="00E903A1" w:rsidRPr="002E0C7E" w:rsidRDefault="00ED3438"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sidRPr="00B058C3">
              <w:rPr>
                <w:rFonts w:ascii="Arial" w:hAnsi="Arial"/>
                <w:b/>
                <w:sz w:val="16"/>
                <w:lang w:val="fr-CA"/>
              </w:rPr>
              <w:t>/semaines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87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 xml:space="preserve">3    holidays during sitting days/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9"/>
      <w:footerReference w:type="default" r:id="rId60"/>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67C" w:rsidRDefault="00E8567C" w:rsidP="00A87207">
      <w:r>
        <w:separator/>
      </w:r>
    </w:p>
  </w:endnote>
  <w:endnote w:type="continuationSeparator" w:id="0">
    <w:p w:rsidR="00E8567C" w:rsidRDefault="00E8567C"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D3438">
    <w:pPr>
      <w:pStyle w:val="Footer"/>
      <w:rPr>
        <w:lang w:val="fr-CA"/>
      </w:rPr>
    </w:pPr>
    <w:r w:rsidRPr="00ED3438">
      <w:rPr>
        <w:lang w:val="fr-CA"/>
      </w:rPr>
      <w:pict>
        <v:rect id="_x0000_i1068" style="width:480.95pt;height:1pt" o:hralign="center" o:hrstd="t" o:hrnoshade="t" o:hr="t" fillcolor="black [3213]" stroked="f"/>
      </w:pict>
    </w:r>
  </w:p>
  <w:p w:rsidR="00E8567C" w:rsidRDefault="00E8567C" w:rsidP="00245129">
    <w:pPr>
      <w:tabs>
        <w:tab w:val="center" w:pos="4680"/>
      </w:tabs>
    </w:pPr>
    <w:r>
      <w:tab/>
    </w:r>
    <w:r w:rsidRPr="0009648D">
      <w:t xml:space="preserve">- </w:t>
    </w:r>
    <w:fldSimple w:instr=" PAGE   \* MERGEFORMAT ">
      <w:r w:rsidR="00017BF4">
        <w:rPr>
          <w:noProof/>
        </w:rPr>
        <w:t>917</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8567C"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8567C" w:rsidRDefault="00E8567C">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D3438" w:rsidP="00755F22">
    <w:pPr>
      <w:tabs>
        <w:tab w:val="left" w:pos="-1440"/>
        <w:tab w:val="left" w:pos="-720"/>
      </w:tabs>
    </w:pPr>
    <w:r>
      <w:pict>
        <v:rect id="_x0000_i1073" style="width:480.95pt;height:1pt" o:hralign="center" o:hrstd="t" o:hrnoshade="t" o:hr="t" fillcolor="black [3213]" stroked="f"/>
      </w:pict>
    </w:r>
  </w:p>
  <w:p w:rsidR="00E8567C" w:rsidRDefault="00E8567C" w:rsidP="00EB2B90">
    <w:pPr>
      <w:tabs>
        <w:tab w:val="center" w:pos="4680"/>
      </w:tabs>
    </w:pPr>
    <w:r>
      <w:tab/>
      <w:t xml:space="preserve">- </w:t>
    </w:r>
    <w:fldSimple w:instr=" PAGE   \* MERGEFORMAT ">
      <w:r w:rsidR="00017BF4">
        <w:rPr>
          <w:noProof/>
        </w:rPr>
        <w:t>942</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D3438" w:rsidP="00EB2B90">
    <w:pPr>
      <w:tabs>
        <w:tab w:val="center" w:pos="4680"/>
      </w:tabs>
    </w:pPr>
    <w:r>
      <w:pict>
        <v:rect id="_x0000_i1074" style="width:480.95pt;height:1pt" o:hralign="center" o:hrstd="t" o:hrnoshade="t" o:hr="t" fillcolor="black [3213]" stroked="f"/>
      </w:pict>
    </w:r>
  </w:p>
  <w:p w:rsidR="00E8567C" w:rsidRPr="0031432F" w:rsidRDefault="00E8567C" w:rsidP="00EB2B90">
    <w:pPr>
      <w:tabs>
        <w:tab w:val="center" w:pos="4680"/>
      </w:tabs>
    </w:pPr>
    <w:r>
      <w:tab/>
      <w:t xml:space="preserve">- </w:t>
    </w:r>
    <w:fldSimple w:instr=" PAGE   \* MERGEFORMAT ">
      <w:r w:rsidR="00017BF4">
        <w:rPr>
          <w:noProof/>
        </w:rPr>
        <w:t>937</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8567C"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8567C" w:rsidRDefault="00E8567C">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D34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D3438">
      <w:rPr>
        <w:lang w:val="fr-CA"/>
      </w:rPr>
      <w:pict>
        <v:rect id="_x0000_i1076" style="width:480.95pt;height:1pt" o:hralign="center" o:hrstd="t" o:hrnoshade="t" o:hr="t" fillcolor="black [3213]" stroked="f"/>
      </w:pict>
    </w:r>
  </w:p>
  <w:p w:rsidR="00E8567C" w:rsidRDefault="00E8567C"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D3438">
    <w:pPr>
      <w:pStyle w:val="Footer"/>
      <w:rPr>
        <w:lang w:val="fr-CA"/>
      </w:rPr>
    </w:pPr>
    <w:r w:rsidRPr="00ED3438">
      <w:rPr>
        <w:lang w:val="fr-CA"/>
      </w:rPr>
      <w:pict>
        <v:rect id="_x0000_i1077" style="width:480.95pt;height:1pt" o:hralign="center" o:hrstd="t" o:hrnoshade="t" o:hr="t" fillcolor="black [3213]" stroked="f"/>
      </w:pict>
    </w:r>
  </w:p>
  <w:p w:rsidR="00E8567C" w:rsidRDefault="00E8567C" w:rsidP="00EB2B90">
    <w:pPr>
      <w:tabs>
        <w:tab w:val="center" w:pos="4680"/>
      </w:tabs>
    </w:pPr>
    <w:r>
      <w:tab/>
      <w:t xml:space="preserve">- </w:t>
    </w:r>
    <w:fldSimple w:instr=" PAGE   \* MERGEFORMAT ">
      <w:r w:rsidR="00017BF4">
        <w:rPr>
          <w:noProof/>
        </w:rPr>
        <w:t>943</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8567C"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8567C" w:rsidRDefault="00E8567C">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D3438" w:rsidP="00732DB7">
    <w:r>
      <w:pict>
        <v:rect id="_x0000_i1080" style="width:480.95pt;height:1pt" o:hralign="center" o:hrstd="t" o:hrnoshade="t" o:hr="t" fillcolor="black" stroked="f"/>
      </w:pict>
    </w:r>
  </w:p>
  <w:p w:rsidR="00E8567C" w:rsidRDefault="00E8567C">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D3438">
    <w:pPr>
      <w:pStyle w:val="Footer"/>
    </w:pPr>
    <w:r>
      <w:pict>
        <v:rect id="_x0000_i1081" style="width:480.95pt;height:1pt" o:hralign="center" o:hrstd="t" o:hrnoshade="t" o:hr="t" fillcolor="black" stroked="f"/>
      </w:pict>
    </w:r>
  </w:p>
  <w:p w:rsidR="00E8567C" w:rsidRPr="00283C52" w:rsidRDefault="00E8567C">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8567C"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8567C" w:rsidRDefault="00E8567C">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D3438" w:rsidP="00732DB7">
    <w:r>
      <w:pict>
        <v:rect id="_x0000_i1083" style="width:480.95pt;height:1pt" o:hralign="center" o:hrstd="t" o:hrnoshade="t" o:hr="t" fillcolor="black" stroked="f"/>
      </w:pict>
    </w:r>
  </w:p>
  <w:p w:rsidR="00E8567C" w:rsidRDefault="00E8567C">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D3438">
    <w:pPr>
      <w:pStyle w:val="Footer"/>
    </w:pPr>
    <w:r>
      <w:pict>
        <v:rect id="_x0000_i1084" style="width:480.95pt;height:1pt" o:hralign="center" o:hrstd="t" o:hrnoshade="t" o:hr="t" fillcolor="black [3213]" stroked="f"/>
      </w:pict>
    </w:r>
  </w:p>
  <w:p w:rsidR="00E8567C" w:rsidRPr="003C2C0F" w:rsidRDefault="00E8567C" w:rsidP="00697C62">
    <w:pPr>
      <w:tabs>
        <w:tab w:val="center" w:pos="4680"/>
      </w:tabs>
    </w:pPr>
    <w:r>
      <w:tab/>
      <w:t xml:space="preserve">- </w:t>
    </w:r>
    <w:fldSimple w:instr=" PAGE   \* MERGEFORMAT ">
      <w:r w:rsidR="00017BF4">
        <w:rPr>
          <w:noProof/>
        </w:rPr>
        <w:t>948</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8567C"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8567C" w:rsidRDefault="00E8567C">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8567C" w:rsidRDefault="00ED34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7" style="width:480.95pt;height:1pt" o:hralign="center" o:hrstd="t" o:hrnoshade="t" o:hr="t" fillcolor="black [3213]" stroked="f"/>
      </w:pict>
    </w:r>
  </w:p>
  <w:p w:rsidR="00E8567C" w:rsidRDefault="00E8567C" w:rsidP="00782AE4">
    <w:pPr>
      <w:tabs>
        <w:tab w:val="center" w:pos="4680"/>
      </w:tabs>
    </w:pPr>
    <w:r>
      <w:tab/>
      <w:t xml:space="preserve">- </w:t>
    </w:r>
    <w:r w:rsidR="00ED3438" w:rsidRPr="001775C1">
      <w:rPr>
        <w:szCs w:val="24"/>
      </w:rPr>
      <w:fldChar w:fldCharType="begin"/>
    </w:r>
    <w:r w:rsidRPr="001775C1">
      <w:rPr>
        <w:szCs w:val="24"/>
      </w:rPr>
      <w:instrText xml:space="preserve"> PAGE   \* MERGEFORMAT </w:instrText>
    </w:r>
    <w:r w:rsidR="00ED3438" w:rsidRPr="001775C1">
      <w:rPr>
        <w:szCs w:val="24"/>
      </w:rPr>
      <w:fldChar w:fldCharType="separate"/>
    </w:r>
    <w:r w:rsidR="00017BF4">
      <w:rPr>
        <w:noProof/>
        <w:szCs w:val="24"/>
      </w:rPr>
      <w:t>952</w:t>
    </w:r>
    <w:r w:rsidR="00ED3438"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D3438" w:rsidP="00782AE4">
    <w:pPr>
      <w:tabs>
        <w:tab w:val="center" w:pos="4680"/>
      </w:tabs>
    </w:pPr>
    <w:r>
      <w:pict>
        <v:rect id="_x0000_i1088" style="width:480.95pt;height:1pt" o:hralign="center" o:hrstd="t" o:hrnoshade="t" o:hr="t" fillcolor="black [3213]" stroked="f"/>
      </w:pict>
    </w:r>
  </w:p>
  <w:p w:rsidR="00E8567C" w:rsidRDefault="00E8567C" w:rsidP="00782AE4">
    <w:pPr>
      <w:tabs>
        <w:tab w:val="center" w:pos="4680"/>
      </w:tabs>
    </w:pPr>
    <w:r>
      <w:tab/>
      <w:t xml:space="preserve">- </w:t>
    </w:r>
    <w:r w:rsidR="00ED3438" w:rsidRPr="001775C1">
      <w:rPr>
        <w:szCs w:val="24"/>
      </w:rPr>
      <w:fldChar w:fldCharType="begin"/>
    </w:r>
    <w:r w:rsidRPr="001775C1">
      <w:rPr>
        <w:szCs w:val="24"/>
      </w:rPr>
      <w:instrText xml:space="preserve"> PAGE   \* MERGEFORMAT </w:instrText>
    </w:r>
    <w:r w:rsidR="00ED3438" w:rsidRPr="001775C1">
      <w:rPr>
        <w:szCs w:val="24"/>
      </w:rPr>
      <w:fldChar w:fldCharType="separate"/>
    </w:r>
    <w:r w:rsidR="00017BF4">
      <w:rPr>
        <w:noProof/>
        <w:szCs w:val="24"/>
      </w:rPr>
      <w:t>949</w:t>
    </w:r>
    <w:r w:rsidR="00ED3438"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Pr="00924065" w:rsidRDefault="00E8567C"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D3438" w:rsidP="00A87207">
    <w:pPr>
      <w:pStyle w:val="Footer"/>
    </w:pPr>
    <w:r>
      <w:pict>
        <v:rect id="_x0000_i1039" style="width:480.95pt;height:1pt" o:hralign="center" o:hrstd="t" o:hrnoshade="t" o:hr="t" fillcolor="black [3213]" stroked="f"/>
      </w:pict>
    </w:r>
  </w:p>
  <w:p w:rsidR="00E8567C" w:rsidRPr="00B7374B" w:rsidRDefault="00E8567C" w:rsidP="00B7374B">
    <w:pPr>
      <w:tabs>
        <w:tab w:val="center" w:pos="4680"/>
      </w:tabs>
      <w:rPr>
        <w:szCs w:val="24"/>
      </w:rPr>
    </w:pPr>
    <w:r w:rsidRPr="00954D22">
      <w:rPr>
        <w:szCs w:val="24"/>
      </w:rPr>
      <w:tab/>
      <w:t xml:space="preserve">- </w:t>
    </w:r>
    <w:r w:rsidR="00ED3438" w:rsidRPr="00954D22">
      <w:rPr>
        <w:szCs w:val="24"/>
      </w:rPr>
      <w:fldChar w:fldCharType="begin"/>
    </w:r>
    <w:r w:rsidRPr="00954D22">
      <w:rPr>
        <w:szCs w:val="24"/>
      </w:rPr>
      <w:instrText xml:space="preserve"> PAGE   \* MERGEFORMAT </w:instrText>
    </w:r>
    <w:r w:rsidR="00ED3438" w:rsidRPr="00954D22">
      <w:rPr>
        <w:szCs w:val="24"/>
      </w:rPr>
      <w:fldChar w:fldCharType="separate"/>
    </w:r>
    <w:r w:rsidR="00017BF4">
      <w:rPr>
        <w:noProof/>
        <w:szCs w:val="24"/>
      </w:rPr>
      <w:t>914</w:t>
    </w:r>
    <w:r w:rsidR="00ED3438"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D3438" w:rsidP="00755F22">
    <w:pPr>
      <w:tabs>
        <w:tab w:val="left" w:pos="-1440"/>
        <w:tab w:val="left" w:pos="-720"/>
      </w:tabs>
    </w:pPr>
    <w:r>
      <w:pict>
        <v:rect id="_x0000_i1040" style="width:480.95pt;height:1pt" o:hralign="center" o:hrstd="t" o:hrnoshade="t" o:hr="t" fillcolor="black [3213]" stroked="f"/>
      </w:pict>
    </w:r>
  </w:p>
  <w:p w:rsidR="00E8567C" w:rsidRPr="00954D22" w:rsidRDefault="00E8567C" w:rsidP="00B7374B">
    <w:pPr>
      <w:tabs>
        <w:tab w:val="center" w:pos="4680"/>
      </w:tabs>
      <w:rPr>
        <w:szCs w:val="24"/>
      </w:rPr>
    </w:pPr>
    <w:r w:rsidRPr="00954D22">
      <w:rPr>
        <w:szCs w:val="24"/>
      </w:rPr>
      <w:tab/>
      <w:t xml:space="preserve">- </w:t>
    </w:r>
    <w:r w:rsidR="00ED3438">
      <w:rPr>
        <w:szCs w:val="24"/>
      </w:rPr>
      <w:fldChar w:fldCharType="begin"/>
    </w:r>
    <w:r>
      <w:rPr>
        <w:szCs w:val="24"/>
      </w:rPr>
      <w:instrText xml:space="preserve"> PAGE   \* MERGEFORMAT </w:instrText>
    </w:r>
    <w:r w:rsidR="00ED3438">
      <w:rPr>
        <w:szCs w:val="24"/>
      </w:rPr>
      <w:fldChar w:fldCharType="separate"/>
    </w:r>
    <w:r w:rsidR="00017BF4">
      <w:rPr>
        <w:noProof/>
        <w:szCs w:val="24"/>
      </w:rPr>
      <w:t>913</w:t>
    </w:r>
    <w:r w:rsidR="00ED3438">
      <w:rPr>
        <w:szCs w:val="24"/>
      </w:rPr>
      <w:fldChar w:fldCharType="end"/>
    </w:r>
    <w:r w:rsidRPr="00954D22">
      <w:rPr>
        <w:szCs w:val="24"/>
      </w:rPr>
      <w:t xml:space="preserve"> -</w:t>
    </w:r>
  </w:p>
  <w:p w:rsidR="00E8567C" w:rsidRDefault="00E8567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D3438" w:rsidP="00A87207">
    <w:pPr>
      <w:pStyle w:val="Footer"/>
    </w:pPr>
    <w:r>
      <w:pict>
        <v:rect id="_x0000_i1043" style="width:480.95pt;height:1pt" o:hralign="center" o:hrstd="t" o:hrnoshade="t" o:hr="t" fillcolor="black [3213]" stroked="f"/>
      </w:pict>
    </w:r>
  </w:p>
  <w:p w:rsidR="00E8567C" w:rsidRPr="00B7374B" w:rsidRDefault="00E8567C" w:rsidP="00B7374B">
    <w:pPr>
      <w:tabs>
        <w:tab w:val="center" w:pos="4680"/>
      </w:tabs>
      <w:rPr>
        <w:szCs w:val="24"/>
      </w:rPr>
    </w:pPr>
    <w:r w:rsidRPr="00954D22">
      <w:rPr>
        <w:szCs w:val="24"/>
      </w:rPr>
      <w:tab/>
      <w:t xml:space="preserve">- </w:t>
    </w:r>
    <w:r w:rsidR="00ED3438" w:rsidRPr="00954D22">
      <w:rPr>
        <w:szCs w:val="24"/>
      </w:rPr>
      <w:fldChar w:fldCharType="begin"/>
    </w:r>
    <w:r w:rsidRPr="00954D22">
      <w:rPr>
        <w:szCs w:val="24"/>
      </w:rPr>
      <w:instrText xml:space="preserve"> PAGE   \* MERGEFORMAT </w:instrText>
    </w:r>
    <w:r w:rsidR="00ED3438" w:rsidRPr="00954D22">
      <w:rPr>
        <w:szCs w:val="24"/>
      </w:rPr>
      <w:fldChar w:fldCharType="separate"/>
    </w:r>
    <w:r w:rsidR="00017BF4">
      <w:rPr>
        <w:noProof/>
        <w:szCs w:val="24"/>
      </w:rPr>
      <w:t>916</w:t>
    </w:r>
    <w:r w:rsidR="00ED3438"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D343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4" style="width:480.95pt;height:1pt" o:hralign="center" o:hrstd="t" o:hrnoshade="t" o:hr="t" fillcolor="black [3213]" stroked="f"/>
      </w:pict>
    </w:r>
  </w:p>
  <w:p w:rsidR="00E8567C" w:rsidRPr="00954D22" w:rsidRDefault="00E8567C" w:rsidP="00B7374B">
    <w:pPr>
      <w:tabs>
        <w:tab w:val="center" w:pos="4680"/>
      </w:tabs>
      <w:rPr>
        <w:szCs w:val="24"/>
      </w:rPr>
    </w:pPr>
    <w:r w:rsidRPr="00954D22">
      <w:rPr>
        <w:szCs w:val="24"/>
      </w:rPr>
      <w:tab/>
      <w:t xml:space="preserve">- </w:t>
    </w:r>
    <w:r w:rsidR="00ED3438" w:rsidRPr="00954D22">
      <w:rPr>
        <w:szCs w:val="24"/>
      </w:rPr>
      <w:fldChar w:fldCharType="begin"/>
    </w:r>
    <w:r w:rsidRPr="00954D22">
      <w:rPr>
        <w:szCs w:val="24"/>
      </w:rPr>
      <w:instrText xml:space="preserve"> PAGE   \* MERGEFORMAT </w:instrText>
    </w:r>
    <w:r w:rsidR="00ED3438" w:rsidRPr="00954D22">
      <w:rPr>
        <w:szCs w:val="24"/>
      </w:rPr>
      <w:fldChar w:fldCharType="separate"/>
    </w:r>
    <w:r w:rsidR="00017BF4">
      <w:rPr>
        <w:noProof/>
        <w:szCs w:val="24"/>
      </w:rPr>
      <w:t>915</w:t>
    </w:r>
    <w:r w:rsidR="00ED3438"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8567C"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8567C" w:rsidRDefault="00E8567C">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D34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D3438">
      <w:rPr>
        <w:lang w:val="fr-CA"/>
      </w:rPr>
      <w:pict>
        <v:rect id="_x0000_i1067" style="width:480.95pt;height:1pt" o:hralign="center" o:hrstd="t" o:hrnoshade="t" o:hr="t" fillcolor="black [3213]" stroked="f"/>
      </w:pict>
    </w:r>
  </w:p>
  <w:p w:rsidR="00E8567C" w:rsidRPr="0009648D" w:rsidRDefault="00E8567C" w:rsidP="00ED7E83">
    <w:pPr>
      <w:tabs>
        <w:tab w:val="center" w:pos="4680"/>
      </w:tabs>
    </w:pPr>
    <w:r>
      <w:tab/>
    </w:r>
    <w:r w:rsidRPr="0009648D">
      <w:t xml:space="preserve">- </w:t>
    </w:r>
    <w:fldSimple w:instr=" PAGE   \* MERGEFORMAT ">
      <w:r w:rsidR="00017BF4">
        <w:rPr>
          <w:noProof/>
        </w:rPr>
        <w:t>936</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67C" w:rsidRDefault="00E8567C" w:rsidP="00A87207">
      <w:r>
        <w:separator/>
      </w:r>
    </w:p>
  </w:footnote>
  <w:footnote w:type="continuationSeparator" w:id="0">
    <w:p w:rsidR="00E8567C" w:rsidRDefault="00E8567C"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E8567C">
      <w:tc>
        <w:tcPr>
          <w:tcW w:w="4230" w:type="dxa"/>
          <w:tcMar>
            <w:left w:w="0" w:type="dxa"/>
            <w:right w:w="0" w:type="dxa"/>
          </w:tcMar>
        </w:tcPr>
        <w:p w:rsidR="00E8567C" w:rsidRDefault="00E856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8567C" w:rsidRDefault="00E856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8567C" w:rsidRDefault="00E856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8567C">
      <w:trPr>
        <w:gridAfter w:val="2"/>
        <w:wAfter w:w="5250" w:type="dxa"/>
      </w:trPr>
      <w:tc>
        <w:tcPr>
          <w:tcW w:w="4230" w:type="dxa"/>
          <w:tcMar>
            <w:left w:w="0" w:type="dxa"/>
            <w:right w:w="0" w:type="dxa"/>
          </w:tcMar>
        </w:tcPr>
        <w:p w:rsidR="00E8567C"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8567C"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E8567C" w:rsidRPr="00755F22" w:rsidTr="00245129">
      <w:tc>
        <w:tcPr>
          <w:tcW w:w="4230" w:type="dxa"/>
          <w:tcMar>
            <w:left w:w="0" w:type="dxa"/>
            <w:right w:w="0" w:type="dxa"/>
          </w:tcMar>
        </w:tcPr>
        <w:p w:rsidR="00E8567C" w:rsidRPr="00755F22" w:rsidRDefault="00E8567C" w:rsidP="00831CA9">
          <w:pPr>
            <w:keepNext/>
            <w:keepLines/>
            <w:rPr>
              <w:sz w:val="20"/>
              <w:szCs w:val="20"/>
            </w:rPr>
          </w:pPr>
          <w:r w:rsidRPr="00755F22">
            <w:rPr>
              <w:sz w:val="20"/>
              <w:szCs w:val="20"/>
            </w:rPr>
            <w:t>MOTIONS</w:t>
          </w:r>
        </w:p>
      </w:tc>
      <w:tc>
        <w:tcPr>
          <w:tcW w:w="1170" w:type="dxa"/>
          <w:tcMar>
            <w:left w:w="0" w:type="dxa"/>
            <w:right w:w="0" w:type="dxa"/>
          </w:tcMar>
        </w:tcPr>
        <w:p w:rsidR="00E8567C" w:rsidRPr="00755F22" w:rsidRDefault="00E8567C" w:rsidP="00831CA9">
          <w:pPr>
            <w:keepLines/>
            <w:jc w:val="center"/>
            <w:rPr>
              <w:sz w:val="20"/>
              <w:szCs w:val="20"/>
            </w:rPr>
          </w:pPr>
        </w:p>
        <w:p w:rsidR="00E8567C" w:rsidRPr="00755F22" w:rsidRDefault="00E8567C" w:rsidP="00831CA9">
          <w:pPr>
            <w:keepLines/>
            <w:tabs>
              <w:tab w:val="left" w:pos="-1440"/>
              <w:tab w:val="left" w:pos="-720"/>
            </w:tabs>
            <w:jc w:val="center"/>
            <w:rPr>
              <w:sz w:val="20"/>
              <w:szCs w:val="20"/>
            </w:rPr>
          </w:pPr>
        </w:p>
      </w:tc>
      <w:tc>
        <w:tcPr>
          <w:tcW w:w="4080" w:type="dxa"/>
          <w:tcMar>
            <w:left w:w="0" w:type="dxa"/>
            <w:right w:w="0" w:type="dxa"/>
          </w:tcMar>
        </w:tcPr>
        <w:p w:rsidR="00E8567C" w:rsidRPr="00BA6468" w:rsidRDefault="00E8567C" w:rsidP="00BA6468">
          <w:pPr>
            <w:keepLines/>
            <w:rPr>
              <w:sz w:val="20"/>
              <w:szCs w:val="20"/>
              <w:lang w:val="fr-CA"/>
            </w:rPr>
          </w:pPr>
          <w:r w:rsidRPr="00BA6468">
            <w:rPr>
              <w:sz w:val="20"/>
              <w:szCs w:val="20"/>
              <w:lang w:val="fr-CA"/>
            </w:rPr>
            <w:t>REQUÊTES</w:t>
          </w:r>
        </w:p>
      </w:tc>
    </w:tr>
  </w:tbl>
  <w:p w:rsidR="00E8567C" w:rsidRDefault="00E8567C"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8567C" w:rsidRPr="00CA5D21">
      <w:tc>
        <w:tcPr>
          <w:tcW w:w="4200" w:type="dxa"/>
          <w:tcMar>
            <w:left w:w="0" w:type="dxa"/>
            <w:right w:w="0" w:type="dxa"/>
          </w:tcMar>
        </w:tcPr>
        <w:p w:rsidR="00E8567C" w:rsidRDefault="00E856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8567C" w:rsidRDefault="00E856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8567C" w:rsidRPr="00B01A03" w:rsidRDefault="00E856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8567C" w:rsidRPr="00B01A03"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8567C" w:rsidRPr="00B01A03"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E8567C" w:rsidRPr="00CA5D21" w:rsidTr="00245129">
      <w:tc>
        <w:tcPr>
          <w:tcW w:w="4200" w:type="dxa"/>
          <w:tcMar>
            <w:left w:w="0" w:type="dxa"/>
            <w:right w:w="0" w:type="dxa"/>
          </w:tcMar>
        </w:tcPr>
        <w:p w:rsidR="00E8567C" w:rsidRPr="00F40249" w:rsidRDefault="00E8567C"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8567C" w:rsidRDefault="00E8567C" w:rsidP="00102926">
          <w:pPr>
            <w:keepNext/>
            <w:keepLines/>
            <w:tabs>
              <w:tab w:val="left" w:pos="-1440"/>
              <w:tab w:val="left" w:pos="-720"/>
            </w:tabs>
            <w:jc w:val="center"/>
            <w:rPr>
              <w:sz w:val="20"/>
              <w:szCs w:val="20"/>
            </w:rPr>
          </w:pPr>
        </w:p>
        <w:p w:rsidR="00E8567C" w:rsidRDefault="00E8567C" w:rsidP="00102926">
          <w:pPr>
            <w:keepNext/>
            <w:keepLines/>
            <w:tabs>
              <w:tab w:val="left" w:pos="-1440"/>
              <w:tab w:val="left" w:pos="-720"/>
            </w:tabs>
            <w:jc w:val="center"/>
            <w:rPr>
              <w:sz w:val="20"/>
              <w:szCs w:val="20"/>
            </w:rPr>
          </w:pPr>
        </w:p>
        <w:p w:rsidR="00E8567C" w:rsidRPr="00F40249" w:rsidRDefault="00E8567C" w:rsidP="00102926">
          <w:pPr>
            <w:keepNext/>
            <w:keepLines/>
            <w:tabs>
              <w:tab w:val="left" w:pos="-1440"/>
              <w:tab w:val="left" w:pos="-720"/>
            </w:tabs>
            <w:jc w:val="center"/>
            <w:rPr>
              <w:sz w:val="20"/>
              <w:szCs w:val="20"/>
            </w:rPr>
          </w:pPr>
        </w:p>
      </w:tc>
      <w:tc>
        <w:tcPr>
          <w:tcW w:w="4230" w:type="dxa"/>
          <w:tcMar>
            <w:left w:w="0" w:type="dxa"/>
            <w:right w:w="0" w:type="dxa"/>
          </w:tcMar>
        </w:tcPr>
        <w:p w:rsidR="00E8567C" w:rsidRPr="00F40249" w:rsidRDefault="00E8567C"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8567C" w:rsidRPr="00B01A03" w:rsidRDefault="00E8567C"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8567C" w:rsidRPr="00CA5D21">
      <w:tc>
        <w:tcPr>
          <w:tcW w:w="4200" w:type="dxa"/>
          <w:tcMar>
            <w:left w:w="0" w:type="dxa"/>
            <w:right w:w="0" w:type="dxa"/>
          </w:tcMar>
        </w:tcPr>
        <w:p w:rsidR="00E8567C" w:rsidRDefault="00E856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E8567C" w:rsidRDefault="00E856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8567C" w:rsidRPr="00283C52" w:rsidRDefault="00E856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E8567C" w:rsidRPr="00283C52"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8567C" w:rsidRPr="00283C52"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8567C" w:rsidRPr="00CA5D21" w:rsidTr="00245129">
      <w:tc>
        <w:tcPr>
          <w:tcW w:w="4200" w:type="dxa"/>
          <w:tcMar>
            <w:left w:w="0" w:type="dxa"/>
            <w:right w:w="0" w:type="dxa"/>
          </w:tcMar>
        </w:tcPr>
        <w:p w:rsidR="00E8567C" w:rsidRPr="00732DB7" w:rsidRDefault="00E8567C"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E8567C" w:rsidRPr="00732DB7" w:rsidRDefault="00E8567C" w:rsidP="00732DB7">
          <w:pPr>
            <w:keepNext/>
            <w:keepLines/>
            <w:tabs>
              <w:tab w:val="left" w:pos="-1440"/>
              <w:tab w:val="left" w:pos="-720"/>
            </w:tabs>
            <w:jc w:val="center"/>
            <w:rPr>
              <w:sz w:val="20"/>
              <w:szCs w:val="20"/>
            </w:rPr>
          </w:pPr>
        </w:p>
        <w:p w:rsidR="00E8567C" w:rsidRPr="00732DB7" w:rsidRDefault="00E8567C" w:rsidP="00732DB7">
          <w:pPr>
            <w:keepNext/>
            <w:keepLines/>
            <w:tabs>
              <w:tab w:val="left" w:pos="-1440"/>
              <w:tab w:val="left" w:pos="-720"/>
            </w:tabs>
            <w:jc w:val="center"/>
            <w:rPr>
              <w:sz w:val="20"/>
              <w:szCs w:val="20"/>
            </w:rPr>
          </w:pPr>
        </w:p>
        <w:p w:rsidR="00E8567C" w:rsidRPr="00732DB7" w:rsidRDefault="00E8567C" w:rsidP="00732DB7">
          <w:pPr>
            <w:keepNext/>
            <w:keepLines/>
            <w:tabs>
              <w:tab w:val="left" w:pos="-1440"/>
              <w:tab w:val="left" w:pos="-720"/>
            </w:tabs>
            <w:jc w:val="center"/>
            <w:rPr>
              <w:sz w:val="20"/>
              <w:szCs w:val="20"/>
            </w:rPr>
          </w:pPr>
        </w:p>
      </w:tc>
      <w:tc>
        <w:tcPr>
          <w:tcW w:w="4080" w:type="dxa"/>
          <w:tcMar>
            <w:left w:w="0" w:type="dxa"/>
            <w:right w:w="0" w:type="dxa"/>
          </w:tcMar>
        </w:tcPr>
        <w:p w:rsidR="00E8567C" w:rsidRPr="00732DB7" w:rsidRDefault="00E8567C"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E8567C" w:rsidRPr="00283C52" w:rsidRDefault="00E8567C"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8567C" w:rsidRPr="00CA5D21">
      <w:tc>
        <w:tcPr>
          <w:tcW w:w="4200" w:type="dxa"/>
          <w:tcMar>
            <w:left w:w="0" w:type="dxa"/>
            <w:right w:w="0" w:type="dxa"/>
          </w:tcMar>
        </w:tcPr>
        <w:p w:rsidR="00E8567C" w:rsidRDefault="00E856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E8567C" w:rsidRDefault="00E856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E8567C" w:rsidRDefault="00E856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E8567C" w:rsidRPr="003C2C0F" w:rsidRDefault="00E856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E8567C" w:rsidRPr="003C2C0F"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E8567C" w:rsidRPr="003C2C0F"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8567C" w:rsidRPr="00CA5D21" w:rsidTr="00245129">
      <w:tc>
        <w:tcPr>
          <w:tcW w:w="4200" w:type="dxa"/>
          <w:tcMar>
            <w:left w:w="0" w:type="dxa"/>
            <w:right w:w="0" w:type="dxa"/>
          </w:tcMar>
        </w:tcPr>
        <w:p w:rsidR="00E8567C" w:rsidRPr="00FF6EEC" w:rsidRDefault="00E8567C" w:rsidP="00FF6EEC">
          <w:pPr>
            <w:rPr>
              <w:sz w:val="20"/>
              <w:szCs w:val="20"/>
            </w:rPr>
          </w:pPr>
          <w:r w:rsidRPr="00FF6EEC">
            <w:rPr>
              <w:sz w:val="20"/>
              <w:szCs w:val="20"/>
            </w:rPr>
            <w:t>PRONOUNCEMENTS OF APPEALS RESERVED</w:t>
          </w:r>
        </w:p>
      </w:tc>
      <w:tc>
        <w:tcPr>
          <w:tcW w:w="1200" w:type="dxa"/>
          <w:tcMar>
            <w:left w:w="0" w:type="dxa"/>
            <w:right w:w="0" w:type="dxa"/>
          </w:tcMar>
        </w:tcPr>
        <w:p w:rsidR="00E8567C" w:rsidRPr="00FF6EEC" w:rsidRDefault="00E8567C" w:rsidP="00FF6EEC">
          <w:pPr>
            <w:jc w:val="center"/>
            <w:rPr>
              <w:sz w:val="20"/>
              <w:szCs w:val="20"/>
            </w:rPr>
          </w:pPr>
        </w:p>
        <w:p w:rsidR="00E8567C" w:rsidRPr="00FF6EEC" w:rsidRDefault="00E8567C" w:rsidP="00FF6EEC">
          <w:pPr>
            <w:jc w:val="center"/>
            <w:rPr>
              <w:sz w:val="20"/>
              <w:szCs w:val="20"/>
            </w:rPr>
          </w:pPr>
        </w:p>
        <w:p w:rsidR="00E8567C" w:rsidRPr="00FF6EEC" w:rsidRDefault="00E8567C" w:rsidP="00FF6EEC">
          <w:pPr>
            <w:jc w:val="center"/>
            <w:rPr>
              <w:sz w:val="20"/>
              <w:szCs w:val="20"/>
            </w:rPr>
          </w:pPr>
        </w:p>
      </w:tc>
      <w:tc>
        <w:tcPr>
          <w:tcW w:w="4080" w:type="dxa"/>
          <w:tcMar>
            <w:left w:w="0" w:type="dxa"/>
            <w:right w:w="0" w:type="dxa"/>
          </w:tcMar>
        </w:tcPr>
        <w:p w:rsidR="00E8567C" w:rsidRPr="00FF6EEC" w:rsidRDefault="00E8567C" w:rsidP="00FF6EEC">
          <w:pPr>
            <w:rPr>
              <w:sz w:val="20"/>
              <w:szCs w:val="20"/>
              <w:lang w:val="fr-CA"/>
            </w:rPr>
          </w:pPr>
          <w:r w:rsidRPr="00FF6EEC">
            <w:rPr>
              <w:sz w:val="20"/>
              <w:szCs w:val="20"/>
              <w:lang w:val="fr-CA"/>
            </w:rPr>
            <w:t>JUGEMENTS RENDUS SUR LES APPELS EN DÉLIBÉRÉ</w:t>
          </w:r>
        </w:p>
      </w:tc>
    </w:tr>
  </w:tbl>
  <w:p w:rsidR="00E8567C" w:rsidRPr="003C2C0F" w:rsidRDefault="00E8567C"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E8567C">
      <w:tc>
        <w:tcPr>
          <w:tcW w:w="4230" w:type="dxa"/>
          <w:tcMar>
            <w:left w:w="0" w:type="dxa"/>
            <w:right w:w="0" w:type="dxa"/>
          </w:tcMar>
        </w:tcPr>
        <w:p w:rsidR="00E8567C" w:rsidRDefault="00E856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8567C" w:rsidRDefault="00E856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8567C" w:rsidRDefault="00E856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8567C" w:rsidRDefault="00E856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8567C" w:rsidRDefault="00E856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8567C" w:rsidRDefault="00E856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8567C"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8567C"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E8567C" w:rsidRPr="00782AE4" w:rsidTr="00245129">
      <w:tc>
        <w:tcPr>
          <w:tcW w:w="4230" w:type="dxa"/>
          <w:tcMar>
            <w:left w:w="0" w:type="dxa"/>
            <w:right w:w="0" w:type="dxa"/>
          </w:tcMar>
        </w:tcPr>
        <w:p w:rsidR="00E8567C" w:rsidRPr="00782AE4" w:rsidRDefault="00E8567C" w:rsidP="00102926">
          <w:pPr>
            <w:keepNext/>
            <w:keepLines/>
            <w:tabs>
              <w:tab w:val="left" w:pos="-1440"/>
              <w:tab w:val="left" w:pos="-720"/>
            </w:tabs>
            <w:rPr>
              <w:sz w:val="20"/>
              <w:szCs w:val="20"/>
            </w:rPr>
          </w:pPr>
          <w:r w:rsidRPr="00782AE4">
            <w:rPr>
              <w:sz w:val="20"/>
              <w:szCs w:val="20"/>
            </w:rPr>
            <w:t xml:space="preserve">HEADNOTES OF RECENT </w:t>
          </w:r>
        </w:p>
        <w:p w:rsidR="00E8567C" w:rsidRPr="00782AE4" w:rsidRDefault="00E856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8567C" w:rsidRDefault="00E8567C" w:rsidP="00102926">
          <w:pPr>
            <w:keepNext/>
            <w:keepLines/>
            <w:tabs>
              <w:tab w:val="left" w:pos="-1440"/>
              <w:tab w:val="left" w:pos="-720"/>
            </w:tabs>
            <w:jc w:val="center"/>
            <w:rPr>
              <w:sz w:val="20"/>
              <w:szCs w:val="20"/>
            </w:rPr>
          </w:pPr>
        </w:p>
        <w:p w:rsidR="00E8567C" w:rsidRDefault="00E8567C" w:rsidP="00102926">
          <w:pPr>
            <w:keepNext/>
            <w:keepLines/>
            <w:tabs>
              <w:tab w:val="left" w:pos="-1440"/>
              <w:tab w:val="left" w:pos="-720"/>
            </w:tabs>
            <w:jc w:val="center"/>
            <w:rPr>
              <w:sz w:val="20"/>
              <w:szCs w:val="20"/>
            </w:rPr>
          </w:pPr>
        </w:p>
        <w:p w:rsidR="00E8567C" w:rsidRPr="00782AE4" w:rsidRDefault="00E8567C" w:rsidP="00102926">
          <w:pPr>
            <w:keepNext/>
            <w:keepLines/>
            <w:tabs>
              <w:tab w:val="left" w:pos="-1440"/>
              <w:tab w:val="left" w:pos="-720"/>
            </w:tabs>
            <w:jc w:val="center"/>
            <w:rPr>
              <w:sz w:val="20"/>
              <w:szCs w:val="20"/>
            </w:rPr>
          </w:pPr>
        </w:p>
      </w:tc>
      <w:tc>
        <w:tcPr>
          <w:tcW w:w="4080" w:type="dxa"/>
          <w:tcMar>
            <w:left w:w="0" w:type="dxa"/>
            <w:right w:w="0" w:type="dxa"/>
          </w:tcMar>
        </w:tcPr>
        <w:p w:rsidR="00E8567C" w:rsidRPr="00102926" w:rsidRDefault="00E856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8567C" w:rsidRPr="00782AE4" w:rsidRDefault="00E8567C" w:rsidP="00102926">
          <w:pPr>
            <w:keepLines/>
            <w:tabs>
              <w:tab w:val="left" w:pos="-1440"/>
              <w:tab w:val="left" w:pos="-720"/>
            </w:tabs>
            <w:rPr>
              <w:sz w:val="20"/>
              <w:szCs w:val="20"/>
            </w:rPr>
          </w:pPr>
          <w:r w:rsidRPr="00102926">
            <w:rPr>
              <w:sz w:val="20"/>
              <w:szCs w:val="20"/>
              <w:lang w:val="fr-CA"/>
            </w:rPr>
            <w:t>RÉCENTS</w:t>
          </w:r>
        </w:p>
      </w:tc>
    </w:tr>
  </w:tbl>
  <w:p w:rsidR="00E8567C" w:rsidRDefault="00E8567C"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E8567C" w:rsidRPr="0044776A" w:rsidTr="00245129">
      <w:tc>
        <w:tcPr>
          <w:tcW w:w="4290" w:type="dxa"/>
          <w:tcMar>
            <w:left w:w="0" w:type="dxa"/>
            <w:right w:w="0" w:type="dxa"/>
          </w:tcMar>
        </w:tcPr>
        <w:p w:rsidR="00E8567C" w:rsidRPr="0044776A" w:rsidRDefault="00E8567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8567C" w:rsidRPr="0044776A" w:rsidRDefault="00E8567C" w:rsidP="002E2327">
          <w:pPr>
            <w:keepNext/>
            <w:keepLines/>
            <w:tabs>
              <w:tab w:val="left" w:pos="-1440"/>
              <w:tab w:val="left" w:pos="-720"/>
            </w:tabs>
            <w:jc w:val="center"/>
            <w:rPr>
              <w:sz w:val="20"/>
              <w:szCs w:val="20"/>
            </w:rPr>
          </w:pPr>
        </w:p>
        <w:p w:rsidR="00E8567C" w:rsidRPr="0044776A" w:rsidRDefault="00E8567C" w:rsidP="002E2327">
          <w:pPr>
            <w:keepNext/>
            <w:keepLines/>
            <w:tabs>
              <w:tab w:val="left" w:pos="-1440"/>
              <w:tab w:val="left" w:pos="-720"/>
            </w:tabs>
            <w:jc w:val="center"/>
            <w:rPr>
              <w:sz w:val="20"/>
              <w:szCs w:val="20"/>
            </w:rPr>
          </w:pPr>
        </w:p>
        <w:p w:rsidR="00E8567C" w:rsidRPr="0044776A" w:rsidRDefault="00E8567C" w:rsidP="002E2327">
          <w:pPr>
            <w:keepNext/>
            <w:keepLines/>
            <w:tabs>
              <w:tab w:val="left" w:pos="-1440"/>
              <w:tab w:val="left" w:pos="-720"/>
            </w:tabs>
            <w:jc w:val="center"/>
            <w:rPr>
              <w:sz w:val="20"/>
              <w:szCs w:val="20"/>
            </w:rPr>
          </w:pPr>
        </w:p>
      </w:tc>
      <w:tc>
        <w:tcPr>
          <w:tcW w:w="4320" w:type="dxa"/>
          <w:tcMar>
            <w:left w:w="0" w:type="dxa"/>
            <w:right w:w="0" w:type="dxa"/>
          </w:tcMar>
        </w:tcPr>
        <w:p w:rsidR="00E8567C" w:rsidRPr="0044776A" w:rsidRDefault="00E8567C" w:rsidP="002E2327">
          <w:pPr>
            <w:keepLines/>
            <w:rPr>
              <w:sz w:val="20"/>
              <w:szCs w:val="20"/>
              <w:lang w:val="fr-CA"/>
            </w:rPr>
          </w:pPr>
          <w:r w:rsidRPr="0044776A">
            <w:rPr>
              <w:sz w:val="20"/>
              <w:szCs w:val="20"/>
              <w:lang w:val="fr-CA"/>
            </w:rPr>
            <w:t>DEMANDES D'AUTORISATION D'APPEL DÉPOSÉES</w:t>
          </w:r>
        </w:p>
      </w:tc>
    </w:tr>
  </w:tbl>
  <w:p w:rsidR="00E8567C" w:rsidRDefault="00E8567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8567C" w:rsidRPr="00CA5D21" w:rsidTr="00245129">
      <w:tc>
        <w:tcPr>
          <w:tcW w:w="4200" w:type="dxa"/>
          <w:tcMar>
            <w:left w:w="0" w:type="dxa"/>
            <w:right w:w="0" w:type="dxa"/>
          </w:tcMar>
        </w:tcPr>
        <w:p w:rsidR="00E8567C" w:rsidRPr="0044776A" w:rsidRDefault="00E8567C" w:rsidP="0044776A">
          <w:pPr>
            <w:keepNext/>
            <w:keepLines/>
            <w:widowControl w:val="0"/>
            <w:rPr>
              <w:sz w:val="20"/>
              <w:szCs w:val="20"/>
            </w:rPr>
          </w:pPr>
          <w:r>
            <w:rPr>
              <w:sz w:val="20"/>
              <w:szCs w:val="20"/>
            </w:rPr>
            <w:t>APPLICATIONS FOR LEAVE</w:t>
          </w:r>
        </w:p>
        <w:p w:rsidR="00E8567C" w:rsidRPr="0044776A" w:rsidRDefault="00E8567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8567C" w:rsidRPr="0044776A" w:rsidRDefault="00E8567C" w:rsidP="0044776A">
          <w:pPr>
            <w:keepNext/>
            <w:keepLines/>
            <w:widowControl w:val="0"/>
            <w:jc w:val="center"/>
            <w:rPr>
              <w:sz w:val="20"/>
              <w:szCs w:val="20"/>
            </w:rPr>
          </w:pPr>
        </w:p>
        <w:p w:rsidR="00E8567C" w:rsidRPr="0044776A" w:rsidRDefault="00E8567C" w:rsidP="0044776A">
          <w:pPr>
            <w:keepNext/>
            <w:keepLines/>
            <w:widowControl w:val="0"/>
            <w:jc w:val="center"/>
            <w:rPr>
              <w:sz w:val="20"/>
              <w:szCs w:val="20"/>
            </w:rPr>
          </w:pPr>
        </w:p>
        <w:p w:rsidR="00E8567C" w:rsidRPr="0044776A" w:rsidRDefault="00E8567C" w:rsidP="0044776A">
          <w:pPr>
            <w:keepNext/>
            <w:keepLines/>
            <w:widowControl w:val="0"/>
            <w:jc w:val="center"/>
            <w:rPr>
              <w:sz w:val="20"/>
              <w:szCs w:val="20"/>
            </w:rPr>
          </w:pPr>
        </w:p>
      </w:tc>
      <w:tc>
        <w:tcPr>
          <w:tcW w:w="4080" w:type="dxa"/>
          <w:tcMar>
            <w:left w:w="0" w:type="dxa"/>
            <w:right w:w="0" w:type="dxa"/>
          </w:tcMar>
        </w:tcPr>
        <w:p w:rsidR="00E8567C" w:rsidRPr="0044776A" w:rsidRDefault="00E8567C" w:rsidP="0044776A">
          <w:pPr>
            <w:keepLines/>
            <w:widowControl w:val="0"/>
            <w:rPr>
              <w:sz w:val="20"/>
              <w:szCs w:val="20"/>
              <w:lang w:val="fr-CA"/>
            </w:rPr>
          </w:pPr>
          <w:r w:rsidRPr="0044776A">
            <w:rPr>
              <w:sz w:val="20"/>
              <w:szCs w:val="20"/>
              <w:lang w:val="fr-CA"/>
            </w:rPr>
            <w:t>DEMANDES SOUMISES À LA COUR DEPUIS LA DERNIÈRE PARUTION</w:t>
          </w:r>
        </w:p>
        <w:p w:rsidR="00E8567C" w:rsidRPr="0044776A" w:rsidRDefault="00E8567C" w:rsidP="0044776A">
          <w:pPr>
            <w:widowControl w:val="0"/>
            <w:rPr>
              <w:sz w:val="20"/>
              <w:szCs w:val="20"/>
              <w:lang w:val="fr-CA"/>
            </w:rPr>
          </w:pPr>
        </w:p>
      </w:tc>
    </w:tr>
  </w:tbl>
  <w:p w:rsidR="00E8567C" w:rsidRPr="002E2327" w:rsidRDefault="00E8567C">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E8567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8567C" w:rsidRPr="00CA5D21">
      <w:tc>
        <w:tcPr>
          <w:tcW w:w="4200" w:type="dxa"/>
          <w:tcMar>
            <w:left w:w="0" w:type="dxa"/>
            <w:right w:w="0" w:type="dxa"/>
          </w:tcMar>
        </w:tcPr>
        <w:p w:rsidR="00E8567C" w:rsidRDefault="00E856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8567C" w:rsidRDefault="00E856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8567C" w:rsidRDefault="00E856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8567C" w:rsidRPr="00FF6BA5" w:rsidRDefault="00E856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8567C" w:rsidRPr="00FF6BA5"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8567C" w:rsidRPr="00FF6BA5"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8567C" w:rsidRPr="00FF6BA5" w:rsidRDefault="00E85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8567C" w:rsidRPr="00CA5D21" w:rsidTr="00245129">
      <w:tc>
        <w:tcPr>
          <w:tcW w:w="4200" w:type="dxa"/>
          <w:tcMar>
            <w:left w:w="0" w:type="dxa"/>
            <w:right w:w="0" w:type="dxa"/>
          </w:tcMar>
        </w:tcPr>
        <w:p w:rsidR="00E8567C" w:rsidRPr="00755F22" w:rsidRDefault="00E856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8567C" w:rsidRPr="00755F22" w:rsidRDefault="00E856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8567C" w:rsidRPr="00755F22" w:rsidRDefault="00E8567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8567C" w:rsidRPr="00755F22" w:rsidRDefault="00E8567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8567C" w:rsidRPr="00755F22" w:rsidRDefault="00E8567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8567C" w:rsidRPr="00755F22" w:rsidRDefault="00E856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8567C" w:rsidRPr="00FF6BA5" w:rsidRDefault="00E8567C"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EA1"/>
    <w:multiLevelType w:val="hybridMultilevel"/>
    <w:tmpl w:val="005E5ED8"/>
    <w:lvl w:ilvl="0" w:tplc="DC7C4588">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8903612"/>
    <w:multiLevelType w:val="hybridMultilevel"/>
    <w:tmpl w:val="5F1C4680"/>
    <w:lvl w:ilvl="0" w:tplc="944E0B86">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nsid w:val="6C4B4542"/>
    <w:multiLevelType w:val="hybridMultilevel"/>
    <w:tmpl w:val="81D2EE3C"/>
    <w:lvl w:ilvl="0" w:tplc="91EA2E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7"/>
  </w:hdrShapeDefaults>
  <w:footnotePr>
    <w:footnote w:id="-1"/>
    <w:footnote w:id="0"/>
  </w:footnotePr>
  <w:endnotePr>
    <w:endnote w:id="-1"/>
    <w:endnote w:id="0"/>
  </w:endnotePr>
  <w:compat/>
  <w:rsids>
    <w:rsidRoot w:val="00B17BBB"/>
    <w:rsid w:val="000006A7"/>
    <w:rsid w:val="000168BB"/>
    <w:rsid w:val="00017BF4"/>
    <w:rsid w:val="0003223B"/>
    <w:rsid w:val="000327B2"/>
    <w:rsid w:val="0009633E"/>
    <w:rsid w:val="00096BD9"/>
    <w:rsid w:val="000B3C9A"/>
    <w:rsid w:val="000B40A2"/>
    <w:rsid w:val="000B4624"/>
    <w:rsid w:val="000C0ACD"/>
    <w:rsid w:val="000C479B"/>
    <w:rsid w:val="000C7ADB"/>
    <w:rsid w:val="000D5647"/>
    <w:rsid w:val="00102926"/>
    <w:rsid w:val="0010587F"/>
    <w:rsid w:val="00111C6B"/>
    <w:rsid w:val="0012102B"/>
    <w:rsid w:val="0013369E"/>
    <w:rsid w:val="00164E6D"/>
    <w:rsid w:val="001953C9"/>
    <w:rsid w:val="001B157C"/>
    <w:rsid w:val="001B5C23"/>
    <w:rsid w:val="001D0D5F"/>
    <w:rsid w:val="001D3EFE"/>
    <w:rsid w:val="001D6B8C"/>
    <w:rsid w:val="001F1F83"/>
    <w:rsid w:val="002021A9"/>
    <w:rsid w:val="002139A7"/>
    <w:rsid w:val="00215F7C"/>
    <w:rsid w:val="0022323B"/>
    <w:rsid w:val="00235E94"/>
    <w:rsid w:val="002410B8"/>
    <w:rsid w:val="00242AEE"/>
    <w:rsid w:val="00245129"/>
    <w:rsid w:val="00245879"/>
    <w:rsid w:val="00267FD5"/>
    <w:rsid w:val="002868D0"/>
    <w:rsid w:val="00286985"/>
    <w:rsid w:val="002A27D1"/>
    <w:rsid w:val="002A4AFA"/>
    <w:rsid w:val="002A5DC4"/>
    <w:rsid w:val="002B516C"/>
    <w:rsid w:val="002D72EB"/>
    <w:rsid w:val="002E1046"/>
    <w:rsid w:val="002E2327"/>
    <w:rsid w:val="002E2A99"/>
    <w:rsid w:val="002E3583"/>
    <w:rsid w:val="002E5576"/>
    <w:rsid w:val="002F207F"/>
    <w:rsid w:val="002F3B06"/>
    <w:rsid w:val="003051D0"/>
    <w:rsid w:val="00326331"/>
    <w:rsid w:val="00331B52"/>
    <w:rsid w:val="003359D3"/>
    <w:rsid w:val="0034109C"/>
    <w:rsid w:val="003501C4"/>
    <w:rsid w:val="00355967"/>
    <w:rsid w:val="00382C47"/>
    <w:rsid w:val="00384384"/>
    <w:rsid w:val="003866AE"/>
    <w:rsid w:val="003A40CF"/>
    <w:rsid w:val="003B3977"/>
    <w:rsid w:val="003B4990"/>
    <w:rsid w:val="003C2CB7"/>
    <w:rsid w:val="003F4424"/>
    <w:rsid w:val="004040C9"/>
    <w:rsid w:val="00413654"/>
    <w:rsid w:val="00417CDA"/>
    <w:rsid w:val="0042062B"/>
    <w:rsid w:val="00432989"/>
    <w:rsid w:val="00433B89"/>
    <w:rsid w:val="00440E24"/>
    <w:rsid w:val="0044776A"/>
    <w:rsid w:val="00460AFC"/>
    <w:rsid w:val="0047471F"/>
    <w:rsid w:val="004B195E"/>
    <w:rsid w:val="004B66B4"/>
    <w:rsid w:val="004B7F60"/>
    <w:rsid w:val="004C1AAC"/>
    <w:rsid w:val="004C6C4E"/>
    <w:rsid w:val="004F090E"/>
    <w:rsid w:val="004F3C85"/>
    <w:rsid w:val="00505B6D"/>
    <w:rsid w:val="00526BC3"/>
    <w:rsid w:val="00527CC7"/>
    <w:rsid w:val="005525F2"/>
    <w:rsid w:val="00552E18"/>
    <w:rsid w:val="005703FF"/>
    <w:rsid w:val="00571CA4"/>
    <w:rsid w:val="00582136"/>
    <w:rsid w:val="00597373"/>
    <w:rsid w:val="005C6840"/>
    <w:rsid w:val="005E2A7A"/>
    <w:rsid w:val="005F263E"/>
    <w:rsid w:val="005F32C4"/>
    <w:rsid w:val="005F7F9A"/>
    <w:rsid w:val="00600252"/>
    <w:rsid w:val="00612A40"/>
    <w:rsid w:val="00630D52"/>
    <w:rsid w:val="00645A8B"/>
    <w:rsid w:val="00647750"/>
    <w:rsid w:val="00675479"/>
    <w:rsid w:val="006876CA"/>
    <w:rsid w:val="00696BF9"/>
    <w:rsid w:val="00697C62"/>
    <w:rsid w:val="006A329B"/>
    <w:rsid w:val="006A7EB8"/>
    <w:rsid w:val="006B6926"/>
    <w:rsid w:val="006C0306"/>
    <w:rsid w:val="006C3F47"/>
    <w:rsid w:val="006C5F7A"/>
    <w:rsid w:val="006C736B"/>
    <w:rsid w:val="006D5246"/>
    <w:rsid w:val="006E06AF"/>
    <w:rsid w:val="006F350F"/>
    <w:rsid w:val="00732DB7"/>
    <w:rsid w:val="007366F7"/>
    <w:rsid w:val="0074238B"/>
    <w:rsid w:val="00742697"/>
    <w:rsid w:val="00745EF7"/>
    <w:rsid w:val="00755F22"/>
    <w:rsid w:val="00766E4A"/>
    <w:rsid w:val="007820CE"/>
    <w:rsid w:val="00782AE4"/>
    <w:rsid w:val="0079724F"/>
    <w:rsid w:val="007A3EAE"/>
    <w:rsid w:val="007C04FC"/>
    <w:rsid w:val="007D3E0F"/>
    <w:rsid w:val="007F387B"/>
    <w:rsid w:val="00802863"/>
    <w:rsid w:val="00815B3C"/>
    <w:rsid w:val="00824B50"/>
    <w:rsid w:val="0082783A"/>
    <w:rsid w:val="00831CA9"/>
    <w:rsid w:val="00850E1F"/>
    <w:rsid w:val="0085476B"/>
    <w:rsid w:val="00867944"/>
    <w:rsid w:val="00882C81"/>
    <w:rsid w:val="00890FEB"/>
    <w:rsid w:val="008B528E"/>
    <w:rsid w:val="008C0A91"/>
    <w:rsid w:val="008C4F9C"/>
    <w:rsid w:val="008D08A3"/>
    <w:rsid w:val="008D292F"/>
    <w:rsid w:val="008E03DC"/>
    <w:rsid w:val="00924065"/>
    <w:rsid w:val="00930D68"/>
    <w:rsid w:val="00932DB4"/>
    <w:rsid w:val="00941A4B"/>
    <w:rsid w:val="00946242"/>
    <w:rsid w:val="0095096B"/>
    <w:rsid w:val="00970CD3"/>
    <w:rsid w:val="009723FA"/>
    <w:rsid w:val="00984546"/>
    <w:rsid w:val="00990608"/>
    <w:rsid w:val="00996510"/>
    <w:rsid w:val="009D1F15"/>
    <w:rsid w:val="009D21FC"/>
    <w:rsid w:val="009D555E"/>
    <w:rsid w:val="009F3024"/>
    <w:rsid w:val="00A0355E"/>
    <w:rsid w:val="00A375D1"/>
    <w:rsid w:val="00A37839"/>
    <w:rsid w:val="00A51D10"/>
    <w:rsid w:val="00A52A83"/>
    <w:rsid w:val="00A6552C"/>
    <w:rsid w:val="00A87207"/>
    <w:rsid w:val="00A935AA"/>
    <w:rsid w:val="00AB2201"/>
    <w:rsid w:val="00AC372C"/>
    <w:rsid w:val="00AD3259"/>
    <w:rsid w:val="00AE3198"/>
    <w:rsid w:val="00AF1715"/>
    <w:rsid w:val="00AF2C44"/>
    <w:rsid w:val="00AF3904"/>
    <w:rsid w:val="00B010C0"/>
    <w:rsid w:val="00B142F0"/>
    <w:rsid w:val="00B17BBB"/>
    <w:rsid w:val="00B4740D"/>
    <w:rsid w:val="00B60060"/>
    <w:rsid w:val="00B600C6"/>
    <w:rsid w:val="00B61629"/>
    <w:rsid w:val="00B7374B"/>
    <w:rsid w:val="00B90DC0"/>
    <w:rsid w:val="00B95ED0"/>
    <w:rsid w:val="00BA116A"/>
    <w:rsid w:val="00BA5582"/>
    <w:rsid w:val="00BA6468"/>
    <w:rsid w:val="00BD06DA"/>
    <w:rsid w:val="00BD4217"/>
    <w:rsid w:val="00BF25F3"/>
    <w:rsid w:val="00C020D0"/>
    <w:rsid w:val="00C14D8A"/>
    <w:rsid w:val="00C1697B"/>
    <w:rsid w:val="00C21CB5"/>
    <w:rsid w:val="00C34E31"/>
    <w:rsid w:val="00C50A5C"/>
    <w:rsid w:val="00C50FDF"/>
    <w:rsid w:val="00C63381"/>
    <w:rsid w:val="00C73D06"/>
    <w:rsid w:val="00C73E1B"/>
    <w:rsid w:val="00C759B4"/>
    <w:rsid w:val="00C77713"/>
    <w:rsid w:val="00C97C57"/>
    <w:rsid w:val="00CA29B9"/>
    <w:rsid w:val="00CA5D21"/>
    <w:rsid w:val="00CB43D5"/>
    <w:rsid w:val="00CC4D84"/>
    <w:rsid w:val="00CC5733"/>
    <w:rsid w:val="00CE198A"/>
    <w:rsid w:val="00D53946"/>
    <w:rsid w:val="00D55D90"/>
    <w:rsid w:val="00D64901"/>
    <w:rsid w:val="00D76BDF"/>
    <w:rsid w:val="00D862C1"/>
    <w:rsid w:val="00D93B50"/>
    <w:rsid w:val="00D94670"/>
    <w:rsid w:val="00DA46F6"/>
    <w:rsid w:val="00DB02EF"/>
    <w:rsid w:val="00DD0B49"/>
    <w:rsid w:val="00DF00D9"/>
    <w:rsid w:val="00E06DFA"/>
    <w:rsid w:val="00E17C88"/>
    <w:rsid w:val="00E20A0A"/>
    <w:rsid w:val="00E356C7"/>
    <w:rsid w:val="00E45FE4"/>
    <w:rsid w:val="00E64FA7"/>
    <w:rsid w:val="00E770CB"/>
    <w:rsid w:val="00E8567C"/>
    <w:rsid w:val="00E903A1"/>
    <w:rsid w:val="00E940EB"/>
    <w:rsid w:val="00EA5239"/>
    <w:rsid w:val="00EB2B90"/>
    <w:rsid w:val="00ED3438"/>
    <w:rsid w:val="00ED7E83"/>
    <w:rsid w:val="00EF4B63"/>
    <w:rsid w:val="00F0068D"/>
    <w:rsid w:val="00F0576D"/>
    <w:rsid w:val="00F11380"/>
    <w:rsid w:val="00F14E6D"/>
    <w:rsid w:val="00F15EA8"/>
    <w:rsid w:val="00F16C8D"/>
    <w:rsid w:val="00F26C61"/>
    <w:rsid w:val="00F32C9B"/>
    <w:rsid w:val="00F33CCE"/>
    <w:rsid w:val="00F40249"/>
    <w:rsid w:val="00F526C8"/>
    <w:rsid w:val="00F72FB3"/>
    <w:rsid w:val="00F83F5A"/>
    <w:rsid w:val="00F9272D"/>
    <w:rsid w:val="00F9518C"/>
    <w:rsid w:val="00FA316E"/>
    <w:rsid w:val="00FA59EF"/>
    <w:rsid w:val="00FB19A2"/>
    <w:rsid w:val="00FB275D"/>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Ssoc">
    <w:name w:val="SCC.Ssoc"/>
    <w:basedOn w:val="Normal"/>
    <w:next w:val="Normal"/>
    <w:link w:val="SCCSsocChar"/>
    <w:rsid w:val="002F207F"/>
    <w:rPr>
      <w:rFonts w:eastAsia="Calibri" w:cs="Times New Roman"/>
      <w:i/>
      <w:sz w:val="20"/>
      <w:szCs w:val="20"/>
    </w:rPr>
  </w:style>
  <w:style w:type="character" w:customStyle="1" w:styleId="SCCSsocChar">
    <w:name w:val="SCC.Ssoc Char"/>
    <w:basedOn w:val="DefaultParagraphFont"/>
    <w:link w:val="SCCSsoc"/>
    <w:rsid w:val="002F207F"/>
    <w:rPr>
      <w:rFonts w:eastAsia="Calibri" w:cs="Times New Roman"/>
      <w:i/>
      <w:sz w:val="20"/>
      <w:szCs w:val="20"/>
      <w:lang w:val="en-CA"/>
    </w:rPr>
  </w:style>
  <w:style w:type="paragraph" w:customStyle="1" w:styleId="SCCLowerCourtNameLowercase">
    <w:name w:val="SCC.LowerCourtNameLowercase"/>
    <w:basedOn w:val="SCCNormalDoubleSpacing"/>
    <w:next w:val="SCCNormalDoubleSpacing"/>
    <w:rsid w:val="00B95ED0"/>
    <w:pPr>
      <w:tabs>
        <w:tab w:val="left" w:pos="1168"/>
      </w:tabs>
    </w:pPr>
    <w:rPr>
      <w:smallCaps/>
    </w:rPr>
  </w:style>
  <w:style w:type="paragraph" w:customStyle="1" w:styleId="ParaNoNdepar-AltN">
    <w:name w:val="Para. No. / Nº de par. - Alt N"/>
    <w:qFormat/>
    <w:rsid w:val="00B95ED0"/>
    <w:pPr>
      <w:numPr>
        <w:numId w:val="5"/>
      </w:numPr>
      <w:tabs>
        <w:tab w:val="clear" w:pos="1152"/>
        <w:tab w:val="left" w:pos="1166"/>
      </w:tabs>
      <w:spacing w:before="480" w:after="480" w:line="480" w:lineRule="auto"/>
      <w:jc w:val="both"/>
    </w:pPr>
    <w:rPr>
      <w:rFonts w:eastAsiaTheme="minorEastAsia"/>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oter" Target="footer2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5.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footer" Target="footer24.xml"/><Relationship Id="rId8" Type="http://schemas.openxmlformats.org/officeDocument/2006/relationships/hyperlink" Target="http://www.scc-csc.gc.ca" TargetMode="External"/><Relationship Id="rId51" Type="http://schemas.openxmlformats.org/officeDocument/2006/relationships/header" Target="header2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16350</Words>
  <Characters>93195</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2012-06-15T20:02:00Z</dcterms:created>
  <dcterms:modified xsi:type="dcterms:W3CDTF">2012-06-15T20:02:00Z</dcterms:modified>
</cp:coreProperties>
</file>