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5252ED"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5252E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252ED"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5252E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252ED" w:rsidTr="002E5576">
        <w:tc>
          <w:tcPr>
            <w:tcW w:w="4518" w:type="dxa"/>
          </w:tcPr>
          <w:p w:rsidR="00BF25F3" w:rsidRPr="002E2327" w:rsidRDefault="00C90BA9"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C90BA9"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5252ED" w:rsidTr="002E5576">
        <w:tc>
          <w:tcPr>
            <w:tcW w:w="4518" w:type="dxa"/>
          </w:tcPr>
          <w:p w:rsidR="009F3024" w:rsidRPr="00A82CFE" w:rsidRDefault="009F3024" w:rsidP="009F3024">
            <w:pPr>
              <w:tabs>
                <w:tab w:val="left" w:pos="6075"/>
              </w:tabs>
              <w:rPr>
                <w:rFonts w:cs="Times New Roman"/>
                <w:szCs w:val="24"/>
                <w:lang w:val="fr-CA"/>
              </w:rPr>
            </w:pPr>
          </w:p>
          <w:p w:rsidR="009F3024" w:rsidRPr="00A82CFE" w:rsidRDefault="009F3024" w:rsidP="009F3024">
            <w:pPr>
              <w:tabs>
                <w:tab w:val="left" w:pos="6075"/>
              </w:tabs>
              <w:rPr>
                <w:rFonts w:cs="Times New Roman"/>
                <w:szCs w:val="24"/>
                <w:lang w:val="fr-CA"/>
              </w:rPr>
            </w:pPr>
          </w:p>
        </w:tc>
        <w:tc>
          <w:tcPr>
            <w:tcW w:w="630" w:type="dxa"/>
          </w:tcPr>
          <w:p w:rsidR="009F3024" w:rsidRPr="00A82CFE"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5252ED"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proofErr w:type="spellStart"/>
      <w:r>
        <w:rPr>
          <w:lang w:val="fr-CA"/>
        </w:rPr>
        <w:t>J</w:t>
      </w:r>
      <w:r w:rsidR="00A82CFE">
        <w:rPr>
          <w:lang w:val="fr-CA"/>
        </w:rPr>
        <w:t>u</w:t>
      </w:r>
      <w:r>
        <w:rPr>
          <w:lang w:val="fr-CA"/>
        </w:rPr>
        <w:t>n</w:t>
      </w:r>
      <w:r w:rsidR="00A82CFE">
        <w:rPr>
          <w:lang w:val="fr-CA"/>
        </w:rPr>
        <w:t>e</w:t>
      </w:r>
      <w:proofErr w:type="spellEnd"/>
      <w:r w:rsidR="00440E24" w:rsidRPr="00675479">
        <w:rPr>
          <w:lang w:val="fr-CA"/>
        </w:rPr>
        <w:t xml:space="preserve"> </w:t>
      </w:r>
      <w:r w:rsidR="00A82CFE">
        <w:rPr>
          <w:lang w:val="fr-CA"/>
        </w:rPr>
        <w:t>22</w:t>
      </w:r>
      <w:r w:rsidR="00440E24" w:rsidRPr="00675479">
        <w:rPr>
          <w:lang w:val="fr-CA"/>
        </w:rPr>
        <w:t>, 201</w:t>
      </w:r>
      <w:r>
        <w:rPr>
          <w:lang w:val="fr-CA"/>
        </w:rPr>
        <w:t>2</w:t>
      </w:r>
      <w:r w:rsidR="00F0068D" w:rsidRPr="00675479">
        <w:rPr>
          <w:lang w:val="fr-CA"/>
        </w:rPr>
        <w:tab/>
      </w:r>
      <w:r w:rsidR="004406EE">
        <w:rPr>
          <w:lang w:val="fr-CA"/>
        </w:rPr>
        <w:t>95</w:t>
      </w:r>
      <w:r w:rsidR="00F038A3">
        <w:rPr>
          <w:lang w:val="fr-CA"/>
        </w:rPr>
        <w:t>3</w:t>
      </w:r>
      <w:r w:rsidR="00F0068D" w:rsidRPr="00675479">
        <w:rPr>
          <w:lang w:val="fr-CA"/>
        </w:rPr>
        <w:t xml:space="preserve"> - </w:t>
      </w:r>
      <w:r w:rsidR="006D2D47">
        <w:rPr>
          <w:lang w:val="fr-CA"/>
        </w:rPr>
        <w:t>970</w:t>
      </w:r>
      <w:r w:rsidR="00440E24" w:rsidRPr="00675479">
        <w:rPr>
          <w:lang w:val="fr-CA"/>
        </w:rPr>
        <w:tab/>
      </w:r>
      <w:r w:rsidR="00440E24" w:rsidRPr="002E2327">
        <w:rPr>
          <w:lang w:val="fr-CA"/>
        </w:rPr>
        <w:t>Le</w:t>
      </w:r>
      <w:r>
        <w:rPr>
          <w:lang w:val="fr-CA"/>
        </w:rPr>
        <w:t xml:space="preserve"> </w:t>
      </w:r>
      <w:r w:rsidR="00A82CFE">
        <w:rPr>
          <w:lang w:val="fr-CA"/>
        </w:rPr>
        <w:t>22</w:t>
      </w:r>
      <w:r>
        <w:rPr>
          <w:lang w:val="fr-CA"/>
        </w:rPr>
        <w:t xml:space="preserve"> j</w:t>
      </w:r>
      <w:r w:rsidR="00A82CFE">
        <w:rPr>
          <w:lang w:val="fr-CA"/>
        </w:rPr>
        <w:t>u</w:t>
      </w:r>
      <w:r w:rsidR="00440E24" w:rsidRPr="002E2327">
        <w:rPr>
          <w:lang w:val="fr-CA"/>
        </w:rPr>
        <w:t>i</w:t>
      </w:r>
      <w:r w:rsidR="00A82CFE">
        <w:rPr>
          <w:lang w:val="fr-CA"/>
        </w:rPr>
        <w:t>n</w:t>
      </w:r>
      <w:r w:rsidR="00440E24" w:rsidRPr="002E2327">
        <w:rPr>
          <w:lang w:val="fr-CA"/>
        </w:rPr>
        <w:t xml:space="preserve"> 201</w:t>
      </w:r>
      <w:r>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xml:space="preserve">© </w:t>
      </w:r>
      <w:proofErr w:type="spellStart"/>
      <w:r w:rsidRPr="007F387B">
        <w:rPr>
          <w:sz w:val="18"/>
          <w:szCs w:val="18"/>
          <w:lang w:val="fr-CA"/>
        </w:rPr>
        <w:t>Supreme</w:t>
      </w:r>
      <w:proofErr w:type="spellEnd"/>
      <w:r w:rsidRPr="007F387B">
        <w:rPr>
          <w:sz w:val="18"/>
          <w:szCs w:val="18"/>
          <w:lang w:val="fr-CA"/>
        </w:rPr>
        <w:t xml:space="preserv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Oral hearing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leave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95096B" w:rsidRPr="002E2327" w:rsidRDefault="0095096B" w:rsidP="0095096B">
            <w:pPr>
              <w:tabs>
                <w:tab w:val="right" w:pos="9360"/>
              </w:tabs>
              <w:rPr>
                <w:rFonts w:cs="Times New Roman"/>
                <w:sz w:val="20"/>
                <w:szCs w:val="20"/>
              </w:rPr>
            </w:pPr>
          </w:p>
          <w:p w:rsidR="00A87207" w:rsidRPr="002E2327" w:rsidRDefault="00A87207" w:rsidP="00901AC0">
            <w:pPr>
              <w:tabs>
                <w:tab w:val="right" w:pos="9360"/>
              </w:tabs>
              <w:rPr>
                <w:rFonts w:cs="Times New Roman"/>
                <w:sz w:val="20"/>
                <w:szCs w:val="20"/>
              </w:rPr>
            </w:pPr>
          </w:p>
        </w:tc>
        <w:tc>
          <w:tcPr>
            <w:tcW w:w="1980" w:type="dxa"/>
          </w:tcPr>
          <w:p w:rsidR="0095096B" w:rsidRPr="002E2327" w:rsidRDefault="003C05B9" w:rsidP="0095096B">
            <w:pPr>
              <w:jc w:val="center"/>
              <w:rPr>
                <w:rFonts w:cs="Times New Roman"/>
                <w:sz w:val="20"/>
                <w:szCs w:val="20"/>
              </w:rPr>
            </w:pPr>
            <w:r>
              <w:rPr>
                <w:rFonts w:cs="Times New Roman"/>
                <w:sz w:val="20"/>
                <w:szCs w:val="20"/>
              </w:rPr>
              <w:t>953</w:t>
            </w:r>
            <w:r w:rsidR="00C90BA9" w:rsidRPr="002E2327">
              <w:rPr>
                <w:rFonts w:cs="Times New Roman"/>
                <w:sz w:val="20"/>
                <w:szCs w:val="20"/>
              </w:rPr>
              <w:fldChar w:fldCharType="begin"/>
            </w:r>
            <w:r w:rsidR="0095096B" w:rsidRPr="002E2327">
              <w:rPr>
                <w:rFonts w:cs="Times New Roman"/>
                <w:sz w:val="20"/>
                <w:szCs w:val="20"/>
              </w:rPr>
              <w:instrText xml:space="preserve"> SEQ CHAPTER \h \r 1</w:instrText>
            </w:r>
            <w:r w:rsidR="00C90BA9"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01AC0" w:rsidP="0095096B">
            <w:pPr>
              <w:jc w:val="center"/>
              <w:rPr>
                <w:rFonts w:cs="Times New Roman"/>
                <w:sz w:val="20"/>
                <w:szCs w:val="20"/>
              </w:rPr>
            </w:pPr>
            <w:r>
              <w:rPr>
                <w:rFonts w:cs="Times New Roman"/>
                <w:sz w:val="20"/>
                <w:szCs w:val="20"/>
              </w:rPr>
              <w:t>954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043AD" w:rsidP="0095096B">
            <w:pPr>
              <w:jc w:val="center"/>
              <w:rPr>
                <w:rFonts w:cs="Times New Roman"/>
                <w:sz w:val="20"/>
                <w:szCs w:val="20"/>
              </w:rPr>
            </w:pPr>
            <w:r>
              <w:rPr>
                <w:rFonts w:cs="Times New Roman"/>
                <w:sz w:val="20"/>
                <w:szCs w:val="20"/>
              </w:rPr>
              <w:t xml:space="preserve">955 </w:t>
            </w:r>
            <w:r w:rsidR="0095096B" w:rsidRPr="002E2327">
              <w:rPr>
                <w:rFonts w:cs="Times New Roman"/>
                <w:sz w:val="20"/>
                <w:szCs w:val="20"/>
              </w:rPr>
              <w:t>-</w:t>
            </w:r>
            <w:r>
              <w:rPr>
                <w:rFonts w:cs="Times New Roman"/>
                <w:sz w:val="20"/>
                <w:szCs w:val="20"/>
              </w:rPr>
              <w:t xml:space="preserve"> 956</w:t>
            </w:r>
          </w:p>
          <w:p w:rsidR="0095096B" w:rsidRPr="002E2327" w:rsidRDefault="0095096B" w:rsidP="0095096B">
            <w:pPr>
              <w:jc w:val="center"/>
              <w:rPr>
                <w:rFonts w:cs="Times New Roman"/>
                <w:sz w:val="20"/>
                <w:szCs w:val="20"/>
              </w:rPr>
            </w:pPr>
          </w:p>
          <w:p w:rsidR="002043AD" w:rsidRDefault="002043AD" w:rsidP="0095096B">
            <w:pPr>
              <w:jc w:val="center"/>
              <w:rPr>
                <w:rFonts w:cs="Times New Roman"/>
                <w:sz w:val="20"/>
                <w:szCs w:val="20"/>
              </w:rPr>
            </w:pPr>
          </w:p>
          <w:p w:rsidR="0095096B" w:rsidRPr="002E2327" w:rsidRDefault="002043AD" w:rsidP="0095096B">
            <w:pPr>
              <w:jc w:val="center"/>
              <w:rPr>
                <w:rFonts w:cs="Times New Roman"/>
                <w:sz w:val="20"/>
                <w:szCs w:val="20"/>
              </w:rPr>
            </w:pPr>
            <w:r>
              <w:rPr>
                <w:rFonts w:cs="Times New Roman"/>
                <w:sz w:val="20"/>
                <w:szCs w:val="20"/>
              </w:rPr>
              <w:t xml:space="preserve">957 </w:t>
            </w:r>
            <w:r w:rsidR="0095096B" w:rsidRPr="002E2327">
              <w:rPr>
                <w:rFonts w:cs="Times New Roman"/>
                <w:sz w:val="20"/>
                <w:szCs w:val="20"/>
              </w:rPr>
              <w:t>-</w:t>
            </w:r>
            <w:r>
              <w:rPr>
                <w:rFonts w:cs="Times New Roman"/>
                <w:sz w:val="20"/>
                <w:szCs w:val="20"/>
              </w:rPr>
              <w:t xml:space="preserve"> 966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D2D47" w:rsidP="0095096B">
            <w:pPr>
              <w:jc w:val="center"/>
              <w:rPr>
                <w:rFonts w:cs="Times New Roman"/>
                <w:sz w:val="20"/>
                <w:szCs w:val="20"/>
              </w:rPr>
            </w:pPr>
            <w:r>
              <w:rPr>
                <w:rFonts w:cs="Times New Roman"/>
                <w:sz w:val="20"/>
                <w:szCs w:val="20"/>
              </w:rPr>
              <w:t>967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D2D47" w:rsidP="0095096B">
            <w:pPr>
              <w:jc w:val="center"/>
              <w:rPr>
                <w:rFonts w:cs="Times New Roman"/>
                <w:sz w:val="20"/>
                <w:szCs w:val="20"/>
              </w:rPr>
            </w:pPr>
            <w:r>
              <w:rPr>
                <w:rFonts w:cs="Times New Roman"/>
                <w:sz w:val="20"/>
                <w:szCs w:val="20"/>
              </w:rPr>
              <w:t xml:space="preserve">968 </w:t>
            </w:r>
            <w:r w:rsidR="0095096B" w:rsidRPr="002E2327">
              <w:rPr>
                <w:rFonts w:cs="Times New Roman"/>
                <w:sz w:val="20"/>
                <w:szCs w:val="20"/>
              </w:rPr>
              <w:t>-</w:t>
            </w:r>
            <w:r>
              <w:rPr>
                <w:rFonts w:cs="Times New Roman"/>
                <w:sz w:val="20"/>
                <w:szCs w:val="20"/>
              </w:rPr>
              <w:t xml:space="preserve"> 970</w:t>
            </w:r>
          </w:p>
          <w:p w:rsidR="00901AC0" w:rsidRDefault="00901AC0" w:rsidP="00901AC0">
            <w:pPr>
              <w:jc w:val="center"/>
              <w:rPr>
                <w:rFonts w:cs="Times New Roman"/>
                <w:sz w:val="20"/>
                <w:szCs w:val="20"/>
              </w:rPr>
            </w:pPr>
          </w:p>
          <w:p w:rsidR="00901AC0" w:rsidRPr="002E2327" w:rsidRDefault="00901AC0" w:rsidP="00901AC0">
            <w:pPr>
              <w:jc w:val="center"/>
              <w:rPr>
                <w:rFonts w:cs="Times New Roman"/>
                <w:sz w:val="20"/>
                <w:szCs w:val="20"/>
              </w:rPr>
            </w:pPr>
          </w:p>
        </w:tc>
        <w:tc>
          <w:tcPr>
            <w:tcW w:w="3888" w:type="dxa"/>
          </w:tcPr>
          <w:p w:rsidR="0095096B" w:rsidRPr="002E2327" w:rsidRDefault="00C90BA9"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Audience sur les demandes 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A87207" w:rsidRPr="002E2327" w:rsidRDefault="00A87207" w:rsidP="00901AC0">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tblPr>
      <w:tblGrid>
        <w:gridCol w:w="9576"/>
      </w:tblGrid>
      <w:tr w:rsidR="0079724F" w:rsidRPr="005252ED"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C520BB" w:rsidRDefault="00AB3CF5" w:rsidP="003B3977">
            <w:pPr>
              <w:rPr>
                <w:b/>
                <w:sz w:val="20"/>
                <w:szCs w:val="20"/>
                <w:lang w:val="fr-CA"/>
              </w:rPr>
            </w:pPr>
            <w:r w:rsidRPr="00C520BB">
              <w:rPr>
                <w:b/>
                <w:sz w:val="20"/>
                <w:szCs w:val="20"/>
                <w:lang w:val="fr-CA"/>
              </w:rPr>
              <w:t>Guillaume Lemay</w:t>
            </w:r>
          </w:p>
          <w:p w:rsidR="00242AEE" w:rsidRPr="00C520BB" w:rsidRDefault="00242AEE" w:rsidP="003B3977">
            <w:pPr>
              <w:tabs>
                <w:tab w:val="left" w:pos="-1440"/>
                <w:tab w:val="left" w:pos="-720"/>
              </w:tabs>
              <w:rPr>
                <w:sz w:val="20"/>
                <w:szCs w:val="20"/>
                <w:lang w:val="fr-CA"/>
              </w:rPr>
            </w:pPr>
            <w:r w:rsidRPr="00C520BB">
              <w:rPr>
                <w:sz w:val="20"/>
                <w:szCs w:val="20"/>
                <w:lang w:val="fr-CA"/>
              </w:rPr>
              <w:tab/>
            </w:r>
            <w:r w:rsidR="00AB3CF5" w:rsidRPr="00C520BB">
              <w:rPr>
                <w:sz w:val="20"/>
                <w:szCs w:val="20"/>
                <w:lang w:val="fr-CA"/>
              </w:rPr>
              <w:t>Guillaume Lemay</w:t>
            </w:r>
          </w:p>
          <w:p w:rsidR="00242AEE" w:rsidRPr="00C520BB" w:rsidRDefault="00242AEE" w:rsidP="003B3977">
            <w:pPr>
              <w:tabs>
                <w:tab w:val="left" w:pos="-1440"/>
                <w:tab w:val="left" w:pos="-720"/>
              </w:tabs>
              <w:rPr>
                <w:sz w:val="20"/>
                <w:szCs w:val="20"/>
                <w:lang w:val="fr-CA"/>
              </w:rPr>
            </w:pPr>
          </w:p>
          <w:p w:rsidR="00242AEE" w:rsidRPr="00AB3CF5" w:rsidRDefault="00242AEE" w:rsidP="003B3977">
            <w:pPr>
              <w:tabs>
                <w:tab w:val="left" w:pos="-1440"/>
                <w:tab w:val="left" w:pos="-720"/>
              </w:tabs>
              <w:rPr>
                <w:sz w:val="20"/>
                <w:szCs w:val="20"/>
                <w:lang w:val="fr-CA"/>
              </w:rPr>
            </w:pPr>
            <w:r w:rsidRPr="00C520BB">
              <w:rPr>
                <w:sz w:val="20"/>
                <w:szCs w:val="20"/>
                <w:lang w:val="fr-CA"/>
              </w:rPr>
              <w:tab/>
            </w:r>
            <w:r w:rsidR="00946397">
              <w:rPr>
                <w:sz w:val="20"/>
                <w:szCs w:val="20"/>
                <w:lang w:val="fr-CA"/>
              </w:rPr>
              <w:t>c</w:t>
            </w:r>
            <w:r w:rsidRPr="00AB3CF5">
              <w:rPr>
                <w:sz w:val="20"/>
                <w:szCs w:val="20"/>
                <w:lang w:val="fr-CA"/>
              </w:rPr>
              <w:t>. (3</w:t>
            </w:r>
            <w:r w:rsidR="00A82CFE" w:rsidRPr="00AB3CF5">
              <w:rPr>
                <w:sz w:val="20"/>
                <w:szCs w:val="20"/>
                <w:lang w:val="fr-CA"/>
              </w:rPr>
              <w:t>4</w:t>
            </w:r>
            <w:r w:rsidR="00AB3CF5" w:rsidRPr="00AB3CF5">
              <w:rPr>
                <w:sz w:val="20"/>
                <w:szCs w:val="20"/>
                <w:lang w:val="fr-CA"/>
              </w:rPr>
              <w:t>724</w:t>
            </w:r>
            <w:r w:rsidRPr="00AB3CF5">
              <w:rPr>
                <w:sz w:val="20"/>
                <w:szCs w:val="20"/>
                <w:lang w:val="fr-CA"/>
              </w:rPr>
              <w:t>)</w:t>
            </w:r>
          </w:p>
          <w:p w:rsidR="00242AEE" w:rsidRPr="00AB3CF5" w:rsidRDefault="00242AEE" w:rsidP="003B3977">
            <w:pPr>
              <w:tabs>
                <w:tab w:val="left" w:pos="-1440"/>
                <w:tab w:val="left" w:pos="-720"/>
              </w:tabs>
              <w:rPr>
                <w:sz w:val="20"/>
                <w:szCs w:val="20"/>
                <w:lang w:val="fr-CA"/>
              </w:rPr>
            </w:pPr>
          </w:p>
          <w:p w:rsidR="00242AEE" w:rsidRPr="00AB3CF5" w:rsidRDefault="00AB3CF5" w:rsidP="003B3977">
            <w:pPr>
              <w:tabs>
                <w:tab w:val="left" w:pos="-1440"/>
                <w:tab w:val="left" w:pos="-720"/>
              </w:tabs>
              <w:rPr>
                <w:b/>
                <w:sz w:val="20"/>
                <w:szCs w:val="20"/>
                <w:lang w:val="fr-CA"/>
              </w:rPr>
            </w:pPr>
            <w:r w:rsidRPr="00AB3CF5">
              <w:rPr>
                <w:b/>
                <w:sz w:val="20"/>
                <w:szCs w:val="20"/>
                <w:lang w:val="fr-CA"/>
              </w:rPr>
              <w:t>Ville de Sorel-Tracy</w:t>
            </w:r>
            <w:r w:rsidR="00242AEE" w:rsidRPr="00AB3CF5">
              <w:rPr>
                <w:b/>
                <w:sz w:val="20"/>
                <w:szCs w:val="20"/>
                <w:lang w:val="fr-CA"/>
              </w:rPr>
              <w:t xml:space="preserve"> (</w:t>
            </w:r>
            <w:proofErr w:type="spellStart"/>
            <w:r w:rsidRPr="00AB3CF5">
              <w:rPr>
                <w:b/>
                <w:sz w:val="20"/>
                <w:szCs w:val="20"/>
                <w:lang w:val="fr-CA"/>
              </w:rPr>
              <w:t>Qc</w:t>
            </w:r>
            <w:proofErr w:type="spellEnd"/>
            <w:r w:rsidR="00242AEE" w:rsidRPr="00AB3CF5">
              <w:rPr>
                <w:b/>
                <w:sz w:val="20"/>
                <w:szCs w:val="20"/>
                <w:lang w:val="fr-CA"/>
              </w:rPr>
              <w:t>)</w:t>
            </w:r>
          </w:p>
          <w:p w:rsidR="00242AEE" w:rsidRPr="00AB3CF5" w:rsidRDefault="00242AEE" w:rsidP="003B3977">
            <w:pPr>
              <w:tabs>
                <w:tab w:val="left" w:pos="-1440"/>
                <w:tab w:val="left" w:pos="-720"/>
              </w:tabs>
              <w:rPr>
                <w:sz w:val="20"/>
                <w:szCs w:val="20"/>
                <w:lang w:val="fr-CA"/>
              </w:rPr>
            </w:pPr>
            <w:r w:rsidRPr="00AB3CF5">
              <w:rPr>
                <w:sz w:val="20"/>
                <w:szCs w:val="20"/>
                <w:lang w:val="fr-CA"/>
              </w:rPr>
              <w:tab/>
            </w:r>
            <w:r w:rsidR="00AB3CF5">
              <w:rPr>
                <w:sz w:val="20"/>
                <w:szCs w:val="20"/>
                <w:lang w:val="fr-CA"/>
              </w:rPr>
              <w:t xml:space="preserve">Christian </w:t>
            </w:r>
            <w:proofErr w:type="spellStart"/>
            <w:r w:rsidR="00AB3CF5">
              <w:rPr>
                <w:sz w:val="20"/>
                <w:szCs w:val="20"/>
                <w:lang w:val="fr-CA"/>
              </w:rPr>
              <w:t>Crevier</w:t>
            </w:r>
            <w:proofErr w:type="spellEnd"/>
          </w:p>
          <w:p w:rsidR="00242AEE" w:rsidRPr="00AB3CF5" w:rsidRDefault="00242AEE" w:rsidP="003B3977">
            <w:pPr>
              <w:tabs>
                <w:tab w:val="left" w:pos="-1440"/>
                <w:tab w:val="left" w:pos="-720"/>
              </w:tabs>
              <w:rPr>
                <w:sz w:val="20"/>
                <w:szCs w:val="20"/>
                <w:lang w:val="fr-CA"/>
              </w:rPr>
            </w:pPr>
            <w:r w:rsidRPr="00AB3CF5">
              <w:rPr>
                <w:sz w:val="20"/>
                <w:szCs w:val="20"/>
                <w:lang w:val="fr-CA"/>
              </w:rPr>
              <w:tab/>
            </w:r>
            <w:proofErr w:type="spellStart"/>
            <w:r w:rsidR="00AB3CF5">
              <w:rPr>
                <w:sz w:val="20"/>
                <w:szCs w:val="20"/>
                <w:lang w:val="fr-CA"/>
              </w:rPr>
              <w:t>Crevier</w:t>
            </w:r>
            <w:proofErr w:type="spellEnd"/>
            <w:r w:rsidR="00AB3CF5">
              <w:rPr>
                <w:sz w:val="20"/>
                <w:szCs w:val="20"/>
                <w:lang w:val="fr-CA"/>
              </w:rPr>
              <w:t xml:space="preserve"> et Beaudoin</w:t>
            </w:r>
          </w:p>
          <w:p w:rsidR="00242AEE" w:rsidRPr="00AB3CF5" w:rsidRDefault="00242AEE" w:rsidP="003B3977">
            <w:pPr>
              <w:tabs>
                <w:tab w:val="left" w:pos="-1440"/>
                <w:tab w:val="left" w:pos="-720"/>
              </w:tabs>
              <w:rPr>
                <w:sz w:val="20"/>
                <w:szCs w:val="20"/>
                <w:lang w:val="fr-CA"/>
              </w:rPr>
            </w:pPr>
          </w:p>
          <w:p w:rsidR="00242AEE" w:rsidRPr="00AB3CF5" w:rsidRDefault="00242AEE" w:rsidP="003B3977">
            <w:pPr>
              <w:rPr>
                <w:sz w:val="20"/>
                <w:szCs w:val="20"/>
                <w:lang w:val="fr-CA"/>
              </w:rPr>
            </w:pPr>
            <w:r w:rsidRPr="00AB3CF5">
              <w:rPr>
                <w:sz w:val="20"/>
                <w:szCs w:val="20"/>
                <w:lang w:val="fr-CA"/>
              </w:rPr>
              <w:t>DATE</w:t>
            </w:r>
            <w:r w:rsidR="00AB3CF5" w:rsidRPr="00AB3CF5">
              <w:rPr>
                <w:sz w:val="20"/>
                <w:szCs w:val="20"/>
                <w:lang w:val="fr-CA"/>
              </w:rPr>
              <w:t xml:space="preserve"> DE PRODUCTION </w:t>
            </w:r>
            <w:r w:rsidRPr="00AB3CF5">
              <w:rPr>
                <w:sz w:val="20"/>
                <w:szCs w:val="20"/>
                <w:lang w:val="fr-CA"/>
              </w:rPr>
              <w:t xml:space="preserve">: </w:t>
            </w:r>
            <w:r w:rsidR="00AB3CF5" w:rsidRPr="00AB3CF5">
              <w:rPr>
                <w:sz w:val="20"/>
                <w:szCs w:val="20"/>
                <w:lang w:val="fr-CA"/>
              </w:rPr>
              <w:t>09</w:t>
            </w:r>
            <w:r w:rsidRPr="00AB3CF5">
              <w:rPr>
                <w:sz w:val="20"/>
                <w:szCs w:val="20"/>
                <w:lang w:val="fr-CA"/>
              </w:rPr>
              <w:t>.0</w:t>
            </w:r>
            <w:r w:rsidR="00AB3CF5" w:rsidRPr="00AB3CF5">
              <w:rPr>
                <w:sz w:val="20"/>
                <w:szCs w:val="20"/>
                <w:lang w:val="fr-CA"/>
              </w:rPr>
              <w:t>3</w:t>
            </w:r>
            <w:r w:rsidRPr="00AB3CF5">
              <w:rPr>
                <w:sz w:val="20"/>
                <w:szCs w:val="20"/>
                <w:lang w:val="fr-CA"/>
              </w:rPr>
              <w:t>.201</w:t>
            </w:r>
            <w:r w:rsidR="00A82CFE" w:rsidRPr="00AB3CF5">
              <w:rPr>
                <w:sz w:val="20"/>
                <w:szCs w:val="20"/>
                <w:lang w:val="fr-CA"/>
              </w:rPr>
              <w:t>2</w:t>
            </w:r>
          </w:p>
          <w:p w:rsidR="00242AEE" w:rsidRPr="00A935AA" w:rsidRDefault="00C90BA9" w:rsidP="003B3977">
            <w:pPr>
              <w:rPr>
                <w:sz w:val="20"/>
                <w:szCs w:val="20"/>
              </w:rPr>
            </w:pPr>
            <w:r w:rsidRPr="00C90BA9">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BA3F6C" w:rsidRPr="00A935AA" w:rsidRDefault="00BA3F6C" w:rsidP="00BA3F6C">
            <w:pPr>
              <w:keepNext/>
              <w:keepLines/>
              <w:tabs>
                <w:tab w:val="left" w:pos="-1440"/>
                <w:tab w:val="left" w:pos="-720"/>
              </w:tabs>
              <w:rPr>
                <w:b/>
                <w:sz w:val="20"/>
                <w:szCs w:val="20"/>
              </w:rPr>
            </w:pPr>
            <w:r w:rsidRPr="00215E80">
              <w:rPr>
                <w:b/>
                <w:sz w:val="20"/>
                <w:szCs w:val="20"/>
              </w:rPr>
              <w:t>Rainbow Concrete Industries Limited</w:t>
            </w:r>
          </w:p>
          <w:p w:rsidR="00BA3F6C" w:rsidRPr="00A935AA" w:rsidRDefault="00BA3F6C" w:rsidP="00BA3F6C">
            <w:pPr>
              <w:keepNext/>
              <w:keepLines/>
              <w:tabs>
                <w:tab w:val="left" w:pos="-1440"/>
                <w:tab w:val="left" w:pos="-720"/>
              </w:tabs>
              <w:rPr>
                <w:sz w:val="20"/>
                <w:szCs w:val="20"/>
              </w:rPr>
            </w:pPr>
            <w:r w:rsidRPr="00A935AA">
              <w:rPr>
                <w:sz w:val="20"/>
                <w:szCs w:val="20"/>
              </w:rPr>
              <w:tab/>
            </w:r>
            <w:r>
              <w:rPr>
                <w:sz w:val="20"/>
                <w:szCs w:val="20"/>
              </w:rPr>
              <w:t xml:space="preserve">Marvin J. </w:t>
            </w:r>
            <w:proofErr w:type="spellStart"/>
            <w:r>
              <w:rPr>
                <w:sz w:val="20"/>
                <w:szCs w:val="20"/>
              </w:rPr>
              <w:t>Huberman</w:t>
            </w:r>
            <w:proofErr w:type="spellEnd"/>
          </w:p>
          <w:p w:rsidR="00BA3F6C" w:rsidRPr="00A935AA" w:rsidRDefault="00BA3F6C" w:rsidP="00BA3F6C">
            <w:pPr>
              <w:keepNext/>
              <w:keepLines/>
              <w:tabs>
                <w:tab w:val="left" w:pos="-1440"/>
                <w:tab w:val="left" w:pos="-720"/>
              </w:tabs>
              <w:rPr>
                <w:sz w:val="20"/>
                <w:szCs w:val="20"/>
              </w:rPr>
            </w:pPr>
          </w:p>
          <w:p w:rsidR="00BA3F6C" w:rsidRPr="00610A5E" w:rsidRDefault="00BA3F6C" w:rsidP="00BA3F6C">
            <w:pPr>
              <w:keepNext/>
              <w:keepLines/>
              <w:tabs>
                <w:tab w:val="left" w:pos="-1440"/>
                <w:tab w:val="left" w:pos="-720"/>
              </w:tabs>
              <w:rPr>
                <w:sz w:val="20"/>
                <w:szCs w:val="20"/>
                <w:lang w:val="en-US"/>
              </w:rPr>
            </w:pPr>
            <w:r w:rsidRPr="00A935AA">
              <w:rPr>
                <w:sz w:val="20"/>
                <w:szCs w:val="20"/>
              </w:rPr>
              <w:tab/>
            </w:r>
            <w:r w:rsidRPr="00610A5E">
              <w:rPr>
                <w:sz w:val="20"/>
                <w:szCs w:val="20"/>
                <w:lang w:val="en-US"/>
              </w:rPr>
              <w:t>v. (34</w:t>
            </w:r>
            <w:r>
              <w:rPr>
                <w:sz w:val="20"/>
                <w:szCs w:val="20"/>
                <w:lang w:val="en-US"/>
              </w:rPr>
              <w:t>844</w:t>
            </w:r>
            <w:r w:rsidRPr="00610A5E">
              <w:rPr>
                <w:sz w:val="20"/>
                <w:szCs w:val="20"/>
                <w:lang w:val="en-US"/>
              </w:rPr>
              <w:t>)</w:t>
            </w:r>
          </w:p>
          <w:p w:rsidR="00BA3F6C" w:rsidRPr="00610A5E" w:rsidRDefault="00BA3F6C" w:rsidP="00BA3F6C">
            <w:pPr>
              <w:keepNext/>
              <w:keepLines/>
              <w:tabs>
                <w:tab w:val="left" w:pos="-1440"/>
                <w:tab w:val="left" w:pos="-720"/>
              </w:tabs>
              <w:rPr>
                <w:sz w:val="20"/>
                <w:szCs w:val="20"/>
                <w:lang w:val="en-US"/>
              </w:rPr>
            </w:pPr>
          </w:p>
          <w:p w:rsidR="00BA3F6C" w:rsidRPr="00610A5E" w:rsidRDefault="00BA3F6C" w:rsidP="00BA3F6C">
            <w:pPr>
              <w:keepNext/>
              <w:keepLines/>
              <w:tabs>
                <w:tab w:val="left" w:pos="-1440"/>
                <w:tab w:val="left" w:pos="-720"/>
              </w:tabs>
              <w:rPr>
                <w:b/>
                <w:sz w:val="20"/>
                <w:szCs w:val="20"/>
                <w:lang w:val="en-US"/>
              </w:rPr>
            </w:pPr>
            <w:r>
              <w:rPr>
                <w:b/>
                <w:sz w:val="20"/>
                <w:szCs w:val="20"/>
                <w:lang w:val="en-US"/>
              </w:rPr>
              <w:t xml:space="preserve">Ian </w:t>
            </w:r>
            <w:r w:rsidRPr="00215E80">
              <w:rPr>
                <w:b/>
                <w:sz w:val="20"/>
                <w:szCs w:val="20"/>
                <w:lang w:val="en-US"/>
              </w:rPr>
              <w:t xml:space="preserve">Anderson </w:t>
            </w:r>
            <w:r w:rsidRPr="00610A5E">
              <w:rPr>
                <w:b/>
                <w:sz w:val="20"/>
                <w:szCs w:val="20"/>
                <w:lang w:val="en-US"/>
              </w:rPr>
              <w:t>(Ont.)</w:t>
            </w:r>
          </w:p>
          <w:p w:rsidR="00BA3F6C" w:rsidRPr="00610A5E" w:rsidRDefault="00BA3F6C" w:rsidP="00BA3F6C">
            <w:pPr>
              <w:keepNext/>
              <w:keepLines/>
              <w:tabs>
                <w:tab w:val="left" w:pos="-1440"/>
                <w:tab w:val="left" w:pos="-720"/>
              </w:tabs>
              <w:rPr>
                <w:sz w:val="20"/>
                <w:szCs w:val="20"/>
                <w:lang w:val="en-US"/>
              </w:rPr>
            </w:pPr>
            <w:r w:rsidRPr="00610A5E">
              <w:rPr>
                <w:sz w:val="20"/>
                <w:szCs w:val="20"/>
                <w:lang w:val="en-US"/>
              </w:rPr>
              <w:tab/>
            </w:r>
            <w:r>
              <w:rPr>
                <w:sz w:val="20"/>
                <w:szCs w:val="20"/>
                <w:lang w:val="en-US"/>
              </w:rPr>
              <w:t>Sara Blake</w:t>
            </w:r>
          </w:p>
          <w:p w:rsidR="00BA3F6C" w:rsidRPr="00610A5E" w:rsidRDefault="00BA3F6C" w:rsidP="00BA3F6C">
            <w:pPr>
              <w:keepNext/>
              <w:keepLines/>
              <w:tabs>
                <w:tab w:val="left" w:pos="-1440"/>
                <w:tab w:val="left" w:pos="-720"/>
              </w:tabs>
              <w:rPr>
                <w:sz w:val="20"/>
                <w:szCs w:val="20"/>
                <w:lang w:val="en-US"/>
              </w:rPr>
            </w:pPr>
            <w:r w:rsidRPr="00610A5E">
              <w:rPr>
                <w:sz w:val="20"/>
                <w:szCs w:val="20"/>
                <w:lang w:val="en-US"/>
              </w:rPr>
              <w:tab/>
            </w:r>
            <w:r>
              <w:rPr>
                <w:sz w:val="20"/>
                <w:szCs w:val="20"/>
                <w:lang w:val="en-US"/>
              </w:rPr>
              <w:t>A.G. of Ontario</w:t>
            </w:r>
          </w:p>
          <w:p w:rsidR="00BA3F6C" w:rsidRPr="00610A5E" w:rsidRDefault="00BA3F6C" w:rsidP="00BA3F6C">
            <w:pPr>
              <w:keepNext/>
              <w:keepLines/>
              <w:tabs>
                <w:tab w:val="left" w:pos="-1440"/>
                <w:tab w:val="left" w:pos="-720"/>
              </w:tabs>
              <w:rPr>
                <w:sz w:val="20"/>
                <w:szCs w:val="20"/>
                <w:lang w:val="en-US"/>
              </w:rPr>
            </w:pPr>
          </w:p>
          <w:p w:rsidR="00BA3F6C" w:rsidRDefault="00BA3F6C" w:rsidP="00BA3F6C">
            <w:pPr>
              <w:keepNext/>
              <w:keepLines/>
              <w:tabs>
                <w:tab w:val="left" w:pos="-1440"/>
                <w:tab w:val="left" w:pos="-720"/>
              </w:tabs>
            </w:pPr>
            <w:r>
              <w:rPr>
                <w:sz w:val="20"/>
                <w:szCs w:val="20"/>
              </w:rPr>
              <w:t>FILING DATE: 25</w:t>
            </w:r>
            <w:r w:rsidRPr="00A935AA">
              <w:rPr>
                <w:sz w:val="20"/>
                <w:szCs w:val="20"/>
              </w:rPr>
              <w:t>.0</w:t>
            </w:r>
            <w:r w:rsidRPr="00BA3F6C">
              <w:rPr>
                <w:sz w:val="20"/>
                <w:szCs w:val="20"/>
              </w:rPr>
              <w:t>5.2012</w:t>
            </w:r>
          </w:p>
          <w:p w:rsidR="00242AEE" w:rsidRPr="00A935AA" w:rsidRDefault="00C90BA9" w:rsidP="000302AC">
            <w:pPr>
              <w:rPr>
                <w:sz w:val="20"/>
                <w:szCs w:val="20"/>
              </w:rPr>
            </w:pPr>
            <w:r w:rsidRPr="00C90BA9">
              <w:rPr>
                <w:sz w:val="20"/>
                <w:szCs w:val="20"/>
                <w:lang w:val="fr-CA"/>
              </w:rPr>
              <w:pict>
                <v:rect id="_x0000_i1026" style="width:108pt;height:1pt" o:hrpct="0" o:hralign="center" o:hrstd="t" o:hrnoshade="t" o:hr="t" fillcolor="black [3213]" stroked="f"/>
              </w:pict>
            </w:r>
          </w:p>
        </w:tc>
      </w:tr>
      <w:tr w:rsidR="00A82CFE" w:rsidRPr="00A935AA" w:rsidTr="003B3977">
        <w:tc>
          <w:tcPr>
            <w:tcW w:w="4320" w:type="dxa"/>
            <w:shd w:val="clear" w:color="auto" w:fill="auto"/>
          </w:tcPr>
          <w:p w:rsidR="00402685" w:rsidRDefault="00402685" w:rsidP="00A50FB9">
            <w:pPr>
              <w:rPr>
                <w:b/>
                <w:sz w:val="20"/>
                <w:szCs w:val="20"/>
              </w:rPr>
            </w:pPr>
          </w:p>
          <w:p w:rsidR="00A82CFE" w:rsidRPr="00A935AA" w:rsidRDefault="000302AC" w:rsidP="00A50FB9">
            <w:pPr>
              <w:rPr>
                <w:b/>
                <w:sz w:val="20"/>
                <w:szCs w:val="20"/>
              </w:rPr>
            </w:pPr>
            <w:r>
              <w:rPr>
                <w:b/>
                <w:sz w:val="20"/>
                <w:szCs w:val="20"/>
              </w:rPr>
              <w:t xml:space="preserve">Kurt </w:t>
            </w:r>
            <w:proofErr w:type="spellStart"/>
            <w:r w:rsidRPr="000302AC">
              <w:rPr>
                <w:b/>
                <w:sz w:val="20"/>
                <w:szCs w:val="20"/>
              </w:rPr>
              <w:t>Pieckenhagen</w:t>
            </w:r>
            <w:proofErr w:type="spellEnd"/>
            <w:r>
              <w:rPr>
                <w:b/>
                <w:sz w:val="20"/>
                <w:szCs w:val="20"/>
              </w:rPr>
              <w:t xml:space="preserve"> et al.</w:t>
            </w:r>
          </w:p>
          <w:p w:rsidR="00A82CFE" w:rsidRPr="00A935AA" w:rsidRDefault="00A82CFE" w:rsidP="00A50FB9">
            <w:pPr>
              <w:tabs>
                <w:tab w:val="left" w:pos="-1440"/>
                <w:tab w:val="left" w:pos="-720"/>
              </w:tabs>
              <w:rPr>
                <w:sz w:val="20"/>
                <w:szCs w:val="20"/>
              </w:rPr>
            </w:pPr>
            <w:r w:rsidRPr="00A935AA">
              <w:rPr>
                <w:sz w:val="20"/>
                <w:szCs w:val="20"/>
              </w:rPr>
              <w:tab/>
            </w:r>
            <w:r w:rsidR="001541DC">
              <w:rPr>
                <w:sz w:val="20"/>
                <w:szCs w:val="20"/>
              </w:rPr>
              <w:t xml:space="preserve">Melvyn L. </w:t>
            </w:r>
            <w:proofErr w:type="spellStart"/>
            <w:r w:rsidR="001541DC">
              <w:rPr>
                <w:sz w:val="20"/>
                <w:szCs w:val="20"/>
              </w:rPr>
              <w:t>Solmon</w:t>
            </w:r>
            <w:proofErr w:type="spellEnd"/>
          </w:p>
          <w:p w:rsidR="00A82CFE" w:rsidRPr="00A935AA" w:rsidRDefault="00A82CFE" w:rsidP="00A50FB9">
            <w:pPr>
              <w:tabs>
                <w:tab w:val="left" w:pos="-1440"/>
                <w:tab w:val="left" w:pos="-720"/>
              </w:tabs>
              <w:rPr>
                <w:sz w:val="20"/>
                <w:szCs w:val="20"/>
              </w:rPr>
            </w:pPr>
            <w:r w:rsidRPr="00A935AA">
              <w:rPr>
                <w:sz w:val="20"/>
                <w:szCs w:val="20"/>
              </w:rPr>
              <w:tab/>
            </w:r>
            <w:proofErr w:type="spellStart"/>
            <w:r w:rsidR="001541DC">
              <w:rPr>
                <w:sz w:val="20"/>
                <w:szCs w:val="20"/>
              </w:rPr>
              <w:t>Solmon</w:t>
            </w:r>
            <w:proofErr w:type="spellEnd"/>
            <w:r w:rsidR="001541DC">
              <w:rPr>
                <w:sz w:val="20"/>
                <w:szCs w:val="20"/>
              </w:rPr>
              <w:t xml:space="preserve"> </w:t>
            </w:r>
            <w:proofErr w:type="spellStart"/>
            <w:r w:rsidR="001541DC">
              <w:rPr>
                <w:sz w:val="20"/>
                <w:szCs w:val="20"/>
              </w:rPr>
              <w:t>Rothbart</w:t>
            </w:r>
            <w:proofErr w:type="spellEnd"/>
            <w:r w:rsidR="001541DC">
              <w:rPr>
                <w:sz w:val="20"/>
                <w:szCs w:val="20"/>
              </w:rPr>
              <w:t xml:space="preserve"> Goodman LLP</w:t>
            </w:r>
          </w:p>
          <w:p w:rsidR="00A82CFE" w:rsidRPr="00A935AA" w:rsidRDefault="00A82CFE" w:rsidP="00A50FB9">
            <w:pPr>
              <w:tabs>
                <w:tab w:val="left" w:pos="-1440"/>
                <w:tab w:val="left" w:pos="-720"/>
              </w:tabs>
              <w:rPr>
                <w:sz w:val="20"/>
                <w:szCs w:val="20"/>
              </w:rPr>
            </w:pPr>
          </w:p>
          <w:p w:rsidR="00A82CFE" w:rsidRPr="00A935AA" w:rsidRDefault="00A82CFE" w:rsidP="00A50FB9">
            <w:pPr>
              <w:tabs>
                <w:tab w:val="left" w:pos="-1440"/>
                <w:tab w:val="left" w:pos="-720"/>
              </w:tabs>
              <w:rPr>
                <w:sz w:val="20"/>
                <w:szCs w:val="20"/>
              </w:rPr>
            </w:pPr>
            <w:r w:rsidRPr="00A935AA">
              <w:rPr>
                <w:sz w:val="20"/>
                <w:szCs w:val="20"/>
              </w:rPr>
              <w:tab/>
              <w:t>v. (3</w:t>
            </w:r>
            <w:r>
              <w:rPr>
                <w:sz w:val="20"/>
                <w:szCs w:val="20"/>
              </w:rPr>
              <w:t>4</w:t>
            </w:r>
            <w:r w:rsidR="000302AC">
              <w:rPr>
                <w:sz w:val="20"/>
                <w:szCs w:val="20"/>
              </w:rPr>
              <w:t>841</w:t>
            </w:r>
            <w:r w:rsidRPr="00A935AA">
              <w:rPr>
                <w:sz w:val="20"/>
                <w:szCs w:val="20"/>
              </w:rPr>
              <w:t>)</w:t>
            </w:r>
          </w:p>
          <w:p w:rsidR="00A82CFE" w:rsidRPr="00A935AA" w:rsidRDefault="00A82CFE" w:rsidP="00A50FB9">
            <w:pPr>
              <w:tabs>
                <w:tab w:val="left" w:pos="-1440"/>
                <w:tab w:val="left" w:pos="-720"/>
              </w:tabs>
              <w:rPr>
                <w:sz w:val="20"/>
                <w:szCs w:val="20"/>
              </w:rPr>
            </w:pPr>
          </w:p>
          <w:p w:rsidR="00A82CFE" w:rsidRPr="00A935AA" w:rsidRDefault="000302AC" w:rsidP="00A50FB9">
            <w:pPr>
              <w:tabs>
                <w:tab w:val="left" w:pos="-1440"/>
                <w:tab w:val="left" w:pos="-720"/>
              </w:tabs>
              <w:rPr>
                <w:b/>
                <w:sz w:val="20"/>
                <w:szCs w:val="20"/>
              </w:rPr>
            </w:pPr>
            <w:r w:rsidRPr="000302AC">
              <w:rPr>
                <w:b/>
                <w:sz w:val="20"/>
                <w:szCs w:val="20"/>
              </w:rPr>
              <w:t xml:space="preserve">Shaw Satellite G.P., </w:t>
            </w:r>
            <w:proofErr w:type="spellStart"/>
            <w:r w:rsidRPr="000302AC">
              <w:rPr>
                <w:b/>
                <w:sz w:val="20"/>
                <w:szCs w:val="20"/>
              </w:rPr>
              <w:t>c.o.b</w:t>
            </w:r>
            <w:proofErr w:type="spellEnd"/>
            <w:r w:rsidRPr="000302AC">
              <w:rPr>
                <w:b/>
                <w:sz w:val="20"/>
                <w:szCs w:val="20"/>
              </w:rPr>
              <w:t xml:space="preserve">. as Shaw </w:t>
            </w:r>
            <w:proofErr w:type="spellStart"/>
            <w:r w:rsidRPr="000302AC">
              <w:rPr>
                <w:b/>
                <w:sz w:val="20"/>
                <w:szCs w:val="20"/>
              </w:rPr>
              <w:t>DirectTM</w:t>
            </w:r>
            <w:proofErr w:type="spellEnd"/>
            <w:r w:rsidR="00A82CFE" w:rsidRPr="00A935AA">
              <w:rPr>
                <w:b/>
                <w:sz w:val="20"/>
                <w:szCs w:val="20"/>
              </w:rPr>
              <w:t xml:space="preserve"> (</w:t>
            </w:r>
            <w:r w:rsidR="001541DC">
              <w:rPr>
                <w:b/>
                <w:sz w:val="20"/>
                <w:szCs w:val="20"/>
              </w:rPr>
              <w:t>Ont.</w:t>
            </w:r>
            <w:r w:rsidR="00A82CFE" w:rsidRPr="00A935AA">
              <w:rPr>
                <w:b/>
                <w:sz w:val="20"/>
                <w:szCs w:val="20"/>
              </w:rPr>
              <w:t>)</w:t>
            </w:r>
          </w:p>
          <w:p w:rsidR="00A82CFE" w:rsidRPr="00A935AA" w:rsidRDefault="00A82CFE" w:rsidP="00A50FB9">
            <w:pPr>
              <w:tabs>
                <w:tab w:val="left" w:pos="-1440"/>
                <w:tab w:val="left" w:pos="-720"/>
              </w:tabs>
              <w:rPr>
                <w:sz w:val="20"/>
                <w:szCs w:val="20"/>
              </w:rPr>
            </w:pPr>
            <w:r w:rsidRPr="00A935AA">
              <w:rPr>
                <w:sz w:val="20"/>
                <w:szCs w:val="20"/>
              </w:rPr>
              <w:tab/>
            </w:r>
            <w:r w:rsidR="001541DC">
              <w:rPr>
                <w:sz w:val="20"/>
                <w:szCs w:val="20"/>
              </w:rPr>
              <w:t xml:space="preserve">Christopher D. </w:t>
            </w:r>
            <w:proofErr w:type="spellStart"/>
            <w:r w:rsidR="001541DC">
              <w:rPr>
                <w:sz w:val="20"/>
                <w:szCs w:val="20"/>
              </w:rPr>
              <w:t>Bredt</w:t>
            </w:r>
            <w:proofErr w:type="spellEnd"/>
          </w:p>
          <w:p w:rsidR="00A82CFE" w:rsidRPr="00A935AA" w:rsidRDefault="00A82CFE" w:rsidP="00A50FB9">
            <w:pPr>
              <w:tabs>
                <w:tab w:val="left" w:pos="-1440"/>
                <w:tab w:val="left" w:pos="-720"/>
              </w:tabs>
              <w:rPr>
                <w:sz w:val="20"/>
                <w:szCs w:val="20"/>
              </w:rPr>
            </w:pPr>
            <w:r w:rsidRPr="00A935AA">
              <w:rPr>
                <w:sz w:val="20"/>
                <w:szCs w:val="20"/>
              </w:rPr>
              <w:tab/>
            </w:r>
            <w:r w:rsidR="001541DC">
              <w:rPr>
                <w:sz w:val="20"/>
                <w:szCs w:val="20"/>
              </w:rPr>
              <w:t xml:space="preserve">Borden </w:t>
            </w:r>
            <w:proofErr w:type="spellStart"/>
            <w:r w:rsidR="001541DC">
              <w:rPr>
                <w:sz w:val="20"/>
                <w:szCs w:val="20"/>
              </w:rPr>
              <w:t>Ladner</w:t>
            </w:r>
            <w:proofErr w:type="spellEnd"/>
            <w:r w:rsidR="001541DC">
              <w:rPr>
                <w:sz w:val="20"/>
                <w:szCs w:val="20"/>
              </w:rPr>
              <w:t xml:space="preserve"> </w:t>
            </w:r>
            <w:proofErr w:type="spellStart"/>
            <w:r w:rsidR="001541DC">
              <w:rPr>
                <w:sz w:val="20"/>
                <w:szCs w:val="20"/>
              </w:rPr>
              <w:t>Gervais</w:t>
            </w:r>
            <w:proofErr w:type="spellEnd"/>
            <w:r w:rsidR="001541DC">
              <w:rPr>
                <w:sz w:val="20"/>
                <w:szCs w:val="20"/>
              </w:rPr>
              <w:t xml:space="preserve"> LLP</w:t>
            </w:r>
          </w:p>
          <w:p w:rsidR="00A82CFE" w:rsidRPr="00A935AA" w:rsidRDefault="00A82CFE" w:rsidP="00A50FB9">
            <w:pPr>
              <w:tabs>
                <w:tab w:val="left" w:pos="-1440"/>
                <w:tab w:val="left" w:pos="-720"/>
              </w:tabs>
              <w:rPr>
                <w:sz w:val="20"/>
                <w:szCs w:val="20"/>
              </w:rPr>
            </w:pPr>
          </w:p>
          <w:p w:rsidR="00A82CFE" w:rsidRPr="00A935AA" w:rsidRDefault="00A82CFE" w:rsidP="00A50FB9">
            <w:pPr>
              <w:rPr>
                <w:sz w:val="20"/>
                <w:szCs w:val="20"/>
              </w:rPr>
            </w:pPr>
            <w:r w:rsidRPr="00A935AA">
              <w:rPr>
                <w:sz w:val="20"/>
                <w:szCs w:val="20"/>
              </w:rPr>
              <w:t>FILING DATE: 2</w:t>
            </w:r>
            <w:r w:rsidR="001541DC">
              <w:rPr>
                <w:sz w:val="20"/>
                <w:szCs w:val="20"/>
              </w:rPr>
              <w:t>2</w:t>
            </w:r>
            <w:r w:rsidRPr="00A935AA">
              <w:rPr>
                <w:sz w:val="20"/>
                <w:szCs w:val="20"/>
              </w:rPr>
              <w:t>.0</w:t>
            </w:r>
            <w:r>
              <w:rPr>
                <w:sz w:val="20"/>
                <w:szCs w:val="20"/>
              </w:rPr>
              <w:t>5</w:t>
            </w:r>
            <w:r w:rsidRPr="00A935AA">
              <w:rPr>
                <w:sz w:val="20"/>
                <w:szCs w:val="20"/>
              </w:rPr>
              <w:t>.201</w:t>
            </w:r>
            <w:r>
              <w:rPr>
                <w:sz w:val="20"/>
                <w:szCs w:val="20"/>
              </w:rPr>
              <w:t>2</w:t>
            </w:r>
          </w:p>
          <w:p w:rsidR="00A82CFE" w:rsidRPr="00A935AA" w:rsidRDefault="00C90BA9" w:rsidP="00A50FB9">
            <w:pPr>
              <w:rPr>
                <w:sz w:val="20"/>
                <w:szCs w:val="20"/>
              </w:rPr>
            </w:pPr>
            <w:r w:rsidRPr="00C90BA9">
              <w:rPr>
                <w:sz w:val="20"/>
                <w:szCs w:val="20"/>
                <w:lang w:val="fr-CA"/>
              </w:rPr>
              <w:pict>
                <v:rect id="_x0000_i1027" style="width:108pt;height:1pt" o:hrpct="0" o:hralign="center" o:hrstd="t" o:hrnoshade="t" o:hr="t" fillcolor="black [3213]" stroked="f"/>
              </w:pict>
            </w:r>
          </w:p>
        </w:tc>
        <w:tc>
          <w:tcPr>
            <w:tcW w:w="1181" w:type="dxa"/>
            <w:shd w:val="clear" w:color="auto" w:fill="auto"/>
          </w:tcPr>
          <w:p w:rsidR="00A82CFE" w:rsidRPr="00A935AA" w:rsidRDefault="00A82CFE" w:rsidP="00242AEE">
            <w:pPr>
              <w:jc w:val="center"/>
              <w:rPr>
                <w:sz w:val="20"/>
                <w:szCs w:val="20"/>
              </w:rPr>
            </w:pPr>
          </w:p>
          <w:p w:rsidR="00A82CFE" w:rsidRPr="00A935AA" w:rsidRDefault="00A82CFE" w:rsidP="00242AEE">
            <w:pPr>
              <w:jc w:val="center"/>
              <w:rPr>
                <w:sz w:val="20"/>
                <w:szCs w:val="20"/>
              </w:rPr>
            </w:pPr>
          </w:p>
          <w:p w:rsidR="00A82CFE" w:rsidRPr="00A935AA" w:rsidRDefault="00A82CFE" w:rsidP="00242AEE">
            <w:pPr>
              <w:jc w:val="center"/>
              <w:rPr>
                <w:sz w:val="20"/>
                <w:szCs w:val="20"/>
              </w:rPr>
            </w:pPr>
          </w:p>
          <w:p w:rsidR="00A82CFE" w:rsidRPr="00A935AA" w:rsidRDefault="00A82CFE" w:rsidP="00242AEE">
            <w:pPr>
              <w:jc w:val="center"/>
              <w:rPr>
                <w:sz w:val="20"/>
                <w:szCs w:val="20"/>
              </w:rPr>
            </w:pPr>
          </w:p>
          <w:p w:rsidR="00A82CFE" w:rsidRPr="00A935AA" w:rsidRDefault="00A82CFE" w:rsidP="00242AEE">
            <w:pPr>
              <w:jc w:val="center"/>
              <w:rPr>
                <w:sz w:val="20"/>
                <w:szCs w:val="20"/>
              </w:rPr>
            </w:pPr>
          </w:p>
          <w:p w:rsidR="00A82CFE" w:rsidRPr="00A935AA" w:rsidRDefault="00A82CFE" w:rsidP="00242AEE">
            <w:pPr>
              <w:jc w:val="center"/>
              <w:rPr>
                <w:sz w:val="20"/>
                <w:szCs w:val="20"/>
              </w:rPr>
            </w:pPr>
          </w:p>
          <w:p w:rsidR="00A82CFE" w:rsidRPr="00A935AA" w:rsidRDefault="00A82CFE" w:rsidP="00242AEE">
            <w:pPr>
              <w:jc w:val="center"/>
              <w:rPr>
                <w:sz w:val="20"/>
                <w:szCs w:val="20"/>
              </w:rPr>
            </w:pPr>
          </w:p>
          <w:p w:rsidR="00A82CFE" w:rsidRPr="00A935AA" w:rsidRDefault="00A82CFE" w:rsidP="00242AEE">
            <w:pPr>
              <w:jc w:val="center"/>
              <w:rPr>
                <w:sz w:val="20"/>
                <w:szCs w:val="20"/>
              </w:rPr>
            </w:pPr>
          </w:p>
          <w:p w:rsidR="00A82CFE" w:rsidRPr="00A935AA" w:rsidRDefault="00A82CFE" w:rsidP="00242AEE">
            <w:pPr>
              <w:jc w:val="center"/>
              <w:rPr>
                <w:sz w:val="20"/>
                <w:szCs w:val="20"/>
              </w:rPr>
            </w:pPr>
          </w:p>
          <w:p w:rsidR="00A82CFE" w:rsidRPr="00A935AA" w:rsidRDefault="00A82CFE" w:rsidP="00242AEE">
            <w:pPr>
              <w:jc w:val="center"/>
              <w:rPr>
                <w:sz w:val="20"/>
                <w:szCs w:val="20"/>
              </w:rPr>
            </w:pPr>
          </w:p>
          <w:p w:rsidR="00A82CFE" w:rsidRPr="00A935AA" w:rsidRDefault="00A82CFE" w:rsidP="00242AEE">
            <w:pPr>
              <w:jc w:val="center"/>
              <w:rPr>
                <w:sz w:val="20"/>
                <w:szCs w:val="20"/>
              </w:rPr>
            </w:pPr>
          </w:p>
          <w:p w:rsidR="00A82CFE" w:rsidRPr="00A935AA" w:rsidRDefault="00A82CFE" w:rsidP="00242AEE">
            <w:pPr>
              <w:jc w:val="center"/>
              <w:rPr>
                <w:sz w:val="20"/>
                <w:szCs w:val="20"/>
              </w:rPr>
            </w:pPr>
          </w:p>
          <w:p w:rsidR="00A82CFE" w:rsidRPr="00A935AA" w:rsidRDefault="00A82CFE" w:rsidP="00242AEE">
            <w:pPr>
              <w:jc w:val="center"/>
              <w:rPr>
                <w:sz w:val="20"/>
                <w:szCs w:val="20"/>
              </w:rPr>
            </w:pPr>
          </w:p>
        </w:tc>
        <w:tc>
          <w:tcPr>
            <w:tcW w:w="4320" w:type="dxa"/>
            <w:shd w:val="clear" w:color="auto" w:fill="auto"/>
          </w:tcPr>
          <w:p w:rsidR="00402685" w:rsidRDefault="00402685" w:rsidP="000B7DF4">
            <w:pPr>
              <w:keepNext/>
              <w:keepLines/>
              <w:tabs>
                <w:tab w:val="left" w:pos="-1440"/>
                <w:tab w:val="left" w:pos="-720"/>
              </w:tabs>
              <w:rPr>
                <w:b/>
                <w:sz w:val="20"/>
                <w:szCs w:val="20"/>
              </w:rPr>
            </w:pPr>
          </w:p>
          <w:p w:rsidR="000B7DF4" w:rsidRDefault="000B7DF4" w:rsidP="000B7DF4">
            <w:pPr>
              <w:keepNext/>
              <w:keepLines/>
              <w:tabs>
                <w:tab w:val="left" w:pos="-1440"/>
                <w:tab w:val="left" w:pos="-720"/>
              </w:tabs>
              <w:rPr>
                <w:b/>
                <w:sz w:val="20"/>
                <w:szCs w:val="20"/>
              </w:rPr>
            </w:pPr>
            <w:r>
              <w:rPr>
                <w:b/>
                <w:sz w:val="20"/>
                <w:szCs w:val="20"/>
              </w:rPr>
              <w:t>L.P.</w:t>
            </w:r>
          </w:p>
          <w:p w:rsidR="00A82CFE" w:rsidRPr="00A935AA" w:rsidRDefault="00A82CFE" w:rsidP="00A50FB9">
            <w:pPr>
              <w:keepNext/>
              <w:keepLines/>
              <w:tabs>
                <w:tab w:val="left" w:pos="-1440"/>
                <w:tab w:val="left" w:pos="-720"/>
              </w:tabs>
              <w:rPr>
                <w:sz w:val="20"/>
                <w:szCs w:val="20"/>
              </w:rPr>
            </w:pPr>
            <w:r w:rsidRPr="00A935AA">
              <w:rPr>
                <w:sz w:val="20"/>
                <w:szCs w:val="20"/>
              </w:rPr>
              <w:tab/>
            </w:r>
            <w:r w:rsidR="00610A5E">
              <w:rPr>
                <w:sz w:val="20"/>
                <w:szCs w:val="20"/>
              </w:rPr>
              <w:t xml:space="preserve">Lori </w:t>
            </w:r>
            <w:proofErr w:type="spellStart"/>
            <w:r w:rsidR="00610A5E">
              <w:rPr>
                <w:sz w:val="20"/>
                <w:szCs w:val="20"/>
              </w:rPr>
              <w:t>Savory</w:t>
            </w:r>
            <w:proofErr w:type="spellEnd"/>
          </w:p>
          <w:p w:rsidR="00A82CFE" w:rsidRPr="00A935AA" w:rsidRDefault="00A82CFE" w:rsidP="00A50FB9">
            <w:pPr>
              <w:keepNext/>
              <w:keepLines/>
              <w:tabs>
                <w:tab w:val="left" w:pos="-1440"/>
                <w:tab w:val="left" w:pos="-720"/>
              </w:tabs>
              <w:rPr>
                <w:sz w:val="20"/>
                <w:szCs w:val="20"/>
              </w:rPr>
            </w:pPr>
            <w:r w:rsidRPr="00A935AA">
              <w:rPr>
                <w:sz w:val="20"/>
                <w:szCs w:val="20"/>
              </w:rPr>
              <w:tab/>
            </w:r>
            <w:r w:rsidR="00610A5E">
              <w:rPr>
                <w:sz w:val="20"/>
                <w:szCs w:val="20"/>
              </w:rPr>
              <w:t>Legal Aid Commission</w:t>
            </w:r>
          </w:p>
          <w:p w:rsidR="00A82CFE" w:rsidRPr="00A935AA" w:rsidRDefault="00A82CFE" w:rsidP="00A50FB9">
            <w:pPr>
              <w:keepNext/>
              <w:keepLines/>
              <w:tabs>
                <w:tab w:val="left" w:pos="-1440"/>
                <w:tab w:val="left" w:pos="-720"/>
              </w:tabs>
              <w:rPr>
                <w:sz w:val="20"/>
                <w:szCs w:val="20"/>
              </w:rPr>
            </w:pPr>
          </w:p>
          <w:p w:rsidR="00A82CFE" w:rsidRPr="001541DC" w:rsidRDefault="00A82CFE" w:rsidP="00A50FB9">
            <w:pPr>
              <w:keepNext/>
              <w:keepLines/>
              <w:tabs>
                <w:tab w:val="left" w:pos="-1440"/>
                <w:tab w:val="left" w:pos="-720"/>
              </w:tabs>
              <w:rPr>
                <w:sz w:val="20"/>
                <w:szCs w:val="20"/>
                <w:lang w:val="en-US"/>
              </w:rPr>
            </w:pPr>
            <w:r w:rsidRPr="00A935AA">
              <w:rPr>
                <w:sz w:val="20"/>
                <w:szCs w:val="20"/>
              </w:rPr>
              <w:tab/>
            </w:r>
            <w:r w:rsidRPr="001541DC">
              <w:rPr>
                <w:sz w:val="20"/>
                <w:szCs w:val="20"/>
                <w:lang w:val="en-US"/>
              </w:rPr>
              <w:t>v. (34</w:t>
            </w:r>
            <w:r w:rsidR="00610A5E">
              <w:rPr>
                <w:sz w:val="20"/>
                <w:szCs w:val="20"/>
                <w:lang w:val="en-US"/>
              </w:rPr>
              <w:t>850</w:t>
            </w:r>
            <w:r w:rsidRPr="001541DC">
              <w:rPr>
                <w:sz w:val="20"/>
                <w:szCs w:val="20"/>
                <w:lang w:val="en-US"/>
              </w:rPr>
              <w:t>)</w:t>
            </w:r>
          </w:p>
          <w:p w:rsidR="00A82CFE" w:rsidRPr="001541DC" w:rsidRDefault="00A82CFE" w:rsidP="00A50FB9">
            <w:pPr>
              <w:keepNext/>
              <w:keepLines/>
              <w:tabs>
                <w:tab w:val="left" w:pos="-1440"/>
                <w:tab w:val="left" w:pos="-720"/>
              </w:tabs>
              <w:rPr>
                <w:sz w:val="20"/>
                <w:szCs w:val="20"/>
                <w:lang w:val="en-US"/>
              </w:rPr>
            </w:pPr>
          </w:p>
          <w:p w:rsidR="00A82CFE" w:rsidRPr="001541DC" w:rsidRDefault="000B7DF4" w:rsidP="00A50FB9">
            <w:pPr>
              <w:keepNext/>
              <w:keepLines/>
              <w:tabs>
                <w:tab w:val="left" w:pos="-1440"/>
                <w:tab w:val="left" w:pos="-720"/>
              </w:tabs>
              <w:rPr>
                <w:b/>
                <w:sz w:val="20"/>
                <w:szCs w:val="20"/>
                <w:lang w:val="en-US"/>
              </w:rPr>
            </w:pPr>
            <w:r w:rsidRPr="000B7DF4">
              <w:rPr>
                <w:b/>
                <w:sz w:val="20"/>
                <w:szCs w:val="20"/>
                <w:lang w:val="en-US"/>
              </w:rPr>
              <w:t xml:space="preserve">Director of Child, Youth and Family Services, Province of Newfoundland and Labrador </w:t>
            </w:r>
            <w:r w:rsidR="00A82CFE" w:rsidRPr="001541DC">
              <w:rPr>
                <w:b/>
                <w:sz w:val="20"/>
                <w:szCs w:val="20"/>
                <w:lang w:val="en-US"/>
              </w:rPr>
              <w:t>(</w:t>
            </w:r>
            <w:r>
              <w:rPr>
                <w:b/>
                <w:sz w:val="20"/>
                <w:szCs w:val="20"/>
                <w:lang w:val="en-US"/>
              </w:rPr>
              <w:t>N.L.</w:t>
            </w:r>
            <w:r w:rsidR="00A82CFE" w:rsidRPr="001541DC">
              <w:rPr>
                <w:b/>
                <w:sz w:val="20"/>
                <w:szCs w:val="20"/>
                <w:lang w:val="en-US"/>
              </w:rPr>
              <w:t>)</w:t>
            </w:r>
          </w:p>
          <w:p w:rsidR="00A82CFE" w:rsidRPr="001541DC" w:rsidRDefault="00A82CFE" w:rsidP="00A50FB9">
            <w:pPr>
              <w:keepNext/>
              <w:keepLines/>
              <w:tabs>
                <w:tab w:val="left" w:pos="-1440"/>
                <w:tab w:val="left" w:pos="-720"/>
              </w:tabs>
              <w:rPr>
                <w:sz w:val="20"/>
                <w:szCs w:val="20"/>
                <w:lang w:val="en-US"/>
              </w:rPr>
            </w:pPr>
            <w:r w:rsidRPr="001541DC">
              <w:rPr>
                <w:sz w:val="20"/>
                <w:szCs w:val="20"/>
                <w:lang w:val="en-US"/>
              </w:rPr>
              <w:tab/>
            </w:r>
            <w:r w:rsidR="00610A5E">
              <w:rPr>
                <w:sz w:val="20"/>
                <w:szCs w:val="20"/>
                <w:lang w:val="en-US"/>
              </w:rPr>
              <w:t xml:space="preserve">Cynthia D. </w:t>
            </w:r>
            <w:proofErr w:type="spellStart"/>
            <w:r w:rsidR="00610A5E">
              <w:rPr>
                <w:sz w:val="20"/>
                <w:szCs w:val="20"/>
                <w:lang w:val="en-US"/>
              </w:rPr>
              <w:t>Janes</w:t>
            </w:r>
            <w:proofErr w:type="spellEnd"/>
          </w:p>
          <w:p w:rsidR="00A82CFE" w:rsidRPr="001541DC" w:rsidRDefault="00A82CFE" w:rsidP="005252ED">
            <w:pPr>
              <w:keepNext/>
              <w:keepLines/>
              <w:tabs>
                <w:tab w:val="left" w:pos="-1440"/>
                <w:tab w:val="left" w:pos="-720"/>
              </w:tabs>
              <w:ind w:left="1440" w:hanging="1440"/>
              <w:rPr>
                <w:sz w:val="20"/>
                <w:szCs w:val="20"/>
                <w:lang w:val="en-US"/>
              </w:rPr>
            </w:pPr>
            <w:r w:rsidRPr="001541DC">
              <w:rPr>
                <w:sz w:val="20"/>
                <w:szCs w:val="20"/>
                <w:lang w:val="en-US"/>
              </w:rPr>
              <w:tab/>
            </w:r>
            <w:r w:rsidR="00610A5E">
              <w:rPr>
                <w:sz w:val="20"/>
                <w:szCs w:val="20"/>
                <w:lang w:val="en-US"/>
              </w:rPr>
              <w:t>A.G. of Newfoundland and Labrador</w:t>
            </w:r>
          </w:p>
          <w:p w:rsidR="00A82CFE" w:rsidRPr="001541DC" w:rsidRDefault="00A82CFE" w:rsidP="00A50FB9">
            <w:pPr>
              <w:keepNext/>
              <w:keepLines/>
              <w:tabs>
                <w:tab w:val="left" w:pos="-1440"/>
                <w:tab w:val="left" w:pos="-720"/>
              </w:tabs>
              <w:rPr>
                <w:sz w:val="20"/>
                <w:szCs w:val="20"/>
                <w:lang w:val="en-US"/>
              </w:rPr>
            </w:pPr>
          </w:p>
          <w:p w:rsidR="00A82CFE" w:rsidRPr="00A935AA" w:rsidRDefault="00A82CFE" w:rsidP="00610A5E">
            <w:pPr>
              <w:rPr>
                <w:sz w:val="20"/>
                <w:szCs w:val="20"/>
              </w:rPr>
            </w:pPr>
            <w:r w:rsidRPr="00A935AA">
              <w:rPr>
                <w:sz w:val="20"/>
                <w:szCs w:val="20"/>
              </w:rPr>
              <w:t>FILING DATE: 2</w:t>
            </w:r>
            <w:r w:rsidR="00610A5E">
              <w:rPr>
                <w:sz w:val="20"/>
                <w:szCs w:val="20"/>
              </w:rPr>
              <w:t>4</w:t>
            </w:r>
            <w:r w:rsidRPr="00A935AA">
              <w:rPr>
                <w:sz w:val="20"/>
                <w:szCs w:val="20"/>
              </w:rPr>
              <w:t>.0</w:t>
            </w:r>
            <w:r>
              <w:rPr>
                <w:sz w:val="20"/>
                <w:szCs w:val="20"/>
              </w:rPr>
              <w:t>5</w:t>
            </w:r>
            <w:r w:rsidRPr="00A935AA">
              <w:rPr>
                <w:sz w:val="20"/>
                <w:szCs w:val="20"/>
              </w:rPr>
              <w:t>.201</w:t>
            </w:r>
            <w:r>
              <w:rPr>
                <w:sz w:val="20"/>
                <w:szCs w:val="20"/>
              </w:rPr>
              <w:t>2</w:t>
            </w:r>
            <w:r w:rsidR="00C90BA9" w:rsidRPr="00C90BA9">
              <w:rPr>
                <w:sz w:val="20"/>
                <w:szCs w:val="20"/>
                <w:lang w:val="fr-CA"/>
              </w:rPr>
              <w:pict>
                <v:rect id="_x0000_i1028" style="width:108pt;height:1pt" o:hrpct="0" o:hralign="center" o:hrstd="t" o:hrnoshade="t" o:hr="t" fillcolor="black [3213]" stroked="f"/>
              </w:pict>
            </w:r>
          </w:p>
        </w:tc>
      </w:tr>
      <w:tr w:rsidR="00A82CFE" w:rsidRPr="00A935AA" w:rsidTr="00402685">
        <w:trPr>
          <w:trHeight w:val="6048"/>
        </w:trPr>
        <w:tc>
          <w:tcPr>
            <w:tcW w:w="4320" w:type="dxa"/>
            <w:shd w:val="clear" w:color="auto" w:fill="auto"/>
          </w:tcPr>
          <w:p w:rsidR="00A82CFE" w:rsidRPr="00A935AA" w:rsidRDefault="00610A5E" w:rsidP="00A50FB9">
            <w:pPr>
              <w:rPr>
                <w:b/>
                <w:sz w:val="20"/>
                <w:szCs w:val="20"/>
              </w:rPr>
            </w:pPr>
            <w:r w:rsidRPr="00610A5E">
              <w:rPr>
                <w:b/>
                <w:sz w:val="20"/>
                <w:szCs w:val="20"/>
              </w:rPr>
              <w:t>Attorney General of Canada</w:t>
            </w:r>
          </w:p>
          <w:p w:rsidR="00A82CFE" w:rsidRPr="00A935AA" w:rsidRDefault="00A82CFE" w:rsidP="00A50FB9">
            <w:pPr>
              <w:tabs>
                <w:tab w:val="left" w:pos="-1440"/>
                <w:tab w:val="left" w:pos="-720"/>
              </w:tabs>
              <w:rPr>
                <w:sz w:val="20"/>
                <w:szCs w:val="20"/>
              </w:rPr>
            </w:pPr>
            <w:r w:rsidRPr="00A935AA">
              <w:rPr>
                <w:sz w:val="20"/>
                <w:szCs w:val="20"/>
              </w:rPr>
              <w:tab/>
            </w:r>
            <w:r w:rsidR="00610A5E">
              <w:rPr>
                <w:sz w:val="20"/>
                <w:szCs w:val="20"/>
              </w:rPr>
              <w:t>Michael H. Morris</w:t>
            </w:r>
          </w:p>
          <w:p w:rsidR="00A82CFE" w:rsidRPr="00A935AA" w:rsidRDefault="00A82CFE" w:rsidP="00A50FB9">
            <w:pPr>
              <w:tabs>
                <w:tab w:val="left" w:pos="-1440"/>
                <w:tab w:val="left" w:pos="-720"/>
              </w:tabs>
              <w:rPr>
                <w:sz w:val="20"/>
                <w:szCs w:val="20"/>
              </w:rPr>
            </w:pPr>
            <w:r w:rsidRPr="00A935AA">
              <w:rPr>
                <w:sz w:val="20"/>
                <w:szCs w:val="20"/>
              </w:rPr>
              <w:tab/>
            </w:r>
            <w:r w:rsidR="00610A5E">
              <w:rPr>
                <w:sz w:val="20"/>
                <w:szCs w:val="20"/>
              </w:rPr>
              <w:t>A.G. of Canada</w:t>
            </w:r>
          </w:p>
          <w:p w:rsidR="00A82CFE" w:rsidRPr="00A935AA" w:rsidRDefault="00A82CFE" w:rsidP="00A50FB9">
            <w:pPr>
              <w:tabs>
                <w:tab w:val="left" w:pos="-1440"/>
                <w:tab w:val="left" w:pos="-720"/>
              </w:tabs>
              <w:rPr>
                <w:sz w:val="20"/>
                <w:szCs w:val="20"/>
              </w:rPr>
            </w:pPr>
          </w:p>
          <w:p w:rsidR="00A82CFE" w:rsidRPr="00A935AA" w:rsidRDefault="00A82CFE" w:rsidP="00A50FB9">
            <w:pPr>
              <w:tabs>
                <w:tab w:val="left" w:pos="-1440"/>
                <w:tab w:val="left" w:pos="-720"/>
              </w:tabs>
              <w:rPr>
                <w:sz w:val="20"/>
                <w:szCs w:val="20"/>
              </w:rPr>
            </w:pPr>
            <w:r w:rsidRPr="00A935AA">
              <w:rPr>
                <w:sz w:val="20"/>
                <w:szCs w:val="20"/>
              </w:rPr>
              <w:tab/>
              <w:t>v. (3</w:t>
            </w:r>
            <w:r>
              <w:rPr>
                <w:sz w:val="20"/>
                <w:szCs w:val="20"/>
              </w:rPr>
              <w:t>4</w:t>
            </w:r>
            <w:r w:rsidR="00215E80">
              <w:rPr>
                <w:sz w:val="20"/>
                <w:szCs w:val="20"/>
              </w:rPr>
              <w:t>788</w:t>
            </w:r>
            <w:r w:rsidRPr="00A935AA">
              <w:rPr>
                <w:sz w:val="20"/>
                <w:szCs w:val="20"/>
              </w:rPr>
              <w:t>)</w:t>
            </w:r>
          </w:p>
          <w:p w:rsidR="00A82CFE" w:rsidRPr="00A935AA" w:rsidRDefault="00A82CFE" w:rsidP="00A50FB9">
            <w:pPr>
              <w:tabs>
                <w:tab w:val="left" w:pos="-1440"/>
                <w:tab w:val="left" w:pos="-720"/>
              </w:tabs>
              <w:rPr>
                <w:sz w:val="20"/>
                <w:szCs w:val="20"/>
              </w:rPr>
            </w:pPr>
          </w:p>
          <w:p w:rsidR="00A82CFE" w:rsidRPr="00610A5E" w:rsidRDefault="00610A5E" w:rsidP="00A50FB9">
            <w:pPr>
              <w:tabs>
                <w:tab w:val="left" w:pos="-1440"/>
                <w:tab w:val="left" w:pos="-720"/>
              </w:tabs>
              <w:rPr>
                <w:b/>
                <w:sz w:val="20"/>
                <w:szCs w:val="20"/>
                <w:lang w:val="en-US"/>
              </w:rPr>
            </w:pPr>
            <w:r w:rsidRPr="00610A5E">
              <w:rPr>
                <w:b/>
                <w:sz w:val="20"/>
                <w:szCs w:val="20"/>
                <w:lang w:val="fr-CA"/>
              </w:rPr>
              <w:t>Terri Jean Bedford</w:t>
            </w:r>
            <w:r w:rsidR="00A82CFE" w:rsidRPr="00610A5E">
              <w:rPr>
                <w:b/>
                <w:sz w:val="20"/>
                <w:szCs w:val="20"/>
                <w:lang w:val="fr-CA"/>
              </w:rPr>
              <w:t xml:space="preserve"> </w:t>
            </w:r>
            <w:r w:rsidRPr="00610A5E">
              <w:rPr>
                <w:b/>
                <w:sz w:val="20"/>
                <w:szCs w:val="20"/>
                <w:lang w:val="fr-CA"/>
              </w:rPr>
              <w:t>et al.</w:t>
            </w:r>
            <w:r>
              <w:rPr>
                <w:b/>
                <w:sz w:val="20"/>
                <w:szCs w:val="20"/>
                <w:lang w:val="fr-CA"/>
              </w:rPr>
              <w:t xml:space="preserve"> </w:t>
            </w:r>
            <w:r w:rsidR="00A82CFE" w:rsidRPr="00610A5E">
              <w:rPr>
                <w:b/>
                <w:sz w:val="20"/>
                <w:szCs w:val="20"/>
                <w:lang w:val="en-US"/>
              </w:rPr>
              <w:t>(</w:t>
            </w:r>
            <w:r w:rsidRPr="00610A5E">
              <w:rPr>
                <w:b/>
                <w:sz w:val="20"/>
                <w:szCs w:val="20"/>
                <w:lang w:val="en-US"/>
              </w:rPr>
              <w:t>Ont.)</w:t>
            </w:r>
          </w:p>
          <w:p w:rsidR="00A82CFE" w:rsidRPr="00610A5E" w:rsidRDefault="00A82CFE" w:rsidP="00A50FB9">
            <w:pPr>
              <w:tabs>
                <w:tab w:val="left" w:pos="-1440"/>
                <w:tab w:val="left" w:pos="-720"/>
              </w:tabs>
              <w:rPr>
                <w:sz w:val="20"/>
                <w:szCs w:val="20"/>
                <w:lang w:val="en-US"/>
              </w:rPr>
            </w:pPr>
            <w:r w:rsidRPr="00610A5E">
              <w:rPr>
                <w:sz w:val="20"/>
                <w:szCs w:val="20"/>
                <w:lang w:val="en-US"/>
              </w:rPr>
              <w:tab/>
            </w:r>
            <w:r w:rsidR="00610A5E" w:rsidRPr="00610A5E">
              <w:rPr>
                <w:sz w:val="20"/>
                <w:szCs w:val="20"/>
                <w:lang w:val="en-US"/>
              </w:rPr>
              <w:t xml:space="preserve">Alan </w:t>
            </w:r>
            <w:r w:rsidR="005252ED" w:rsidRPr="00610A5E">
              <w:rPr>
                <w:sz w:val="20"/>
                <w:szCs w:val="20"/>
                <w:lang w:val="en-US"/>
              </w:rPr>
              <w:t>Young</w:t>
            </w:r>
          </w:p>
          <w:p w:rsidR="00A82CFE" w:rsidRDefault="00A82CFE" w:rsidP="00EB7809">
            <w:pPr>
              <w:tabs>
                <w:tab w:val="left" w:pos="-1440"/>
                <w:tab w:val="left" w:pos="-720"/>
              </w:tabs>
              <w:ind w:left="1440" w:hanging="1440"/>
              <w:rPr>
                <w:sz w:val="20"/>
                <w:szCs w:val="20"/>
                <w:lang w:val="en-US"/>
              </w:rPr>
            </w:pPr>
            <w:r w:rsidRPr="00610A5E">
              <w:rPr>
                <w:sz w:val="20"/>
                <w:szCs w:val="20"/>
                <w:lang w:val="en-US"/>
              </w:rPr>
              <w:tab/>
            </w:r>
            <w:proofErr w:type="spellStart"/>
            <w:r w:rsidR="00610A5E" w:rsidRPr="00610A5E">
              <w:rPr>
                <w:sz w:val="20"/>
                <w:szCs w:val="20"/>
                <w:lang w:val="en-US"/>
              </w:rPr>
              <w:t>Osgoode</w:t>
            </w:r>
            <w:proofErr w:type="spellEnd"/>
            <w:r w:rsidR="00610A5E" w:rsidRPr="00610A5E">
              <w:rPr>
                <w:sz w:val="20"/>
                <w:szCs w:val="20"/>
                <w:lang w:val="en-US"/>
              </w:rPr>
              <w:t xml:space="preserve"> Hall Law School of York University</w:t>
            </w:r>
          </w:p>
          <w:p w:rsidR="005252ED" w:rsidRDefault="005252ED" w:rsidP="00215E80">
            <w:pPr>
              <w:tabs>
                <w:tab w:val="left" w:pos="-1440"/>
                <w:tab w:val="left" w:pos="-720"/>
              </w:tabs>
              <w:ind w:left="720" w:hanging="720"/>
              <w:rPr>
                <w:sz w:val="20"/>
                <w:szCs w:val="20"/>
                <w:lang w:val="en-US"/>
              </w:rPr>
            </w:pPr>
          </w:p>
          <w:p w:rsidR="005252ED" w:rsidRDefault="005252ED" w:rsidP="00215E80">
            <w:pPr>
              <w:tabs>
                <w:tab w:val="left" w:pos="-1440"/>
                <w:tab w:val="left" w:pos="-720"/>
              </w:tabs>
              <w:ind w:left="720" w:hanging="720"/>
              <w:rPr>
                <w:sz w:val="20"/>
                <w:szCs w:val="20"/>
                <w:lang w:val="en-US"/>
              </w:rPr>
            </w:pPr>
            <w:r>
              <w:rPr>
                <w:sz w:val="20"/>
                <w:szCs w:val="20"/>
                <w:lang w:val="en-US"/>
              </w:rPr>
              <w:t>AND BETWEEN</w:t>
            </w:r>
          </w:p>
          <w:p w:rsidR="005252ED" w:rsidRDefault="005252ED" w:rsidP="00215E80">
            <w:pPr>
              <w:tabs>
                <w:tab w:val="left" w:pos="-1440"/>
                <w:tab w:val="left" w:pos="-720"/>
              </w:tabs>
              <w:ind w:left="720" w:hanging="720"/>
              <w:rPr>
                <w:sz w:val="20"/>
                <w:szCs w:val="20"/>
                <w:lang w:val="en-US"/>
              </w:rPr>
            </w:pPr>
          </w:p>
          <w:p w:rsidR="005252ED" w:rsidRPr="00A935AA" w:rsidRDefault="005252ED" w:rsidP="005252ED">
            <w:pPr>
              <w:rPr>
                <w:b/>
                <w:sz w:val="20"/>
                <w:szCs w:val="20"/>
              </w:rPr>
            </w:pPr>
            <w:r w:rsidRPr="00610A5E">
              <w:rPr>
                <w:b/>
                <w:sz w:val="20"/>
                <w:szCs w:val="20"/>
              </w:rPr>
              <w:t>Attorney General of Canada</w:t>
            </w:r>
          </w:p>
          <w:p w:rsidR="005252ED" w:rsidRPr="00A935AA" w:rsidRDefault="005252ED" w:rsidP="005252ED">
            <w:pPr>
              <w:tabs>
                <w:tab w:val="left" w:pos="-1440"/>
                <w:tab w:val="left" w:pos="-720"/>
              </w:tabs>
              <w:rPr>
                <w:sz w:val="20"/>
                <w:szCs w:val="20"/>
              </w:rPr>
            </w:pPr>
            <w:r w:rsidRPr="00A935AA">
              <w:rPr>
                <w:sz w:val="20"/>
                <w:szCs w:val="20"/>
              </w:rPr>
              <w:tab/>
            </w:r>
            <w:r w:rsidR="00EB7809">
              <w:rPr>
                <w:sz w:val="20"/>
                <w:szCs w:val="20"/>
              </w:rPr>
              <w:t xml:space="preserve">Jamie </w:t>
            </w:r>
            <w:proofErr w:type="spellStart"/>
            <w:r w:rsidR="00EB7809">
              <w:rPr>
                <w:sz w:val="20"/>
                <w:szCs w:val="20"/>
              </w:rPr>
              <w:t>Klucach</w:t>
            </w:r>
            <w:proofErr w:type="spellEnd"/>
          </w:p>
          <w:p w:rsidR="005252ED" w:rsidRPr="00A935AA" w:rsidRDefault="005252ED" w:rsidP="005252ED">
            <w:pPr>
              <w:tabs>
                <w:tab w:val="left" w:pos="-1440"/>
                <w:tab w:val="left" w:pos="-720"/>
              </w:tabs>
              <w:rPr>
                <w:sz w:val="20"/>
                <w:szCs w:val="20"/>
              </w:rPr>
            </w:pPr>
            <w:r w:rsidRPr="00A935AA">
              <w:rPr>
                <w:sz w:val="20"/>
                <w:szCs w:val="20"/>
              </w:rPr>
              <w:tab/>
            </w:r>
            <w:r>
              <w:rPr>
                <w:sz w:val="20"/>
                <w:szCs w:val="20"/>
              </w:rPr>
              <w:t>A.G. of Canada</w:t>
            </w:r>
          </w:p>
          <w:p w:rsidR="005252ED" w:rsidRPr="00A935AA" w:rsidRDefault="005252ED" w:rsidP="005252ED">
            <w:pPr>
              <w:tabs>
                <w:tab w:val="left" w:pos="-1440"/>
                <w:tab w:val="left" w:pos="-720"/>
              </w:tabs>
              <w:rPr>
                <w:sz w:val="20"/>
                <w:szCs w:val="20"/>
              </w:rPr>
            </w:pPr>
          </w:p>
          <w:p w:rsidR="005252ED" w:rsidRPr="00A935AA" w:rsidRDefault="005252ED" w:rsidP="005252ED">
            <w:pPr>
              <w:tabs>
                <w:tab w:val="left" w:pos="-1440"/>
                <w:tab w:val="left" w:pos="-720"/>
              </w:tabs>
              <w:rPr>
                <w:sz w:val="20"/>
                <w:szCs w:val="20"/>
              </w:rPr>
            </w:pPr>
            <w:r w:rsidRPr="00A935AA">
              <w:rPr>
                <w:sz w:val="20"/>
                <w:szCs w:val="20"/>
              </w:rPr>
              <w:tab/>
              <w:t>v. (3</w:t>
            </w:r>
            <w:r>
              <w:rPr>
                <w:sz w:val="20"/>
                <w:szCs w:val="20"/>
              </w:rPr>
              <w:t>4788</w:t>
            </w:r>
            <w:r w:rsidRPr="00A935AA">
              <w:rPr>
                <w:sz w:val="20"/>
                <w:szCs w:val="20"/>
              </w:rPr>
              <w:t>)</w:t>
            </w:r>
          </w:p>
          <w:p w:rsidR="005252ED" w:rsidRPr="00A935AA" w:rsidRDefault="005252ED" w:rsidP="005252ED">
            <w:pPr>
              <w:tabs>
                <w:tab w:val="left" w:pos="-1440"/>
                <w:tab w:val="left" w:pos="-720"/>
              </w:tabs>
              <w:rPr>
                <w:sz w:val="20"/>
                <w:szCs w:val="20"/>
              </w:rPr>
            </w:pPr>
          </w:p>
          <w:p w:rsidR="005252ED" w:rsidRPr="00610A5E" w:rsidRDefault="005252ED" w:rsidP="005252ED">
            <w:pPr>
              <w:tabs>
                <w:tab w:val="left" w:pos="-1440"/>
                <w:tab w:val="left" w:pos="-720"/>
              </w:tabs>
              <w:rPr>
                <w:b/>
                <w:sz w:val="20"/>
                <w:szCs w:val="20"/>
                <w:lang w:val="en-US"/>
              </w:rPr>
            </w:pPr>
            <w:r w:rsidRPr="00610A5E">
              <w:rPr>
                <w:b/>
                <w:sz w:val="20"/>
                <w:szCs w:val="20"/>
                <w:lang w:val="fr-CA"/>
              </w:rPr>
              <w:t>Terri Jean Bedford et al.</w:t>
            </w:r>
            <w:r>
              <w:rPr>
                <w:b/>
                <w:sz w:val="20"/>
                <w:szCs w:val="20"/>
                <w:lang w:val="fr-CA"/>
              </w:rPr>
              <w:t xml:space="preserve"> </w:t>
            </w:r>
            <w:r w:rsidRPr="00610A5E">
              <w:rPr>
                <w:b/>
                <w:sz w:val="20"/>
                <w:szCs w:val="20"/>
                <w:lang w:val="en-US"/>
              </w:rPr>
              <w:t>(Ont.)</w:t>
            </w:r>
          </w:p>
          <w:p w:rsidR="005252ED" w:rsidRPr="00610A5E" w:rsidRDefault="005252ED" w:rsidP="005252ED">
            <w:pPr>
              <w:tabs>
                <w:tab w:val="left" w:pos="-1440"/>
                <w:tab w:val="left" w:pos="-720"/>
              </w:tabs>
              <w:rPr>
                <w:sz w:val="20"/>
                <w:szCs w:val="20"/>
                <w:lang w:val="en-US"/>
              </w:rPr>
            </w:pPr>
            <w:r w:rsidRPr="00610A5E">
              <w:rPr>
                <w:sz w:val="20"/>
                <w:szCs w:val="20"/>
                <w:lang w:val="en-US"/>
              </w:rPr>
              <w:tab/>
              <w:t>Alan Young</w:t>
            </w:r>
          </w:p>
          <w:p w:rsidR="005252ED" w:rsidRDefault="005252ED" w:rsidP="00EB7809">
            <w:pPr>
              <w:tabs>
                <w:tab w:val="left" w:pos="-1440"/>
                <w:tab w:val="left" w:pos="-720"/>
              </w:tabs>
              <w:ind w:left="1440" w:hanging="1440"/>
              <w:rPr>
                <w:sz w:val="20"/>
                <w:szCs w:val="20"/>
                <w:lang w:val="en-US"/>
              </w:rPr>
            </w:pPr>
            <w:r w:rsidRPr="00610A5E">
              <w:rPr>
                <w:sz w:val="20"/>
                <w:szCs w:val="20"/>
                <w:lang w:val="en-US"/>
              </w:rPr>
              <w:tab/>
            </w:r>
            <w:proofErr w:type="spellStart"/>
            <w:r w:rsidRPr="00610A5E">
              <w:rPr>
                <w:sz w:val="20"/>
                <w:szCs w:val="20"/>
                <w:lang w:val="en-US"/>
              </w:rPr>
              <w:t>Osgoode</w:t>
            </w:r>
            <w:proofErr w:type="spellEnd"/>
            <w:r w:rsidRPr="00610A5E">
              <w:rPr>
                <w:sz w:val="20"/>
                <w:szCs w:val="20"/>
                <w:lang w:val="en-US"/>
              </w:rPr>
              <w:t xml:space="preserve"> Hall Law School of York University</w:t>
            </w:r>
          </w:p>
          <w:p w:rsidR="00A82CFE" w:rsidRPr="00610A5E" w:rsidRDefault="00A82CFE" w:rsidP="00A50FB9">
            <w:pPr>
              <w:tabs>
                <w:tab w:val="left" w:pos="-1440"/>
                <w:tab w:val="left" w:pos="-720"/>
              </w:tabs>
              <w:rPr>
                <w:sz w:val="20"/>
                <w:szCs w:val="20"/>
                <w:lang w:val="en-US"/>
              </w:rPr>
            </w:pPr>
          </w:p>
          <w:p w:rsidR="00A82CFE" w:rsidRPr="00A935AA" w:rsidRDefault="00A82CFE" w:rsidP="00402685">
            <w:pPr>
              <w:rPr>
                <w:sz w:val="20"/>
                <w:szCs w:val="20"/>
              </w:rPr>
            </w:pPr>
            <w:r w:rsidRPr="00A935AA">
              <w:rPr>
                <w:sz w:val="20"/>
                <w:szCs w:val="20"/>
              </w:rPr>
              <w:t>FILING DATE: 2</w:t>
            </w:r>
            <w:r w:rsidR="00215E80">
              <w:rPr>
                <w:sz w:val="20"/>
                <w:szCs w:val="20"/>
              </w:rPr>
              <w:t>5</w:t>
            </w:r>
            <w:r w:rsidRPr="00A935AA">
              <w:rPr>
                <w:sz w:val="20"/>
                <w:szCs w:val="20"/>
              </w:rPr>
              <w:t>.0</w:t>
            </w:r>
            <w:r>
              <w:rPr>
                <w:sz w:val="20"/>
                <w:szCs w:val="20"/>
              </w:rPr>
              <w:t>5</w:t>
            </w:r>
            <w:r w:rsidRPr="00A935AA">
              <w:rPr>
                <w:sz w:val="20"/>
                <w:szCs w:val="20"/>
              </w:rPr>
              <w:t>.201</w:t>
            </w:r>
            <w:r>
              <w:rPr>
                <w:sz w:val="20"/>
                <w:szCs w:val="20"/>
              </w:rPr>
              <w:t>2</w:t>
            </w:r>
            <w:r w:rsidR="00C90BA9" w:rsidRPr="00C90BA9">
              <w:rPr>
                <w:sz w:val="20"/>
                <w:szCs w:val="20"/>
                <w:lang w:val="fr-CA"/>
              </w:rPr>
              <w:pict>
                <v:rect id="_x0000_i1029" style="width:108pt;height:1pt" o:hrpct="0" o:hralign="center" o:hrstd="t" o:hrnoshade="t" o:hr="t" fillcolor="black [3213]" stroked="f"/>
              </w:pict>
            </w:r>
          </w:p>
        </w:tc>
        <w:tc>
          <w:tcPr>
            <w:tcW w:w="1181" w:type="dxa"/>
            <w:shd w:val="clear" w:color="auto" w:fill="auto"/>
          </w:tcPr>
          <w:p w:rsidR="00A82CFE" w:rsidRPr="00A935AA" w:rsidRDefault="00A82CFE" w:rsidP="00242AEE">
            <w:pPr>
              <w:jc w:val="center"/>
              <w:rPr>
                <w:sz w:val="20"/>
                <w:szCs w:val="20"/>
              </w:rPr>
            </w:pPr>
          </w:p>
          <w:p w:rsidR="00A82CFE" w:rsidRPr="00A935AA" w:rsidRDefault="00A82CFE" w:rsidP="00242AEE">
            <w:pPr>
              <w:jc w:val="center"/>
              <w:rPr>
                <w:sz w:val="20"/>
                <w:szCs w:val="20"/>
              </w:rPr>
            </w:pPr>
          </w:p>
          <w:p w:rsidR="00A82CFE" w:rsidRPr="00A935AA" w:rsidRDefault="00A82CFE" w:rsidP="00242AEE">
            <w:pPr>
              <w:jc w:val="center"/>
              <w:rPr>
                <w:sz w:val="20"/>
                <w:szCs w:val="20"/>
              </w:rPr>
            </w:pPr>
          </w:p>
          <w:p w:rsidR="00A82CFE" w:rsidRPr="00A935AA" w:rsidRDefault="00A82CFE" w:rsidP="00242AEE">
            <w:pPr>
              <w:jc w:val="center"/>
              <w:rPr>
                <w:sz w:val="20"/>
                <w:szCs w:val="20"/>
              </w:rPr>
            </w:pPr>
          </w:p>
          <w:p w:rsidR="00A82CFE" w:rsidRPr="00A935AA" w:rsidRDefault="00A82CFE" w:rsidP="00242AEE">
            <w:pPr>
              <w:jc w:val="center"/>
              <w:rPr>
                <w:sz w:val="20"/>
                <w:szCs w:val="20"/>
              </w:rPr>
            </w:pPr>
          </w:p>
          <w:p w:rsidR="00A82CFE" w:rsidRPr="00A935AA" w:rsidRDefault="00A82CFE" w:rsidP="00242AEE">
            <w:pPr>
              <w:jc w:val="center"/>
              <w:rPr>
                <w:sz w:val="20"/>
                <w:szCs w:val="20"/>
              </w:rPr>
            </w:pPr>
          </w:p>
          <w:p w:rsidR="00A82CFE" w:rsidRPr="00A935AA" w:rsidRDefault="00A82CFE" w:rsidP="00242AEE">
            <w:pPr>
              <w:jc w:val="center"/>
              <w:rPr>
                <w:sz w:val="20"/>
                <w:szCs w:val="20"/>
              </w:rPr>
            </w:pPr>
          </w:p>
          <w:p w:rsidR="00A82CFE" w:rsidRPr="00A935AA" w:rsidRDefault="00A82CFE" w:rsidP="00242AEE">
            <w:pPr>
              <w:jc w:val="center"/>
              <w:rPr>
                <w:sz w:val="20"/>
                <w:szCs w:val="20"/>
              </w:rPr>
            </w:pPr>
          </w:p>
          <w:p w:rsidR="00A82CFE" w:rsidRPr="00A935AA" w:rsidRDefault="00A82CFE" w:rsidP="00242AEE">
            <w:pPr>
              <w:jc w:val="center"/>
              <w:rPr>
                <w:sz w:val="20"/>
                <w:szCs w:val="20"/>
              </w:rPr>
            </w:pPr>
          </w:p>
          <w:p w:rsidR="00A82CFE" w:rsidRPr="00A935AA" w:rsidRDefault="00A82CFE" w:rsidP="00242AEE">
            <w:pPr>
              <w:jc w:val="center"/>
              <w:rPr>
                <w:sz w:val="20"/>
                <w:szCs w:val="20"/>
              </w:rPr>
            </w:pPr>
          </w:p>
          <w:p w:rsidR="00A82CFE" w:rsidRDefault="00A82CFE" w:rsidP="00242AEE">
            <w:pPr>
              <w:jc w:val="center"/>
              <w:rPr>
                <w:sz w:val="20"/>
                <w:szCs w:val="20"/>
              </w:rPr>
            </w:pPr>
          </w:p>
          <w:p w:rsidR="00A82CFE" w:rsidRDefault="00A82CFE" w:rsidP="00242AEE">
            <w:pPr>
              <w:jc w:val="center"/>
              <w:rPr>
                <w:sz w:val="20"/>
                <w:szCs w:val="20"/>
              </w:rPr>
            </w:pPr>
          </w:p>
          <w:p w:rsidR="00A82CFE" w:rsidRPr="00A935AA" w:rsidRDefault="00A82CFE" w:rsidP="00242AEE">
            <w:pPr>
              <w:jc w:val="center"/>
              <w:rPr>
                <w:sz w:val="20"/>
                <w:szCs w:val="20"/>
              </w:rPr>
            </w:pPr>
          </w:p>
        </w:tc>
        <w:tc>
          <w:tcPr>
            <w:tcW w:w="4320" w:type="dxa"/>
            <w:shd w:val="clear" w:color="auto" w:fill="auto"/>
          </w:tcPr>
          <w:p w:rsidR="00BA3F6C" w:rsidRDefault="00BA3F6C" w:rsidP="00BA3F6C">
            <w:pPr>
              <w:keepNext/>
              <w:keepLines/>
              <w:tabs>
                <w:tab w:val="left" w:pos="-1440"/>
                <w:tab w:val="left" w:pos="-720"/>
              </w:tabs>
              <w:rPr>
                <w:b/>
                <w:sz w:val="20"/>
                <w:szCs w:val="20"/>
              </w:rPr>
            </w:pPr>
          </w:p>
          <w:p w:rsidR="00BA3F6C" w:rsidRPr="00A935AA" w:rsidRDefault="00BA3F6C" w:rsidP="00BA3F6C">
            <w:pPr>
              <w:keepNext/>
              <w:keepLines/>
              <w:tabs>
                <w:tab w:val="left" w:pos="-1440"/>
                <w:tab w:val="left" w:pos="-720"/>
              </w:tabs>
              <w:rPr>
                <w:b/>
                <w:sz w:val="20"/>
                <w:szCs w:val="20"/>
              </w:rPr>
            </w:pPr>
            <w:r>
              <w:rPr>
                <w:b/>
                <w:sz w:val="20"/>
                <w:szCs w:val="20"/>
              </w:rPr>
              <w:t>Her Majesty the Queen</w:t>
            </w:r>
          </w:p>
          <w:p w:rsidR="00BA3F6C" w:rsidRPr="00A935AA" w:rsidRDefault="00BA3F6C" w:rsidP="00BA3F6C">
            <w:pPr>
              <w:keepNext/>
              <w:keepLines/>
              <w:tabs>
                <w:tab w:val="left" w:pos="-1440"/>
                <w:tab w:val="left" w:pos="-720"/>
              </w:tabs>
              <w:rPr>
                <w:sz w:val="20"/>
                <w:szCs w:val="20"/>
              </w:rPr>
            </w:pPr>
            <w:r w:rsidRPr="00A935AA">
              <w:rPr>
                <w:sz w:val="20"/>
                <w:szCs w:val="20"/>
              </w:rPr>
              <w:tab/>
            </w:r>
            <w:r>
              <w:rPr>
                <w:sz w:val="20"/>
                <w:szCs w:val="20"/>
              </w:rPr>
              <w:t xml:space="preserve">Lisa </w:t>
            </w:r>
            <w:proofErr w:type="spellStart"/>
            <w:r>
              <w:rPr>
                <w:sz w:val="20"/>
                <w:szCs w:val="20"/>
              </w:rPr>
              <w:t>Joyal</w:t>
            </w:r>
            <w:proofErr w:type="spellEnd"/>
          </w:p>
          <w:p w:rsidR="00BA3F6C" w:rsidRPr="00A935AA" w:rsidRDefault="00BA3F6C" w:rsidP="00BA3F6C">
            <w:pPr>
              <w:keepNext/>
              <w:keepLines/>
              <w:tabs>
                <w:tab w:val="left" w:pos="-1440"/>
                <w:tab w:val="left" w:pos="-720"/>
              </w:tabs>
              <w:rPr>
                <w:sz w:val="20"/>
                <w:szCs w:val="20"/>
              </w:rPr>
            </w:pPr>
            <w:r w:rsidRPr="00A935AA">
              <w:rPr>
                <w:sz w:val="20"/>
                <w:szCs w:val="20"/>
              </w:rPr>
              <w:tab/>
            </w:r>
            <w:r>
              <w:rPr>
                <w:sz w:val="20"/>
                <w:szCs w:val="20"/>
              </w:rPr>
              <w:t>A.G. of Ontario</w:t>
            </w:r>
          </w:p>
          <w:p w:rsidR="00BA3F6C" w:rsidRPr="00A935AA" w:rsidRDefault="00BA3F6C" w:rsidP="00BA3F6C">
            <w:pPr>
              <w:keepNext/>
              <w:keepLines/>
              <w:tabs>
                <w:tab w:val="left" w:pos="-1440"/>
                <w:tab w:val="left" w:pos="-720"/>
              </w:tabs>
              <w:rPr>
                <w:sz w:val="20"/>
                <w:szCs w:val="20"/>
              </w:rPr>
            </w:pPr>
          </w:p>
          <w:p w:rsidR="00BA3F6C" w:rsidRPr="00946397" w:rsidRDefault="00BA3F6C" w:rsidP="00BA3F6C">
            <w:pPr>
              <w:keepNext/>
              <w:keepLines/>
              <w:tabs>
                <w:tab w:val="left" w:pos="-1440"/>
                <w:tab w:val="left" w:pos="-720"/>
              </w:tabs>
              <w:rPr>
                <w:sz w:val="20"/>
                <w:szCs w:val="20"/>
                <w:lang w:val="en-US"/>
              </w:rPr>
            </w:pPr>
            <w:r w:rsidRPr="00A935AA">
              <w:rPr>
                <w:sz w:val="20"/>
                <w:szCs w:val="20"/>
              </w:rPr>
              <w:tab/>
            </w:r>
            <w:r w:rsidRPr="00946397">
              <w:rPr>
                <w:sz w:val="20"/>
                <w:szCs w:val="20"/>
                <w:lang w:val="en-US"/>
              </w:rPr>
              <w:t>v. (34</w:t>
            </w:r>
            <w:r>
              <w:rPr>
                <w:sz w:val="20"/>
                <w:szCs w:val="20"/>
                <w:lang w:val="en-US"/>
              </w:rPr>
              <w:t>843</w:t>
            </w:r>
            <w:r w:rsidRPr="00946397">
              <w:rPr>
                <w:sz w:val="20"/>
                <w:szCs w:val="20"/>
                <w:lang w:val="en-US"/>
              </w:rPr>
              <w:t>)</w:t>
            </w:r>
          </w:p>
          <w:p w:rsidR="00BA3F6C" w:rsidRPr="00946397" w:rsidRDefault="00BA3F6C" w:rsidP="00BA3F6C">
            <w:pPr>
              <w:keepNext/>
              <w:keepLines/>
              <w:tabs>
                <w:tab w:val="left" w:pos="-1440"/>
                <w:tab w:val="left" w:pos="-720"/>
              </w:tabs>
              <w:rPr>
                <w:sz w:val="20"/>
                <w:szCs w:val="20"/>
                <w:lang w:val="en-US"/>
              </w:rPr>
            </w:pPr>
          </w:p>
          <w:p w:rsidR="00BA3F6C" w:rsidRPr="00946397" w:rsidRDefault="00BA3F6C" w:rsidP="00BA3F6C">
            <w:pPr>
              <w:keepNext/>
              <w:keepLines/>
              <w:tabs>
                <w:tab w:val="left" w:pos="-1440"/>
                <w:tab w:val="left" w:pos="-720"/>
              </w:tabs>
              <w:rPr>
                <w:b/>
                <w:sz w:val="20"/>
                <w:szCs w:val="20"/>
                <w:lang w:val="en-US"/>
              </w:rPr>
            </w:pPr>
            <w:r w:rsidRPr="00946397">
              <w:rPr>
                <w:b/>
                <w:sz w:val="20"/>
                <w:szCs w:val="20"/>
                <w:lang w:val="en-US"/>
              </w:rPr>
              <w:t>P.M. (Ont.)</w:t>
            </w:r>
          </w:p>
          <w:p w:rsidR="00BA3F6C" w:rsidRPr="000302AC" w:rsidRDefault="00BA3F6C" w:rsidP="00BA3F6C">
            <w:pPr>
              <w:keepNext/>
              <w:keepLines/>
              <w:tabs>
                <w:tab w:val="left" w:pos="-1440"/>
                <w:tab w:val="left" w:pos="-720"/>
              </w:tabs>
              <w:rPr>
                <w:sz w:val="20"/>
                <w:szCs w:val="20"/>
              </w:rPr>
            </w:pPr>
            <w:r w:rsidRPr="00946397">
              <w:rPr>
                <w:sz w:val="20"/>
                <w:szCs w:val="20"/>
                <w:lang w:val="en-US"/>
              </w:rPr>
              <w:tab/>
            </w:r>
            <w:r w:rsidR="005252ED">
              <w:rPr>
                <w:sz w:val="20"/>
                <w:szCs w:val="20"/>
                <w:lang w:val="en-US"/>
              </w:rPr>
              <w:t>Christopher</w:t>
            </w:r>
            <w:r>
              <w:rPr>
                <w:sz w:val="20"/>
                <w:szCs w:val="20"/>
                <w:lang w:val="en-US"/>
              </w:rPr>
              <w:t xml:space="preserve"> Hicks</w:t>
            </w:r>
          </w:p>
          <w:p w:rsidR="00BA3F6C" w:rsidRPr="00946397" w:rsidRDefault="00BA3F6C" w:rsidP="00BA3F6C">
            <w:pPr>
              <w:keepNext/>
              <w:keepLines/>
              <w:tabs>
                <w:tab w:val="left" w:pos="-1440"/>
                <w:tab w:val="left" w:pos="-720"/>
              </w:tabs>
              <w:rPr>
                <w:sz w:val="20"/>
                <w:szCs w:val="20"/>
                <w:lang w:val="en-US"/>
              </w:rPr>
            </w:pPr>
            <w:r w:rsidRPr="00946397">
              <w:rPr>
                <w:sz w:val="20"/>
                <w:szCs w:val="20"/>
                <w:lang w:val="en-US"/>
              </w:rPr>
              <w:tab/>
            </w:r>
            <w:r>
              <w:rPr>
                <w:sz w:val="20"/>
                <w:szCs w:val="20"/>
                <w:lang w:val="en-US"/>
              </w:rPr>
              <w:t>Hicks Adams LLP</w:t>
            </w:r>
          </w:p>
          <w:p w:rsidR="00BA3F6C" w:rsidRPr="00946397" w:rsidRDefault="00BA3F6C" w:rsidP="00BA3F6C">
            <w:pPr>
              <w:keepNext/>
              <w:keepLines/>
              <w:tabs>
                <w:tab w:val="left" w:pos="-1440"/>
                <w:tab w:val="left" w:pos="-720"/>
              </w:tabs>
              <w:rPr>
                <w:sz w:val="20"/>
                <w:szCs w:val="20"/>
                <w:lang w:val="en-US"/>
              </w:rPr>
            </w:pPr>
          </w:p>
          <w:p w:rsidR="00A82CFE" w:rsidRPr="00A935AA" w:rsidRDefault="00BA3F6C" w:rsidP="00BA3F6C">
            <w:pPr>
              <w:rPr>
                <w:sz w:val="20"/>
                <w:szCs w:val="20"/>
              </w:rPr>
            </w:pPr>
            <w:r w:rsidRPr="00A935AA">
              <w:rPr>
                <w:sz w:val="20"/>
                <w:szCs w:val="20"/>
              </w:rPr>
              <w:t xml:space="preserve">FILING DATE: </w:t>
            </w:r>
            <w:r>
              <w:rPr>
                <w:sz w:val="20"/>
                <w:szCs w:val="20"/>
              </w:rPr>
              <w:t>15</w:t>
            </w:r>
            <w:r w:rsidRPr="00A935AA">
              <w:rPr>
                <w:sz w:val="20"/>
                <w:szCs w:val="20"/>
              </w:rPr>
              <w:t>.0</w:t>
            </w:r>
            <w:r>
              <w:rPr>
                <w:sz w:val="20"/>
                <w:szCs w:val="20"/>
              </w:rPr>
              <w:t>5</w:t>
            </w:r>
            <w:r w:rsidRPr="00A935AA">
              <w:rPr>
                <w:sz w:val="20"/>
                <w:szCs w:val="20"/>
              </w:rPr>
              <w:t>.201</w:t>
            </w:r>
            <w:r>
              <w:rPr>
                <w:sz w:val="20"/>
                <w:szCs w:val="20"/>
              </w:rPr>
              <w:t>2</w:t>
            </w:r>
            <w:r w:rsidR="00C90BA9" w:rsidRPr="00C90BA9">
              <w:rPr>
                <w:sz w:val="20"/>
                <w:szCs w:val="20"/>
                <w:lang w:val="fr-CA"/>
              </w:rPr>
              <w:pict>
                <v:rect id="_x0000_i1030" style="width:108pt;height:1pt" o:hrpct="0" o:hralign="center" o:hrstd="t" o:hrnoshade="t" o:hr="t" fillcolor="black [3213]" stroked="f"/>
              </w:pict>
            </w:r>
          </w:p>
        </w:tc>
      </w:tr>
    </w:tbl>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402685">
          <w:headerReference w:type="default" r:id="rId16"/>
          <w:footerReference w:type="default" r:id="rId17"/>
          <w:headerReference w:type="first" r:id="rId18"/>
          <w:footerReference w:type="first" r:id="rId19"/>
          <w:pgSz w:w="12240" w:h="15840"/>
          <w:pgMar w:top="720" w:right="965" w:bottom="990" w:left="1656" w:header="706" w:footer="706" w:gutter="0"/>
          <w:pgNumType w:start="953"/>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5252ED"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A50FB9" w:rsidP="004B7F60">
      <w:pPr>
        <w:widowControl w:val="0"/>
        <w:rPr>
          <w:b/>
          <w:sz w:val="20"/>
          <w:szCs w:val="20"/>
        </w:rPr>
      </w:pPr>
      <w:r>
        <w:rPr>
          <w:b/>
          <w:sz w:val="20"/>
          <w:szCs w:val="20"/>
        </w:rPr>
        <w:t>JU</w:t>
      </w:r>
      <w:r w:rsidR="004B7F60">
        <w:rPr>
          <w:b/>
          <w:sz w:val="20"/>
          <w:szCs w:val="20"/>
        </w:rPr>
        <w:t>NE</w:t>
      </w:r>
      <w:r w:rsidR="004B7F60" w:rsidRPr="00C50A5C">
        <w:rPr>
          <w:b/>
          <w:sz w:val="20"/>
          <w:szCs w:val="20"/>
        </w:rPr>
        <w:t xml:space="preserve"> </w:t>
      </w:r>
      <w:r>
        <w:rPr>
          <w:b/>
          <w:sz w:val="20"/>
          <w:szCs w:val="20"/>
        </w:rPr>
        <w:t>18</w:t>
      </w:r>
      <w:r w:rsidR="004B7F60" w:rsidRPr="00C50A5C">
        <w:rPr>
          <w:b/>
          <w:sz w:val="20"/>
          <w:szCs w:val="20"/>
        </w:rPr>
        <w:t>, 201</w:t>
      </w:r>
      <w:r>
        <w:rPr>
          <w:b/>
          <w:sz w:val="20"/>
          <w:szCs w:val="20"/>
        </w:rPr>
        <w:t>2</w:t>
      </w:r>
      <w:r w:rsidR="004B7F60" w:rsidRPr="00C50A5C">
        <w:rPr>
          <w:b/>
          <w:sz w:val="20"/>
          <w:szCs w:val="20"/>
        </w:rPr>
        <w:t xml:space="preserve"> / LE </w:t>
      </w:r>
      <w:r>
        <w:rPr>
          <w:b/>
          <w:sz w:val="20"/>
          <w:szCs w:val="20"/>
        </w:rPr>
        <w:t>18</w:t>
      </w:r>
      <w:r w:rsidR="004B7F60">
        <w:rPr>
          <w:b/>
          <w:sz w:val="20"/>
          <w:szCs w:val="20"/>
        </w:rPr>
        <w:t xml:space="preserve"> </w:t>
      </w:r>
      <w:r>
        <w:rPr>
          <w:b/>
          <w:sz w:val="20"/>
          <w:szCs w:val="20"/>
        </w:rPr>
        <w:t>JUI</w:t>
      </w:r>
      <w:r w:rsidR="004B7F60">
        <w:rPr>
          <w:b/>
          <w:sz w:val="20"/>
          <w:szCs w:val="20"/>
        </w:rPr>
        <w:t>N</w:t>
      </w:r>
      <w:r w:rsidR="004B7F60" w:rsidRPr="00C50A5C">
        <w:rPr>
          <w:b/>
          <w:sz w:val="20"/>
          <w:szCs w:val="20"/>
        </w:rPr>
        <w:t xml:space="preserve"> 201</w:t>
      </w:r>
      <w:r>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proofErr w:type="spellStart"/>
      <w:r>
        <w:rPr>
          <w:b/>
          <w:sz w:val="20"/>
          <w:szCs w:val="20"/>
          <w:lang w:val="fr-CA"/>
        </w:rPr>
        <w:t>Rothstein</w:t>
      </w:r>
      <w:proofErr w:type="spellEnd"/>
      <w:r w:rsidRPr="00C50A5C">
        <w:rPr>
          <w:b/>
          <w:sz w:val="20"/>
          <w:szCs w:val="20"/>
          <w:lang w:val="fr-CA"/>
        </w:rPr>
        <w:t xml:space="preserve"> et </w:t>
      </w:r>
      <w:r>
        <w:rPr>
          <w:b/>
          <w:sz w:val="20"/>
          <w:szCs w:val="20"/>
          <w:lang w:val="fr-CA"/>
        </w:rPr>
        <w:t>Moldaver</w:t>
      </w:r>
    </w:p>
    <w:p w:rsidR="004B7F60" w:rsidRPr="00002663" w:rsidRDefault="004B7F60" w:rsidP="004B7F60">
      <w:pPr>
        <w:widowControl w:val="0"/>
        <w:rPr>
          <w:i/>
          <w:sz w:val="20"/>
          <w:szCs w:val="20"/>
          <w:lang w:val="fr-CA"/>
        </w:rPr>
      </w:pPr>
    </w:p>
    <w:p w:rsidR="00002663" w:rsidRPr="00002663" w:rsidRDefault="00002663" w:rsidP="00002663">
      <w:pPr>
        <w:pStyle w:val="ListParagraph"/>
        <w:numPr>
          <w:ilvl w:val="0"/>
          <w:numId w:val="1"/>
        </w:numPr>
        <w:ind w:hanging="720"/>
        <w:rPr>
          <w:sz w:val="20"/>
          <w:szCs w:val="20"/>
        </w:rPr>
      </w:pPr>
      <w:r w:rsidRPr="00002663">
        <w:rPr>
          <w:i/>
          <w:sz w:val="20"/>
          <w:szCs w:val="20"/>
        </w:rPr>
        <w:t xml:space="preserve">Judith Anne Scott v. Her Majesty the Queen </w:t>
      </w:r>
      <w:r w:rsidRPr="00002663">
        <w:rPr>
          <w:sz w:val="20"/>
          <w:szCs w:val="20"/>
        </w:rPr>
        <w:t>(B.C.) (Crim.) (By Leave) (34799)</w:t>
      </w:r>
    </w:p>
    <w:p w:rsidR="004B7F60" w:rsidRPr="00002663" w:rsidRDefault="004B7F60" w:rsidP="00002663">
      <w:pPr>
        <w:widowControl w:val="0"/>
        <w:ind w:left="720" w:hanging="720"/>
        <w:jc w:val="both"/>
        <w:rPr>
          <w:sz w:val="20"/>
          <w:szCs w:val="20"/>
        </w:rPr>
      </w:pPr>
    </w:p>
    <w:p w:rsidR="00002663" w:rsidRPr="00002663" w:rsidRDefault="00002663" w:rsidP="00002663">
      <w:pPr>
        <w:pStyle w:val="ListParagraph"/>
        <w:numPr>
          <w:ilvl w:val="0"/>
          <w:numId w:val="1"/>
        </w:numPr>
        <w:ind w:hanging="720"/>
        <w:rPr>
          <w:sz w:val="20"/>
          <w:szCs w:val="20"/>
        </w:rPr>
      </w:pPr>
      <w:proofErr w:type="spellStart"/>
      <w:r w:rsidRPr="00002663">
        <w:rPr>
          <w:i/>
          <w:sz w:val="20"/>
          <w:szCs w:val="20"/>
        </w:rPr>
        <w:t>Ivanco</w:t>
      </w:r>
      <w:proofErr w:type="spellEnd"/>
      <w:r w:rsidRPr="00002663">
        <w:rPr>
          <w:i/>
          <w:sz w:val="20"/>
          <w:szCs w:val="20"/>
        </w:rPr>
        <w:t xml:space="preserve"> </w:t>
      </w:r>
      <w:proofErr w:type="spellStart"/>
      <w:r w:rsidRPr="00002663">
        <w:rPr>
          <w:i/>
          <w:sz w:val="20"/>
          <w:szCs w:val="20"/>
        </w:rPr>
        <w:t>Keremelevski</w:t>
      </w:r>
      <w:proofErr w:type="spellEnd"/>
      <w:r w:rsidRPr="00002663">
        <w:rPr>
          <w:i/>
          <w:sz w:val="20"/>
          <w:szCs w:val="20"/>
        </w:rPr>
        <w:t xml:space="preserve"> v. Ukrainian Orthodox Church St. Mary et al. </w:t>
      </w:r>
      <w:r w:rsidRPr="00002663">
        <w:rPr>
          <w:sz w:val="20"/>
          <w:szCs w:val="20"/>
        </w:rPr>
        <w:t>(B.C.) (Civil) (By Leave) (34811)</w:t>
      </w:r>
    </w:p>
    <w:p w:rsidR="004B7F60" w:rsidRPr="00C612D0" w:rsidRDefault="004B7F60" w:rsidP="004B7F60">
      <w:pPr>
        <w:widowControl w:val="0"/>
        <w:jc w:val="both"/>
        <w:rPr>
          <w:sz w:val="20"/>
          <w:szCs w:val="20"/>
        </w:rPr>
      </w:pPr>
    </w:p>
    <w:p w:rsidR="00002663" w:rsidRDefault="00002663" w:rsidP="008C618D">
      <w:pPr>
        <w:pStyle w:val="SCCAppellantInfoAppellantInfo"/>
        <w:numPr>
          <w:ilvl w:val="0"/>
          <w:numId w:val="1"/>
        </w:numPr>
        <w:ind w:hanging="720"/>
      </w:pPr>
      <w:r w:rsidRPr="008C618D">
        <w:rPr>
          <w:i/>
          <w:sz w:val="20"/>
          <w:szCs w:val="20"/>
        </w:rPr>
        <w:t>Telecommunication Employees Association of Manitoba Inc. - International Federation of Professional and Technical Engineers Local 161 et al.</w:t>
      </w:r>
      <w:r w:rsidR="008C618D" w:rsidRPr="008C618D">
        <w:rPr>
          <w:i/>
          <w:sz w:val="20"/>
          <w:szCs w:val="20"/>
        </w:rPr>
        <w:t xml:space="preserve"> </w:t>
      </w:r>
      <w:r w:rsidRPr="008C618D">
        <w:rPr>
          <w:i/>
          <w:sz w:val="20"/>
          <w:szCs w:val="20"/>
        </w:rPr>
        <w:t>v.</w:t>
      </w:r>
      <w:r w:rsidR="008C618D" w:rsidRPr="008C618D">
        <w:rPr>
          <w:i/>
          <w:sz w:val="20"/>
          <w:szCs w:val="20"/>
        </w:rPr>
        <w:t xml:space="preserve"> </w:t>
      </w:r>
      <w:r w:rsidR="006051CD">
        <w:rPr>
          <w:i/>
          <w:sz w:val="20"/>
          <w:szCs w:val="20"/>
        </w:rPr>
        <w:t>Manitoba Telecom Services Inc.</w:t>
      </w:r>
      <w:r w:rsidRPr="008C618D">
        <w:rPr>
          <w:i/>
          <w:sz w:val="20"/>
          <w:szCs w:val="20"/>
        </w:rPr>
        <w:t xml:space="preserve"> </w:t>
      </w:r>
      <w:r w:rsidR="008C618D" w:rsidRPr="008C618D">
        <w:rPr>
          <w:i/>
          <w:sz w:val="20"/>
          <w:szCs w:val="20"/>
        </w:rPr>
        <w:t>e</w:t>
      </w:r>
      <w:r w:rsidRPr="008C618D">
        <w:rPr>
          <w:i/>
          <w:sz w:val="20"/>
          <w:szCs w:val="20"/>
        </w:rPr>
        <w:t>t al.</w:t>
      </w:r>
      <w:r w:rsidR="008C618D" w:rsidRPr="008C618D">
        <w:rPr>
          <w:sz w:val="20"/>
          <w:szCs w:val="20"/>
        </w:rPr>
        <w:t xml:space="preserve"> </w:t>
      </w:r>
      <w:r w:rsidRPr="008C618D">
        <w:rPr>
          <w:sz w:val="20"/>
          <w:szCs w:val="20"/>
        </w:rPr>
        <w:t>(Man.) (Civil) (By Leave)</w:t>
      </w:r>
      <w:r w:rsidR="008C618D" w:rsidRPr="008C618D">
        <w:rPr>
          <w:sz w:val="22"/>
        </w:rPr>
        <w:t xml:space="preserve"> </w:t>
      </w:r>
      <w:r w:rsidR="008C618D" w:rsidRPr="008C618D">
        <w:rPr>
          <w:sz w:val="20"/>
          <w:szCs w:val="20"/>
        </w:rPr>
        <w:t>(</w:t>
      </w:r>
      <w:r w:rsidRPr="008C618D">
        <w:rPr>
          <w:sz w:val="20"/>
          <w:szCs w:val="20"/>
        </w:rPr>
        <w:t>34763</w:t>
      </w:r>
      <w:r w:rsidR="008C618D" w:rsidRPr="008C618D">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proofErr w:type="spellStart"/>
      <w:r>
        <w:rPr>
          <w:b/>
          <w:sz w:val="20"/>
          <w:szCs w:val="20"/>
        </w:rPr>
        <w:t>LeBel</w:t>
      </w:r>
      <w:proofErr w:type="spellEnd"/>
      <w:r w:rsidRPr="00C50A5C">
        <w:rPr>
          <w:b/>
          <w:sz w:val="20"/>
          <w:szCs w:val="20"/>
        </w:rPr>
        <w:t xml:space="preserve">, </w:t>
      </w:r>
      <w:proofErr w:type="spellStart"/>
      <w:r>
        <w:rPr>
          <w:b/>
          <w:sz w:val="20"/>
          <w:szCs w:val="20"/>
        </w:rPr>
        <w:t>Abella</w:t>
      </w:r>
      <w:proofErr w:type="spellEnd"/>
      <w:r w:rsidRPr="00C50A5C">
        <w:rPr>
          <w:b/>
          <w:sz w:val="20"/>
          <w:szCs w:val="20"/>
        </w:rPr>
        <w:t xml:space="preserve"> and </w:t>
      </w:r>
      <w:r>
        <w:rPr>
          <w:b/>
          <w:sz w:val="20"/>
          <w:szCs w:val="20"/>
        </w:rPr>
        <w:t>Cromwell</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proofErr w:type="spellStart"/>
      <w:r>
        <w:rPr>
          <w:b/>
          <w:sz w:val="20"/>
          <w:szCs w:val="20"/>
          <w:lang w:val="fr-CA"/>
        </w:rPr>
        <w:t>LeBel</w:t>
      </w:r>
      <w:proofErr w:type="spellEnd"/>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4B7F60" w:rsidRPr="00C16CB3" w:rsidRDefault="004B7F60" w:rsidP="004B7F60">
      <w:pPr>
        <w:widowControl w:val="0"/>
        <w:jc w:val="both"/>
        <w:rPr>
          <w:sz w:val="20"/>
          <w:szCs w:val="20"/>
          <w:lang w:val="fr-CA"/>
        </w:rPr>
      </w:pPr>
    </w:p>
    <w:p w:rsidR="008C618D" w:rsidRDefault="008C618D" w:rsidP="008C618D">
      <w:pPr>
        <w:pStyle w:val="SCCAppellantInfoAppellantInfo"/>
        <w:numPr>
          <w:ilvl w:val="0"/>
          <w:numId w:val="1"/>
        </w:numPr>
        <w:ind w:hanging="720"/>
        <w:rPr>
          <w:sz w:val="20"/>
          <w:szCs w:val="20"/>
          <w:lang w:val="fr-CA"/>
        </w:rPr>
      </w:pPr>
      <w:r w:rsidRPr="008C618D">
        <w:rPr>
          <w:i/>
          <w:sz w:val="20"/>
          <w:szCs w:val="20"/>
          <w:lang w:val="fr-CA"/>
        </w:rPr>
        <w:t>Robert Godbout c. Sa Majesté la Reine</w:t>
      </w:r>
      <w:r w:rsidRPr="008C618D">
        <w:rPr>
          <w:sz w:val="20"/>
          <w:szCs w:val="20"/>
          <w:lang w:val="fr-CA"/>
        </w:rPr>
        <w:t xml:space="preserve"> (</w:t>
      </w:r>
      <w:proofErr w:type="spellStart"/>
      <w:r w:rsidRPr="008C618D">
        <w:rPr>
          <w:sz w:val="20"/>
          <w:szCs w:val="20"/>
          <w:lang w:val="fr-CA"/>
        </w:rPr>
        <w:t>Qc</w:t>
      </w:r>
      <w:proofErr w:type="spellEnd"/>
      <w:r w:rsidRPr="008C618D">
        <w:rPr>
          <w:sz w:val="20"/>
          <w:szCs w:val="20"/>
          <w:lang w:val="fr-CA"/>
        </w:rPr>
        <w:t>) (</w:t>
      </w:r>
      <w:proofErr w:type="spellStart"/>
      <w:r w:rsidRPr="008C618D">
        <w:rPr>
          <w:sz w:val="20"/>
          <w:szCs w:val="20"/>
          <w:lang w:val="fr-CA"/>
        </w:rPr>
        <w:t>Crim</w:t>
      </w:r>
      <w:proofErr w:type="spellEnd"/>
      <w:r>
        <w:rPr>
          <w:sz w:val="20"/>
          <w:szCs w:val="20"/>
          <w:lang w:val="fr-CA"/>
        </w:rPr>
        <w:t>.</w:t>
      </w:r>
      <w:r w:rsidRPr="008C618D">
        <w:rPr>
          <w:sz w:val="20"/>
          <w:szCs w:val="20"/>
          <w:lang w:val="fr-CA"/>
        </w:rPr>
        <w:t>) (Autorisation) (34704)</w:t>
      </w:r>
    </w:p>
    <w:p w:rsidR="008C618D" w:rsidRPr="008C618D" w:rsidRDefault="008C618D" w:rsidP="008C618D">
      <w:pPr>
        <w:rPr>
          <w:sz w:val="20"/>
          <w:lang w:val="fr-CA"/>
        </w:rPr>
      </w:pPr>
    </w:p>
    <w:p w:rsidR="008C618D" w:rsidRDefault="008C618D" w:rsidP="00772FC1">
      <w:pPr>
        <w:pStyle w:val="SCCAppellantInfoAppellantInfo"/>
        <w:numPr>
          <w:ilvl w:val="0"/>
          <w:numId w:val="1"/>
        </w:numPr>
        <w:ind w:hanging="720"/>
        <w:rPr>
          <w:sz w:val="20"/>
        </w:rPr>
      </w:pPr>
      <w:proofErr w:type="spellStart"/>
      <w:r w:rsidRPr="00772FC1">
        <w:rPr>
          <w:i/>
          <w:sz w:val="20"/>
        </w:rPr>
        <w:t>Ivanco</w:t>
      </w:r>
      <w:proofErr w:type="spellEnd"/>
      <w:r w:rsidRPr="00772FC1">
        <w:rPr>
          <w:i/>
          <w:sz w:val="20"/>
        </w:rPr>
        <w:t xml:space="preserve"> </w:t>
      </w:r>
      <w:proofErr w:type="spellStart"/>
      <w:r w:rsidRPr="00772FC1">
        <w:rPr>
          <w:i/>
          <w:sz w:val="20"/>
        </w:rPr>
        <w:t>Keremelevski</w:t>
      </w:r>
      <w:proofErr w:type="spellEnd"/>
      <w:r w:rsidRPr="00772FC1">
        <w:rPr>
          <w:i/>
          <w:sz w:val="20"/>
        </w:rPr>
        <w:t xml:space="preserve"> v. Insurance Corporation of British Columbia</w:t>
      </w:r>
      <w:r w:rsidR="00762825">
        <w:rPr>
          <w:i/>
          <w:sz w:val="20"/>
        </w:rPr>
        <w:t xml:space="preserve"> et al.</w:t>
      </w:r>
      <w:r w:rsidRPr="008C618D">
        <w:rPr>
          <w:sz w:val="20"/>
        </w:rPr>
        <w:t xml:space="preserve"> (B.C.) (Civil) (By Leave) (34789)</w:t>
      </w:r>
    </w:p>
    <w:p w:rsidR="00772FC1" w:rsidRPr="00772FC1" w:rsidRDefault="00772FC1" w:rsidP="00772FC1"/>
    <w:p w:rsidR="00772FC1" w:rsidRPr="00772FC1" w:rsidRDefault="00772FC1" w:rsidP="00772FC1">
      <w:pPr>
        <w:pStyle w:val="SCCAppellantInfoAppellantInfo"/>
        <w:numPr>
          <w:ilvl w:val="0"/>
          <w:numId w:val="1"/>
        </w:numPr>
        <w:ind w:hanging="720"/>
        <w:rPr>
          <w:i/>
          <w:sz w:val="20"/>
        </w:rPr>
      </w:pPr>
      <w:proofErr w:type="spellStart"/>
      <w:r w:rsidRPr="00772FC1">
        <w:rPr>
          <w:i/>
          <w:sz w:val="20"/>
        </w:rPr>
        <w:t>Ravinder</w:t>
      </w:r>
      <w:proofErr w:type="spellEnd"/>
      <w:r w:rsidRPr="00772FC1">
        <w:rPr>
          <w:i/>
          <w:sz w:val="20"/>
        </w:rPr>
        <w:t xml:space="preserve"> Kumar Sharma v. </w:t>
      </w:r>
      <w:proofErr w:type="spellStart"/>
      <w:r w:rsidRPr="00772FC1">
        <w:rPr>
          <w:i/>
          <w:sz w:val="20"/>
        </w:rPr>
        <w:t>Timminco</w:t>
      </w:r>
      <w:proofErr w:type="spellEnd"/>
      <w:r w:rsidRPr="00772FC1">
        <w:rPr>
          <w:i/>
          <w:sz w:val="20"/>
        </w:rPr>
        <w:t xml:space="preserve"> Limited et al. </w:t>
      </w:r>
      <w:r w:rsidRPr="00772FC1">
        <w:rPr>
          <w:sz w:val="20"/>
        </w:rPr>
        <w:t>(Ont.) (Civil) (By Leave) (34774)</w:t>
      </w:r>
    </w:p>
    <w:p w:rsidR="004B7F60" w:rsidRPr="006051CD" w:rsidRDefault="004B7F60" w:rsidP="004B7F60">
      <w:pPr>
        <w:widowControl w:val="0"/>
        <w:rPr>
          <w:sz w:val="20"/>
          <w:szCs w:val="20"/>
          <w:lang w:val="en-US"/>
        </w:rPr>
      </w:pPr>
    </w:p>
    <w:p w:rsidR="004B7F60" w:rsidRPr="006051CD" w:rsidRDefault="004B7F60" w:rsidP="004B7F60">
      <w:pPr>
        <w:widowControl w:val="0"/>
        <w:rPr>
          <w:sz w:val="20"/>
          <w:szCs w:val="20"/>
          <w:lang w:val="en-US"/>
        </w:rPr>
      </w:pPr>
    </w:p>
    <w:p w:rsidR="004B7F60" w:rsidRPr="00772FC1" w:rsidRDefault="004B7F60" w:rsidP="004B7F60">
      <w:pPr>
        <w:widowControl w:val="0"/>
        <w:jc w:val="center"/>
        <w:rPr>
          <w:b/>
          <w:sz w:val="20"/>
          <w:szCs w:val="20"/>
          <w:lang w:val="en-US"/>
        </w:rPr>
      </w:pPr>
      <w:r w:rsidRPr="00772FC1">
        <w:rPr>
          <w:b/>
          <w:sz w:val="20"/>
          <w:szCs w:val="20"/>
          <w:lang w:val="en-US"/>
        </w:rPr>
        <w:t>CORAM: Deschamps, Fish and Karakatsanis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r>
        <w:rPr>
          <w:b/>
          <w:sz w:val="20"/>
          <w:szCs w:val="20"/>
          <w:lang w:val="fr-CA"/>
        </w:rPr>
        <w:t>Karakatsanis</w:t>
      </w:r>
    </w:p>
    <w:p w:rsidR="004B7F60" w:rsidRPr="00C50A5C" w:rsidRDefault="004B7F60" w:rsidP="004B7F60">
      <w:pPr>
        <w:widowControl w:val="0"/>
        <w:rPr>
          <w:sz w:val="20"/>
          <w:szCs w:val="20"/>
          <w:lang w:val="fr-CA"/>
        </w:rPr>
      </w:pPr>
    </w:p>
    <w:p w:rsidR="00772FC1" w:rsidRPr="00226342" w:rsidRDefault="00772FC1" w:rsidP="00772FC1">
      <w:pPr>
        <w:pStyle w:val="SCCAppellantInfoAppellantInfo"/>
        <w:numPr>
          <w:ilvl w:val="0"/>
          <w:numId w:val="1"/>
        </w:numPr>
        <w:ind w:hanging="720"/>
        <w:rPr>
          <w:sz w:val="20"/>
          <w:lang w:val="fr-CA"/>
        </w:rPr>
      </w:pPr>
      <w:r w:rsidRPr="00772FC1">
        <w:rPr>
          <w:i/>
          <w:sz w:val="20"/>
          <w:lang w:val="fr-CA"/>
        </w:rPr>
        <w:t xml:space="preserve">Steve Bédard c. Sa Majesté la </w:t>
      </w:r>
      <w:r w:rsidRPr="00226342">
        <w:rPr>
          <w:sz w:val="20"/>
          <w:lang w:val="fr-CA"/>
        </w:rPr>
        <w:t>Reine (</w:t>
      </w:r>
      <w:proofErr w:type="spellStart"/>
      <w:r w:rsidRPr="00226342">
        <w:rPr>
          <w:sz w:val="20"/>
          <w:lang w:val="fr-CA"/>
        </w:rPr>
        <w:t>Qc</w:t>
      </w:r>
      <w:proofErr w:type="spellEnd"/>
      <w:r w:rsidRPr="00226342">
        <w:rPr>
          <w:sz w:val="20"/>
          <w:lang w:val="fr-CA"/>
        </w:rPr>
        <w:t>) (</w:t>
      </w:r>
      <w:proofErr w:type="spellStart"/>
      <w:r w:rsidRPr="00226342">
        <w:rPr>
          <w:sz w:val="20"/>
          <w:lang w:val="fr-CA"/>
        </w:rPr>
        <w:t>Crim</w:t>
      </w:r>
      <w:proofErr w:type="spellEnd"/>
      <w:r w:rsidR="00226342">
        <w:rPr>
          <w:sz w:val="20"/>
          <w:lang w:val="fr-CA"/>
        </w:rPr>
        <w:t>.</w:t>
      </w:r>
      <w:r w:rsidRPr="00226342">
        <w:rPr>
          <w:sz w:val="20"/>
          <w:lang w:val="fr-CA"/>
        </w:rPr>
        <w:t>) (Autorisation) (34744)</w:t>
      </w:r>
    </w:p>
    <w:p w:rsidR="00772FC1" w:rsidRPr="00772FC1" w:rsidRDefault="00772FC1" w:rsidP="00772FC1">
      <w:pPr>
        <w:pStyle w:val="SCCAppellantInfoAppellantInfo"/>
        <w:rPr>
          <w:lang w:val="fr-CA"/>
        </w:rPr>
      </w:pPr>
    </w:p>
    <w:p w:rsidR="004B7F60" w:rsidRDefault="00226342" w:rsidP="004B7F60">
      <w:pPr>
        <w:pStyle w:val="SCCAppellantInfoAppellantInfo"/>
        <w:widowControl w:val="0"/>
        <w:numPr>
          <w:ilvl w:val="0"/>
          <w:numId w:val="1"/>
        </w:numPr>
        <w:ind w:hanging="720"/>
        <w:jc w:val="both"/>
        <w:rPr>
          <w:sz w:val="20"/>
          <w:lang w:val="fr-CA"/>
        </w:rPr>
      </w:pPr>
      <w:r w:rsidRPr="00226342">
        <w:rPr>
          <w:i/>
          <w:sz w:val="20"/>
          <w:lang w:val="fr-CA"/>
        </w:rPr>
        <w:t xml:space="preserve">Vivendi Canada Inc. c. Michel </w:t>
      </w:r>
      <w:proofErr w:type="spellStart"/>
      <w:r w:rsidRPr="00226342">
        <w:rPr>
          <w:i/>
          <w:sz w:val="20"/>
          <w:lang w:val="fr-CA"/>
        </w:rPr>
        <w:t>Dell'Aniello</w:t>
      </w:r>
      <w:proofErr w:type="spellEnd"/>
      <w:r w:rsidRPr="00226342">
        <w:rPr>
          <w:sz w:val="20"/>
          <w:lang w:val="fr-CA"/>
        </w:rPr>
        <w:t xml:space="preserve"> (</w:t>
      </w:r>
      <w:proofErr w:type="spellStart"/>
      <w:r w:rsidRPr="00226342">
        <w:rPr>
          <w:sz w:val="20"/>
          <w:lang w:val="fr-CA"/>
        </w:rPr>
        <w:t>Qc</w:t>
      </w:r>
      <w:proofErr w:type="spellEnd"/>
      <w:r w:rsidRPr="00226342">
        <w:rPr>
          <w:sz w:val="20"/>
          <w:lang w:val="fr-CA"/>
        </w:rPr>
        <w:t>) (Civile) (Autorisation) (34800)</w:t>
      </w:r>
    </w:p>
    <w:p w:rsidR="006051CD" w:rsidRPr="006051CD" w:rsidRDefault="006051CD" w:rsidP="006051CD">
      <w:pPr>
        <w:rPr>
          <w:lang w:val="fr-CA"/>
        </w:rPr>
      </w:pPr>
    </w:p>
    <w:p w:rsidR="006051CD" w:rsidRPr="00226342" w:rsidRDefault="006051CD" w:rsidP="006051CD">
      <w:pPr>
        <w:pStyle w:val="SCCAppellantInfoAppellantInfo"/>
        <w:numPr>
          <w:ilvl w:val="0"/>
          <w:numId w:val="1"/>
        </w:numPr>
        <w:ind w:hanging="720"/>
        <w:rPr>
          <w:sz w:val="20"/>
        </w:rPr>
      </w:pPr>
      <w:r w:rsidRPr="006051CD">
        <w:rPr>
          <w:i/>
          <w:sz w:val="20"/>
        </w:rPr>
        <w:t>Martin Tan Lee v. Minister of Citizenship and Immigration</w:t>
      </w:r>
      <w:r w:rsidRPr="00226342">
        <w:rPr>
          <w:sz w:val="20"/>
        </w:rPr>
        <w:t xml:space="preserve"> (F</w:t>
      </w:r>
      <w:r>
        <w:rPr>
          <w:sz w:val="20"/>
        </w:rPr>
        <w:t>.</w:t>
      </w:r>
      <w:r w:rsidRPr="00226342">
        <w:rPr>
          <w:sz w:val="20"/>
        </w:rPr>
        <w:t>C</w:t>
      </w:r>
      <w:r>
        <w:rPr>
          <w:sz w:val="20"/>
        </w:rPr>
        <w:t>.</w:t>
      </w:r>
      <w:r w:rsidRPr="00226342">
        <w:rPr>
          <w:sz w:val="20"/>
        </w:rPr>
        <w:t>) (Civil) (By Leave) (34771)</w:t>
      </w:r>
    </w:p>
    <w:p w:rsidR="00226342" w:rsidRDefault="00226342" w:rsidP="00226342"/>
    <w:p w:rsidR="00235A4D" w:rsidRPr="006051CD" w:rsidRDefault="00235A4D" w:rsidP="00226342"/>
    <w:p w:rsidR="002E2327" w:rsidRPr="00C50A5C" w:rsidRDefault="00C90BA9" w:rsidP="002E2327">
      <w:pPr>
        <w:widowControl w:val="0"/>
        <w:rPr>
          <w:sz w:val="20"/>
          <w:szCs w:val="20"/>
        </w:rPr>
      </w:pPr>
      <w:r w:rsidRPr="00C90BA9">
        <w:rPr>
          <w:sz w:val="20"/>
          <w:szCs w:val="20"/>
        </w:rPr>
        <w:pict>
          <v:rect id="_x0000_i1033"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32989" w:rsidRPr="005252ED" w:rsidTr="00BA6468">
        <w:tc>
          <w:tcPr>
            <w:tcW w:w="4200" w:type="dxa"/>
            <w:tcMar>
              <w:left w:w="0" w:type="dxa"/>
              <w:right w:w="0" w:type="dxa"/>
            </w:tcMar>
          </w:tcPr>
          <w:p w:rsidR="00432989" w:rsidRPr="001D0D5F" w:rsidRDefault="00432989" w:rsidP="00432989">
            <w:pPr>
              <w:keepNext/>
              <w:keepLines/>
              <w:jc w:val="both"/>
              <w:rPr>
                <w:b/>
                <w:szCs w:val="24"/>
              </w:rPr>
            </w:pPr>
            <w:bookmarkStart w:id="0" w:name="QuickMark_1"/>
            <w:bookmarkEnd w:id="0"/>
            <w:r w:rsidRPr="001D0D5F">
              <w:rPr>
                <w:b/>
                <w:szCs w:val="24"/>
              </w:rPr>
              <w:t>ORAL HEARING ON APPLICATIONS FOR LEAVE</w:t>
            </w:r>
          </w:p>
        </w:tc>
        <w:tc>
          <w:tcPr>
            <w:tcW w:w="1200" w:type="dxa"/>
            <w:tcMar>
              <w:left w:w="0" w:type="dxa"/>
              <w:right w:w="0" w:type="dxa"/>
            </w:tcMar>
          </w:tcPr>
          <w:p w:rsidR="00432989" w:rsidRPr="001D0D5F" w:rsidRDefault="00432989" w:rsidP="00C50A5C">
            <w:pPr>
              <w:keepNext/>
              <w:keepLines/>
              <w:jc w:val="center"/>
              <w:rPr>
                <w:b/>
                <w:szCs w:val="24"/>
              </w:rPr>
            </w:pPr>
          </w:p>
          <w:p w:rsidR="00C50A5C" w:rsidRPr="001D0D5F" w:rsidRDefault="00C50A5C" w:rsidP="00C50A5C">
            <w:pPr>
              <w:keepNext/>
              <w:keepLines/>
              <w:jc w:val="center"/>
              <w:rPr>
                <w:b/>
                <w:szCs w:val="24"/>
              </w:rPr>
            </w:pPr>
          </w:p>
          <w:p w:rsidR="00C50A5C" w:rsidRPr="001D0D5F" w:rsidRDefault="00C50A5C" w:rsidP="00C50A5C">
            <w:pPr>
              <w:keepNext/>
              <w:keepLines/>
              <w:jc w:val="center"/>
              <w:rPr>
                <w:b/>
                <w:szCs w:val="24"/>
              </w:rPr>
            </w:pPr>
          </w:p>
        </w:tc>
        <w:tc>
          <w:tcPr>
            <w:tcW w:w="4080" w:type="dxa"/>
            <w:tcMar>
              <w:left w:w="0" w:type="dxa"/>
              <w:right w:w="0" w:type="dxa"/>
            </w:tcMar>
          </w:tcPr>
          <w:p w:rsidR="00432989" w:rsidRPr="001D0D5F" w:rsidRDefault="00432989" w:rsidP="00432989">
            <w:pPr>
              <w:keepNext/>
              <w:keepLines/>
              <w:jc w:val="both"/>
              <w:rPr>
                <w:b/>
                <w:szCs w:val="24"/>
                <w:lang w:val="fr-CA"/>
              </w:rPr>
            </w:pPr>
            <w:r w:rsidRPr="001D0D5F">
              <w:rPr>
                <w:b/>
                <w:szCs w:val="24"/>
                <w:lang w:val="fr-CA"/>
              </w:rPr>
              <w:t>AUDIENCE SUR LES DEMANDES D’AUTORISATION</w:t>
            </w:r>
          </w:p>
        </w:tc>
      </w:tr>
    </w:tbl>
    <w:p w:rsidR="00432989" w:rsidRDefault="00432989" w:rsidP="00432989">
      <w:pPr>
        <w:rPr>
          <w:sz w:val="20"/>
          <w:szCs w:val="20"/>
          <w:lang w:val="fr-CA"/>
        </w:rPr>
      </w:pPr>
    </w:p>
    <w:p w:rsidR="007140C8" w:rsidRPr="007140C8" w:rsidRDefault="007140C8" w:rsidP="007140C8">
      <w:pPr>
        <w:rPr>
          <w:sz w:val="20"/>
          <w:szCs w:val="20"/>
        </w:rPr>
      </w:pPr>
      <w:r w:rsidRPr="007140C8">
        <w:rPr>
          <w:b/>
          <w:sz w:val="20"/>
          <w:szCs w:val="20"/>
        </w:rPr>
        <w:t>JUNE 4, 2012 / LE 4 JUIN 2012</w:t>
      </w:r>
    </w:p>
    <w:p w:rsidR="007140C8" w:rsidRPr="007140C8" w:rsidRDefault="007140C8" w:rsidP="007140C8">
      <w:pPr>
        <w:rPr>
          <w:sz w:val="20"/>
          <w:szCs w:val="20"/>
        </w:rPr>
      </w:pPr>
    </w:p>
    <w:p w:rsidR="007140C8" w:rsidRPr="00F44C9F" w:rsidRDefault="007140C8" w:rsidP="007140C8">
      <w:pPr>
        <w:widowControl w:val="0"/>
        <w:ind w:left="720" w:hanging="720"/>
        <w:rPr>
          <w:sz w:val="20"/>
          <w:szCs w:val="20"/>
        </w:rPr>
      </w:pPr>
      <w:r w:rsidRPr="007140C8">
        <w:rPr>
          <w:sz w:val="20"/>
          <w:szCs w:val="20"/>
        </w:rPr>
        <w:t xml:space="preserve">Coram: </w:t>
      </w:r>
      <w:r w:rsidRPr="007140C8">
        <w:rPr>
          <w:sz w:val="20"/>
          <w:szCs w:val="20"/>
        </w:rPr>
        <w:tab/>
      </w:r>
      <w:r w:rsidRPr="007140C8">
        <w:rPr>
          <w:sz w:val="20"/>
          <w:szCs w:val="20"/>
          <w:u w:val="single"/>
        </w:rPr>
        <w:t>M</w:t>
      </w:r>
      <w:r w:rsidRPr="00F44C9F">
        <w:rPr>
          <w:sz w:val="20"/>
          <w:szCs w:val="20"/>
          <w:u w:val="single"/>
        </w:rPr>
        <w:t>cLachlin C.J. and Rothstein and Moldaver JJ.</w:t>
      </w:r>
    </w:p>
    <w:p w:rsidR="007140C8" w:rsidRPr="00AF4701" w:rsidRDefault="007140C8" w:rsidP="007140C8">
      <w:pPr>
        <w:rPr>
          <w:sz w:val="20"/>
          <w:szCs w:val="20"/>
        </w:rPr>
      </w:pPr>
    </w:p>
    <w:tbl>
      <w:tblPr>
        <w:tblW w:w="0" w:type="auto"/>
        <w:tblLayout w:type="fixed"/>
        <w:tblCellMar>
          <w:left w:w="0" w:type="dxa"/>
          <w:right w:w="0" w:type="dxa"/>
        </w:tblCellMar>
        <w:tblLook w:val="0000"/>
      </w:tblPr>
      <w:tblGrid>
        <w:gridCol w:w="4380"/>
        <w:gridCol w:w="720"/>
        <w:gridCol w:w="4380"/>
      </w:tblGrid>
      <w:tr w:rsidR="007140C8" w:rsidRPr="00C50A5C" w:rsidTr="00002663">
        <w:tc>
          <w:tcPr>
            <w:tcW w:w="4380" w:type="dxa"/>
            <w:tcMar>
              <w:left w:w="0" w:type="dxa"/>
              <w:right w:w="0" w:type="dxa"/>
            </w:tcMar>
          </w:tcPr>
          <w:p w:rsidR="007140C8" w:rsidRPr="00C50A5C" w:rsidRDefault="007140C8" w:rsidP="00002663">
            <w:pPr>
              <w:rPr>
                <w:b/>
                <w:sz w:val="20"/>
                <w:szCs w:val="20"/>
              </w:rPr>
            </w:pPr>
            <w:r w:rsidRPr="00C50A5C">
              <w:rPr>
                <w:b/>
                <w:sz w:val="20"/>
                <w:szCs w:val="20"/>
              </w:rPr>
              <w:t>Motion heard</w:t>
            </w:r>
          </w:p>
          <w:p w:rsidR="007140C8" w:rsidRDefault="007140C8" w:rsidP="00002663">
            <w:pPr>
              <w:rPr>
                <w:b/>
                <w:sz w:val="20"/>
                <w:szCs w:val="20"/>
              </w:rPr>
            </w:pPr>
          </w:p>
          <w:p w:rsidR="007140C8" w:rsidRDefault="007140C8" w:rsidP="00002663">
            <w:pPr>
              <w:rPr>
                <w:b/>
                <w:sz w:val="20"/>
                <w:szCs w:val="20"/>
              </w:rPr>
            </w:pPr>
            <w:r w:rsidRPr="00F44C9F">
              <w:rPr>
                <w:b/>
                <w:sz w:val="20"/>
                <w:szCs w:val="20"/>
              </w:rPr>
              <w:t xml:space="preserve">Daishowa-Marubeni International Ltd. </w:t>
            </w:r>
          </w:p>
          <w:p w:rsidR="007140C8" w:rsidRDefault="007140C8" w:rsidP="00002663">
            <w:pPr>
              <w:rPr>
                <w:b/>
                <w:sz w:val="20"/>
                <w:szCs w:val="20"/>
              </w:rPr>
            </w:pPr>
          </w:p>
          <w:p w:rsidR="007140C8" w:rsidRDefault="007140C8" w:rsidP="00002663">
            <w:pPr>
              <w:rPr>
                <w:b/>
                <w:sz w:val="20"/>
                <w:szCs w:val="20"/>
              </w:rPr>
            </w:pPr>
            <w:r>
              <w:rPr>
                <w:b/>
                <w:sz w:val="20"/>
                <w:szCs w:val="20"/>
              </w:rPr>
              <w:tab/>
            </w:r>
            <w:r w:rsidRPr="00F44C9F">
              <w:rPr>
                <w:b/>
                <w:sz w:val="20"/>
                <w:szCs w:val="20"/>
              </w:rPr>
              <w:t xml:space="preserve">v. </w:t>
            </w:r>
            <w:r>
              <w:rPr>
                <w:b/>
                <w:sz w:val="20"/>
                <w:szCs w:val="20"/>
              </w:rPr>
              <w:t>(34534)</w:t>
            </w:r>
          </w:p>
          <w:p w:rsidR="007140C8" w:rsidRDefault="007140C8" w:rsidP="00002663">
            <w:pPr>
              <w:rPr>
                <w:b/>
                <w:sz w:val="20"/>
                <w:szCs w:val="20"/>
              </w:rPr>
            </w:pPr>
          </w:p>
          <w:p w:rsidR="007140C8" w:rsidRPr="00BA6468" w:rsidRDefault="007140C8" w:rsidP="00002663">
            <w:pPr>
              <w:rPr>
                <w:sz w:val="20"/>
                <w:szCs w:val="20"/>
              </w:rPr>
            </w:pPr>
            <w:r w:rsidRPr="00B71981">
              <w:rPr>
                <w:b/>
                <w:sz w:val="20"/>
                <w:szCs w:val="20"/>
              </w:rPr>
              <w:t>Her Majesty the Queen</w:t>
            </w:r>
            <w:r w:rsidRPr="00C50A5C">
              <w:rPr>
                <w:b/>
                <w:sz w:val="20"/>
                <w:szCs w:val="20"/>
              </w:rPr>
              <w:t>(</w:t>
            </w:r>
            <w:r>
              <w:rPr>
                <w:b/>
                <w:sz w:val="20"/>
                <w:szCs w:val="20"/>
              </w:rPr>
              <w:t>F</w:t>
            </w:r>
            <w:r w:rsidRPr="00C50A5C">
              <w:rPr>
                <w:b/>
                <w:sz w:val="20"/>
                <w:szCs w:val="20"/>
              </w:rPr>
              <w:t xml:space="preserve">.C.) </w:t>
            </w:r>
            <w:r w:rsidRPr="00BA6468">
              <w:rPr>
                <w:b/>
                <w:sz w:val="20"/>
                <w:szCs w:val="20"/>
              </w:rPr>
              <w:t>(Ci</w:t>
            </w:r>
            <w:r>
              <w:rPr>
                <w:b/>
                <w:sz w:val="20"/>
                <w:szCs w:val="20"/>
              </w:rPr>
              <w:t>vi</w:t>
            </w:r>
            <w:r w:rsidRPr="00BA6468">
              <w:rPr>
                <w:b/>
                <w:sz w:val="20"/>
                <w:szCs w:val="20"/>
              </w:rPr>
              <w:t>l)</w:t>
            </w:r>
            <w:r>
              <w:rPr>
                <w:b/>
                <w:sz w:val="20"/>
                <w:szCs w:val="20"/>
              </w:rPr>
              <w:t xml:space="preserve"> (By Leave)</w:t>
            </w:r>
          </w:p>
        </w:tc>
        <w:tc>
          <w:tcPr>
            <w:tcW w:w="720" w:type="dxa"/>
            <w:tcMar>
              <w:left w:w="0" w:type="dxa"/>
              <w:right w:w="0" w:type="dxa"/>
            </w:tcMar>
          </w:tcPr>
          <w:p w:rsidR="007140C8" w:rsidRPr="00BA6468" w:rsidRDefault="007140C8" w:rsidP="00002663">
            <w:pPr>
              <w:rPr>
                <w:sz w:val="20"/>
                <w:szCs w:val="20"/>
              </w:rPr>
            </w:pPr>
          </w:p>
        </w:tc>
        <w:tc>
          <w:tcPr>
            <w:tcW w:w="4380" w:type="dxa"/>
            <w:tcMar>
              <w:left w:w="0" w:type="dxa"/>
              <w:right w:w="0" w:type="dxa"/>
            </w:tcMar>
          </w:tcPr>
          <w:p w:rsidR="007140C8" w:rsidRPr="00C50A5C" w:rsidRDefault="007140C8" w:rsidP="00002663">
            <w:pPr>
              <w:rPr>
                <w:b/>
                <w:sz w:val="20"/>
                <w:szCs w:val="20"/>
              </w:rPr>
            </w:pPr>
            <w:proofErr w:type="spellStart"/>
            <w:r w:rsidRPr="00C50A5C">
              <w:rPr>
                <w:b/>
                <w:sz w:val="20"/>
                <w:szCs w:val="20"/>
              </w:rPr>
              <w:t>Requête</w:t>
            </w:r>
            <w:proofErr w:type="spellEnd"/>
            <w:r w:rsidRPr="00C50A5C">
              <w:rPr>
                <w:b/>
                <w:sz w:val="20"/>
                <w:szCs w:val="20"/>
              </w:rPr>
              <w:t xml:space="preserve"> </w:t>
            </w:r>
            <w:proofErr w:type="spellStart"/>
            <w:r w:rsidRPr="00C50A5C">
              <w:rPr>
                <w:b/>
                <w:sz w:val="20"/>
                <w:szCs w:val="20"/>
              </w:rPr>
              <w:t>entendue</w:t>
            </w:r>
            <w:proofErr w:type="spellEnd"/>
          </w:p>
          <w:p w:rsidR="007140C8" w:rsidRPr="00C50A5C" w:rsidRDefault="007140C8" w:rsidP="00002663">
            <w:pPr>
              <w:rPr>
                <w:b/>
                <w:sz w:val="20"/>
                <w:szCs w:val="20"/>
              </w:rPr>
            </w:pPr>
          </w:p>
          <w:p w:rsidR="007140C8" w:rsidRPr="001B452E" w:rsidRDefault="007140C8" w:rsidP="00002663">
            <w:pPr>
              <w:jc w:val="both"/>
              <w:rPr>
                <w:sz w:val="20"/>
                <w:szCs w:val="20"/>
              </w:rPr>
            </w:pPr>
            <w:r w:rsidRPr="001B452E">
              <w:rPr>
                <w:sz w:val="20"/>
                <w:szCs w:val="20"/>
              </w:rPr>
              <w:t>John H. Saunders</w:t>
            </w:r>
            <w:r w:rsidRPr="001B452E">
              <w:rPr>
                <w:sz w:val="20"/>
                <w:szCs w:val="20"/>
              </w:rPr>
              <w:tab/>
            </w:r>
            <w:r>
              <w:rPr>
                <w:sz w:val="20"/>
                <w:szCs w:val="20"/>
              </w:rPr>
              <w:t xml:space="preserve"> f</w:t>
            </w:r>
            <w:r w:rsidRPr="001B452E">
              <w:rPr>
                <w:sz w:val="20"/>
                <w:szCs w:val="20"/>
              </w:rPr>
              <w:t xml:space="preserve">or the </w:t>
            </w:r>
            <w:r>
              <w:rPr>
                <w:sz w:val="20"/>
                <w:szCs w:val="20"/>
              </w:rPr>
              <w:t>a</w:t>
            </w:r>
            <w:r w:rsidRPr="001B452E">
              <w:rPr>
                <w:sz w:val="20"/>
                <w:szCs w:val="20"/>
              </w:rPr>
              <w:t>pplicant.</w:t>
            </w:r>
          </w:p>
          <w:p w:rsidR="007140C8" w:rsidRPr="001B452E" w:rsidRDefault="007140C8" w:rsidP="00002663">
            <w:pPr>
              <w:jc w:val="both"/>
              <w:rPr>
                <w:sz w:val="20"/>
                <w:szCs w:val="20"/>
              </w:rPr>
            </w:pPr>
          </w:p>
          <w:p w:rsidR="007140C8" w:rsidRPr="00C11D06" w:rsidRDefault="007140C8" w:rsidP="00002663">
            <w:pPr>
              <w:jc w:val="both"/>
              <w:rPr>
                <w:sz w:val="20"/>
                <w:szCs w:val="20"/>
              </w:rPr>
            </w:pPr>
            <w:r w:rsidRPr="001B452E">
              <w:rPr>
                <w:sz w:val="20"/>
                <w:szCs w:val="20"/>
              </w:rPr>
              <w:t xml:space="preserve">David </w:t>
            </w:r>
            <w:proofErr w:type="spellStart"/>
            <w:r w:rsidRPr="001B452E">
              <w:rPr>
                <w:sz w:val="20"/>
                <w:szCs w:val="20"/>
              </w:rPr>
              <w:t>Jacyk</w:t>
            </w:r>
            <w:proofErr w:type="spellEnd"/>
            <w:r>
              <w:rPr>
                <w:sz w:val="20"/>
                <w:szCs w:val="20"/>
              </w:rPr>
              <w:t xml:space="preserve"> f</w:t>
            </w:r>
            <w:r w:rsidRPr="001B452E">
              <w:rPr>
                <w:sz w:val="20"/>
                <w:szCs w:val="20"/>
              </w:rPr>
              <w:t xml:space="preserve">or the </w:t>
            </w:r>
            <w:r>
              <w:rPr>
                <w:sz w:val="20"/>
                <w:szCs w:val="20"/>
              </w:rPr>
              <w:t>r</w:t>
            </w:r>
            <w:r w:rsidRPr="001B452E">
              <w:rPr>
                <w:sz w:val="20"/>
                <w:szCs w:val="20"/>
              </w:rPr>
              <w:t>espondent</w:t>
            </w:r>
            <w:r>
              <w:rPr>
                <w:sz w:val="20"/>
                <w:szCs w:val="20"/>
              </w:rPr>
              <w:t>.</w:t>
            </w:r>
          </w:p>
        </w:tc>
      </w:tr>
    </w:tbl>
    <w:p w:rsidR="007140C8" w:rsidRPr="00C11D06" w:rsidRDefault="007140C8" w:rsidP="007140C8">
      <w:pPr>
        <w:rPr>
          <w:sz w:val="20"/>
          <w:szCs w:val="20"/>
        </w:rPr>
      </w:pPr>
    </w:p>
    <w:p w:rsidR="0088239E" w:rsidRDefault="00C90BA9" w:rsidP="007140C8">
      <w:pPr>
        <w:widowControl w:val="0"/>
        <w:rPr>
          <w:b/>
          <w:bCs/>
          <w:sz w:val="20"/>
          <w:szCs w:val="20"/>
          <w:lang w:val="fr-CA"/>
        </w:rPr>
      </w:pPr>
      <w:r w:rsidRPr="00F44C9F">
        <w:rPr>
          <w:sz w:val="20"/>
          <w:szCs w:val="20"/>
        </w:rPr>
        <w:fldChar w:fldCharType="begin"/>
      </w:r>
      <w:r w:rsidR="007140C8" w:rsidRPr="00F44C9F">
        <w:rPr>
          <w:sz w:val="20"/>
          <w:szCs w:val="20"/>
          <w:lang w:val="fr-CA"/>
        </w:rPr>
        <w:instrText xml:space="preserve"> SEQ CHAPTER \h \r 1</w:instrText>
      </w:r>
      <w:r w:rsidRPr="00F44C9F">
        <w:rPr>
          <w:sz w:val="20"/>
          <w:szCs w:val="20"/>
        </w:rPr>
        <w:fldChar w:fldCharType="end"/>
      </w:r>
      <w:r w:rsidR="007140C8" w:rsidRPr="00F44C9F">
        <w:rPr>
          <w:b/>
          <w:bCs/>
          <w:sz w:val="20"/>
          <w:szCs w:val="20"/>
          <w:lang w:val="fr-CA"/>
        </w:rPr>
        <w:t>GRANTED ON TWO SPECIFIED ISSUES / ACCORDÉE À L’ÉGARD DE DEUX QUESTIONS PRÉCISES</w:t>
      </w:r>
    </w:p>
    <w:p w:rsidR="00386D20" w:rsidRPr="0088239E" w:rsidRDefault="00386D20" w:rsidP="007140C8">
      <w:pPr>
        <w:widowControl w:val="0"/>
        <w:rPr>
          <w:b/>
          <w:bCs/>
          <w:sz w:val="20"/>
          <w:szCs w:val="20"/>
          <w:lang w:val="fr-CA"/>
        </w:rPr>
      </w:pPr>
    </w:p>
    <w:tbl>
      <w:tblPr>
        <w:tblW w:w="0" w:type="auto"/>
        <w:tblLayout w:type="fixed"/>
        <w:tblCellMar>
          <w:left w:w="0" w:type="dxa"/>
          <w:right w:w="0" w:type="dxa"/>
        </w:tblCellMar>
        <w:tblLook w:val="0000"/>
      </w:tblPr>
      <w:tblGrid>
        <w:gridCol w:w="4380"/>
        <w:gridCol w:w="720"/>
        <w:gridCol w:w="4380"/>
      </w:tblGrid>
      <w:tr w:rsidR="007140C8" w:rsidRPr="005252ED" w:rsidTr="00002663">
        <w:tc>
          <w:tcPr>
            <w:tcW w:w="4380" w:type="dxa"/>
            <w:tcMar>
              <w:left w:w="0" w:type="dxa"/>
              <w:right w:w="0" w:type="dxa"/>
            </w:tcMar>
          </w:tcPr>
          <w:p w:rsidR="007140C8" w:rsidRDefault="007140C8" w:rsidP="00002663">
            <w:pPr>
              <w:keepNext/>
              <w:keepLines/>
              <w:jc w:val="both"/>
              <w:rPr>
                <w:b/>
                <w:sz w:val="20"/>
                <w:szCs w:val="20"/>
                <w:u w:val="single"/>
              </w:rPr>
            </w:pPr>
            <w:r w:rsidRPr="004C1AAC">
              <w:rPr>
                <w:b/>
                <w:sz w:val="20"/>
                <w:szCs w:val="20"/>
                <w:u w:val="single"/>
              </w:rPr>
              <w:t>JUDGMENT:</w:t>
            </w:r>
          </w:p>
          <w:p w:rsidR="00C520BB" w:rsidRPr="004C1AAC" w:rsidRDefault="00C520BB" w:rsidP="00002663">
            <w:pPr>
              <w:keepNext/>
              <w:keepLines/>
              <w:jc w:val="both"/>
              <w:rPr>
                <w:b/>
                <w:sz w:val="20"/>
                <w:szCs w:val="20"/>
                <w:u w:val="single"/>
              </w:rPr>
            </w:pPr>
          </w:p>
          <w:p w:rsidR="00C520BB" w:rsidRPr="00C520BB" w:rsidRDefault="00C520BB" w:rsidP="00C520BB">
            <w:pPr>
              <w:jc w:val="both"/>
              <w:rPr>
                <w:sz w:val="20"/>
                <w:szCs w:val="20"/>
              </w:rPr>
            </w:pPr>
            <w:r w:rsidRPr="00C520BB">
              <w:rPr>
                <w:sz w:val="20"/>
                <w:szCs w:val="20"/>
              </w:rPr>
              <w:t>After hearing the parties on the leave application on June 4, 2012, the application for leave to appeal from the judgment of the Federal Court of Appeal, Number A-287-10, 2011 FCA 267, dated September 23, 2011, is granted on the following issues only:</w:t>
            </w:r>
          </w:p>
          <w:p w:rsidR="00C520BB" w:rsidRPr="00C520BB" w:rsidRDefault="00C520BB" w:rsidP="00C520BB">
            <w:pPr>
              <w:jc w:val="both"/>
              <w:rPr>
                <w:sz w:val="20"/>
                <w:szCs w:val="20"/>
                <w:highlight w:val="yellow"/>
              </w:rPr>
            </w:pPr>
          </w:p>
          <w:p w:rsidR="00C520BB" w:rsidRPr="00C520BB" w:rsidRDefault="00C520BB" w:rsidP="00C520BB">
            <w:pPr>
              <w:jc w:val="both"/>
              <w:rPr>
                <w:sz w:val="20"/>
                <w:szCs w:val="20"/>
              </w:rPr>
            </w:pPr>
            <w:r w:rsidRPr="00C520BB">
              <w:rPr>
                <w:sz w:val="20"/>
                <w:szCs w:val="20"/>
              </w:rPr>
              <w:t xml:space="preserve">1) Are the reforestation liabilities to </w:t>
            </w:r>
            <w:r w:rsidRPr="00386D20">
              <w:rPr>
                <w:sz w:val="20"/>
                <w:szCs w:val="20"/>
              </w:rPr>
              <w:t>be i</w:t>
            </w:r>
            <w:r w:rsidRPr="00C520BB">
              <w:rPr>
                <w:sz w:val="20"/>
                <w:szCs w:val="20"/>
              </w:rPr>
              <w:t>ncluded in the proceeds of disposition because the vendor is relieved of a liability or are they integral to and run with the forest tenures?</w:t>
            </w:r>
          </w:p>
          <w:p w:rsidR="00C520BB" w:rsidRPr="00C520BB" w:rsidRDefault="00C520BB" w:rsidP="00C520BB">
            <w:pPr>
              <w:jc w:val="both"/>
              <w:rPr>
                <w:sz w:val="20"/>
                <w:szCs w:val="20"/>
              </w:rPr>
            </w:pPr>
          </w:p>
          <w:p w:rsidR="007140C8" w:rsidRPr="00C520BB" w:rsidRDefault="00C520BB" w:rsidP="00C520BB">
            <w:pPr>
              <w:keepNext/>
              <w:keepLines/>
              <w:jc w:val="both"/>
              <w:rPr>
                <w:sz w:val="20"/>
                <w:szCs w:val="20"/>
              </w:rPr>
            </w:pPr>
            <w:r w:rsidRPr="00C520BB">
              <w:rPr>
                <w:sz w:val="20"/>
                <w:szCs w:val="20"/>
              </w:rPr>
              <w:t>2) Does it make any difference that the parties agreed to a specific amount of the future reforestation liability?</w:t>
            </w:r>
          </w:p>
          <w:p w:rsidR="007140C8" w:rsidRPr="00C50A5C" w:rsidRDefault="007140C8" w:rsidP="00002663">
            <w:pPr>
              <w:keepNext/>
              <w:keepLines/>
              <w:jc w:val="both"/>
              <w:rPr>
                <w:sz w:val="20"/>
                <w:szCs w:val="20"/>
              </w:rPr>
            </w:pPr>
          </w:p>
        </w:tc>
        <w:tc>
          <w:tcPr>
            <w:tcW w:w="720" w:type="dxa"/>
            <w:tcMar>
              <w:left w:w="0" w:type="dxa"/>
              <w:right w:w="0" w:type="dxa"/>
            </w:tcMar>
          </w:tcPr>
          <w:p w:rsidR="007140C8" w:rsidRPr="00C50A5C" w:rsidRDefault="007140C8" w:rsidP="00002663">
            <w:pPr>
              <w:keepNext/>
              <w:keepLines/>
              <w:jc w:val="center"/>
              <w:rPr>
                <w:sz w:val="20"/>
                <w:szCs w:val="20"/>
              </w:rPr>
            </w:pPr>
          </w:p>
        </w:tc>
        <w:tc>
          <w:tcPr>
            <w:tcW w:w="4380" w:type="dxa"/>
            <w:tcMar>
              <w:left w:w="0" w:type="dxa"/>
              <w:right w:w="0" w:type="dxa"/>
            </w:tcMar>
          </w:tcPr>
          <w:p w:rsidR="007140C8" w:rsidRPr="004C1AAC" w:rsidRDefault="007140C8" w:rsidP="00002663">
            <w:pPr>
              <w:keepNext/>
              <w:keepLines/>
              <w:jc w:val="both"/>
              <w:rPr>
                <w:b/>
                <w:sz w:val="20"/>
                <w:szCs w:val="20"/>
                <w:u w:val="single"/>
                <w:lang w:val="fr-CA"/>
              </w:rPr>
            </w:pPr>
            <w:r w:rsidRPr="004C1AAC">
              <w:rPr>
                <w:b/>
                <w:sz w:val="20"/>
                <w:szCs w:val="20"/>
                <w:u w:val="single"/>
                <w:lang w:val="fr-CA"/>
              </w:rPr>
              <w:t>JUGEMENT :</w:t>
            </w:r>
          </w:p>
          <w:p w:rsidR="007140C8" w:rsidRPr="00C50A5C" w:rsidRDefault="007140C8" w:rsidP="00002663">
            <w:pPr>
              <w:keepNext/>
              <w:keepLines/>
              <w:jc w:val="both"/>
              <w:rPr>
                <w:sz w:val="20"/>
                <w:szCs w:val="20"/>
                <w:lang w:val="fr-CA"/>
              </w:rPr>
            </w:pPr>
          </w:p>
          <w:p w:rsidR="00C520BB" w:rsidRPr="00C520BB" w:rsidRDefault="00C520BB" w:rsidP="00C520BB">
            <w:pPr>
              <w:jc w:val="both"/>
              <w:rPr>
                <w:sz w:val="20"/>
                <w:szCs w:val="20"/>
                <w:lang w:val="fr-CA"/>
              </w:rPr>
            </w:pPr>
            <w:r w:rsidRPr="00C520BB">
              <w:rPr>
                <w:sz w:val="20"/>
                <w:szCs w:val="20"/>
                <w:lang w:val="fr-CA"/>
              </w:rPr>
              <w:t xml:space="preserve">Après audition des parties sur la demande d’autorisation d’appel le 4 juin 2012, la demande d’autorisation d’appel de l’arrêt de la </w:t>
            </w:r>
            <w:r w:rsidRPr="00C520BB">
              <w:rPr>
                <w:sz w:val="20"/>
                <w:szCs w:val="20"/>
                <w:lang w:val="fr-FR"/>
              </w:rPr>
              <w:t>Cour d’appel fédérale</w:t>
            </w:r>
            <w:r w:rsidRPr="00C520BB">
              <w:rPr>
                <w:sz w:val="20"/>
                <w:szCs w:val="20"/>
                <w:lang w:val="fr-CA"/>
              </w:rPr>
              <w:t xml:space="preserve">, numéro </w:t>
            </w:r>
            <w:r w:rsidRPr="00C520BB">
              <w:rPr>
                <w:sz w:val="20"/>
                <w:szCs w:val="20"/>
                <w:lang w:val="fr-FR"/>
              </w:rPr>
              <w:t>A-287-10, 2011 CAF 267</w:t>
            </w:r>
            <w:r w:rsidRPr="00C520BB">
              <w:rPr>
                <w:sz w:val="20"/>
                <w:szCs w:val="20"/>
                <w:lang w:val="fr-CA"/>
              </w:rPr>
              <w:t xml:space="preserve">, daté du </w:t>
            </w:r>
            <w:r w:rsidRPr="00C520BB">
              <w:rPr>
                <w:sz w:val="20"/>
                <w:szCs w:val="20"/>
                <w:lang w:val="fr-FR"/>
              </w:rPr>
              <w:t>23 septembre 2011</w:t>
            </w:r>
            <w:r w:rsidRPr="00C520BB">
              <w:rPr>
                <w:sz w:val="20"/>
                <w:szCs w:val="20"/>
                <w:lang w:val="fr-CA"/>
              </w:rPr>
              <w:t>, est accueillie uniquement quant aux questions suivantes :</w:t>
            </w:r>
          </w:p>
          <w:p w:rsidR="00C520BB" w:rsidRPr="00C520BB" w:rsidRDefault="00C520BB" w:rsidP="00C520BB">
            <w:pPr>
              <w:jc w:val="both"/>
              <w:rPr>
                <w:sz w:val="20"/>
                <w:szCs w:val="20"/>
                <w:lang w:val="fr-CA"/>
              </w:rPr>
            </w:pPr>
          </w:p>
          <w:p w:rsidR="00C520BB" w:rsidRPr="00C520BB" w:rsidRDefault="00C520BB" w:rsidP="00C520BB">
            <w:pPr>
              <w:jc w:val="both"/>
              <w:rPr>
                <w:i/>
                <w:sz w:val="20"/>
                <w:szCs w:val="20"/>
                <w:lang w:val="fr-CA"/>
              </w:rPr>
            </w:pPr>
            <w:r w:rsidRPr="00C520BB">
              <w:rPr>
                <w:sz w:val="20"/>
                <w:szCs w:val="20"/>
                <w:lang w:val="fr-CA"/>
              </w:rPr>
              <w:t>1)</w:t>
            </w:r>
            <w:r w:rsidRPr="00C520BB">
              <w:rPr>
                <w:sz w:val="20"/>
                <w:szCs w:val="20"/>
                <w:lang w:val="fr-FR"/>
              </w:rPr>
              <w:t xml:space="preserve"> Les obligations relatives au reboisement doivent-elles être incluses dans le produit de disposition parce que la venderesse est libérée d’une obligation ou est-ce qu’elles font partie intégrante des tenures forestières et y sont rattachées ?</w:t>
            </w:r>
          </w:p>
          <w:p w:rsidR="00C520BB" w:rsidRPr="00C520BB" w:rsidRDefault="00C520BB" w:rsidP="00C520BB">
            <w:pPr>
              <w:jc w:val="both"/>
              <w:rPr>
                <w:sz w:val="20"/>
                <w:szCs w:val="20"/>
                <w:lang w:val="fr-CA"/>
              </w:rPr>
            </w:pPr>
          </w:p>
          <w:p w:rsidR="007140C8" w:rsidRDefault="00C520BB" w:rsidP="00C520BB">
            <w:pPr>
              <w:keepNext/>
              <w:keepLines/>
              <w:jc w:val="both"/>
              <w:rPr>
                <w:sz w:val="20"/>
                <w:szCs w:val="20"/>
                <w:lang w:val="fr-CA"/>
              </w:rPr>
            </w:pPr>
            <w:r w:rsidRPr="00C520BB">
              <w:rPr>
                <w:sz w:val="20"/>
                <w:szCs w:val="20"/>
                <w:lang w:val="fr-CA"/>
              </w:rPr>
              <w:t>2) Le fait que les parties se sont entendues sur une valeur précise attribuée à l’obligation future de reboisement change-t-il quelque chose?</w:t>
            </w:r>
          </w:p>
          <w:p w:rsidR="00C520BB" w:rsidRPr="00C50A5C" w:rsidRDefault="00C520BB" w:rsidP="00C520BB">
            <w:pPr>
              <w:keepNext/>
              <w:keepLines/>
              <w:jc w:val="both"/>
              <w:rPr>
                <w:sz w:val="20"/>
                <w:szCs w:val="20"/>
                <w:lang w:val="fr-CA"/>
              </w:rPr>
            </w:pPr>
          </w:p>
        </w:tc>
      </w:tr>
    </w:tbl>
    <w:p w:rsidR="00F80D6D" w:rsidRPr="00D70C77" w:rsidRDefault="00F80D6D">
      <w:pPr>
        <w:rPr>
          <w:lang w:val="fr-CA"/>
        </w:rPr>
      </w:pPr>
    </w:p>
    <w:p w:rsidR="00F80D6D" w:rsidRPr="00D70C77" w:rsidRDefault="00F80D6D">
      <w:pPr>
        <w:rPr>
          <w:lang w:val="fr-CA"/>
        </w:rPr>
      </w:pPr>
      <w:r w:rsidRPr="00D70C77">
        <w:rPr>
          <w:lang w:val="fr-CA"/>
        </w:rPr>
        <w:br w:type="page"/>
      </w:r>
    </w:p>
    <w:tbl>
      <w:tblPr>
        <w:tblW w:w="0" w:type="auto"/>
        <w:tblLayout w:type="fixed"/>
        <w:tblCellMar>
          <w:left w:w="0" w:type="dxa"/>
          <w:right w:w="0" w:type="dxa"/>
        </w:tblCellMar>
        <w:tblLook w:val="0000"/>
      </w:tblPr>
      <w:tblGrid>
        <w:gridCol w:w="4380"/>
        <w:gridCol w:w="720"/>
        <w:gridCol w:w="4380"/>
      </w:tblGrid>
      <w:tr w:rsidR="00F80D6D" w:rsidRPr="005252ED" w:rsidTr="00F80D6D">
        <w:trPr>
          <w:trHeight w:val="4600"/>
        </w:trPr>
        <w:tc>
          <w:tcPr>
            <w:tcW w:w="4380" w:type="dxa"/>
            <w:tcMar>
              <w:left w:w="0" w:type="dxa"/>
              <w:right w:w="0" w:type="dxa"/>
            </w:tcMar>
          </w:tcPr>
          <w:p w:rsidR="00F80D6D" w:rsidRPr="00C50A5C" w:rsidRDefault="00F80D6D" w:rsidP="00002663">
            <w:pPr>
              <w:keepNext/>
              <w:keepLines/>
              <w:jc w:val="both"/>
              <w:rPr>
                <w:sz w:val="20"/>
                <w:szCs w:val="20"/>
              </w:rPr>
            </w:pPr>
            <w:r w:rsidRPr="00C50A5C">
              <w:rPr>
                <w:b/>
                <w:sz w:val="20"/>
                <w:szCs w:val="20"/>
                <w:u w:val="single"/>
              </w:rPr>
              <w:t>Nature of the case:</w:t>
            </w:r>
          </w:p>
          <w:p w:rsidR="00F80D6D" w:rsidRPr="00C50A5C" w:rsidRDefault="00F80D6D" w:rsidP="00002663">
            <w:pPr>
              <w:keepNext/>
              <w:keepLines/>
              <w:jc w:val="both"/>
              <w:rPr>
                <w:sz w:val="20"/>
                <w:szCs w:val="20"/>
              </w:rPr>
            </w:pPr>
          </w:p>
          <w:p w:rsidR="00F80D6D" w:rsidRPr="00C50A5C" w:rsidRDefault="00F80D6D" w:rsidP="00386D20">
            <w:pPr>
              <w:keepNext/>
              <w:keepLines/>
              <w:jc w:val="both"/>
              <w:rPr>
                <w:sz w:val="20"/>
                <w:szCs w:val="20"/>
              </w:rPr>
            </w:pPr>
            <w:r w:rsidRPr="0023738B">
              <w:rPr>
                <w:sz w:val="20"/>
                <w:szCs w:val="20"/>
              </w:rPr>
              <w:t xml:space="preserve">Taxation – Income Tax – Assessment – Tax treatment of assumed contingent liabilities – Amount if any to be included in proceeds of disposition in respect of reforestation obligations assumed by  purchasers of sawmill operations – If any amount must be included in proceeds, whether or not to allow an equivalent offsetting deduction or reduction in proceeds for </w:t>
            </w:r>
          </w:p>
          <w:p w:rsidR="00F80D6D" w:rsidRPr="00C50A5C" w:rsidRDefault="00F80D6D" w:rsidP="009971F7">
            <w:pPr>
              <w:keepNext/>
              <w:keepLines/>
              <w:jc w:val="both"/>
              <w:rPr>
                <w:sz w:val="20"/>
                <w:szCs w:val="20"/>
              </w:rPr>
            </w:pPr>
            <w:r w:rsidRPr="0023738B">
              <w:rPr>
                <w:sz w:val="20"/>
                <w:szCs w:val="20"/>
              </w:rPr>
              <w:t xml:space="preserve">having paid the purchasers to assume the obligations – Standard of appellate review for contractual interpretation issues – Fundamental principles regarding deductibility of taxpayer expenses and when </w:t>
            </w:r>
          </w:p>
          <w:p w:rsidR="00F80D6D" w:rsidRPr="00C50A5C" w:rsidRDefault="00F80D6D" w:rsidP="009971F7">
            <w:pPr>
              <w:keepNext/>
              <w:keepLines/>
              <w:jc w:val="both"/>
              <w:rPr>
                <w:sz w:val="20"/>
                <w:szCs w:val="20"/>
              </w:rPr>
            </w:pPr>
            <w:r w:rsidRPr="0023738B">
              <w:rPr>
                <w:sz w:val="20"/>
                <w:szCs w:val="20"/>
              </w:rPr>
              <w:t xml:space="preserve">an assumed liability results in an addition to vendor proceeds as opposed to a reduction in the purchase </w:t>
            </w:r>
          </w:p>
          <w:p w:rsidR="00F80D6D" w:rsidRPr="00C50A5C" w:rsidRDefault="00F80D6D" w:rsidP="00002663">
            <w:pPr>
              <w:keepNext/>
              <w:keepLines/>
              <w:jc w:val="both"/>
              <w:rPr>
                <w:sz w:val="20"/>
                <w:szCs w:val="20"/>
              </w:rPr>
            </w:pPr>
            <w:proofErr w:type="gramStart"/>
            <w:r w:rsidRPr="0023738B">
              <w:rPr>
                <w:sz w:val="20"/>
                <w:szCs w:val="20"/>
              </w:rPr>
              <w:t>price</w:t>
            </w:r>
            <w:proofErr w:type="gramEnd"/>
            <w:r w:rsidRPr="0023738B">
              <w:rPr>
                <w:sz w:val="20"/>
                <w:szCs w:val="20"/>
              </w:rPr>
              <w:t xml:space="preserve"> paid – Whether a liability whose amount is uncertain at the outset is a contingent liability.</w:t>
            </w:r>
          </w:p>
        </w:tc>
        <w:tc>
          <w:tcPr>
            <w:tcW w:w="720" w:type="dxa"/>
            <w:tcMar>
              <w:left w:w="0" w:type="dxa"/>
              <w:right w:w="0" w:type="dxa"/>
            </w:tcMar>
          </w:tcPr>
          <w:p w:rsidR="00F80D6D" w:rsidRPr="00C50A5C" w:rsidRDefault="00F80D6D" w:rsidP="00002663">
            <w:pPr>
              <w:keepNext/>
              <w:keepLines/>
              <w:jc w:val="center"/>
              <w:rPr>
                <w:sz w:val="20"/>
                <w:szCs w:val="20"/>
              </w:rPr>
            </w:pPr>
          </w:p>
        </w:tc>
        <w:tc>
          <w:tcPr>
            <w:tcW w:w="4380" w:type="dxa"/>
            <w:tcMar>
              <w:left w:w="0" w:type="dxa"/>
              <w:right w:w="0" w:type="dxa"/>
            </w:tcMar>
          </w:tcPr>
          <w:p w:rsidR="00F80D6D" w:rsidRPr="00C50A5C" w:rsidRDefault="00F80D6D" w:rsidP="00002663">
            <w:pPr>
              <w:keepNext/>
              <w:keepLines/>
              <w:jc w:val="both"/>
              <w:rPr>
                <w:sz w:val="20"/>
                <w:szCs w:val="20"/>
                <w:lang w:val="fr-CA"/>
              </w:rPr>
            </w:pPr>
            <w:r w:rsidRPr="00C50A5C">
              <w:rPr>
                <w:b/>
                <w:sz w:val="20"/>
                <w:szCs w:val="20"/>
                <w:u w:val="single"/>
                <w:lang w:val="fr-CA"/>
              </w:rPr>
              <w:t>Nature de la cause :</w:t>
            </w:r>
          </w:p>
          <w:p w:rsidR="00F80D6D" w:rsidRPr="00C50A5C" w:rsidRDefault="00F80D6D" w:rsidP="00002663">
            <w:pPr>
              <w:keepNext/>
              <w:keepLines/>
              <w:jc w:val="both"/>
              <w:rPr>
                <w:sz w:val="20"/>
                <w:szCs w:val="20"/>
                <w:lang w:val="fr-CA"/>
              </w:rPr>
            </w:pPr>
          </w:p>
          <w:p w:rsidR="00F80D6D" w:rsidRPr="00C50A5C" w:rsidRDefault="00F80D6D" w:rsidP="00FA5AA2">
            <w:pPr>
              <w:keepNext/>
              <w:keepLines/>
              <w:jc w:val="both"/>
              <w:rPr>
                <w:sz w:val="20"/>
                <w:szCs w:val="20"/>
                <w:lang w:val="fr-CA"/>
              </w:rPr>
            </w:pPr>
            <w:r w:rsidRPr="00BD4034">
              <w:rPr>
                <w:sz w:val="20"/>
                <w:szCs w:val="20"/>
                <w:lang w:val="fr-CA"/>
              </w:rPr>
              <w:t xml:space="preserve">Droit fiscal – Impôt sur le revenu – Cotisations – Traitement fiscal d'obligations éventuelles prises en charge – Montant à inclure s’il en est dans le produit de disposition à l'égard des obligations relatives au reboisement prises en charge par les acheteurs d'une scierie – Si un montant doit être inclus dans le produit, y a-t-il lieu ou non de permettre une déduction </w:t>
            </w:r>
          </w:p>
          <w:p w:rsidR="00F80D6D" w:rsidRPr="00C50A5C" w:rsidRDefault="00F80D6D" w:rsidP="00FA5AA2">
            <w:pPr>
              <w:keepNext/>
              <w:keepLines/>
              <w:jc w:val="both"/>
              <w:rPr>
                <w:sz w:val="20"/>
                <w:szCs w:val="20"/>
                <w:lang w:val="fr-CA"/>
              </w:rPr>
            </w:pPr>
            <w:r w:rsidRPr="00BD4034">
              <w:rPr>
                <w:sz w:val="20"/>
                <w:szCs w:val="20"/>
                <w:lang w:val="fr-CA"/>
              </w:rPr>
              <w:t>compensatoire ou une réduction du produit pour avoir payé les acheteurs afin qu'ils prennent en charge les obligations? – Norme de révision en appel de questions d'interprétation contractuelle – Principes?</w:t>
            </w:r>
          </w:p>
          <w:p w:rsidR="00F80D6D" w:rsidRPr="00C50A5C" w:rsidRDefault="00F80D6D" w:rsidP="00FA5AA2">
            <w:pPr>
              <w:keepNext/>
              <w:keepLines/>
              <w:jc w:val="both"/>
              <w:rPr>
                <w:sz w:val="20"/>
                <w:szCs w:val="20"/>
                <w:lang w:val="fr-CA"/>
              </w:rPr>
            </w:pPr>
            <w:r w:rsidRPr="00BD4034">
              <w:rPr>
                <w:sz w:val="20"/>
                <w:szCs w:val="20"/>
                <w:lang w:val="fr-CA"/>
              </w:rPr>
              <w:t xml:space="preserve">fondamentaux relatifs à la déductibilité des frais du contribuable et aux situations où une responsabilité </w:t>
            </w:r>
          </w:p>
          <w:p w:rsidR="00F80D6D" w:rsidRPr="00C50A5C" w:rsidRDefault="00F80D6D" w:rsidP="00FA5AA2">
            <w:pPr>
              <w:keepNext/>
              <w:keepLines/>
              <w:jc w:val="both"/>
              <w:rPr>
                <w:sz w:val="20"/>
                <w:szCs w:val="20"/>
                <w:lang w:val="fr-CA"/>
              </w:rPr>
            </w:pPr>
            <w:r w:rsidRPr="00BD4034">
              <w:rPr>
                <w:sz w:val="20"/>
                <w:szCs w:val="20"/>
                <w:lang w:val="fr-CA"/>
              </w:rPr>
              <w:t xml:space="preserve">prise en charge donne lieu à </w:t>
            </w:r>
            <w:proofErr w:type="gramStart"/>
            <w:r w:rsidRPr="00BD4034">
              <w:rPr>
                <w:sz w:val="20"/>
                <w:szCs w:val="20"/>
                <w:lang w:val="fr-CA"/>
              </w:rPr>
              <w:t>un</w:t>
            </w:r>
            <w:proofErr w:type="gramEnd"/>
            <w:r w:rsidRPr="00BD4034">
              <w:rPr>
                <w:sz w:val="20"/>
                <w:szCs w:val="20"/>
                <w:lang w:val="fr-CA"/>
              </w:rPr>
              <w:t xml:space="preserve"> majoration du produit de disposition du vendeur par opposition à une </w:t>
            </w:r>
          </w:p>
          <w:p w:rsidR="00F80D6D" w:rsidRPr="00C50A5C" w:rsidRDefault="00F80D6D" w:rsidP="00FA5AA2">
            <w:pPr>
              <w:keepNext/>
              <w:keepLines/>
              <w:jc w:val="both"/>
              <w:rPr>
                <w:sz w:val="20"/>
                <w:szCs w:val="20"/>
                <w:lang w:val="fr-CA"/>
              </w:rPr>
            </w:pPr>
            <w:r w:rsidRPr="00BD4034">
              <w:rPr>
                <w:sz w:val="20"/>
                <w:szCs w:val="20"/>
                <w:lang w:val="fr-CA"/>
              </w:rPr>
              <w:t>réduction du prix d'achat payé – L’obligation dont le montant est incertain au départ est-elle une obligation éventuelle</w:t>
            </w:r>
          </w:p>
        </w:tc>
      </w:tr>
    </w:tbl>
    <w:p w:rsidR="009971F7" w:rsidRPr="009971F7" w:rsidRDefault="009971F7" w:rsidP="007140C8">
      <w:pPr>
        <w:spacing w:line="0" w:lineRule="atLeast"/>
        <w:rPr>
          <w:sz w:val="20"/>
          <w:szCs w:val="20"/>
          <w:lang w:val="fr-CA"/>
        </w:rPr>
      </w:pPr>
    </w:p>
    <w:p w:rsidR="007140C8" w:rsidRDefault="00C90BA9" w:rsidP="007140C8">
      <w:pPr>
        <w:spacing w:line="0" w:lineRule="atLeast"/>
        <w:rPr>
          <w:sz w:val="20"/>
          <w:szCs w:val="20"/>
          <w:lang w:val="fr-CA"/>
        </w:rPr>
      </w:pPr>
      <w:r w:rsidRPr="00C90BA9">
        <w:rPr>
          <w:sz w:val="20"/>
          <w:szCs w:val="20"/>
          <w:lang w:val="fr-CA"/>
        </w:rPr>
        <w:pict>
          <v:rect id="_x0000_i1036" style="width:2in;height:1pt" o:hrpct="0" o:hralign="center" o:hrstd="t" o:hrnoshade="t" o:hr="t" fillcolor="black [3213]" stroked="f"/>
        </w:pict>
      </w:r>
    </w:p>
    <w:p w:rsidR="00432989" w:rsidRPr="00C50A5C" w:rsidRDefault="00432989">
      <w:pPr>
        <w:rPr>
          <w:sz w:val="20"/>
          <w:szCs w:val="20"/>
          <w:lang w:val="fr-CA"/>
        </w:rPr>
      </w:pPr>
    </w:p>
    <w:p w:rsidR="008D292F" w:rsidRPr="00C50A5C" w:rsidRDefault="008D292F" w:rsidP="002E2327">
      <w:pPr>
        <w:widowControl w:val="0"/>
        <w:spacing w:line="0" w:lineRule="atLeast"/>
        <w:rPr>
          <w:sz w:val="20"/>
          <w:szCs w:val="20"/>
          <w:lang w:val="fr-CA"/>
        </w:rPr>
        <w:sectPr w:rsidR="008D292F" w:rsidRPr="00C50A5C" w:rsidSect="0088239E">
          <w:headerReference w:type="even" r:id="rId24"/>
          <w:headerReference w:type="default" r:id="rId25"/>
          <w:footerReference w:type="even" r:id="rId26"/>
          <w:footerReference w:type="default" r:id="rId27"/>
          <w:headerReference w:type="first" r:id="rId28"/>
          <w:footerReference w:type="first" r:id="rId29"/>
          <w:pgSz w:w="12240" w:h="15840"/>
          <w:pgMar w:top="720" w:right="965" w:bottom="990" w:left="1656" w:header="720" w:footer="965" w:gutter="0"/>
          <w:cols w:space="720"/>
          <w:titlePg/>
          <w:docGrid w:linePitch="326"/>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5252ED" w:rsidTr="00ED7E83">
        <w:tc>
          <w:tcPr>
            <w:tcW w:w="4200" w:type="dxa"/>
            <w:tcMar>
              <w:left w:w="0" w:type="dxa"/>
              <w:right w:w="0" w:type="dxa"/>
            </w:tcMar>
          </w:tcPr>
          <w:p w:rsidR="008D292F" w:rsidRPr="001D0D5F" w:rsidRDefault="008D292F" w:rsidP="00ED7E83">
            <w:pPr>
              <w:keepNext/>
              <w:keepLines/>
              <w:jc w:val="both"/>
              <w:rPr>
                <w:b/>
                <w:szCs w:val="24"/>
              </w:rPr>
            </w:pPr>
            <w:r w:rsidRPr="001D0D5F">
              <w:rPr>
                <w:b/>
                <w:szCs w:val="24"/>
              </w:rPr>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FA5AA2" w:rsidP="008D292F">
      <w:pPr>
        <w:rPr>
          <w:b/>
          <w:sz w:val="20"/>
          <w:szCs w:val="20"/>
        </w:rPr>
      </w:pPr>
      <w:r>
        <w:rPr>
          <w:b/>
          <w:sz w:val="20"/>
          <w:szCs w:val="20"/>
        </w:rPr>
        <w:t>J</w:t>
      </w:r>
      <w:r w:rsidR="00287C50">
        <w:rPr>
          <w:b/>
          <w:sz w:val="20"/>
          <w:szCs w:val="20"/>
        </w:rPr>
        <w:t>UNE</w:t>
      </w:r>
      <w:r>
        <w:rPr>
          <w:b/>
          <w:sz w:val="20"/>
          <w:szCs w:val="20"/>
        </w:rPr>
        <w:t xml:space="preserve"> 21</w:t>
      </w:r>
      <w:r w:rsidR="008D292F" w:rsidRPr="00C50A5C">
        <w:rPr>
          <w:b/>
          <w:sz w:val="20"/>
          <w:szCs w:val="20"/>
        </w:rPr>
        <w:t>, 201</w:t>
      </w:r>
      <w:r>
        <w:rPr>
          <w:b/>
          <w:sz w:val="20"/>
          <w:szCs w:val="20"/>
        </w:rPr>
        <w:t>2</w:t>
      </w:r>
      <w:r w:rsidR="008D292F" w:rsidRPr="00C50A5C">
        <w:rPr>
          <w:b/>
          <w:sz w:val="20"/>
          <w:szCs w:val="20"/>
        </w:rPr>
        <w:t xml:space="preserve"> / LE 2</w:t>
      </w:r>
      <w:r w:rsidR="00287C50">
        <w:rPr>
          <w:b/>
          <w:sz w:val="20"/>
          <w:szCs w:val="20"/>
        </w:rPr>
        <w:t>1</w:t>
      </w:r>
      <w:r w:rsidR="008D292F" w:rsidRPr="00C50A5C">
        <w:rPr>
          <w:b/>
          <w:sz w:val="20"/>
          <w:szCs w:val="20"/>
        </w:rPr>
        <w:t xml:space="preserve"> </w:t>
      </w:r>
      <w:r w:rsidR="00287C50">
        <w:rPr>
          <w:b/>
          <w:sz w:val="20"/>
          <w:szCs w:val="20"/>
        </w:rPr>
        <w:t>JUIN</w:t>
      </w:r>
      <w:r w:rsidR="008D292F" w:rsidRPr="00C50A5C">
        <w:rPr>
          <w:b/>
          <w:sz w:val="20"/>
          <w:szCs w:val="20"/>
        </w:rPr>
        <w:t xml:space="preserve"> 201</w:t>
      </w:r>
      <w:r w:rsidR="00287C50">
        <w:rPr>
          <w:b/>
          <w:sz w:val="20"/>
          <w:szCs w:val="20"/>
        </w:rPr>
        <w:t>2</w:t>
      </w:r>
    </w:p>
    <w:p w:rsidR="008D292F" w:rsidRPr="00C50A5C" w:rsidRDefault="008D292F" w:rsidP="008D292F">
      <w:pPr>
        <w:rPr>
          <w:b/>
          <w:sz w:val="20"/>
          <w:szCs w:val="20"/>
        </w:rPr>
      </w:pPr>
    </w:p>
    <w:p w:rsidR="00DF7E92" w:rsidRPr="00DF7E92" w:rsidRDefault="00DF7E92" w:rsidP="00DF7E92">
      <w:pPr>
        <w:rPr>
          <w:sz w:val="20"/>
          <w:szCs w:val="20"/>
        </w:rPr>
      </w:pPr>
      <w:r w:rsidRPr="00042EA6">
        <w:rPr>
          <w:b/>
          <w:sz w:val="20"/>
          <w:szCs w:val="20"/>
          <w:lang w:val="en-US"/>
        </w:rPr>
        <w:t>34619</w:t>
      </w:r>
      <w:r w:rsidRPr="00042EA6">
        <w:rPr>
          <w:b/>
          <w:sz w:val="20"/>
          <w:szCs w:val="20"/>
          <w:lang w:val="en-US"/>
        </w:rPr>
        <w:tab/>
      </w:r>
      <w:r w:rsidRPr="00DF7E92">
        <w:rPr>
          <w:b/>
          <w:sz w:val="20"/>
          <w:szCs w:val="20"/>
          <w:u w:val="single"/>
          <w:lang w:val="en-US"/>
        </w:rPr>
        <w:t>Envision Credit Union v. Her Majesty the Queen</w:t>
      </w:r>
      <w:r w:rsidRPr="00DF7E92">
        <w:rPr>
          <w:sz w:val="20"/>
          <w:szCs w:val="20"/>
        </w:rPr>
        <w:t xml:space="preserve"> (FC) (Civil) (By Leave)</w:t>
      </w:r>
    </w:p>
    <w:p w:rsidR="00DF7E92" w:rsidRPr="00DF7E92" w:rsidRDefault="00DF7E92" w:rsidP="00DF7E92">
      <w:pPr>
        <w:tabs>
          <w:tab w:val="left" w:pos="1458"/>
        </w:tabs>
        <w:rPr>
          <w:sz w:val="20"/>
          <w:szCs w:val="20"/>
        </w:rPr>
      </w:pPr>
    </w:p>
    <w:p w:rsidR="00DF7E92" w:rsidRPr="00DF7E92" w:rsidRDefault="00DF7E92" w:rsidP="00DF7E92">
      <w:pPr>
        <w:rPr>
          <w:sz w:val="20"/>
          <w:szCs w:val="20"/>
        </w:rPr>
      </w:pPr>
      <w:proofErr w:type="gramStart"/>
      <w:r w:rsidRPr="00DF7E92">
        <w:rPr>
          <w:sz w:val="20"/>
          <w:szCs w:val="20"/>
        </w:rPr>
        <w:t>Coram :</w:t>
      </w:r>
      <w:proofErr w:type="gramEnd"/>
      <w:r w:rsidRPr="00DF7E92">
        <w:rPr>
          <w:sz w:val="20"/>
          <w:szCs w:val="20"/>
        </w:rPr>
        <w:tab/>
      </w:r>
      <w:proofErr w:type="spellStart"/>
      <w:r w:rsidRPr="00DF7E92">
        <w:rPr>
          <w:sz w:val="20"/>
          <w:szCs w:val="20"/>
          <w:u w:val="single"/>
          <w:lang w:val="en-US"/>
        </w:rPr>
        <w:t>LeBel</w:t>
      </w:r>
      <w:proofErr w:type="spellEnd"/>
      <w:r w:rsidRPr="00DF7E92">
        <w:rPr>
          <w:sz w:val="20"/>
          <w:szCs w:val="20"/>
          <w:u w:val="single"/>
          <w:lang w:val="en-US"/>
        </w:rPr>
        <w:t xml:space="preserve">, </w:t>
      </w:r>
      <w:proofErr w:type="spellStart"/>
      <w:r w:rsidRPr="00DF7E92">
        <w:rPr>
          <w:sz w:val="20"/>
          <w:szCs w:val="20"/>
          <w:u w:val="single"/>
          <w:lang w:val="en-US"/>
        </w:rPr>
        <w:t>Abella</w:t>
      </w:r>
      <w:proofErr w:type="spellEnd"/>
      <w:r w:rsidRPr="00DF7E92">
        <w:rPr>
          <w:sz w:val="20"/>
          <w:szCs w:val="20"/>
          <w:u w:val="single"/>
          <w:lang w:val="en-US"/>
        </w:rPr>
        <w:t xml:space="preserve"> and Cromwell JJ.</w:t>
      </w:r>
    </w:p>
    <w:p w:rsidR="00DF7E92" w:rsidRDefault="00DF7E92" w:rsidP="00DF7E92">
      <w:pPr>
        <w:ind w:firstLine="720"/>
        <w:jc w:val="both"/>
        <w:rPr>
          <w:sz w:val="20"/>
          <w:szCs w:val="20"/>
          <w:u w:val="single"/>
        </w:rPr>
      </w:pPr>
    </w:p>
    <w:p w:rsidR="00DF7E92" w:rsidRPr="00DF7E92" w:rsidRDefault="00DF7E92" w:rsidP="00DF7E92">
      <w:pPr>
        <w:ind w:firstLine="720"/>
        <w:jc w:val="both"/>
        <w:rPr>
          <w:sz w:val="20"/>
          <w:szCs w:val="20"/>
        </w:rPr>
      </w:pPr>
      <w:r w:rsidRPr="00DF7E92">
        <w:rPr>
          <w:sz w:val="20"/>
          <w:szCs w:val="20"/>
        </w:rPr>
        <w:t>The application for leave to appeal from the judgment of the Federal Court of Appeal, Number A-479-10, 2011 FCA 321, dated November 21, 2011, is granted with costs in the cause.</w:t>
      </w:r>
    </w:p>
    <w:p w:rsidR="00DF7E92" w:rsidRPr="00DF7E92" w:rsidRDefault="00DF7E92" w:rsidP="00DF7E92">
      <w:pPr>
        <w:jc w:val="both"/>
        <w:rPr>
          <w:sz w:val="20"/>
          <w:szCs w:val="20"/>
        </w:rPr>
      </w:pPr>
    </w:p>
    <w:p w:rsidR="00DF7E92" w:rsidRPr="00DF7E92" w:rsidRDefault="00DF7E92" w:rsidP="00DF7E92">
      <w:pPr>
        <w:ind w:firstLine="720"/>
        <w:jc w:val="both"/>
        <w:rPr>
          <w:sz w:val="20"/>
          <w:szCs w:val="20"/>
          <w:lang w:val="fr-CA"/>
        </w:rPr>
      </w:pPr>
      <w:r w:rsidRPr="00DF7E92">
        <w:rPr>
          <w:sz w:val="20"/>
          <w:szCs w:val="20"/>
          <w:lang w:val="fr-CA"/>
        </w:rPr>
        <w:t>La demande d’autorisation d’appel de l’arrêt de la Cour d’appel fédérale, numéro A-479-10, 2011 CAF 321, daté du 21 novembre 2011, est accueillie avec dépens suivant l’issue de la cause.</w:t>
      </w:r>
    </w:p>
    <w:p w:rsidR="000F28D1" w:rsidRPr="00DF7E92" w:rsidRDefault="000F28D1" w:rsidP="000F28D1">
      <w:pPr>
        <w:rPr>
          <w:sz w:val="20"/>
          <w:szCs w:val="20"/>
          <w:u w:val="single"/>
          <w:lang w:val="fr-CA"/>
        </w:rPr>
      </w:pPr>
    </w:p>
    <w:p w:rsidR="000F28D1" w:rsidRPr="001B157C" w:rsidRDefault="000F28D1" w:rsidP="000F28D1">
      <w:pPr>
        <w:rPr>
          <w:sz w:val="20"/>
          <w:szCs w:val="20"/>
          <w:u w:val="single"/>
        </w:rPr>
      </w:pPr>
      <w:r w:rsidRPr="001B157C">
        <w:rPr>
          <w:sz w:val="20"/>
          <w:szCs w:val="20"/>
          <w:u w:val="single"/>
        </w:rPr>
        <w:t>CASE SUMMARY</w:t>
      </w:r>
    </w:p>
    <w:p w:rsidR="000F28D1" w:rsidRPr="0072677B" w:rsidRDefault="000F28D1">
      <w:pPr>
        <w:rPr>
          <w:sz w:val="20"/>
        </w:rPr>
      </w:pPr>
    </w:p>
    <w:tbl>
      <w:tblPr>
        <w:tblW w:w="4952" w:type="pct"/>
        <w:tblLayout w:type="fixed"/>
        <w:tblCellMar>
          <w:left w:w="0" w:type="dxa"/>
          <w:bottom w:w="99" w:type="dxa"/>
          <w:right w:w="0" w:type="dxa"/>
        </w:tblCellMar>
        <w:tblLook w:val="04A0"/>
      </w:tblPr>
      <w:tblGrid>
        <w:gridCol w:w="4624"/>
        <w:gridCol w:w="463"/>
        <w:gridCol w:w="4440"/>
      </w:tblGrid>
      <w:tr w:rsidR="00982DC9" w:rsidRPr="005635DC" w:rsidTr="00982DC9">
        <w:tc>
          <w:tcPr>
            <w:tcW w:w="5000" w:type="pct"/>
            <w:gridSpan w:val="3"/>
          </w:tcPr>
          <w:p w:rsidR="00982DC9" w:rsidRPr="005635DC" w:rsidRDefault="00982DC9" w:rsidP="00982DC9">
            <w:pPr>
              <w:jc w:val="both"/>
              <w:rPr>
                <w:rFonts w:eastAsia="Calibri"/>
                <w:sz w:val="20"/>
              </w:rPr>
            </w:pPr>
            <w:r w:rsidRPr="005635DC">
              <w:rPr>
                <w:rFonts w:eastAsia="Calibri"/>
                <w:sz w:val="20"/>
              </w:rPr>
              <w:t xml:space="preserve">Taxation – Income tax – Corporations – Amalgamations – </w:t>
            </w:r>
            <w:proofErr w:type="spellStart"/>
            <w:r w:rsidRPr="005635DC">
              <w:rPr>
                <w:rFonts w:eastAsia="Calibri"/>
                <w:sz w:val="20"/>
              </w:rPr>
              <w:t>Undepreciated</w:t>
            </w:r>
            <w:proofErr w:type="spellEnd"/>
            <w:r w:rsidRPr="005635DC">
              <w:rPr>
                <w:rFonts w:eastAsia="Calibri"/>
                <w:sz w:val="20"/>
              </w:rPr>
              <w:t xml:space="preserve"> capital cost of depreciable assets owned by applicant by virtue of amalgamation – Whether </w:t>
            </w:r>
            <w:proofErr w:type="spellStart"/>
            <w:r w:rsidRPr="005635DC">
              <w:rPr>
                <w:rFonts w:eastAsia="Calibri"/>
                <w:sz w:val="20"/>
              </w:rPr>
              <w:t>undepreciated</w:t>
            </w:r>
            <w:proofErr w:type="spellEnd"/>
            <w:r w:rsidRPr="005635DC">
              <w:rPr>
                <w:rFonts w:eastAsia="Calibri"/>
                <w:sz w:val="20"/>
              </w:rPr>
              <w:t xml:space="preserve"> capital cost flows through from predecessor credit unions to applicant – Whether Federal Court of Appeal was correct in applying a tracing principle to the word “property” in s. 87(1)(</w:t>
            </w:r>
            <w:r w:rsidRPr="005635DC">
              <w:rPr>
                <w:rFonts w:eastAsia="Calibri"/>
                <w:i/>
                <w:sz w:val="20"/>
              </w:rPr>
              <w:t>a</w:t>
            </w:r>
            <w:r w:rsidRPr="005635DC">
              <w:rPr>
                <w:rFonts w:eastAsia="Calibri"/>
                <w:sz w:val="20"/>
              </w:rPr>
              <w:t xml:space="preserve">) of the </w:t>
            </w:r>
            <w:r w:rsidRPr="005635DC">
              <w:rPr>
                <w:rFonts w:eastAsia="Calibri"/>
                <w:i/>
                <w:sz w:val="20"/>
              </w:rPr>
              <w:t>Income Tax Act</w:t>
            </w:r>
            <w:r w:rsidRPr="005635DC">
              <w:rPr>
                <w:rFonts w:eastAsia="Calibri"/>
                <w:sz w:val="20"/>
              </w:rPr>
              <w:t xml:space="preserve"> – Whether Federal Court of Appeal erred in determining that tax accounts flow through on a continuation model amalgamation where the amalgamation is outside the scope of s. 87 – </w:t>
            </w:r>
            <w:r w:rsidRPr="005635DC">
              <w:rPr>
                <w:rFonts w:eastAsia="Calibri"/>
                <w:i/>
                <w:sz w:val="20"/>
              </w:rPr>
              <w:t>Income Tax Act</w:t>
            </w:r>
            <w:r w:rsidRPr="005635DC">
              <w:rPr>
                <w:rFonts w:eastAsia="Calibri"/>
                <w:sz w:val="20"/>
              </w:rPr>
              <w:t>, R.S.C. 1985 (5th Supp.), c. 1, s. 87.</w:t>
            </w:r>
          </w:p>
        </w:tc>
      </w:tr>
      <w:tr w:rsidR="00982DC9" w:rsidRPr="005635DC" w:rsidTr="00982DC9">
        <w:tc>
          <w:tcPr>
            <w:tcW w:w="5000" w:type="pct"/>
            <w:gridSpan w:val="3"/>
          </w:tcPr>
          <w:p w:rsidR="00982DC9" w:rsidRPr="005635DC" w:rsidRDefault="00982DC9" w:rsidP="00982DC9">
            <w:pPr>
              <w:jc w:val="both"/>
              <w:rPr>
                <w:rFonts w:eastAsia="Calibri"/>
                <w:sz w:val="20"/>
              </w:rPr>
            </w:pPr>
          </w:p>
        </w:tc>
      </w:tr>
      <w:tr w:rsidR="00982DC9" w:rsidRPr="005635DC" w:rsidTr="00982DC9">
        <w:tc>
          <w:tcPr>
            <w:tcW w:w="5000" w:type="pct"/>
            <w:gridSpan w:val="3"/>
          </w:tcPr>
          <w:p w:rsidR="00982DC9" w:rsidRPr="005635DC" w:rsidRDefault="00982DC9" w:rsidP="00982DC9">
            <w:pPr>
              <w:jc w:val="both"/>
              <w:rPr>
                <w:rFonts w:eastAsia="Calibri"/>
                <w:sz w:val="20"/>
              </w:rPr>
            </w:pPr>
            <w:r w:rsidRPr="005635DC">
              <w:rPr>
                <w:rFonts w:eastAsia="Calibri"/>
                <w:sz w:val="20"/>
              </w:rPr>
              <w:t xml:space="preserve">Two British Columbia credit unions (collectively the predecessors) amalgamated under the </w:t>
            </w:r>
            <w:r w:rsidRPr="005635DC">
              <w:rPr>
                <w:rFonts w:eastAsia="Calibri"/>
                <w:i/>
                <w:sz w:val="20"/>
              </w:rPr>
              <w:t>Credit Union Incorporation Act</w:t>
            </w:r>
            <w:r w:rsidRPr="005635DC">
              <w:rPr>
                <w:rFonts w:eastAsia="Calibri"/>
                <w:sz w:val="20"/>
              </w:rPr>
              <w:t xml:space="preserve">, R.S.B.C. 1996, </w:t>
            </w:r>
            <w:proofErr w:type="gramStart"/>
            <w:r w:rsidRPr="005635DC">
              <w:rPr>
                <w:rFonts w:eastAsia="Calibri"/>
                <w:sz w:val="20"/>
              </w:rPr>
              <w:t>c</w:t>
            </w:r>
            <w:proofErr w:type="gramEnd"/>
            <w:r w:rsidRPr="005635DC">
              <w:rPr>
                <w:rFonts w:eastAsia="Calibri"/>
                <w:sz w:val="20"/>
              </w:rPr>
              <w:t xml:space="preserve">. 82.  The amalgamation took effect on January 1, 2001.  The amalgamated company is the applicant.  In its returns for the taxation years 2001-2004, the applicant claimed capital cost allowance (CCA) on the depreciable assets it owned by virtue of the amalgamation based on a starting </w:t>
            </w:r>
            <w:proofErr w:type="spellStart"/>
            <w:r w:rsidRPr="005635DC">
              <w:rPr>
                <w:rFonts w:eastAsia="Calibri"/>
                <w:sz w:val="20"/>
              </w:rPr>
              <w:t>undepreciated</w:t>
            </w:r>
            <w:proofErr w:type="spellEnd"/>
            <w:r w:rsidRPr="005635DC">
              <w:rPr>
                <w:rFonts w:eastAsia="Calibri"/>
                <w:sz w:val="20"/>
              </w:rPr>
              <w:t xml:space="preserve"> capital cost (UCC) of the capital cost of the depreciable assets when the predecessors acquired them.  On reassessment, the Minister reduced the CCA to reflect a starting UCC of the amount of the predecessors' UCC balances immediately before the merger.  The Minister reached the UCC figure by taking the original purchase price and subtracting the amount claimed by the predecessors as CCA in the years after they acquired the assets.</w:t>
            </w:r>
          </w:p>
          <w:p w:rsidR="00982DC9" w:rsidRPr="005635DC" w:rsidRDefault="00982DC9" w:rsidP="00982DC9">
            <w:pPr>
              <w:jc w:val="both"/>
              <w:rPr>
                <w:rFonts w:eastAsia="Calibri"/>
                <w:sz w:val="20"/>
              </w:rPr>
            </w:pPr>
          </w:p>
          <w:p w:rsidR="00982DC9" w:rsidRPr="005635DC" w:rsidRDefault="00982DC9" w:rsidP="00982DC9">
            <w:pPr>
              <w:jc w:val="both"/>
              <w:rPr>
                <w:rFonts w:eastAsia="Calibri"/>
                <w:sz w:val="20"/>
              </w:rPr>
            </w:pPr>
            <w:r w:rsidRPr="005635DC">
              <w:rPr>
                <w:rFonts w:eastAsia="Calibri"/>
                <w:sz w:val="20"/>
              </w:rPr>
              <w:t>The applicant appealed the reassessments to the Tax Court of Canada.  The Tax Court judge allowed the appeal in respect of the 2001 taxation year, on the ground that the reassessment was statute-barred.  However, the judge dismissed the appeal of the Minister's reassessments for its 2002, 2003, and 2004 taxation years.  The Federal Court of Appeal dismissed the applicant’s appeal.</w:t>
            </w:r>
          </w:p>
          <w:p w:rsidR="00982DC9" w:rsidRPr="005635DC" w:rsidRDefault="00982DC9" w:rsidP="00982DC9">
            <w:pPr>
              <w:jc w:val="both"/>
              <w:rPr>
                <w:rFonts w:eastAsia="Calibri"/>
                <w:sz w:val="20"/>
              </w:rPr>
            </w:pPr>
          </w:p>
        </w:tc>
      </w:tr>
      <w:tr w:rsidR="00982DC9" w:rsidRPr="005635DC" w:rsidTr="00982DC9">
        <w:tc>
          <w:tcPr>
            <w:tcW w:w="2427" w:type="pct"/>
          </w:tcPr>
          <w:p w:rsidR="00982DC9" w:rsidRPr="005635DC" w:rsidRDefault="00982DC9" w:rsidP="00982DC9">
            <w:pPr>
              <w:jc w:val="both"/>
              <w:rPr>
                <w:rFonts w:eastAsia="Calibri"/>
                <w:sz w:val="20"/>
              </w:rPr>
            </w:pPr>
            <w:r w:rsidRPr="005635DC">
              <w:rPr>
                <w:rFonts w:eastAsia="Calibri"/>
                <w:sz w:val="20"/>
              </w:rPr>
              <w:t>November 17, 2010</w:t>
            </w:r>
          </w:p>
          <w:p w:rsidR="00982DC9" w:rsidRPr="005635DC" w:rsidRDefault="00982DC9" w:rsidP="00982DC9">
            <w:pPr>
              <w:jc w:val="both"/>
              <w:rPr>
                <w:rFonts w:eastAsia="Calibri"/>
                <w:sz w:val="20"/>
              </w:rPr>
            </w:pPr>
            <w:r w:rsidRPr="005635DC">
              <w:rPr>
                <w:rFonts w:eastAsia="Calibri"/>
                <w:sz w:val="20"/>
              </w:rPr>
              <w:t>Tax Court of Canada</w:t>
            </w:r>
          </w:p>
          <w:p w:rsidR="00982DC9" w:rsidRPr="005635DC" w:rsidRDefault="00982DC9" w:rsidP="00982DC9">
            <w:pPr>
              <w:jc w:val="both"/>
              <w:rPr>
                <w:rFonts w:eastAsia="Calibri"/>
                <w:sz w:val="20"/>
              </w:rPr>
            </w:pPr>
            <w:r w:rsidRPr="005635DC">
              <w:rPr>
                <w:rFonts w:eastAsia="Calibri"/>
                <w:sz w:val="20"/>
              </w:rPr>
              <w:t>(Webb T.C.J.)</w:t>
            </w:r>
          </w:p>
          <w:p w:rsidR="00982DC9" w:rsidRPr="005635DC" w:rsidRDefault="00982DC9" w:rsidP="00982DC9">
            <w:pPr>
              <w:jc w:val="both"/>
              <w:rPr>
                <w:rFonts w:eastAsia="Calibri"/>
                <w:sz w:val="20"/>
              </w:rPr>
            </w:pPr>
            <w:r w:rsidRPr="005635DC">
              <w:rPr>
                <w:rFonts w:eastAsia="Calibri"/>
                <w:sz w:val="20"/>
              </w:rPr>
              <w:t>2010 TCC 576</w:t>
            </w:r>
          </w:p>
          <w:p w:rsidR="00982DC9" w:rsidRPr="005635DC" w:rsidRDefault="00982DC9" w:rsidP="00982DC9">
            <w:pPr>
              <w:jc w:val="both"/>
              <w:rPr>
                <w:rFonts w:eastAsia="Calibri"/>
                <w:sz w:val="20"/>
              </w:rPr>
            </w:pPr>
          </w:p>
        </w:tc>
        <w:tc>
          <w:tcPr>
            <w:tcW w:w="243" w:type="pct"/>
          </w:tcPr>
          <w:p w:rsidR="00982DC9" w:rsidRPr="005635DC" w:rsidRDefault="00982DC9" w:rsidP="00982DC9">
            <w:pPr>
              <w:jc w:val="both"/>
              <w:rPr>
                <w:rFonts w:eastAsia="Calibri"/>
                <w:sz w:val="20"/>
              </w:rPr>
            </w:pPr>
          </w:p>
        </w:tc>
        <w:tc>
          <w:tcPr>
            <w:tcW w:w="2330" w:type="pct"/>
          </w:tcPr>
          <w:p w:rsidR="00982DC9" w:rsidRPr="005635DC" w:rsidRDefault="00982DC9" w:rsidP="00982DC9">
            <w:pPr>
              <w:jc w:val="both"/>
              <w:rPr>
                <w:rFonts w:eastAsia="Calibri"/>
                <w:sz w:val="20"/>
              </w:rPr>
            </w:pPr>
            <w:r w:rsidRPr="005635DC">
              <w:rPr>
                <w:rFonts w:eastAsia="Calibri"/>
                <w:sz w:val="20"/>
              </w:rPr>
              <w:t>Appeal from reassessment of 2001 taxation year allowed; appeals from reassessments of 2002, 2003 and 2004 taxation years dismissed</w:t>
            </w:r>
          </w:p>
          <w:p w:rsidR="00982DC9" w:rsidRPr="005635DC" w:rsidRDefault="00982DC9" w:rsidP="00982DC9">
            <w:pPr>
              <w:jc w:val="both"/>
              <w:rPr>
                <w:rFonts w:eastAsia="Calibri"/>
                <w:sz w:val="20"/>
              </w:rPr>
            </w:pPr>
          </w:p>
        </w:tc>
      </w:tr>
      <w:tr w:rsidR="00982DC9" w:rsidRPr="005635DC" w:rsidTr="00982DC9">
        <w:tc>
          <w:tcPr>
            <w:tcW w:w="2427" w:type="pct"/>
          </w:tcPr>
          <w:p w:rsidR="00982DC9" w:rsidRPr="005635DC" w:rsidRDefault="00982DC9" w:rsidP="00982DC9">
            <w:pPr>
              <w:jc w:val="both"/>
              <w:rPr>
                <w:rFonts w:eastAsia="Calibri"/>
                <w:sz w:val="20"/>
              </w:rPr>
            </w:pPr>
            <w:r w:rsidRPr="005635DC">
              <w:rPr>
                <w:rFonts w:eastAsia="Calibri"/>
                <w:sz w:val="20"/>
              </w:rPr>
              <w:t>November 21, 2011</w:t>
            </w:r>
          </w:p>
          <w:p w:rsidR="00982DC9" w:rsidRPr="005635DC" w:rsidRDefault="00982DC9" w:rsidP="00982DC9">
            <w:pPr>
              <w:jc w:val="both"/>
              <w:rPr>
                <w:rFonts w:eastAsia="Calibri"/>
                <w:sz w:val="20"/>
              </w:rPr>
            </w:pPr>
            <w:r w:rsidRPr="005635DC">
              <w:rPr>
                <w:rFonts w:eastAsia="Calibri"/>
                <w:sz w:val="20"/>
              </w:rPr>
              <w:t>Federal Court of Appeal</w:t>
            </w:r>
          </w:p>
          <w:p w:rsidR="00982DC9" w:rsidRPr="005635DC" w:rsidRDefault="00982DC9" w:rsidP="00982DC9">
            <w:pPr>
              <w:jc w:val="both"/>
              <w:rPr>
                <w:rFonts w:eastAsia="Calibri"/>
                <w:sz w:val="20"/>
              </w:rPr>
            </w:pPr>
            <w:r w:rsidRPr="005635DC">
              <w:rPr>
                <w:rFonts w:eastAsia="Calibri"/>
                <w:sz w:val="20"/>
              </w:rPr>
              <w:t xml:space="preserve">(Evans, </w:t>
            </w:r>
            <w:proofErr w:type="spellStart"/>
            <w:r w:rsidRPr="005635DC">
              <w:rPr>
                <w:rFonts w:eastAsia="Calibri"/>
                <w:sz w:val="20"/>
              </w:rPr>
              <w:t>Layden</w:t>
            </w:r>
            <w:proofErr w:type="spellEnd"/>
            <w:r w:rsidRPr="005635DC">
              <w:rPr>
                <w:rFonts w:eastAsia="Calibri"/>
                <w:sz w:val="20"/>
              </w:rPr>
              <w:t xml:space="preserve">-Stevenson and </w:t>
            </w:r>
            <w:proofErr w:type="spellStart"/>
            <w:r w:rsidRPr="005635DC">
              <w:rPr>
                <w:rFonts w:eastAsia="Calibri"/>
                <w:sz w:val="20"/>
              </w:rPr>
              <w:t>Stratas</w:t>
            </w:r>
            <w:proofErr w:type="spellEnd"/>
            <w:r w:rsidRPr="005635DC">
              <w:rPr>
                <w:rFonts w:eastAsia="Calibri"/>
                <w:sz w:val="20"/>
              </w:rPr>
              <w:t xml:space="preserve"> JJ.A.)</w:t>
            </w:r>
          </w:p>
          <w:p w:rsidR="00982DC9" w:rsidRPr="005635DC" w:rsidRDefault="00982DC9" w:rsidP="00982DC9">
            <w:pPr>
              <w:jc w:val="both"/>
              <w:rPr>
                <w:rFonts w:eastAsia="Calibri"/>
                <w:sz w:val="20"/>
              </w:rPr>
            </w:pPr>
            <w:r w:rsidRPr="005635DC">
              <w:rPr>
                <w:rFonts w:eastAsia="Calibri"/>
                <w:sz w:val="20"/>
              </w:rPr>
              <w:t>2011 FCA 321</w:t>
            </w:r>
          </w:p>
          <w:p w:rsidR="00982DC9" w:rsidRPr="005635DC" w:rsidRDefault="00982DC9" w:rsidP="00982DC9">
            <w:pPr>
              <w:jc w:val="both"/>
              <w:rPr>
                <w:rFonts w:eastAsia="Calibri"/>
                <w:sz w:val="20"/>
              </w:rPr>
            </w:pPr>
          </w:p>
        </w:tc>
        <w:tc>
          <w:tcPr>
            <w:tcW w:w="243" w:type="pct"/>
          </w:tcPr>
          <w:p w:rsidR="00982DC9" w:rsidRPr="005635DC" w:rsidRDefault="00982DC9" w:rsidP="00982DC9">
            <w:pPr>
              <w:jc w:val="both"/>
              <w:rPr>
                <w:rFonts w:eastAsia="Calibri"/>
                <w:sz w:val="20"/>
              </w:rPr>
            </w:pPr>
          </w:p>
        </w:tc>
        <w:tc>
          <w:tcPr>
            <w:tcW w:w="2330" w:type="pct"/>
          </w:tcPr>
          <w:p w:rsidR="00982DC9" w:rsidRPr="005635DC" w:rsidRDefault="00982DC9" w:rsidP="00982DC9">
            <w:pPr>
              <w:jc w:val="both"/>
              <w:rPr>
                <w:rFonts w:eastAsia="Calibri"/>
                <w:sz w:val="20"/>
              </w:rPr>
            </w:pPr>
            <w:r w:rsidRPr="005635DC">
              <w:rPr>
                <w:rFonts w:eastAsia="Calibri"/>
                <w:sz w:val="20"/>
              </w:rPr>
              <w:t>Appeal dismissed</w:t>
            </w:r>
          </w:p>
          <w:p w:rsidR="00982DC9" w:rsidRPr="005635DC" w:rsidRDefault="00982DC9" w:rsidP="00982DC9">
            <w:pPr>
              <w:jc w:val="both"/>
              <w:rPr>
                <w:rFonts w:eastAsia="Calibri"/>
                <w:sz w:val="20"/>
              </w:rPr>
            </w:pPr>
          </w:p>
        </w:tc>
      </w:tr>
      <w:tr w:rsidR="00982DC9" w:rsidRPr="005635DC" w:rsidTr="00982DC9">
        <w:tc>
          <w:tcPr>
            <w:tcW w:w="2427" w:type="pct"/>
          </w:tcPr>
          <w:p w:rsidR="00982DC9" w:rsidRPr="005635DC" w:rsidRDefault="00982DC9" w:rsidP="00982DC9">
            <w:pPr>
              <w:jc w:val="both"/>
              <w:rPr>
                <w:rFonts w:eastAsia="Calibri"/>
                <w:sz w:val="20"/>
              </w:rPr>
            </w:pPr>
            <w:r w:rsidRPr="005635DC">
              <w:rPr>
                <w:rFonts w:eastAsia="Calibri"/>
                <w:sz w:val="20"/>
              </w:rPr>
              <w:t>January 17, 2012</w:t>
            </w:r>
          </w:p>
          <w:p w:rsidR="00982DC9" w:rsidRPr="005635DC" w:rsidRDefault="00982DC9" w:rsidP="00DB47E3">
            <w:pPr>
              <w:jc w:val="both"/>
              <w:rPr>
                <w:rFonts w:eastAsia="Calibri"/>
                <w:sz w:val="20"/>
              </w:rPr>
            </w:pPr>
            <w:r w:rsidRPr="005635DC">
              <w:rPr>
                <w:rFonts w:eastAsia="Calibri"/>
                <w:sz w:val="20"/>
              </w:rPr>
              <w:t>Supreme Court of Canada</w:t>
            </w:r>
          </w:p>
        </w:tc>
        <w:tc>
          <w:tcPr>
            <w:tcW w:w="243" w:type="pct"/>
          </w:tcPr>
          <w:p w:rsidR="00982DC9" w:rsidRPr="005635DC" w:rsidRDefault="00982DC9" w:rsidP="00982DC9">
            <w:pPr>
              <w:jc w:val="both"/>
              <w:rPr>
                <w:rFonts w:eastAsia="Calibri"/>
                <w:sz w:val="20"/>
              </w:rPr>
            </w:pPr>
          </w:p>
        </w:tc>
        <w:tc>
          <w:tcPr>
            <w:tcW w:w="2330" w:type="pct"/>
          </w:tcPr>
          <w:p w:rsidR="00982DC9" w:rsidRPr="005635DC" w:rsidRDefault="00982DC9" w:rsidP="00982DC9">
            <w:pPr>
              <w:jc w:val="both"/>
              <w:rPr>
                <w:rFonts w:eastAsia="Calibri"/>
                <w:sz w:val="20"/>
              </w:rPr>
            </w:pPr>
            <w:r w:rsidRPr="005635DC">
              <w:rPr>
                <w:rFonts w:eastAsia="Calibri"/>
                <w:sz w:val="20"/>
              </w:rPr>
              <w:t>Application for leave to appeal filed</w:t>
            </w:r>
          </w:p>
          <w:p w:rsidR="00982DC9" w:rsidRPr="005635DC" w:rsidRDefault="00982DC9" w:rsidP="00982DC9">
            <w:pPr>
              <w:jc w:val="both"/>
              <w:rPr>
                <w:rFonts w:eastAsia="Calibri"/>
                <w:sz w:val="20"/>
              </w:rPr>
            </w:pPr>
          </w:p>
        </w:tc>
      </w:tr>
    </w:tbl>
    <w:p w:rsidR="000F28D1" w:rsidRPr="00C50A5C" w:rsidRDefault="000F28D1" w:rsidP="000F28D1">
      <w:pPr>
        <w:rPr>
          <w:sz w:val="20"/>
          <w:szCs w:val="20"/>
        </w:rPr>
      </w:pPr>
    </w:p>
    <w:p w:rsidR="000F28D1" w:rsidRPr="00C50A5C" w:rsidRDefault="00C90BA9" w:rsidP="000F28D1">
      <w:pPr>
        <w:rPr>
          <w:sz w:val="20"/>
          <w:szCs w:val="20"/>
        </w:rPr>
      </w:pPr>
      <w:r w:rsidRPr="00C90BA9">
        <w:rPr>
          <w:sz w:val="20"/>
          <w:szCs w:val="20"/>
          <w:lang w:val="fr-CA"/>
        </w:rPr>
        <w:pict>
          <v:rect id="_x0000_i1039" style="width:2in;height:1pt" o:hrpct="0" o:hralign="center" o:hrstd="t" o:hrnoshade="t" o:hr="t" fillcolor="black [3213]" stroked="f"/>
        </w:pict>
      </w:r>
    </w:p>
    <w:p w:rsidR="000F28D1" w:rsidRDefault="000F28D1" w:rsidP="000F28D1">
      <w:pPr>
        <w:rPr>
          <w:sz w:val="20"/>
          <w:szCs w:val="20"/>
        </w:rPr>
      </w:pPr>
    </w:p>
    <w:p w:rsidR="000F28D1" w:rsidRPr="001B157C" w:rsidRDefault="000F28D1" w:rsidP="000F28D1">
      <w:pPr>
        <w:rPr>
          <w:sz w:val="20"/>
          <w:szCs w:val="20"/>
          <w:u w:val="single"/>
          <w:lang w:val="fr-CA"/>
        </w:rPr>
      </w:pPr>
      <w:r w:rsidRPr="001B157C">
        <w:rPr>
          <w:sz w:val="20"/>
          <w:szCs w:val="20"/>
          <w:u w:val="single"/>
          <w:lang w:val="fr-CA"/>
        </w:rPr>
        <w:t>RÉSUMÉ DE L’AFFAIRE</w:t>
      </w:r>
    </w:p>
    <w:p w:rsidR="00982DC9" w:rsidRDefault="00982DC9" w:rsidP="00982DC9">
      <w:pPr>
        <w:jc w:val="both"/>
        <w:rPr>
          <w:rFonts w:eastAsia="Calibri"/>
          <w:sz w:val="20"/>
        </w:rPr>
      </w:pPr>
    </w:p>
    <w:tbl>
      <w:tblPr>
        <w:tblW w:w="4952" w:type="pct"/>
        <w:tblLayout w:type="fixed"/>
        <w:tblCellMar>
          <w:left w:w="0" w:type="dxa"/>
          <w:bottom w:w="99" w:type="dxa"/>
          <w:right w:w="0" w:type="dxa"/>
        </w:tblCellMar>
        <w:tblLook w:val="00A0"/>
      </w:tblPr>
      <w:tblGrid>
        <w:gridCol w:w="4624"/>
        <w:gridCol w:w="463"/>
        <w:gridCol w:w="4440"/>
      </w:tblGrid>
      <w:tr w:rsidR="00982DC9" w:rsidRPr="005252ED" w:rsidTr="00982DC9">
        <w:tc>
          <w:tcPr>
            <w:tcW w:w="5000" w:type="pct"/>
            <w:gridSpan w:val="3"/>
          </w:tcPr>
          <w:p w:rsidR="00982DC9" w:rsidRPr="005635DC" w:rsidRDefault="00982DC9" w:rsidP="00982DC9">
            <w:pPr>
              <w:jc w:val="both"/>
              <w:rPr>
                <w:rFonts w:eastAsia="Calibri"/>
                <w:sz w:val="20"/>
                <w:lang w:val="fr-CA"/>
              </w:rPr>
            </w:pPr>
            <w:r w:rsidRPr="005635DC">
              <w:rPr>
                <w:rFonts w:eastAsia="Calibri"/>
                <w:sz w:val="20"/>
                <w:lang w:val="fr-CA"/>
              </w:rPr>
              <w:t xml:space="preserve">Droit fiscal </w:t>
            </w:r>
            <w:r w:rsidRPr="005635DC">
              <w:rPr>
                <w:rFonts w:eastAsia="Calibri"/>
                <w:sz w:val="20"/>
                <w:lang w:val="fr-CA"/>
              </w:rPr>
              <w:noBreakHyphen/>
              <w:t xml:space="preserve"> Impôt sur le revenu </w:t>
            </w:r>
            <w:r w:rsidRPr="005635DC">
              <w:rPr>
                <w:rFonts w:eastAsia="Calibri"/>
                <w:sz w:val="20"/>
                <w:lang w:val="fr-CA"/>
              </w:rPr>
              <w:noBreakHyphen/>
              <w:t xml:space="preserve"> Sociétés par actions </w:t>
            </w:r>
            <w:r w:rsidRPr="005635DC">
              <w:rPr>
                <w:rFonts w:eastAsia="Calibri"/>
                <w:sz w:val="20"/>
                <w:lang w:val="fr-CA"/>
              </w:rPr>
              <w:noBreakHyphen/>
              <w:t xml:space="preserve"> Fusions </w:t>
            </w:r>
            <w:r w:rsidRPr="005635DC">
              <w:rPr>
                <w:rFonts w:eastAsia="Calibri"/>
                <w:sz w:val="20"/>
                <w:lang w:val="fr-CA"/>
              </w:rPr>
              <w:noBreakHyphen/>
              <w:t xml:space="preserve"> Fraction non amortie du coût en capital de biens amortissables appartenant à la demanderesse à la suite de la fusion </w:t>
            </w:r>
            <w:r w:rsidRPr="005635DC">
              <w:rPr>
                <w:rFonts w:eastAsia="Calibri"/>
                <w:sz w:val="20"/>
                <w:lang w:val="fr-CA"/>
              </w:rPr>
              <w:noBreakHyphen/>
              <w:t xml:space="preserve"> La fraction non amortie du coût en capital </w:t>
            </w:r>
            <w:proofErr w:type="spellStart"/>
            <w:r w:rsidRPr="005635DC">
              <w:rPr>
                <w:rFonts w:eastAsia="Calibri"/>
                <w:sz w:val="20"/>
                <w:lang w:val="fr-CA"/>
              </w:rPr>
              <w:t>est</w:t>
            </w:r>
            <w:r w:rsidRPr="005635DC">
              <w:rPr>
                <w:rFonts w:eastAsia="Calibri"/>
                <w:sz w:val="20"/>
                <w:lang w:val="fr-CA"/>
              </w:rPr>
              <w:noBreakHyphen/>
              <w:t>elle</w:t>
            </w:r>
            <w:proofErr w:type="spellEnd"/>
            <w:r w:rsidRPr="005635DC">
              <w:rPr>
                <w:rFonts w:eastAsia="Calibri"/>
                <w:sz w:val="20"/>
                <w:lang w:val="fr-CA"/>
              </w:rPr>
              <w:t xml:space="preserve"> transmise des caisses de crédit remplacées à la demanderesse? </w:t>
            </w:r>
            <w:r w:rsidRPr="005635DC">
              <w:rPr>
                <w:rFonts w:eastAsia="Calibri"/>
                <w:sz w:val="20"/>
                <w:lang w:val="fr-CA"/>
              </w:rPr>
              <w:noBreakHyphen/>
              <w:t xml:space="preserve"> La Cour d’appel fédérale </w:t>
            </w:r>
            <w:proofErr w:type="spellStart"/>
            <w:r w:rsidRPr="005635DC">
              <w:rPr>
                <w:rFonts w:eastAsia="Calibri"/>
                <w:sz w:val="20"/>
                <w:lang w:val="fr-CA"/>
              </w:rPr>
              <w:t>avait</w:t>
            </w:r>
            <w:r w:rsidRPr="005635DC">
              <w:rPr>
                <w:rFonts w:eastAsia="Calibri"/>
                <w:sz w:val="20"/>
                <w:lang w:val="fr-CA"/>
              </w:rPr>
              <w:noBreakHyphen/>
              <w:t>elle</w:t>
            </w:r>
            <w:proofErr w:type="spellEnd"/>
            <w:r w:rsidRPr="005635DC">
              <w:rPr>
                <w:rFonts w:eastAsia="Calibri"/>
                <w:sz w:val="20"/>
                <w:lang w:val="fr-CA"/>
              </w:rPr>
              <w:t xml:space="preserve"> raison d’appliquer un principe de l’affectation au mot « biens » à l’al. 87(1)</w:t>
            </w:r>
            <w:r w:rsidRPr="005635DC">
              <w:rPr>
                <w:rFonts w:eastAsia="Calibri"/>
                <w:i/>
                <w:sz w:val="20"/>
                <w:lang w:val="fr-CA"/>
              </w:rPr>
              <w:t>a</w:t>
            </w:r>
            <w:r w:rsidRPr="005635DC">
              <w:rPr>
                <w:rFonts w:eastAsia="Calibri"/>
                <w:sz w:val="20"/>
                <w:lang w:val="fr-CA"/>
              </w:rPr>
              <w:t>) de la</w:t>
            </w:r>
            <w:r w:rsidRPr="005635DC">
              <w:rPr>
                <w:rFonts w:eastAsia="Calibri"/>
                <w:i/>
                <w:sz w:val="20"/>
                <w:lang w:val="fr-CA"/>
              </w:rPr>
              <w:t xml:space="preserve"> Loi de l’impôt sur le revenu</w:t>
            </w:r>
            <w:r w:rsidRPr="005635DC">
              <w:rPr>
                <w:rFonts w:eastAsia="Calibri"/>
                <w:sz w:val="20"/>
                <w:lang w:val="fr-CA"/>
              </w:rPr>
              <w:t>?</w:t>
            </w:r>
            <w:r w:rsidRPr="005635DC">
              <w:rPr>
                <w:rFonts w:eastAsia="Calibri"/>
                <w:i/>
                <w:sz w:val="20"/>
                <w:lang w:val="fr-CA"/>
              </w:rPr>
              <w:t xml:space="preserve"> </w:t>
            </w:r>
            <w:r w:rsidRPr="005635DC">
              <w:rPr>
                <w:rFonts w:eastAsia="Calibri"/>
                <w:sz w:val="20"/>
                <w:lang w:val="fr-CA"/>
              </w:rPr>
              <w:noBreakHyphen/>
              <w:t xml:space="preserve"> La Cour d’appel fédérale </w:t>
            </w:r>
            <w:proofErr w:type="spellStart"/>
            <w:r w:rsidRPr="005635DC">
              <w:rPr>
                <w:rFonts w:eastAsia="Calibri"/>
                <w:sz w:val="20"/>
                <w:lang w:val="fr-CA"/>
              </w:rPr>
              <w:t>a</w:t>
            </w:r>
            <w:r w:rsidRPr="005635DC">
              <w:rPr>
                <w:rFonts w:eastAsia="Calibri"/>
                <w:sz w:val="20"/>
                <w:lang w:val="fr-CA"/>
              </w:rPr>
              <w:noBreakHyphen/>
              <w:t>t</w:t>
            </w:r>
            <w:r w:rsidRPr="005635DC">
              <w:rPr>
                <w:rFonts w:eastAsia="Calibri"/>
                <w:sz w:val="20"/>
                <w:lang w:val="fr-CA"/>
              </w:rPr>
              <w:noBreakHyphen/>
              <w:t>elle</w:t>
            </w:r>
            <w:proofErr w:type="spellEnd"/>
            <w:r w:rsidRPr="005635DC">
              <w:rPr>
                <w:rFonts w:eastAsia="Calibri"/>
                <w:sz w:val="20"/>
                <w:lang w:val="fr-CA"/>
              </w:rPr>
              <w:t xml:space="preserve"> eu tort de conclure que les comptes d’impôt sont transmis selon le modèle de la continuation lorsque la fusion ne fait pas partie du champ d’application de l’art. 87? </w:t>
            </w:r>
            <w:r w:rsidRPr="005635DC">
              <w:rPr>
                <w:rFonts w:eastAsia="Calibri"/>
                <w:sz w:val="20"/>
                <w:lang w:val="fr-CA"/>
              </w:rPr>
              <w:noBreakHyphen/>
            </w:r>
            <w:r w:rsidRPr="005635DC">
              <w:rPr>
                <w:rFonts w:eastAsia="Calibri"/>
                <w:i/>
                <w:sz w:val="20"/>
                <w:lang w:val="fr-CA"/>
              </w:rPr>
              <w:t xml:space="preserve"> Loi de l’impôt sur le revenu</w:t>
            </w:r>
            <w:r w:rsidRPr="005635DC">
              <w:rPr>
                <w:rFonts w:eastAsia="Calibri"/>
                <w:sz w:val="20"/>
                <w:lang w:val="fr-CA"/>
              </w:rPr>
              <w:t>, L.R.C. 1985 (5</w:t>
            </w:r>
            <w:r w:rsidRPr="005635DC">
              <w:rPr>
                <w:rFonts w:eastAsia="Calibri"/>
                <w:sz w:val="20"/>
                <w:vertAlign w:val="superscript"/>
                <w:lang w:val="fr-CA"/>
              </w:rPr>
              <w:t>e</w:t>
            </w:r>
            <w:r w:rsidRPr="005635DC">
              <w:rPr>
                <w:rFonts w:eastAsia="Calibri"/>
                <w:sz w:val="20"/>
                <w:lang w:val="fr-CA"/>
              </w:rPr>
              <w:t xml:space="preserve"> suppl.), ch. 1, art. 87.</w:t>
            </w:r>
          </w:p>
        </w:tc>
      </w:tr>
      <w:tr w:rsidR="00982DC9" w:rsidRPr="005252ED" w:rsidTr="00982DC9">
        <w:tc>
          <w:tcPr>
            <w:tcW w:w="5000" w:type="pct"/>
            <w:gridSpan w:val="3"/>
          </w:tcPr>
          <w:p w:rsidR="00982DC9" w:rsidRPr="005635DC" w:rsidRDefault="00982DC9" w:rsidP="00982DC9">
            <w:pPr>
              <w:jc w:val="both"/>
              <w:rPr>
                <w:rFonts w:eastAsia="Calibri"/>
                <w:sz w:val="20"/>
                <w:lang w:val="fr-CA"/>
              </w:rPr>
            </w:pPr>
          </w:p>
        </w:tc>
      </w:tr>
      <w:tr w:rsidR="00982DC9" w:rsidRPr="005252ED" w:rsidTr="00982DC9">
        <w:tc>
          <w:tcPr>
            <w:tcW w:w="5000" w:type="pct"/>
            <w:gridSpan w:val="3"/>
          </w:tcPr>
          <w:p w:rsidR="00982DC9" w:rsidRPr="005635DC" w:rsidRDefault="00982DC9" w:rsidP="00982DC9">
            <w:pPr>
              <w:jc w:val="both"/>
              <w:rPr>
                <w:rFonts w:eastAsia="Calibri"/>
                <w:sz w:val="20"/>
                <w:lang w:val="fr-CA"/>
              </w:rPr>
            </w:pPr>
            <w:r w:rsidRPr="005635DC">
              <w:rPr>
                <w:rFonts w:eastAsia="Calibri"/>
                <w:sz w:val="20"/>
                <w:lang w:val="fr-CA"/>
              </w:rPr>
              <w:t xml:space="preserve">Deux caisses de crédit de la </w:t>
            </w:r>
            <w:proofErr w:type="spellStart"/>
            <w:r w:rsidRPr="005635DC">
              <w:rPr>
                <w:rFonts w:eastAsia="Calibri"/>
                <w:sz w:val="20"/>
                <w:lang w:val="fr-CA"/>
              </w:rPr>
              <w:t>Colombie</w:t>
            </w:r>
            <w:r w:rsidRPr="005635DC">
              <w:rPr>
                <w:rFonts w:eastAsia="Calibri"/>
                <w:sz w:val="20"/>
                <w:lang w:val="fr-CA"/>
              </w:rPr>
              <w:noBreakHyphen/>
              <w:t>Britannique</w:t>
            </w:r>
            <w:proofErr w:type="spellEnd"/>
            <w:r w:rsidRPr="005635DC">
              <w:rPr>
                <w:rFonts w:eastAsia="Calibri"/>
                <w:sz w:val="20"/>
                <w:lang w:val="fr-CA"/>
              </w:rPr>
              <w:t xml:space="preserve"> (collectivement appelées « les caisses remplacées ») se sont fusionnées sous le régime de la </w:t>
            </w:r>
            <w:proofErr w:type="spellStart"/>
            <w:r w:rsidRPr="005635DC">
              <w:rPr>
                <w:rFonts w:eastAsia="Calibri"/>
                <w:i/>
                <w:sz w:val="20"/>
                <w:lang w:val="fr-CA"/>
              </w:rPr>
              <w:t>Credit</w:t>
            </w:r>
            <w:proofErr w:type="spellEnd"/>
            <w:r w:rsidRPr="005635DC">
              <w:rPr>
                <w:rFonts w:eastAsia="Calibri"/>
                <w:i/>
                <w:sz w:val="20"/>
                <w:lang w:val="fr-CA"/>
              </w:rPr>
              <w:t xml:space="preserve"> Union Incorporation </w:t>
            </w:r>
            <w:proofErr w:type="spellStart"/>
            <w:r w:rsidRPr="005635DC">
              <w:rPr>
                <w:rFonts w:eastAsia="Calibri"/>
                <w:i/>
                <w:sz w:val="20"/>
                <w:lang w:val="fr-CA"/>
              </w:rPr>
              <w:t>Act</w:t>
            </w:r>
            <w:proofErr w:type="spellEnd"/>
            <w:r w:rsidRPr="005635DC">
              <w:rPr>
                <w:rFonts w:eastAsia="Calibri"/>
                <w:sz w:val="20"/>
                <w:lang w:val="fr-CA"/>
              </w:rPr>
              <w:t>, R.S.B.C. 1996, ch. 82.  La fusion a eu lieu le 1</w:t>
            </w:r>
            <w:r w:rsidRPr="005635DC">
              <w:rPr>
                <w:rFonts w:eastAsia="Calibri"/>
                <w:sz w:val="20"/>
                <w:vertAlign w:val="superscript"/>
                <w:lang w:val="fr-CA"/>
              </w:rPr>
              <w:t>er</w:t>
            </w:r>
            <w:r w:rsidRPr="005635DC">
              <w:rPr>
                <w:rFonts w:eastAsia="Calibri"/>
                <w:sz w:val="20"/>
                <w:lang w:val="fr-CA"/>
              </w:rPr>
              <w:t xml:space="preserve"> janvier 2001.  La société issue de la fusion se trouve à être la demanderesse.  Dans ses déclarations de revenus pour les années d’imposition 2001</w:t>
            </w:r>
            <w:r w:rsidRPr="005635DC">
              <w:rPr>
                <w:rFonts w:eastAsia="Calibri"/>
                <w:sz w:val="20"/>
                <w:lang w:val="fr-CA"/>
              </w:rPr>
              <w:noBreakHyphen/>
              <w:t>2004, la demanderesse a demandé une déduction pour amortissement (DPA) sur les biens amortissables dont elle était propriétaire à la suite de la fusion en fonction d’une fraction non amortie du coût en capital (FNACC) d’origine du coût en capital des biens amortissables lorsque que les caisses remplacées les ont acquis.  En établissant une nouvelle cotisation, le ministre a réduit la DPA pour qu’elle corresponde à une FNACC d’origine égale au montant des soldes de FNACC des caisses remplacées et établis immédiatement avant la fusion.  Le ministre a déterminé le montant de la FNACC en prenant le prix d’achat initial et en soustrayant le montant demandé par les caisses remplacées à titre de DPA dans les années qui ont suivi leur acquisition des biens.</w:t>
            </w:r>
          </w:p>
          <w:p w:rsidR="00982DC9" w:rsidRPr="005635DC" w:rsidRDefault="00982DC9" w:rsidP="00982DC9">
            <w:pPr>
              <w:jc w:val="both"/>
              <w:rPr>
                <w:rFonts w:eastAsia="Calibri"/>
                <w:sz w:val="20"/>
                <w:lang w:val="fr-CA"/>
              </w:rPr>
            </w:pPr>
          </w:p>
          <w:p w:rsidR="00982DC9" w:rsidRPr="005635DC" w:rsidRDefault="00982DC9" w:rsidP="00982DC9">
            <w:pPr>
              <w:jc w:val="both"/>
              <w:rPr>
                <w:rFonts w:eastAsia="Calibri"/>
                <w:sz w:val="20"/>
                <w:lang w:val="fr-CA"/>
              </w:rPr>
            </w:pPr>
            <w:r w:rsidRPr="005635DC">
              <w:rPr>
                <w:rFonts w:eastAsia="Calibri"/>
                <w:sz w:val="20"/>
                <w:lang w:val="fr-CA"/>
              </w:rPr>
              <w:t>La demanderesse a interjeté appel des nouvelles cotisations à la Cour canadienne de l’impôt.  Le juge de la Cour de l’impôt a accueilli l’appel relativement à l’année d’imposition 2001, statuant que la nouvelle cotisation était frappée de prescription.  Toutefois, le juge a rejeté l’appel des nouvelles cotisations du ministre établies pour les années d’imposition 2002, 2003 et 2004.  La Cour d’appel fédérale a rejeté l’appel de la demanderesse.</w:t>
            </w:r>
          </w:p>
          <w:p w:rsidR="00982DC9" w:rsidRPr="005635DC" w:rsidRDefault="00982DC9" w:rsidP="00982DC9">
            <w:pPr>
              <w:jc w:val="both"/>
              <w:rPr>
                <w:rFonts w:eastAsia="Calibri"/>
                <w:sz w:val="20"/>
                <w:lang w:val="fr-CA"/>
              </w:rPr>
            </w:pPr>
          </w:p>
        </w:tc>
      </w:tr>
      <w:tr w:rsidR="00982DC9" w:rsidRPr="005252ED" w:rsidTr="00982DC9">
        <w:tc>
          <w:tcPr>
            <w:tcW w:w="2427" w:type="pct"/>
          </w:tcPr>
          <w:p w:rsidR="00982DC9" w:rsidRPr="005635DC" w:rsidRDefault="00982DC9" w:rsidP="00982DC9">
            <w:pPr>
              <w:jc w:val="both"/>
              <w:rPr>
                <w:rFonts w:eastAsia="Calibri"/>
                <w:sz w:val="20"/>
                <w:lang w:val="fr-CA"/>
              </w:rPr>
            </w:pPr>
            <w:r w:rsidRPr="005635DC">
              <w:rPr>
                <w:rFonts w:eastAsia="Calibri"/>
                <w:sz w:val="20"/>
                <w:lang w:val="fr-CA"/>
              </w:rPr>
              <w:t>17 novembre 2010</w:t>
            </w:r>
          </w:p>
          <w:p w:rsidR="00982DC9" w:rsidRPr="005635DC" w:rsidRDefault="00982DC9" w:rsidP="00982DC9">
            <w:pPr>
              <w:jc w:val="both"/>
              <w:rPr>
                <w:rFonts w:eastAsia="Calibri"/>
                <w:sz w:val="20"/>
                <w:lang w:val="fr-CA"/>
              </w:rPr>
            </w:pPr>
            <w:r w:rsidRPr="005635DC">
              <w:rPr>
                <w:rFonts w:eastAsia="Calibri"/>
                <w:sz w:val="20"/>
                <w:lang w:val="fr-CA"/>
              </w:rPr>
              <w:t xml:space="preserve">Cour canadienne de l’impôt </w:t>
            </w:r>
          </w:p>
          <w:p w:rsidR="00982DC9" w:rsidRPr="005635DC" w:rsidRDefault="00982DC9" w:rsidP="00982DC9">
            <w:pPr>
              <w:jc w:val="both"/>
              <w:rPr>
                <w:rFonts w:eastAsia="Calibri"/>
                <w:sz w:val="20"/>
                <w:lang w:val="fr-CA"/>
              </w:rPr>
            </w:pPr>
            <w:r w:rsidRPr="005635DC">
              <w:rPr>
                <w:rFonts w:eastAsia="Calibri"/>
                <w:sz w:val="20"/>
                <w:lang w:val="fr-CA"/>
              </w:rPr>
              <w:t>(Juge Webb)</w:t>
            </w:r>
          </w:p>
          <w:p w:rsidR="00982DC9" w:rsidRPr="005635DC" w:rsidRDefault="00982DC9" w:rsidP="00982DC9">
            <w:pPr>
              <w:jc w:val="both"/>
              <w:rPr>
                <w:rFonts w:eastAsia="Calibri"/>
                <w:sz w:val="20"/>
                <w:lang w:val="fr-CA"/>
              </w:rPr>
            </w:pPr>
            <w:r w:rsidRPr="005635DC">
              <w:rPr>
                <w:rFonts w:eastAsia="Calibri"/>
                <w:sz w:val="20"/>
                <w:lang w:val="fr-CA"/>
              </w:rPr>
              <w:t>2010 TCC 576</w:t>
            </w:r>
          </w:p>
          <w:p w:rsidR="00982DC9" w:rsidRPr="005635DC" w:rsidRDefault="00982DC9" w:rsidP="00982DC9">
            <w:pPr>
              <w:jc w:val="both"/>
              <w:rPr>
                <w:rFonts w:eastAsia="Calibri"/>
                <w:sz w:val="20"/>
                <w:lang w:val="fr-CA"/>
              </w:rPr>
            </w:pPr>
          </w:p>
        </w:tc>
        <w:tc>
          <w:tcPr>
            <w:tcW w:w="243" w:type="pct"/>
          </w:tcPr>
          <w:p w:rsidR="00982DC9" w:rsidRPr="005635DC" w:rsidRDefault="00982DC9" w:rsidP="00982DC9">
            <w:pPr>
              <w:jc w:val="both"/>
              <w:rPr>
                <w:rFonts w:eastAsia="Calibri"/>
                <w:sz w:val="20"/>
                <w:lang w:val="fr-CA"/>
              </w:rPr>
            </w:pPr>
          </w:p>
        </w:tc>
        <w:tc>
          <w:tcPr>
            <w:tcW w:w="2330" w:type="pct"/>
          </w:tcPr>
          <w:p w:rsidR="00982DC9" w:rsidRPr="005635DC" w:rsidRDefault="00982DC9" w:rsidP="00982DC9">
            <w:pPr>
              <w:jc w:val="both"/>
              <w:rPr>
                <w:rFonts w:eastAsia="Calibri"/>
                <w:sz w:val="20"/>
                <w:lang w:val="fr-CA"/>
              </w:rPr>
            </w:pPr>
            <w:r w:rsidRPr="005635DC">
              <w:rPr>
                <w:rFonts w:eastAsia="Calibri"/>
                <w:sz w:val="20"/>
                <w:lang w:val="fr-CA"/>
              </w:rPr>
              <w:t>Appel de la nouvelle cotisation établie pour l’année d’imposition 2001, accueilli; appels des nouvelles cotisations établies pour les années d’imposition 2002, 2003 et 2004, rejetés</w:t>
            </w:r>
          </w:p>
          <w:p w:rsidR="00982DC9" w:rsidRPr="005635DC" w:rsidRDefault="00982DC9" w:rsidP="00982DC9">
            <w:pPr>
              <w:jc w:val="both"/>
              <w:rPr>
                <w:rFonts w:eastAsia="Calibri"/>
                <w:sz w:val="20"/>
                <w:lang w:val="fr-CA"/>
              </w:rPr>
            </w:pPr>
          </w:p>
        </w:tc>
      </w:tr>
      <w:tr w:rsidR="00982DC9" w:rsidRPr="005635DC" w:rsidTr="00982DC9">
        <w:tc>
          <w:tcPr>
            <w:tcW w:w="2427" w:type="pct"/>
          </w:tcPr>
          <w:p w:rsidR="00982DC9" w:rsidRPr="005635DC" w:rsidRDefault="00982DC9" w:rsidP="00982DC9">
            <w:pPr>
              <w:jc w:val="both"/>
              <w:rPr>
                <w:rFonts w:eastAsia="Calibri"/>
                <w:sz w:val="20"/>
                <w:lang w:val="fr-CA"/>
              </w:rPr>
            </w:pPr>
            <w:r w:rsidRPr="005635DC">
              <w:rPr>
                <w:rFonts w:eastAsia="Calibri"/>
                <w:sz w:val="20"/>
                <w:lang w:val="fr-CA"/>
              </w:rPr>
              <w:t>21 novembre 2011</w:t>
            </w:r>
          </w:p>
          <w:p w:rsidR="00982DC9" w:rsidRPr="005635DC" w:rsidRDefault="00982DC9" w:rsidP="00982DC9">
            <w:pPr>
              <w:jc w:val="both"/>
              <w:rPr>
                <w:rFonts w:eastAsia="Calibri"/>
                <w:sz w:val="20"/>
                <w:lang w:val="fr-CA"/>
              </w:rPr>
            </w:pPr>
            <w:r w:rsidRPr="005635DC">
              <w:rPr>
                <w:rFonts w:eastAsia="Calibri"/>
                <w:sz w:val="20"/>
                <w:lang w:val="fr-CA"/>
              </w:rPr>
              <w:t xml:space="preserve">Cour d’appel fédérale </w:t>
            </w:r>
          </w:p>
          <w:p w:rsidR="00982DC9" w:rsidRPr="005635DC" w:rsidRDefault="00982DC9" w:rsidP="00982DC9">
            <w:pPr>
              <w:jc w:val="both"/>
              <w:rPr>
                <w:rFonts w:eastAsia="Calibri"/>
                <w:sz w:val="20"/>
                <w:lang w:val="fr-CA"/>
              </w:rPr>
            </w:pPr>
            <w:r w:rsidRPr="005635DC">
              <w:rPr>
                <w:rFonts w:eastAsia="Calibri"/>
                <w:sz w:val="20"/>
                <w:lang w:val="fr-CA"/>
              </w:rPr>
              <w:t xml:space="preserve">(Juges Evans, </w:t>
            </w:r>
            <w:proofErr w:type="spellStart"/>
            <w:r w:rsidRPr="005635DC">
              <w:rPr>
                <w:rFonts w:eastAsia="Calibri"/>
                <w:sz w:val="20"/>
                <w:lang w:val="fr-CA"/>
              </w:rPr>
              <w:t>Layden</w:t>
            </w:r>
            <w:r w:rsidRPr="005635DC">
              <w:rPr>
                <w:rFonts w:eastAsia="Calibri"/>
                <w:sz w:val="20"/>
                <w:lang w:val="fr-CA"/>
              </w:rPr>
              <w:noBreakHyphen/>
              <w:t>Stevenson</w:t>
            </w:r>
            <w:proofErr w:type="spellEnd"/>
            <w:r w:rsidRPr="005635DC">
              <w:rPr>
                <w:rFonts w:eastAsia="Calibri"/>
                <w:sz w:val="20"/>
                <w:lang w:val="fr-CA"/>
              </w:rPr>
              <w:t xml:space="preserve"> et </w:t>
            </w:r>
            <w:proofErr w:type="spellStart"/>
            <w:r w:rsidRPr="005635DC">
              <w:rPr>
                <w:rFonts w:eastAsia="Calibri"/>
                <w:sz w:val="20"/>
                <w:lang w:val="fr-CA"/>
              </w:rPr>
              <w:t>Stratas</w:t>
            </w:r>
            <w:proofErr w:type="spellEnd"/>
            <w:r w:rsidRPr="005635DC">
              <w:rPr>
                <w:rFonts w:eastAsia="Calibri"/>
                <w:sz w:val="20"/>
                <w:lang w:val="fr-CA"/>
              </w:rPr>
              <w:t>)</w:t>
            </w:r>
          </w:p>
          <w:p w:rsidR="00982DC9" w:rsidRPr="005635DC" w:rsidRDefault="00982DC9" w:rsidP="00982DC9">
            <w:pPr>
              <w:jc w:val="both"/>
              <w:rPr>
                <w:rFonts w:eastAsia="Calibri"/>
                <w:sz w:val="20"/>
                <w:lang w:val="fr-CA"/>
              </w:rPr>
            </w:pPr>
            <w:r w:rsidRPr="005635DC">
              <w:rPr>
                <w:rFonts w:eastAsia="Calibri"/>
                <w:sz w:val="20"/>
                <w:lang w:val="fr-CA"/>
              </w:rPr>
              <w:t>2011 FCA 321</w:t>
            </w:r>
          </w:p>
          <w:p w:rsidR="00982DC9" w:rsidRPr="005635DC" w:rsidRDefault="00982DC9" w:rsidP="00982DC9">
            <w:pPr>
              <w:jc w:val="both"/>
              <w:rPr>
                <w:rFonts w:eastAsia="Calibri"/>
                <w:sz w:val="20"/>
                <w:lang w:val="fr-CA"/>
              </w:rPr>
            </w:pPr>
          </w:p>
        </w:tc>
        <w:tc>
          <w:tcPr>
            <w:tcW w:w="243" w:type="pct"/>
          </w:tcPr>
          <w:p w:rsidR="00982DC9" w:rsidRPr="005635DC" w:rsidRDefault="00982DC9" w:rsidP="00982DC9">
            <w:pPr>
              <w:jc w:val="both"/>
              <w:rPr>
                <w:rFonts w:eastAsia="Calibri"/>
                <w:sz w:val="20"/>
                <w:lang w:val="fr-CA"/>
              </w:rPr>
            </w:pPr>
          </w:p>
        </w:tc>
        <w:tc>
          <w:tcPr>
            <w:tcW w:w="2330" w:type="pct"/>
          </w:tcPr>
          <w:p w:rsidR="00982DC9" w:rsidRPr="005635DC" w:rsidRDefault="00982DC9" w:rsidP="00982DC9">
            <w:pPr>
              <w:jc w:val="both"/>
              <w:rPr>
                <w:rFonts w:eastAsia="Calibri"/>
                <w:sz w:val="20"/>
                <w:lang w:val="fr-CA"/>
              </w:rPr>
            </w:pPr>
            <w:r w:rsidRPr="005635DC">
              <w:rPr>
                <w:rFonts w:eastAsia="Calibri"/>
                <w:sz w:val="20"/>
                <w:lang w:val="fr-CA"/>
              </w:rPr>
              <w:t>Appel rejeté</w:t>
            </w:r>
          </w:p>
          <w:p w:rsidR="00982DC9" w:rsidRPr="005635DC" w:rsidRDefault="00982DC9" w:rsidP="00982DC9">
            <w:pPr>
              <w:jc w:val="both"/>
              <w:rPr>
                <w:rFonts w:eastAsia="Calibri"/>
                <w:sz w:val="20"/>
                <w:lang w:val="fr-CA"/>
              </w:rPr>
            </w:pPr>
          </w:p>
        </w:tc>
      </w:tr>
      <w:tr w:rsidR="00982DC9" w:rsidRPr="005635DC" w:rsidTr="00982DC9">
        <w:tc>
          <w:tcPr>
            <w:tcW w:w="2427" w:type="pct"/>
          </w:tcPr>
          <w:p w:rsidR="00982DC9" w:rsidRPr="005635DC" w:rsidRDefault="00982DC9" w:rsidP="00982DC9">
            <w:pPr>
              <w:jc w:val="both"/>
              <w:rPr>
                <w:rFonts w:eastAsia="Calibri"/>
                <w:sz w:val="20"/>
                <w:lang w:val="fr-CA"/>
              </w:rPr>
            </w:pPr>
            <w:r w:rsidRPr="005635DC">
              <w:rPr>
                <w:rFonts w:eastAsia="Calibri"/>
                <w:sz w:val="20"/>
                <w:lang w:val="fr-CA"/>
              </w:rPr>
              <w:t>17 janvier 2012</w:t>
            </w:r>
          </w:p>
          <w:p w:rsidR="00982DC9" w:rsidRPr="005635DC" w:rsidRDefault="00982DC9" w:rsidP="00DB47E3">
            <w:pPr>
              <w:jc w:val="both"/>
              <w:rPr>
                <w:rFonts w:eastAsia="Calibri"/>
                <w:sz w:val="20"/>
                <w:lang w:val="fr-CA"/>
              </w:rPr>
            </w:pPr>
            <w:r w:rsidRPr="005635DC">
              <w:rPr>
                <w:rFonts w:eastAsia="Calibri"/>
                <w:sz w:val="20"/>
                <w:lang w:val="fr-CA"/>
              </w:rPr>
              <w:t>Cour suprême du Canada</w:t>
            </w:r>
          </w:p>
        </w:tc>
        <w:tc>
          <w:tcPr>
            <w:tcW w:w="243" w:type="pct"/>
          </w:tcPr>
          <w:p w:rsidR="00982DC9" w:rsidRPr="005635DC" w:rsidRDefault="00982DC9" w:rsidP="00982DC9">
            <w:pPr>
              <w:jc w:val="both"/>
              <w:rPr>
                <w:rFonts w:eastAsia="Calibri"/>
                <w:sz w:val="20"/>
                <w:lang w:val="fr-CA"/>
              </w:rPr>
            </w:pPr>
          </w:p>
        </w:tc>
        <w:tc>
          <w:tcPr>
            <w:tcW w:w="2330" w:type="pct"/>
          </w:tcPr>
          <w:p w:rsidR="00982DC9" w:rsidRPr="005635DC" w:rsidRDefault="00982DC9" w:rsidP="00982DC9">
            <w:pPr>
              <w:jc w:val="both"/>
              <w:rPr>
                <w:rFonts w:eastAsia="Calibri"/>
                <w:sz w:val="20"/>
                <w:lang w:val="fr-CA"/>
              </w:rPr>
            </w:pPr>
            <w:r w:rsidRPr="005635DC">
              <w:rPr>
                <w:rFonts w:eastAsia="Calibri"/>
                <w:sz w:val="20"/>
                <w:lang w:val="fr-CA"/>
              </w:rPr>
              <w:t>Demande d’autorisation d’appel, déposée</w:t>
            </w:r>
          </w:p>
          <w:p w:rsidR="00982DC9" w:rsidRPr="005635DC" w:rsidRDefault="00982DC9" w:rsidP="00982DC9">
            <w:pPr>
              <w:jc w:val="both"/>
              <w:rPr>
                <w:rFonts w:eastAsia="Calibri"/>
                <w:sz w:val="20"/>
                <w:lang w:val="fr-CA"/>
              </w:rPr>
            </w:pPr>
          </w:p>
        </w:tc>
      </w:tr>
    </w:tbl>
    <w:p w:rsidR="00493CD2" w:rsidRPr="00C50A5C" w:rsidRDefault="00493CD2" w:rsidP="00493CD2">
      <w:pPr>
        <w:rPr>
          <w:sz w:val="20"/>
          <w:szCs w:val="20"/>
        </w:rPr>
      </w:pPr>
    </w:p>
    <w:p w:rsidR="00493CD2" w:rsidRPr="00C50A5C" w:rsidRDefault="00C90BA9" w:rsidP="00493CD2">
      <w:pPr>
        <w:rPr>
          <w:sz w:val="20"/>
          <w:szCs w:val="20"/>
        </w:rPr>
      </w:pPr>
      <w:r w:rsidRPr="00C90BA9">
        <w:rPr>
          <w:sz w:val="20"/>
          <w:szCs w:val="20"/>
          <w:lang w:val="fr-CA"/>
        </w:rPr>
        <w:pict>
          <v:rect id="_x0000_i1040" style="width:2in;height:1pt" o:hrpct="0" o:hralign="center" o:hrstd="t" o:hrnoshade="t" o:hr="t" fillcolor="black [3213]" stroked="f"/>
        </w:pict>
      </w:r>
    </w:p>
    <w:p w:rsidR="002B3BCC" w:rsidRDefault="002B3BCC" w:rsidP="002B3BCC">
      <w:pPr>
        <w:rPr>
          <w:sz w:val="20"/>
          <w:szCs w:val="20"/>
        </w:rPr>
      </w:pPr>
    </w:p>
    <w:p w:rsidR="00DF7E92" w:rsidRPr="00DF7E92" w:rsidRDefault="00DF7E92" w:rsidP="00DF7E92">
      <w:pPr>
        <w:rPr>
          <w:sz w:val="20"/>
          <w:szCs w:val="24"/>
          <w:lang w:val="fr-CA"/>
        </w:rPr>
      </w:pPr>
      <w:r w:rsidRPr="00DF7E92">
        <w:rPr>
          <w:b/>
          <w:sz w:val="20"/>
          <w:szCs w:val="24"/>
          <w:lang w:val="fr-CA"/>
        </w:rPr>
        <w:t>34652</w:t>
      </w:r>
      <w:r w:rsidRPr="00DF7E92">
        <w:rPr>
          <w:b/>
          <w:sz w:val="20"/>
          <w:szCs w:val="24"/>
          <w:lang w:val="fr-CA"/>
        </w:rPr>
        <w:tab/>
      </w:r>
      <w:r w:rsidRPr="00DF7E92">
        <w:rPr>
          <w:b/>
          <w:sz w:val="20"/>
          <w:szCs w:val="24"/>
          <w:u w:val="single"/>
          <w:lang w:val="fr-CA"/>
        </w:rPr>
        <w:t xml:space="preserve">Alassane </w:t>
      </w:r>
      <w:proofErr w:type="spellStart"/>
      <w:r w:rsidRPr="00DF7E92">
        <w:rPr>
          <w:b/>
          <w:sz w:val="20"/>
          <w:szCs w:val="24"/>
          <w:u w:val="single"/>
          <w:lang w:val="fr-CA"/>
        </w:rPr>
        <w:t>Seck</w:t>
      </w:r>
      <w:proofErr w:type="spellEnd"/>
      <w:r w:rsidRPr="00DF7E92">
        <w:rPr>
          <w:b/>
          <w:sz w:val="20"/>
          <w:szCs w:val="24"/>
          <w:u w:val="single"/>
          <w:lang w:val="fr-CA"/>
        </w:rPr>
        <w:t xml:space="preserve"> c. Sa Majesté la Reine</w:t>
      </w:r>
      <w:r w:rsidRPr="00DF7E92">
        <w:rPr>
          <w:sz w:val="20"/>
          <w:szCs w:val="24"/>
          <w:lang w:val="fr-CA"/>
        </w:rPr>
        <w:t xml:space="preserve"> (</w:t>
      </w:r>
      <w:proofErr w:type="spellStart"/>
      <w:r w:rsidRPr="00DF7E92">
        <w:rPr>
          <w:sz w:val="20"/>
          <w:szCs w:val="24"/>
          <w:lang w:val="fr-CA"/>
        </w:rPr>
        <w:t>Qc</w:t>
      </w:r>
      <w:proofErr w:type="spellEnd"/>
      <w:r w:rsidRPr="00DF7E92">
        <w:rPr>
          <w:sz w:val="20"/>
          <w:szCs w:val="24"/>
          <w:lang w:val="fr-CA"/>
        </w:rPr>
        <w:t>) (Criminelle) (Autorisation)</w:t>
      </w:r>
    </w:p>
    <w:p w:rsidR="00DF7E92" w:rsidRPr="00DF7E92" w:rsidRDefault="00DF7E92" w:rsidP="00DF7E92">
      <w:pPr>
        <w:tabs>
          <w:tab w:val="left" w:pos="1458"/>
        </w:tabs>
        <w:rPr>
          <w:sz w:val="20"/>
          <w:lang w:val="fr-CA"/>
        </w:rPr>
      </w:pPr>
    </w:p>
    <w:p w:rsidR="00DF7E92" w:rsidRPr="00DF7E92" w:rsidRDefault="00DF7E92" w:rsidP="00DF7E92">
      <w:pPr>
        <w:rPr>
          <w:sz w:val="20"/>
          <w:szCs w:val="24"/>
          <w:lang w:val="fr-CA"/>
        </w:rPr>
      </w:pPr>
      <w:r w:rsidRPr="00DF7E92">
        <w:rPr>
          <w:sz w:val="20"/>
          <w:szCs w:val="24"/>
          <w:lang w:val="fr-CA"/>
        </w:rPr>
        <w:t>Coram :</w:t>
      </w:r>
      <w:r w:rsidRPr="00DF7E92">
        <w:rPr>
          <w:sz w:val="20"/>
          <w:szCs w:val="24"/>
          <w:lang w:val="fr-CA"/>
        </w:rPr>
        <w:tab/>
      </w:r>
      <w:r w:rsidRPr="00DF7E92">
        <w:rPr>
          <w:sz w:val="20"/>
          <w:szCs w:val="24"/>
          <w:u w:val="single"/>
          <w:lang w:val="fr-CA"/>
        </w:rPr>
        <w:t xml:space="preserve">Les juges </w:t>
      </w:r>
      <w:proofErr w:type="spellStart"/>
      <w:r w:rsidRPr="00DF7E92">
        <w:rPr>
          <w:sz w:val="20"/>
          <w:szCs w:val="24"/>
          <w:u w:val="single"/>
          <w:lang w:val="fr-CA"/>
        </w:rPr>
        <w:t>LeBel</w:t>
      </w:r>
      <w:proofErr w:type="spellEnd"/>
      <w:r w:rsidRPr="00DF7E92">
        <w:rPr>
          <w:sz w:val="20"/>
          <w:szCs w:val="24"/>
          <w:u w:val="single"/>
          <w:lang w:val="fr-CA"/>
        </w:rPr>
        <w:t>, Abella et Cromwell</w:t>
      </w:r>
    </w:p>
    <w:p w:rsidR="00DF7E92" w:rsidRPr="00DF7E92" w:rsidRDefault="00DF7E92" w:rsidP="00DF7E92">
      <w:pPr>
        <w:tabs>
          <w:tab w:val="left" w:pos="1458"/>
        </w:tabs>
        <w:rPr>
          <w:sz w:val="20"/>
          <w:u w:val="single"/>
          <w:lang w:val="fr-CA"/>
        </w:rPr>
      </w:pPr>
    </w:p>
    <w:p w:rsidR="00DF7E92" w:rsidRPr="00DF7E92" w:rsidRDefault="00DF7E92" w:rsidP="00DF7E92">
      <w:pPr>
        <w:ind w:firstLine="720"/>
        <w:jc w:val="both"/>
        <w:rPr>
          <w:sz w:val="20"/>
          <w:szCs w:val="24"/>
          <w:lang w:val="fr-CA"/>
        </w:rPr>
      </w:pPr>
      <w:r w:rsidRPr="00DF7E92">
        <w:rPr>
          <w:sz w:val="20"/>
          <w:szCs w:val="24"/>
          <w:lang w:val="fr-CA"/>
        </w:rPr>
        <w:t>La demande d’autorisation d’appel de l’arrêt de la Cour d’appel du Québec (Montréal), numéro 500-10-004234-082, 2011 QCCA 2250, daté du 7 décembre 2011, est rejetée sans dépens.</w:t>
      </w:r>
    </w:p>
    <w:p w:rsidR="00DF7E92" w:rsidRPr="00DF7E92" w:rsidRDefault="00DF7E92" w:rsidP="00DF7E92">
      <w:pPr>
        <w:jc w:val="both"/>
        <w:rPr>
          <w:sz w:val="20"/>
          <w:szCs w:val="24"/>
          <w:lang w:val="fr-CA"/>
        </w:rPr>
      </w:pPr>
    </w:p>
    <w:p w:rsidR="00DF7E92" w:rsidRPr="00DF7E92" w:rsidRDefault="00DF7E92" w:rsidP="00DF7E92">
      <w:pPr>
        <w:ind w:firstLine="720"/>
        <w:jc w:val="both"/>
        <w:rPr>
          <w:sz w:val="20"/>
          <w:szCs w:val="24"/>
        </w:rPr>
      </w:pPr>
      <w:r w:rsidRPr="00DF7E92">
        <w:rPr>
          <w:sz w:val="20"/>
          <w:szCs w:val="24"/>
        </w:rPr>
        <w:t>The application for leave to appeal from the judgment of the Court of Appeal of Quebec (Montréal), Number 500-10-004234-082, 2011 QCCA 2250, dated December 7, 2011, is dismissed without costs.</w:t>
      </w:r>
    </w:p>
    <w:p w:rsidR="00DF7E92" w:rsidRPr="00DF7E92" w:rsidRDefault="00DF7E92" w:rsidP="00DF7E92">
      <w:pPr>
        <w:rPr>
          <w:sz w:val="20"/>
        </w:rPr>
      </w:pPr>
    </w:p>
    <w:p w:rsidR="00DF7E92" w:rsidRDefault="00DF7E92" w:rsidP="002B3BCC">
      <w:pPr>
        <w:rPr>
          <w:sz w:val="20"/>
          <w:szCs w:val="20"/>
          <w:u w:val="single"/>
        </w:rPr>
      </w:pPr>
    </w:p>
    <w:p w:rsidR="002B3BCC" w:rsidRPr="001B157C" w:rsidRDefault="002B3BCC" w:rsidP="002B3BCC">
      <w:pPr>
        <w:rPr>
          <w:sz w:val="20"/>
          <w:szCs w:val="20"/>
          <w:u w:val="single"/>
        </w:rPr>
      </w:pPr>
      <w:r w:rsidRPr="001B157C">
        <w:rPr>
          <w:sz w:val="20"/>
          <w:szCs w:val="20"/>
          <w:u w:val="single"/>
        </w:rPr>
        <w:t>CASE SUMMARY</w:t>
      </w:r>
    </w:p>
    <w:p w:rsidR="002B3BCC" w:rsidRPr="0072677B" w:rsidRDefault="002B3BCC" w:rsidP="002B3BC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B3BCC" w:rsidRPr="005635DC" w:rsidTr="002B3BCC">
        <w:tc>
          <w:tcPr>
            <w:tcW w:w="5000" w:type="pct"/>
            <w:gridSpan w:val="3"/>
          </w:tcPr>
          <w:p w:rsidR="002B3BCC" w:rsidRPr="005635DC" w:rsidRDefault="002B3BCC" w:rsidP="002B3BCC">
            <w:pPr>
              <w:jc w:val="both"/>
              <w:rPr>
                <w:rFonts w:eastAsia="Calibri"/>
                <w:sz w:val="20"/>
              </w:rPr>
            </w:pPr>
            <w:r w:rsidRPr="005635DC">
              <w:rPr>
                <w:rFonts w:eastAsia="Calibri"/>
                <w:sz w:val="20"/>
              </w:rPr>
              <w:t xml:space="preserve">Criminal law – Charge to jury – Jurors – Whether Court of Appeal erred in law in declaring that Superior Court’s </w:t>
            </w:r>
            <w:r w:rsidRPr="005635DC">
              <w:rPr>
                <w:rFonts w:eastAsia="Calibri"/>
                <w:i/>
                <w:sz w:val="20"/>
              </w:rPr>
              <w:t>Duncan</w:t>
            </w:r>
            <w:r w:rsidRPr="005635DC">
              <w:rPr>
                <w:rFonts w:eastAsia="Calibri"/>
                <w:sz w:val="20"/>
              </w:rPr>
              <w:t xml:space="preserve"> instructions concerning statements by accused had not affected fairness of trial – Whether Court of Appeal erred in law in concluding that instructions concerning subjective nature of requisite intent had not affected fairness of trial – Whether Court of Appeal erred in law in concluding that Superior Court judge had properly exercised his discretion by not conducting inquiry based on jury note J</w:t>
            </w:r>
            <w:r w:rsidRPr="005635DC">
              <w:rPr>
                <w:rFonts w:eastAsia="Calibri"/>
                <w:sz w:val="20"/>
              </w:rPr>
              <w:noBreakHyphen/>
              <w:t>6 informing Court that juror was being intimidated and that therefore his judgment was no longer reasonable.</w:t>
            </w:r>
          </w:p>
        </w:tc>
      </w:tr>
      <w:tr w:rsidR="002B3BCC" w:rsidRPr="005635DC" w:rsidTr="002B3BCC">
        <w:tc>
          <w:tcPr>
            <w:tcW w:w="5000" w:type="pct"/>
            <w:gridSpan w:val="3"/>
          </w:tcPr>
          <w:p w:rsidR="002B3BCC" w:rsidRPr="005635DC" w:rsidRDefault="002B3BCC" w:rsidP="002B3BCC">
            <w:pPr>
              <w:jc w:val="both"/>
              <w:rPr>
                <w:rFonts w:eastAsia="Calibri"/>
                <w:sz w:val="20"/>
              </w:rPr>
            </w:pPr>
          </w:p>
        </w:tc>
      </w:tr>
      <w:tr w:rsidR="002B3BCC" w:rsidRPr="005635DC" w:rsidTr="002B3BCC">
        <w:tc>
          <w:tcPr>
            <w:tcW w:w="5000" w:type="pct"/>
            <w:gridSpan w:val="3"/>
          </w:tcPr>
          <w:p w:rsidR="002B3BCC" w:rsidRPr="005635DC" w:rsidRDefault="002B3BCC" w:rsidP="002B3BCC">
            <w:pPr>
              <w:jc w:val="both"/>
              <w:rPr>
                <w:rFonts w:eastAsia="Calibri"/>
                <w:sz w:val="20"/>
              </w:rPr>
            </w:pPr>
            <w:r w:rsidRPr="005635DC">
              <w:rPr>
                <w:rFonts w:eastAsia="Calibri"/>
                <w:sz w:val="20"/>
              </w:rPr>
              <w:t>Following an altercation earlier in the evening of August 23, 2000, during which the victim assaulted the applicant, the applicant took a knife, found the victim and stabbed the victim in the back. The stab wound proved fatal to the victim. Following a jury trial, the applicant was convicted of second degree murder.  The Court of Appeal dismissed his appeal.</w:t>
            </w:r>
          </w:p>
          <w:p w:rsidR="002B3BCC" w:rsidRPr="005635DC" w:rsidRDefault="002B3BCC" w:rsidP="002B3BCC">
            <w:pPr>
              <w:jc w:val="both"/>
              <w:rPr>
                <w:rFonts w:eastAsia="Calibri"/>
                <w:sz w:val="20"/>
              </w:rPr>
            </w:pPr>
          </w:p>
        </w:tc>
      </w:tr>
      <w:tr w:rsidR="002B3BCC" w:rsidRPr="005635DC" w:rsidTr="002B3BCC">
        <w:tc>
          <w:tcPr>
            <w:tcW w:w="2427" w:type="pct"/>
          </w:tcPr>
          <w:p w:rsidR="002B3BCC" w:rsidRPr="005635DC" w:rsidRDefault="002B3BCC" w:rsidP="002B3BCC">
            <w:pPr>
              <w:jc w:val="both"/>
              <w:rPr>
                <w:rFonts w:eastAsia="Calibri"/>
                <w:sz w:val="20"/>
              </w:rPr>
            </w:pPr>
            <w:r w:rsidRPr="005635DC">
              <w:rPr>
                <w:rFonts w:eastAsia="Calibri"/>
                <w:sz w:val="20"/>
              </w:rPr>
              <w:t>October 3, 2008</w:t>
            </w:r>
          </w:p>
          <w:p w:rsidR="002B3BCC" w:rsidRPr="005635DC" w:rsidRDefault="002B3BCC" w:rsidP="002B3BCC">
            <w:pPr>
              <w:jc w:val="both"/>
              <w:rPr>
                <w:rFonts w:eastAsia="Calibri"/>
                <w:sz w:val="20"/>
              </w:rPr>
            </w:pPr>
            <w:r w:rsidRPr="005635DC">
              <w:rPr>
                <w:rFonts w:eastAsia="Calibri"/>
                <w:sz w:val="20"/>
              </w:rPr>
              <w:t>Quebec Superior Court</w:t>
            </w:r>
          </w:p>
          <w:p w:rsidR="002B3BCC" w:rsidRPr="005635DC" w:rsidRDefault="002B3BCC" w:rsidP="002B3BCC">
            <w:pPr>
              <w:jc w:val="both"/>
              <w:rPr>
                <w:rFonts w:eastAsia="Calibri"/>
                <w:sz w:val="20"/>
              </w:rPr>
            </w:pPr>
            <w:r w:rsidRPr="005635DC">
              <w:rPr>
                <w:rFonts w:eastAsia="Calibri"/>
                <w:sz w:val="20"/>
              </w:rPr>
              <w:t>(Fraser J.)</w:t>
            </w:r>
          </w:p>
          <w:p w:rsidR="002B3BCC" w:rsidRPr="005635DC" w:rsidRDefault="002B3BCC" w:rsidP="002B3BCC">
            <w:pPr>
              <w:jc w:val="both"/>
              <w:rPr>
                <w:rFonts w:eastAsia="Calibri"/>
                <w:sz w:val="20"/>
              </w:rPr>
            </w:pPr>
          </w:p>
        </w:tc>
        <w:tc>
          <w:tcPr>
            <w:tcW w:w="243" w:type="pct"/>
          </w:tcPr>
          <w:p w:rsidR="002B3BCC" w:rsidRPr="005635DC" w:rsidRDefault="002B3BCC" w:rsidP="002B3BCC">
            <w:pPr>
              <w:jc w:val="both"/>
              <w:rPr>
                <w:rFonts w:eastAsia="Calibri"/>
                <w:sz w:val="20"/>
              </w:rPr>
            </w:pPr>
          </w:p>
        </w:tc>
        <w:tc>
          <w:tcPr>
            <w:tcW w:w="2330" w:type="pct"/>
          </w:tcPr>
          <w:p w:rsidR="002B3BCC" w:rsidRPr="005635DC" w:rsidRDefault="002B3BCC" w:rsidP="002B3BCC">
            <w:pPr>
              <w:jc w:val="both"/>
              <w:rPr>
                <w:rFonts w:eastAsia="Calibri"/>
                <w:sz w:val="20"/>
              </w:rPr>
            </w:pPr>
            <w:r w:rsidRPr="005635DC">
              <w:rPr>
                <w:rFonts w:eastAsia="Calibri"/>
                <w:sz w:val="20"/>
              </w:rPr>
              <w:t>Applicant convicted of second degree murder</w:t>
            </w:r>
          </w:p>
          <w:p w:rsidR="002B3BCC" w:rsidRPr="005635DC" w:rsidRDefault="002B3BCC" w:rsidP="002B3BCC">
            <w:pPr>
              <w:jc w:val="both"/>
              <w:rPr>
                <w:rFonts w:eastAsia="Calibri"/>
                <w:sz w:val="20"/>
              </w:rPr>
            </w:pPr>
          </w:p>
        </w:tc>
      </w:tr>
      <w:tr w:rsidR="002B3BCC" w:rsidRPr="005635DC" w:rsidTr="002B3BCC">
        <w:tc>
          <w:tcPr>
            <w:tcW w:w="2427" w:type="pct"/>
          </w:tcPr>
          <w:p w:rsidR="002B3BCC" w:rsidRPr="005635DC" w:rsidRDefault="002B3BCC" w:rsidP="002B3BCC">
            <w:pPr>
              <w:jc w:val="both"/>
              <w:rPr>
                <w:rFonts w:eastAsia="Calibri"/>
                <w:sz w:val="20"/>
              </w:rPr>
            </w:pPr>
            <w:r w:rsidRPr="005635DC">
              <w:rPr>
                <w:rFonts w:eastAsia="Calibri"/>
                <w:sz w:val="20"/>
              </w:rPr>
              <w:t>December 7, 2011</w:t>
            </w:r>
          </w:p>
          <w:p w:rsidR="002B3BCC" w:rsidRPr="005635DC" w:rsidRDefault="002B3BCC" w:rsidP="002B3BCC">
            <w:pPr>
              <w:jc w:val="both"/>
              <w:rPr>
                <w:rFonts w:eastAsia="Calibri"/>
                <w:sz w:val="20"/>
              </w:rPr>
            </w:pPr>
            <w:r w:rsidRPr="005635DC">
              <w:rPr>
                <w:rFonts w:eastAsia="Calibri"/>
                <w:sz w:val="20"/>
              </w:rPr>
              <w:t>Quebec Court of Appeal (Montréal)</w:t>
            </w:r>
          </w:p>
          <w:p w:rsidR="002B3BCC" w:rsidRPr="005635DC" w:rsidRDefault="002B3BCC" w:rsidP="002B3BCC">
            <w:pPr>
              <w:jc w:val="both"/>
              <w:rPr>
                <w:rFonts w:eastAsia="Calibri"/>
                <w:sz w:val="20"/>
              </w:rPr>
            </w:pPr>
            <w:r w:rsidRPr="005635DC">
              <w:rPr>
                <w:rFonts w:eastAsia="Calibri"/>
                <w:sz w:val="20"/>
              </w:rPr>
              <w:t xml:space="preserve">(Duval </w:t>
            </w:r>
            <w:proofErr w:type="spellStart"/>
            <w:r w:rsidRPr="005635DC">
              <w:rPr>
                <w:rFonts w:eastAsia="Calibri"/>
                <w:sz w:val="20"/>
              </w:rPr>
              <w:t>Hesler</w:t>
            </w:r>
            <w:proofErr w:type="spellEnd"/>
            <w:r w:rsidRPr="005635DC">
              <w:rPr>
                <w:rFonts w:eastAsia="Calibri"/>
                <w:sz w:val="20"/>
              </w:rPr>
              <w:t xml:space="preserve">, </w:t>
            </w:r>
            <w:proofErr w:type="spellStart"/>
            <w:r w:rsidRPr="005635DC">
              <w:rPr>
                <w:rFonts w:eastAsia="Calibri"/>
                <w:sz w:val="20"/>
              </w:rPr>
              <w:t>Dufresne</w:t>
            </w:r>
            <w:proofErr w:type="spellEnd"/>
            <w:r w:rsidRPr="005635DC">
              <w:rPr>
                <w:rFonts w:eastAsia="Calibri"/>
                <w:sz w:val="20"/>
              </w:rPr>
              <w:t xml:space="preserve"> and Bouchard JJ.A.)</w:t>
            </w:r>
          </w:p>
          <w:p w:rsidR="002B3BCC" w:rsidRPr="005635DC" w:rsidRDefault="002B3BCC" w:rsidP="002B3BCC">
            <w:pPr>
              <w:jc w:val="both"/>
              <w:rPr>
                <w:rFonts w:eastAsia="Calibri"/>
                <w:sz w:val="20"/>
              </w:rPr>
            </w:pPr>
            <w:r w:rsidRPr="005635DC">
              <w:rPr>
                <w:rFonts w:eastAsia="Calibri"/>
                <w:sz w:val="20"/>
              </w:rPr>
              <w:t>2011 QCCA 2250</w:t>
            </w:r>
          </w:p>
          <w:p w:rsidR="002B3BCC" w:rsidRPr="005635DC" w:rsidRDefault="002B3BCC" w:rsidP="002B3BCC">
            <w:pPr>
              <w:jc w:val="both"/>
              <w:rPr>
                <w:rFonts w:eastAsia="Calibri"/>
                <w:sz w:val="20"/>
              </w:rPr>
            </w:pPr>
          </w:p>
        </w:tc>
        <w:tc>
          <w:tcPr>
            <w:tcW w:w="243" w:type="pct"/>
          </w:tcPr>
          <w:p w:rsidR="002B3BCC" w:rsidRPr="005635DC" w:rsidRDefault="002B3BCC" w:rsidP="002B3BCC">
            <w:pPr>
              <w:jc w:val="both"/>
              <w:rPr>
                <w:rFonts w:eastAsia="Calibri"/>
                <w:sz w:val="20"/>
              </w:rPr>
            </w:pPr>
          </w:p>
        </w:tc>
        <w:tc>
          <w:tcPr>
            <w:tcW w:w="2330" w:type="pct"/>
          </w:tcPr>
          <w:p w:rsidR="002B3BCC" w:rsidRPr="005635DC" w:rsidRDefault="002B3BCC" w:rsidP="002B3BCC">
            <w:pPr>
              <w:jc w:val="both"/>
              <w:rPr>
                <w:rFonts w:eastAsia="Calibri"/>
                <w:sz w:val="20"/>
              </w:rPr>
            </w:pPr>
            <w:r w:rsidRPr="005635DC">
              <w:rPr>
                <w:rFonts w:eastAsia="Calibri"/>
                <w:sz w:val="20"/>
              </w:rPr>
              <w:t>Appeal dismissed</w:t>
            </w:r>
          </w:p>
          <w:p w:rsidR="002B3BCC" w:rsidRPr="005635DC" w:rsidRDefault="002B3BCC" w:rsidP="002B3BCC">
            <w:pPr>
              <w:jc w:val="both"/>
              <w:rPr>
                <w:rFonts w:eastAsia="Calibri"/>
                <w:sz w:val="20"/>
              </w:rPr>
            </w:pPr>
          </w:p>
        </w:tc>
      </w:tr>
      <w:tr w:rsidR="002B3BCC" w:rsidRPr="005635DC" w:rsidTr="002B3BCC">
        <w:tc>
          <w:tcPr>
            <w:tcW w:w="2427" w:type="pct"/>
          </w:tcPr>
          <w:p w:rsidR="002B3BCC" w:rsidRPr="005635DC" w:rsidRDefault="002B3BCC" w:rsidP="002B3BCC">
            <w:pPr>
              <w:jc w:val="both"/>
              <w:rPr>
                <w:rFonts w:eastAsia="Calibri"/>
                <w:sz w:val="20"/>
              </w:rPr>
            </w:pPr>
            <w:r w:rsidRPr="005635DC">
              <w:rPr>
                <w:rFonts w:eastAsia="Calibri"/>
                <w:sz w:val="20"/>
              </w:rPr>
              <w:t>February 6, 2012</w:t>
            </w:r>
          </w:p>
          <w:p w:rsidR="002B3BCC" w:rsidRPr="005635DC" w:rsidRDefault="002B3BCC" w:rsidP="00DB47E3">
            <w:pPr>
              <w:jc w:val="both"/>
              <w:rPr>
                <w:rFonts w:eastAsia="Calibri"/>
                <w:sz w:val="20"/>
              </w:rPr>
            </w:pPr>
            <w:r w:rsidRPr="005635DC">
              <w:rPr>
                <w:rFonts w:eastAsia="Calibri"/>
                <w:sz w:val="20"/>
              </w:rPr>
              <w:t>Supreme Court of Canada</w:t>
            </w:r>
          </w:p>
        </w:tc>
        <w:tc>
          <w:tcPr>
            <w:tcW w:w="243" w:type="pct"/>
          </w:tcPr>
          <w:p w:rsidR="002B3BCC" w:rsidRPr="005635DC" w:rsidRDefault="002B3BCC" w:rsidP="002B3BCC">
            <w:pPr>
              <w:jc w:val="both"/>
              <w:rPr>
                <w:rFonts w:eastAsia="Calibri"/>
                <w:sz w:val="20"/>
              </w:rPr>
            </w:pPr>
          </w:p>
        </w:tc>
        <w:tc>
          <w:tcPr>
            <w:tcW w:w="2330" w:type="pct"/>
          </w:tcPr>
          <w:p w:rsidR="002B3BCC" w:rsidRPr="005635DC" w:rsidRDefault="002B3BCC" w:rsidP="002B3BCC">
            <w:pPr>
              <w:jc w:val="both"/>
              <w:rPr>
                <w:rFonts w:eastAsia="Calibri"/>
                <w:sz w:val="20"/>
              </w:rPr>
            </w:pPr>
            <w:r w:rsidRPr="005635DC">
              <w:rPr>
                <w:rFonts w:eastAsia="Calibri"/>
                <w:sz w:val="20"/>
              </w:rPr>
              <w:t>Application for leave to appeal filed</w:t>
            </w:r>
          </w:p>
          <w:p w:rsidR="002B3BCC" w:rsidRPr="005635DC" w:rsidRDefault="002B3BCC" w:rsidP="002B3BCC">
            <w:pPr>
              <w:jc w:val="both"/>
              <w:rPr>
                <w:rFonts w:eastAsia="Calibri"/>
                <w:sz w:val="20"/>
              </w:rPr>
            </w:pPr>
          </w:p>
        </w:tc>
      </w:tr>
    </w:tbl>
    <w:p w:rsidR="002B3BCC" w:rsidRPr="007400FC" w:rsidRDefault="002B3BCC" w:rsidP="002B3BCC">
      <w:pPr>
        <w:rPr>
          <w:sz w:val="20"/>
          <w:szCs w:val="20"/>
        </w:rPr>
      </w:pPr>
    </w:p>
    <w:p w:rsidR="002B3BCC" w:rsidRPr="007400FC" w:rsidRDefault="00C90BA9" w:rsidP="002B3BCC">
      <w:pPr>
        <w:rPr>
          <w:sz w:val="20"/>
          <w:szCs w:val="20"/>
        </w:rPr>
      </w:pPr>
      <w:r w:rsidRPr="00C90BA9">
        <w:rPr>
          <w:sz w:val="20"/>
          <w:szCs w:val="20"/>
          <w:lang w:val="fr-CA"/>
        </w:rPr>
        <w:pict>
          <v:rect id="_x0000_i1041" style="width:2in;height:1pt" o:hrpct="0" o:hralign="center" o:hrstd="t" o:hrnoshade="t" o:hr="t" fillcolor="black [3213]" stroked="f"/>
        </w:pict>
      </w:r>
    </w:p>
    <w:p w:rsidR="002B3BCC" w:rsidRPr="007400FC" w:rsidRDefault="002B3BCC" w:rsidP="002B3BCC">
      <w:pPr>
        <w:rPr>
          <w:sz w:val="20"/>
          <w:szCs w:val="20"/>
        </w:rPr>
      </w:pPr>
    </w:p>
    <w:p w:rsidR="002B3BCC" w:rsidRPr="007400FC" w:rsidRDefault="002B3BCC" w:rsidP="002B3BCC">
      <w:pPr>
        <w:rPr>
          <w:sz w:val="20"/>
          <w:szCs w:val="20"/>
          <w:u w:val="single"/>
          <w:lang w:val="fr-CA"/>
        </w:rPr>
      </w:pPr>
      <w:r w:rsidRPr="007400FC">
        <w:rPr>
          <w:sz w:val="20"/>
          <w:szCs w:val="20"/>
          <w:u w:val="single"/>
          <w:lang w:val="fr-CA"/>
        </w:rPr>
        <w:t>RÉSUMÉ</w:t>
      </w:r>
      <w:r w:rsidRPr="00493CD2">
        <w:rPr>
          <w:sz w:val="20"/>
          <w:szCs w:val="20"/>
          <w:u w:val="single"/>
          <w:lang w:val="fr-CA"/>
        </w:rPr>
        <w:t xml:space="preserve"> </w:t>
      </w:r>
      <w:r w:rsidRPr="001B157C">
        <w:rPr>
          <w:sz w:val="20"/>
          <w:szCs w:val="20"/>
          <w:u w:val="single"/>
          <w:lang w:val="fr-CA"/>
        </w:rPr>
        <w:t>DE L’AFFAIRE</w:t>
      </w:r>
      <w:r w:rsidRPr="007400FC">
        <w:rPr>
          <w:sz w:val="20"/>
          <w:szCs w:val="20"/>
          <w:u w:val="single"/>
          <w:lang w:val="fr-CA"/>
        </w:rPr>
        <w:t xml:space="preserve"> </w:t>
      </w:r>
    </w:p>
    <w:p w:rsidR="002B3BCC" w:rsidRPr="007400FC" w:rsidRDefault="002B3BCC" w:rsidP="002B3BC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B3BCC" w:rsidRPr="005252ED" w:rsidTr="002B3BCC">
        <w:tc>
          <w:tcPr>
            <w:tcW w:w="5000" w:type="pct"/>
            <w:gridSpan w:val="3"/>
          </w:tcPr>
          <w:p w:rsidR="002B3BCC" w:rsidRPr="005635DC" w:rsidRDefault="002B3BCC" w:rsidP="002B3BCC">
            <w:pPr>
              <w:jc w:val="both"/>
              <w:rPr>
                <w:sz w:val="20"/>
                <w:lang w:val="fr-CA"/>
              </w:rPr>
            </w:pPr>
            <w:r w:rsidRPr="005635DC">
              <w:rPr>
                <w:sz w:val="20"/>
                <w:lang w:val="fr-CA"/>
              </w:rPr>
              <w:t xml:space="preserve">Droit criminel – Exposé au jury – Jurés – La Cour d’appel a-t-elle erré en droit en déclarant que les directives de la Cour supérieure de type </w:t>
            </w:r>
            <w:r w:rsidRPr="005635DC">
              <w:rPr>
                <w:i/>
                <w:sz w:val="20"/>
                <w:lang w:val="fr-CA"/>
              </w:rPr>
              <w:t>Duncan</w:t>
            </w:r>
            <w:r w:rsidRPr="005635DC">
              <w:rPr>
                <w:sz w:val="20"/>
                <w:lang w:val="fr-CA"/>
              </w:rPr>
              <w:t xml:space="preserve"> relativement aux déclarations de l’accusé n’avaient pas atteint l’équité du procès? – La Cour d’appel a-t-elle erré en droit en concluant que les directives quant au caractère subjectif de l’intention requise n’avaient pas affecté l’équité du procès? – La Cour d’appel a-t-elle erré en droit en concluant que le juge de la Cour supérieure avait bien exercé sa discrétion en ne faisant pas enquête devant la note du jury J-6 avisant le Tribunal qu’il était victime d’intimidations et que conséquemment son jugement n’était plus raisonnable?</w:t>
            </w:r>
          </w:p>
        </w:tc>
      </w:tr>
      <w:tr w:rsidR="002B3BCC" w:rsidRPr="005252ED" w:rsidTr="002B3BCC">
        <w:tc>
          <w:tcPr>
            <w:tcW w:w="5000" w:type="pct"/>
            <w:gridSpan w:val="3"/>
          </w:tcPr>
          <w:p w:rsidR="002B3BCC" w:rsidRPr="005635DC" w:rsidRDefault="002B3BCC" w:rsidP="002B3BCC">
            <w:pPr>
              <w:jc w:val="both"/>
              <w:rPr>
                <w:sz w:val="20"/>
                <w:lang w:val="fr-CA"/>
              </w:rPr>
            </w:pPr>
          </w:p>
        </w:tc>
      </w:tr>
      <w:tr w:rsidR="002B3BCC" w:rsidRPr="005635DC" w:rsidTr="002B3BCC">
        <w:tc>
          <w:tcPr>
            <w:tcW w:w="5000" w:type="pct"/>
            <w:gridSpan w:val="3"/>
          </w:tcPr>
          <w:p w:rsidR="002B3BCC" w:rsidRPr="005635DC" w:rsidRDefault="002B3BCC" w:rsidP="002B3BCC">
            <w:pPr>
              <w:jc w:val="both"/>
              <w:rPr>
                <w:sz w:val="20"/>
              </w:rPr>
            </w:pPr>
            <w:r w:rsidRPr="005635DC">
              <w:rPr>
                <w:sz w:val="20"/>
                <w:lang w:val="fr-CA"/>
              </w:rPr>
              <w:t xml:space="preserve">Après une altercation plus tôt dans la soirée du 23 août 2000 durant laquelle la victime agresse le demandeur, le demandeur se munit d’un couteau, retrouve la victime et la poignarde dans le dos. Le coup de couteau s’avère fatal pour la victime. Suite à un procès devant jury, le demandeur est déclaré coupable de meurtre au deuxième degré. </w:t>
            </w:r>
            <w:r w:rsidRPr="005635DC">
              <w:rPr>
                <w:sz w:val="20"/>
              </w:rPr>
              <w:t xml:space="preserve">La </w:t>
            </w:r>
            <w:proofErr w:type="spellStart"/>
            <w:r w:rsidRPr="005635DC">
              <w:rPr>
                <w:sz w:val="20"/>
              </w:rPr>
              <w:t>Cour</w:t>
            </w:r>
            <w:proofErr w:type="spellEnd"/>
            <w:r w:rsidRPr="005635DC">
              <w:rPr>
                <w:sz w:val="20"/>
              </w:rPr>
              <w:t xml:space="preserve"> </w:t>
            </w:r>
            <w:proofErr w:type="spellStart"/>
            <w:r w:rsidRPr="005635DC">
              <w:rPr>
                <w:sz w:val="20"/>
              </w:rPr>
              <w:t>d’appel</w:t>
            </w:r>
            <w:proofErr w:type="spellEnd"/>
            <w:r w:rsidRPr="005635DC">
              <w:rPr>
                <w:sz w:val="20"/>
              </w:rPr>
              <w:t xml:space="preserve"> </w:t>
            </w:r>
            <w:proofErr w:type="spellStart"/>
            <w:r w:rsidRPr="005635DC">
              <w:rPr>
                <w:sz w:val="20"/>
              </w:rPr>
              <w:t>rejette</w:t>
            </w:r>
            <w:proofErr w:type="spellEnd"/>
            <w:r w:rsidRPr="005635DC">
              <w:rPr>
                <w:sz w:val="20"/>
              </w:rPr>
              <w:t xml:space="preserve"> son </w:t>
            </w:r>
            <w:proofErr w:type="spellStart"/>
            <w:r w:rsidRPr="005635DC">
              <w:rPr>
                <w:sz w:val="20"/>
              </w:rPr>
              <w:t>appel</w:t>
            </w:r>
            <w:proofErr w:type="spellEnd"/>
            <w:r w:rsidRPr="005635DC">
              <w:rPr>
                <w:sz w:val="20"/>
              </w:rPr>
              <w:t>.</w:t>
            </w:r>
          </w:p>
          <w:p w:rsidR="002B3BCC" w:rsidRPr="005635DC" w:rsidRDefault="002B3BCC" w:rsidP="002B3BCC">
            <w:pPr>
              <w:jc w:val="both"/>
              <w:rPr>
                <w:sz w:val="20"/>
              </w:rPr>
            </w:pPr>
          </w:p>
        </w:tc>
      </w:tr>
      <w:tr w:rsidR="002B3BCC" w:rsidRPr="005252ED" w:rsidTr="002B3BCC">
        <w:tc>
          <w:tcPr>
            <w:tcW w:w="2427" w:type="pct"/>
          </w:tcPr>
          <w:p w:rsidR="002B3BCC" w:rsidRPr="005635DC" w:rsidRDefault="002B3BCC" w:rsidP="002B3BCC">
            <w:pPr>
              <w:jc w:val="both"/>
              <w:rPr>
                <w:sz w:val="20"/>
                <w:lang w:val="fr-CA"/>
              </w:rPr>
            </w:pPr>
            <w:r w:rsidRPr="005635DC">
              <w:rPr>
                <w:sz w:val="20"/>
                <w:lang w:val="fr-CA"/>
              </w:rPr>
              <w:t>Le 3 octobre 2008</w:t>
            </w:r>
          </w:p>
          <w:p w:rsidR="002B3BCC" w:rsidRPr="005635DC" w:rsidRDefault="002B3BCC" w:rsidP="002B3BCC">
            <w:pPr>
              <w:jc w:val="both"/>
              <w:rPr>
                <w:sz w:val="20"/>
                <w:lang w:val="fr-CA"/>
              </w:rPr>
            </w:pPr>
            <w:r w:rsidRPr="005635DC">
              <w:rPr>
                <w:sz w:val="20"/>
                <w:lang w:val="fr-CA"/>
              </w:rPr>
              <w:t>Cour supérieure du Québec</w:t>
            </w:r>
          </w:p>
          <w:p w:rsidR="002B3BCC" w:rsidRPr="005635DC" w:rsidRDefault="002B3BCC" w:rsidP="002B3BCC">
            <w:pPr>
              <w:jc w:val="both"/>
              <w:rPr>
                <w:sz w:val="20"/>
              </w:rPr>
            </w:pPr>
            <w:r w:rsidRPr="005635DC">
              <w:rPr>
                <w:sz w:val="20"/>
              </w:rPr>
              <w:t xml:space="preserve">(Le </w:t>
            </w:r>
            <w:proofErr w:type="spellStart"/>
            <w:r w:rsidRPr="005635DC">
              <w:rPr>
                <w:sz w:val="20"/>
              </w:rPr>
              <w:t>juge</w:t>
            </w:r>
            <w:proofErr w:type="spellEnd"/>
            <w:r w:rsidRPr="005635DC">
              <w:rPr>
                <w:sz w:val="20"/>
              </w:rPr>
              <w:t xml:space="preserve"> Fraser)</w:t>
            </w:r>
          </w:p>
          <w:p w:rsidR="002B3BCC" w:rsidRPr="005635DC" w:rsidRDefault="002B3BCC" w:rsidP="002B3BCC">
            <w:pPr>
              <w:jc w:val="both"/>
              <w:rPr>
                <w:sz w:val="20"/>
              </w:rPr>
            </w:pPr>
          </w:p>
        </w:tc>
        <w:tc>
          <w:tcPr>
            <w:tcW w:w="243" w:type="pct"/>
          </w:tcPr>
          <w:p w:rsidR="002B3BCC" w:rsidRPr="005635DC" w:rsidRDefault="002B3BCC" w:rsidP="002B3BCC">
            <w:pPr>
              <w:jc w:val="both"/>
              <w:rPr>
                <w:sz w:val="20"/>
              </w:rPr>
            </w:pPr>
          </w:p>
        </w:tc>
        <w:tc>
          <w:tcPr>
            <w:tcW w:w="2330" w:type="pct"/>
          </w:tcPr>
          <w:p w:rsidR="002B3BCC" w:rsidRPr="005635DC" w:rsidRDefault="002B3BCC" w:rsidP="002B3BCC">
            <w:pPr>
              <w:jc w:val="both"/>
              <w:rPr>
                <w:sz w:val="20"/>
                <w:lang w:val="fr-CA"/>
              </w:rPr>
            </w:pPr>
            <w:r w:rsidRPr="005635DC">
              <w:rPr>
                <w:sz w:val="20"/>
                <w:lang w:val="fr-CA"/>
              </w:rPr>
              <w:t>Verdict : coupable de meurtre au deuxième degré</w:t>
            </w:r>
          </w:p>
          <w:p w:rsidR="002B3BCC" w:rsidRPr="005635DC" w:rsidRDefault="002B3BCC" w:rsidP="002B3BCC">
            <w:pPr>
              <w:jc w:val="both"/>
              <w:rPr>
                <w:sz w:val="20"/>
                <w:lang w:val="fr-CA"/>
              </w:rPr>
            </w:pPr>
          </w:p>
        </w:tc>
      </w:tr>
      <w:tr w:rsidR="002B3BCC" w:rsidRPr="005635DC" w:rsidTr="002B3BCC">
        <w:tc>
          <w:tcPr>
            <w:tcW w:w="2427" w:type="pct"/>
          </w:tcPr>
          <w:p w:rsidR="002B3BCC" w:rsidRPr="005635DC" w:rsidRDefault="002B3BCC" w:rsidP="002B3BCC">
            <w:pPr>
              <w:jc w:val="both"/>
              <w:rPr>
                <w:sz w:val="20"/>
                <w:lang w:val="fr-CA"/>
              </w:rPr>
            </w:pPr>
            <w:r w:rsidRPr="005635DC">
              <w:rPr>
                <w:sz w:val="20"/>
                <w:lang w:val="fr-CA"/>
              </w:rPr>
              <w:t>Le 7 décembre 2011</w:t>
            </w:r>
          </w:p>
          <w:p w:rsidR="002B3BCC" w:rsidRPr="005635DC" w:rsidRDefault="002B3BCC" w:rsidP="002B3BCC">
            <w:pPr>
              <w:jc w:val="both"/>
              <w:rPr>
                <w:sz w:val="20"/>
                <w:lang w:val="fr-CA"/>
              </w:rPr>
            </w:pPr>
            <w:r w:rsidRPr="005635DC">
              <w:rPr>
                <w:sz w:val="20"/>
                <w:lang w:val="fr-CA"/>
              </w:rPr>
              <w:t>Cour d’appel du Québec (Montréal)</w:t>
            </w:r>
          </w:p>
          <w:p w:rsidR="002B3BCC" w:rsidRPr="005635DC" w:rsidRDefault="002B3BCC" w:rsidP="002B3BCC">
            <w:pPr>
              <w:jc w:val="both"/>
              <w:rPr>
                <w:sz w:val="20"/>
                <w:lang w:val="fr-CA"/>
              </w:rPr>
            </w:pPr>
            <w:r w:rsidRPr="005635DC">
              <w:rPr>
                <w:sz w:val="20"/>
                <w:lang w:val="fr-CA"/>
              </w:rPr>
              <w:t xml:space="preserve">(Les juges Duval </w:t>
            </w:r>
            <w:proofErr w:type="spellStart"/>
            <w:r w:rsidRPr="005635DC">
              <w:rPr>
                <w:sz w:val="20"/>
                <w:lang w:val="fr-CA"/>
              </w:rPr>
              <w:t>Hesler</w:t>
            </w:r>
            <w:proofErr w:type="spellEnd"/>
            <w:r w:rsidRPr="005635DC">
              <w:rPr>
                <w:sz w:val="20"/>
                <w:lang w:val="fr-CA"/>
              </w:rPr>
              <w:t>, Dufresne et Bouchard)</w:t>
            </w:r>
          </w:p>
          <w:p w:rsidR="002B3BCC" w:rsidRPr="005635DC" w:rsidRDefault="002B3BCC" w:rsidP="002B3BCC">
            <w:pPr>
              <w:jc w:val="both"/>
              <w:rPr>
                <w:sz w:val="20"/>
              </w:rPr>
            </w:pPr>
            <w:r w:rsidRPr="005635DC">
              <w:rPr>
                <w:sz w:val="20"/>
              </w:rPr>
              <w:t>2011 QCCA 2250</w:t>
            </w:r>
          </w:p>
          <w:p w:rsidR="002B3BCC" w:rsidRPr="005635DC" w:rsidRDefault="002B3BCC" w:rsidP="002B3BCC">
            <w:pPr>
              <w:jc w:val="both"/>
              <w:rPr>
                <w:sz w:val="20"/>
              </w:rPr>
            </w:pPr>
          </w:p>
        </w:tc>
        <w:tc>
          <w:tcPr>
            <w:tcW w:w="243" w:type="pct"/>
          </w:tcPr>
          <w:p w:rsidR="002B3BCC" w:rsidRPr="005635DC" w:rsidRDefault="002B3BCC" w:rsidP="002B3BCC">
            <w:pPr>
              <w:jc w:val="both"/>
              <w:rPr>
                <w:sz w:val="20"/>
              </w:rPr>
            </w:pPr>
          </w:p>
        </w:tc>
        <w:tc>
          <w:tcPr>
            <w:tcW w:w="2330" w:type="pct"/>
          </w:tcPr>
          <w:p w:rsidR="002B3BCC" w:rsidRPr="005635DC" w:rsidRDefault="002B3BCC" w:rsidP="002B3BCC">
            <w:pPr>
              <w:jc w:val="both"/>
              <w:rPr>
                <w:sz w:val="20"/>
              </w:rPr>
            </w:pPr>
            <w:proofErr w:type="spellStart"/>
            <w:r w:rsidRPr="005635DC">
              <w:rPr>
                <w:sz w:val="20"/>
              </w:rPr>
              <w:t>Appel</w:t>
            </w:r>
            <w:proofErr w:type="spellEnd"/>
            <w:r w:rsidRPr="005635DC">
              <w:rPr>
                <w:sz w:val="20"/>
              </w:rPr>
              <w:t xml:space="preserve"> </w:t>
            </w:r>
            <w:proofErr w:type="spellStart"/>
            <w:r w:rsidRPr="005635DC">
              <w:rPr>
                <w:sz w:val="20"/>
              </w:rPr>
              <w:t>rejeté</w:t>
            </w:r>
            <w:proofErr w:type="spellEnd"/>
          </w:p>
          <w:p w:rsidR="002B3BCC" w:rsidRPr="005635DC" w:rsidRDefault="002B3BCC" w:rsidP="002B3BCC">
            <w:pPr>
              <w:jc w:val="both"/>
              <w:rPr>
                <w:sz w:val="20"/>
              </w:rPr>
            </w:pPr>
          </w:p>
        </w:tc>
      </w:tr>
      <w:tr w:rsidR="002B3BCC" w:rsidRPr="005635DC" w:rsidTr="002B3BCC">
        <w:tc>
          <w:tcPr>
            <w:tcW w:w="2427" w:type="pct"/>
          </w:tcPr>
          <w:p w:rsidR="002B3BCC" w:rsidRPr="005635DC" w:rsidRDefault="002B3BCC" w:rsidP="002B3BCC">
            <w:pPr>
              <w:jc w:val="both"/>
              <w:rPr>
                <w:sz w:val="20"/>
                <w:lang w:val="fr-CA"/>
              </w:rPr>
            </w:pPr>
            <w:r w:rsidRPr="005635DC">
              <w:rPr>
                <w:sz w:val="20"/>
                <w:lang w:val="fr-CA"/>
              </w:rPr>
              <w:t>Le 6 février 2012</w:t>
            </w:r>
          </w:p>
          <w:p w:rsidR="002B3BCC" w:rsidRPr="005635DC" w:rsidRDefault="002B3BCC" w:rsidP="00DB47E3">
            <w:pPr>
              <w:jc w:val="both"/>
              <w:rPr>
                <w:sz w:val="20"/>
                <w:lang w:val="fr-CA"/>
              </w:rPr>
            </w:pPr>
            <w:r w:rsidRPr="005635DC">
              <w:rPr>
                <w:sz w:val="20"/>
                <w:lang w:val="fr-CA"/>
              </w:rPr>
              <w:t>Cour suprême du Canada</w:t>
            </w:r>
          </w:p>
        </w:tc>
        <w:tc>
          <w:tcPr>
            <w:tcW w:w="243" w:type="pct"/>
          </w:tcPr>
          <w:p w:rsidR="002B3BCC" w:rsidRPr="005635DC" w:rsidRDefault="002B3BCC" w:rsidP="002B3BCC">
            <w:pPr>
              <w:jc w:val="both"/>
              <w:rPr>
                <w:sz w:val="20"/>
                <w:lang w:val="fr-CA"/>
              </w:rPr>
            </w:pPr>
          </w:p>
        </w:tc>
        <w:tc>
          <w:tcPr>
            <w:tcW w:w="2330" w:type="pct"/>
          </w:tcPr>
          <w:p w:rsidR="002B3BCC" w:rsidRPr="005635DC" w:rsidRDefault="002B3BCC" w:rsidP="002B3BCC">
            <w:pPr>
              <w:jc w:val="both"/>
              <w:rPr>
                <w:sz w:val="20"/>
              </w:rPr>
            </w:pPr>
            <w:proofErr w:type="spellStart"/>
            <w:r w:rsidRPr="005635DC">
              <w:rPr>
                <w:sz w:val="20"/>
              </w:rPr>
              <w:t>Demande</w:t>
            </w:r>
            <w:proofErr w:type="spellEnd"/>
            <w:r w:rsidRPr="005635DC">
              <w:rPr>
                <w:sz w:val="20"/>
              </w:rPr>
              <w:t xml:space="preserve"> </w:t>
            </w:r>
            <w:proofErr w:type="spellStart"/>
            <w:r w:rsidRPr="005635DC">
              <w:rPr>
                <w:sz w:val="20"/>
              </w:rPr>
              <w:t>d’autorisation</w:t>
            </w:r>
            <w:proofErr w:type="spellEnd"/>
            <w:r w:rsidRPr="005635DC">
              <w:rPr>
                <w:sz w:val="20"/>
              </w:rPr>
              <w:t xml:space="preserve"> </w:t>
            </w:r>
            <w:proofErr w:type="spellStart"/>
            <w:r w:rsidRPr="005635DC">
              <w:rPr>
                <w:sz w:val="20"/>
              </w:rPr>
              <w:t>d’appel</w:t>
            </w:r>
            <w:proofErr w:type="spellEnd"/>
            <w:r w:rsidRPr="005635DC">
              <w:rPr>
                <w:sz w:val="20"/>
              </w:rPr>
              <w:t xml:space="preserve"> </w:t>
            </w:r>
            <w:proofErr w:type="spellStart"/>
            <w:r w:rsidRPr="005635DC">
              <w:rPr>
                <w:sz w:val="20"/>
              </w:rPr>
              <w:t>déposée</w:t>
            </w:r>
            <w:proofErr w:type="spellEnd"/>
          </w:p>
          <w:p w:rsidR="002B3BCC" w:rsidRPr="005635DC" w:rsidRDefault="002B3BCC" w:rsidP="002B3BCC">
            <w:pPr>
              <w:jc w:val="both"/>
              <w:rPr>
                <w:sz w:val="20"/>
              </w:rPr>
            </w:pPr>
          </w:p>
        </w:tc>
      </w:tr>
    </w:tbl>
    <w:p w:rsidR="002B3BCC" w:rsidRPr="00C50A5C" w:rsidRDefault="002B3BCC" w:rsidP="002B3BCC">
      <w:pPr>
        <w:rPr>
          <w:sz w:val="20"/>
          <w:szCs w:val="20"/>
        </w:rPr>
      </w:pPr>
    </w:p>
    <w:p w:rsidR="002B3BCC" w:rsidRPr="00C50A5C" w:rsidRDefault="00C90BA9" w:rsidP="002B3BCC">
      <w:pPr>
        <w:rPr>
          <w:sz w:val="20"/>
          <w:szCs w:val="20"/>
        </w:rPr>
      </w:pPr>
      <w:r w:rsidRPr="00C90BA9">
        <w:rPr>
          <w:sz w:val="20"/>
          <w:szCs w:val="20"/>
          <w:lang w:val="fr-CA"/>
        </w:rPr>
        <w:pict>
          <v:rect id="_x0000_i1042" style="width:2in;height:1pt" o:hrpct="0" o:hralign="center" o:hrstd="t" o:hrnoshade="t" o:hr="t" fillcolor="black [3213]" stroked="f"/>
        </w:pict>
      </w:r>
    </w:p>
    <w:p w:rsidR="002B3BCC" w:rsidRPr="007400FC" w:rsidRDefault="002B3BCC" w:rsidP="002B3BCC">
      <w:pPr>
        <w:rPr>
          <w:sz w:val="20"/>
          <w:szCs w:val="20"/>
        </w:rPr>
      </w:pPr>
    </w:p>
    <w:p w:rsidR="00DF7E92" w:rsidRPr="00DF7E92" w:rsidRDefault="00DF7E92" w:rsidP="00DF7E92">
      <w:pPr>
        <w:ind w:left="1440" w:hanging="1440"/>
        <w:rPr>
          <w:sz w:val="20"/>
          <w:szCs w:val="24"/>
        </w:rPr>
      </w:pPr>
      <w:r w:rsidRPr="00042EA6">
        <w:rPr>
          <w:b/>
          <w:sz w:val="20"/>
          <w:szCs w:val="24"/>
          <w:lang w:val="en-US"/>
        </w:rPr>
        <w:t>34697</w:t>
      </w:r>
      <w:r w:rsidRPr="00042EA6">
        <w:rPr>
          <w:b/>
          <w:sz w:val="20"/>
          <w:szCs w:val="24"/>
          <w:lang w:val="en-US"/>
        </w:rPr>
        <w:tab/>
      </w:r>
      <w:r w:rsidRPr="00DF7E92">
        <w:rPr>
          <w:b/>
          <w:sz w:val="20"/>
          <w:szCs w:val="24"/>
          <w:u w:val="single"/>
          <w:lang w:val="en-US"/>
        </w:rPr>
        <w:t xml:space="preserve">Estate of Angelo </w:t>
      </w:r>
      <w:proofErr w:type="spellStart"/>
      <w:r w:rsidRPr="00DF7E92">
        <w:rPr>
          <w:b/>
          <w:sz w:val="20"/>
          <w:szCs w:val="24"/>
          <w:u w:val="single"/>
          <w:lang w:val="en-US"/>
        </w:rPr>
        <w:t>Dicaro</w:t>
      </w:r>
      <w:proofErr w:type="spellEnd"/>
      <w:r w:rsidRPr="00DF7E92">
        <w:rPr>
          <w:b/>
          <w:sz w:val="20"/>
          <w:szCs w:val="24"/>
          <w:u w:val="single"/>
          <w:lang w:val="en-US"/>
        </w:rPr>
        <w:t xml:space="preserve">, deceased, by his estate trustee Carmela </w:t>
      </w:r>
      <w:proofErr w:type="spellStart"/>
      <w:r w:rsidRPr="00DF7E92">
        <w:rPr>
          <w:b/>
          <w:sz w:val="20"/>
          <w:szCs w:val="24"/>
          <w:u w:val="single"/>
          <w:lang w:val="en-US"/>
        </w:rPr>
        <w:t>Dicaro</w:t>
      </w:r>
      <w:proofErr w:type="spellEnd"/>
      <w:r w:rsidRPr="00DF7E92">
        <w:rPr>
          <w:b/>
          <w:sz w:val="20"/>
          <w:szCs w:val="24"/>
          <w:u w:val="single"/>
          <w:lang w:val="en-US"/>
        </w:rPr>
        <w:t xml:space="preserve"> and Carmela </w:t>
      </w:r>
      <w:proofErr w:type="spellStart"/>
      <w:r w:rsidRPr="00DF7E92">
        <w:rPr>
          <w:b/>
          <w:sz w:val="20"/>
          <w:szCs w:val="24"/>
          <w:u w:val="single"/>
          <w:lang w:val="en-US"/>
        </w:rPr>
        <w:t>Dicaro</w:t>
      </w:r>
      <w:proofErr w:type="spellEnd"/>
      <w:r w:rsidRPr="00DF7E92">
        <w:rPr>
          <w:b/>
          <w:sz w:val="20"/>
          <w:szCs w:val="24"/>
          <w:u w:val="single"/>
          <w:lang w:val="en-US"/>
        </w:rPr>
        <w:t xml:space="preserve"> v. Manufacturers Life Insurance Company</w:t>
      </w:r>
      <w:r w:rsidRPr="00DF7E92">
        <w:rPr>
          <w:sz w:val="20"/>
          <w:szCs w:val="24"/>
        </w:rPr>
        <w:t xml:space="preserve"> (Ont.) (Civil) (By Leave)</w:t>
      </w:r>
    </w:p>
    <w:p w:rsidR="00DF7E92" w:rsidRPr="00DF7E92" w:rsidRDefault="00DF7E92" w:rsidP="00DF7E92">
      <w:pPr>
        <w:tabs>
          <w:tab w:val="left" w:pos="1458"/>
        </w:tabs>
        <w:rPr>
          <w:sz w:val="20"/>
        </w:rPr>
      </w:pPr>
    </w:p>
    <w:p w:rsidR="00DF7E92" w:rsidRPr="00DF7E92" w:rsidRDefault="00DF7E92" w:rsidP="00DF7E92">
      <w:pPr>
        <w:rPr>
          <w:sz w:val="20"/>
          <w:szCs w:val="24"/>
        </w:rPr>
      </w:pPr>
      <w:proofErr w:type="gramStart"/>
      <w:r w:rsidRPr="00DF7E92">
        <w:rPr>
          <w:sz w:val="20"/>
          <w:szCs w:val="24"/>
        </w:rPr>
        <w:t>Coram :</w:t>
      </w:r>
      <w:proofErr w:type="gramEnd"/>
      <w:r w:rsidRPr="00DF7E92">
        <w:rPr>
          <w:sz w:val="20"/>
          <w:szCs w:val="24"/>
        </w:rPr>
        <w:tab/>
      </w:r>
      <w:proofErr w:type="spellStart"/>
      <w:r w:rsidRPr="00DF7E92">
        <w:rPr>
          <w:sz w:val="20"/>
          <w:szCs w:val="24"/>
          <w:u w:val="single"/>
          <w:lang w:val="en-US"/>
        </w:rPr>
        <w:t>LeBel</w:t>
      </w:r>
      <w:proofErr w:type="spellEnd"/>
      <w:r w:rsidRPr="00DF7E92">
        <w:rPr>
          <w:sz w:val="20"/>
          <w:szCs w:val="24"/>
          <w:u w:val="single"/>
          <w:lang w:val="en-US"/>
        </w:rPr>
        <w:t xml:space="preserve">, </w:t>
      </w:r>
      <w:proofErr w:type="spellStart"/>
      <w:r w:rsidRPr="00DF7E92">
        <w:rPr>
          <w:sz w:val="20"/>
          <w:szCs w:val="24"/>
          <w:u w:val="single"/>
          <w:lang w:val="en-US"/>
        </w:rPr>
        <w:t>Abella</w:t>
      </w:r>
      <w:proofErr w:type="spellEnd"/>
      <w:r w:rsidRPr="00DF7E92">
        <w:rPr>
          <w:sz w:val="20"/>
          <w:szCs w:val="24"/>
          <w:u w:val="single"/>
          <w:lang w:val="en-US"/>
        </w:rPr>
        <w:t xml:space="preserve"> and Cromwell JJ.</w:t>
      </w:r>
    </w:p>
    <w:p w:rsidR="00DF7E92" w:rsidRPr="00DF7E92" w:rsidRDefault="00DF7E92" w:rsidP="00DF7E92">
      <w:pPr>
        <w:tabs>
          <w:tab w:val="left" w:pos="1458"/>
        </w:tabs>
        <w:rPr>
          <w:sz w:val="20"/>
          <w:u w:val="single"/>
        </w:rPr>
      </w:pPr>
    </w:p>
    <w:p w:rsidR="00DF7E92" w:rsidRPr="00DF7E92" w:rsidRDefault="00DF7E92" w:rsidP="00DF7E92">
      <w:pPr>
        <w:ind w:firstLine="720"/>
        <w:jc w:val="both"/>
        <w:rPr>
          <w:sz w:val="20"/>
          <w:szCs w:val="24"/>
        </w:rPr>
      </w:pPr>
      <w:r w:rsidRPr="00DF7E92">
        <w:rPr>
          <w:sz w:val="20"/>
          <w:szCs w:val="24"/>
        </w:rPr>
        <w:t>The application for leave to appeal from the judgment of the Court of Appeal for Ontario, Number C54122, 2012 ONCA 14, dated January 6, 2012, is dismissed with costs.</w:t>
      </w:r>
    </w:p>
    <w:p w:rsidR="00DF7E92" w:rsidRPr="00DF7E92" w:rsidRDefault="00DF7E92" w:rsidP="00DF7E92">
      <w:pPr>
        <w:jc w:val="both"/>
        <w:rPr>
          <w:sz w:val="20"/>
          <w:szCs w:val="24"/>
        </w:rPr>
      </w:pPr>
    </w:p>
    <w:p w:rsidR="00DF7E92" w:rsidRPr="00DF7E92" w:rsidRDefault="00DF7E92" w:rsidP="00DF7E92">
      <w:pPr>
        <w:ind w:firstLine="720"/>
        <w:jc w:val="both"/>
        <w:rPr>
          <w:sz w:val="20"/>
          <w:szCs w:val="24"/>
          <w:lang w:val="fr-CA"/>
        </w:rPr>
      </w:pPr>
      <w:r w:rsidRPr="00DF7E92">
        <w:rPr>
          <w:sz w:val="20"/>
          <w:szCs w:val="24"/>
          <w:lang w:val="fr-CA"/>
        </w:rPr>
        <w:t>La demande d’autorisation d’appel de l’arrêt de la Cour d’appel de l’Ontario, numéro C54122, 2012 ONCA 14, daté du 6 janvier 2012, est rejetée avec dépens.</w:t>
      </w:r>
    </w:p>
    <w:p w:rsidR="002B3BCC" w:rsidRPr="00DF7E92" w:rsidRDefault="002B3BCC" w:rsidP="002B3BCC">
      <w:pPr>
        <w:rPr>
          <w:sz w:val="20"/>
          <w:szCs w:val="20"/>
          <w:u w:val="single"/>
          <w:lang w:val="fr-CA"/>
        </w:rPr>
      </w:pPr>
    </w:p>
    <w:p w:rsidR="002B3BCC" w:rsidRPr="007400FC" w:rsidRDefault="002B3BCC" w:rsidP="002B3BCC">
      <w:pPr>
        <w:rPr>
          <w:sz w:val="20"/>
          <w:szCs w:val="20"/>
          <w:u w:val="single"/>
        </w:rPr>
      </w:pPr>
      <w:r w:rsidRPr="007400FC">
        <w:rPr>
          <w:sz w:val="20"/>
          <w:szCs w:val="20"/>
          <w:u w:val="single"/>
        </w:rPr>
        <w:t>CASE SUMMARY</w:t>
      </w:r>
    </w:p>
    <w:p w:rsidR="002B3BCC" w:rsidRPr="007400FC" w:rsidRDefault="002B3BCC" w:rsidP="002B3BC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B3BCC" w:rsidRPr="005635DC" w:rsidTr="002B3BCC">
        <w:tc>
          <w:tcPr>
            <w:tcW w:w="5000" w:type="pct"/>
            <w:gridSpan w:val="3"/>
          </w:tcPr>
          <w:p w:rsidR="002B3BCC" w:rsidRPr="005635DC" w:rsidRDefault="002B3BCC" w:rsidP="002B3BCC">
            <w:pPr>
              <w:rPr>
                <w:rFonts w:eastAsia="Calibri"/>
                <w:sz w:val="20"/>
              </w:rPr>
            </w:pPr>
            <w:r w:rsidRPr="005635DC">
              <w:rPr>
                <w:rFonts w:eastAsia="Calibri"/>
                <w:sz w:val="20"/>
              </w:rPr>
              <w:t>Insurance law – Accidental death benefits – Limitation of actions – Whether life insurers have or ought to have a positive duty to inform beneficiaries what policy coverage exists – Whether action brought within relevant limitations period – Whether insured’s death accidental.</w:t>
            </w:r>
          </w:p>
          <w:p w:rsidR="002B3BCC" w:rsidRPr="005635DC" w:rsidRDefault="002B3BCC" w:rsidP="002B3BCC">
            <w:pPr>
              <w:jc w:val="both"/>
              <w:rPr>
                <w:rFonts w:eastAsia="Calibri"/>
                <w:sz w:val="20"/>
              </w:rPr>
            </w:pPr>
          </w:p>
        </w:tc>
      </w:tr>
      <w:tr w:rsidR="002B3BCC" w:rsidRPr="005635DC" w:rsidTr="002B3BCC">
        <w:tc>
          <w:tcPr>
            <w:tcW w:w="5000" w:type="pct"/>
            <w:gridSpan w:val="3"/>
          </w:tcPr>
          <w:p w:rsidR="002B3BCC" w:rsidRPr="005635DC" w:rsidRDefault="002B3BCC" w:rsidP="002B3BCC">
            <w:pPr>
              <w:jc w:val="both"/>
              <w:rPr>
                <w:rFonts w:eastAsia="Calibri"/>
                <w:sz w:val="20"/>
              </w:rPr>
            </w:pPr>
            <w:r w:rsidRPr="005635DC">
              <w:rPr>
                <w:rFonts w:eastAsia="Calibri"/>
                <w:sz w:val="20"/>
              </w:rPr>
              <w:t xml:space="preserve">The applicant's husband, Angelo </w:t>
            </w:r>
            <w:proofErr w:type="spellStart"/>
            <w:r w:rsidRPr="005635DC">
              <w:rPr>
                <w:rFonts w:eastAsia="Calibri"/>
                <w:sz w:val="20"/>
              </w:rPr>
              <w:t>Dicaro</w:t>
            </w:r>
            <w:proofErr w:type="spellEnd"/>
            <w:r w:rsidRPr="005635DC">
              <w:rPr>
                <w:rFonts w:eastAsia="Calibri"/>
                <w:sz w:val="20"/>
              </w:rPr>
              <w:t xml:space="preserve">, died following complications of liver disease in July 1999. The applicant made a claim to the respondent, Manufacturers Life Insurance Company, in August 1999 and was paid $45,000 for the basic benefit. In March 2008, the applicant made a claim for accidental death benefits because she learned her husband’s death could have been caused by an accident during surgery. Manufacturers Life denied the claim on the basis it was filed too late and because the applicant had not established the death was accidental.  The applicant’s statement of claim was issued in March 2010, seeking accidental death benefits in the amount of $545,000.  Manufacturers Life brought a motion for summary judgment dismissing the action because it exceeded the relevant limitations period.  The applicant, who was the beneficiary under the insurance policy, brought a cross-motion for summary judgment in the amount of $545,000. </w:t>
            </w:r>
          </w:p>
        </w:tc>
      </w:tr>
      <w:tr w:rsidR="002B3BCC" w:rsidRPr="005635DC" w:rsidTr="002B3BCC">
        <w:tc>
          <w:tcPr>
            <w:tcW w:w="5000" w:type="pct"/>
            <w:gridSpan w:val="3"/>
          </w:tcPr>
          <w:p w:rsidR="002B3BCC" w:rsidRPr="005635DC" w:rsidRDefault="002B3BCC" w:rsidP="002B3BCC">
            <w:pPr>
              <w:jc w:val="both"/>
              <w:rPr>
                <w:rFonts w:eastAsia="Calibri"/>
                <w:sz w:val="20"/>
              </w:rPr>
            </w:pPr>
          </w:p>
          <w:p w:rsidR="002B3BCC" w:rsidRPr="005635DC" w:rsidRDefault="002B3BCC" w:rsidP="002B3BCC">
            <w:pPr>
              <w:jc w:val="both"/>
              <w:rPr>
                <w:rFonts w:eastAsia="Calibri"/>
                <w:sz w:val="20"/>
              </w:rPr>
            </w:pPr>
            <w:r w:rsidRPr="005635DC">
              <w:rPr>
                <w:rFonts w:eastAsia="Calibri"/>
                <w:sz w:val="20"/>
              </w:rPr>
              <w:t>The Ontario Superior Court of Justice granted the insurer’s motion for summary judgment and dismissed the action, concluding the relevant limitations period was exceeded and it was not demonstrated the insured’s death was accidental.  The Ontario Court of Appeal dismissed the applicant’s appeal.</w:t>
            </w:r>
          </w:p>
          <w:p w:rsidR="002B3BCC" w:rsidRPr="005635DC" w:rsidRDefault="002B3BCC" w:rsidP="002B3BCC">
            <w:pPr>
              <w:jc w:val="both"/>
              <w:rPr>
                <w:rFonts w:eastAsia="Calibri"/>
                <w:sz w:val="20"/>
              </w:rPr>
            </w:pPr>
          </w:p>
        </w:tc>
      </w:tr>
      <w:tr w:rsidR="002B3BCC" w:rsidRPr="005635DC" w:rsidTr="002B3BCC">
        <w:tc>
          <w:tcPr>
            <w:tcW w:w="2427" w:type="pct"/>
          </w:tcPr>
          <w:p w:rsidR="002B3BCC" w:rsidRPr="005635DC" w:rsidRDefault="002B3BCC" w:rsidP="002B3BCC">
            <w:pPr>
              <w:jc w:val="both"/>
              <w:rPr>
                <w:rFonts w:eastAsia="Calibri"/>
                <w:sz w:val="20"/>
              </w:rPr>
            </w:pPr>
            <w:r w:rsidRPr="005635DC">
              <w:rPr>
                <w:rFonts w:eastAsia="Calibri"/>
                <w:sz w:val="20"/>
              </w:rPr>
              <w:t>June 15, 2011</w:t>
            </w:r>
          </w:p>
          <w:p w:rsidR="002B3BCC" w:rsidRPr="005635DC" w:rsidRDefault="002B3BCC" w:rsidP="002B3BCC">
            <w:pPr>
              <w:jc w:val="both"/>
              <w:rPr>
                <w:rFonts w:eastAsia="Calibri"/>
                <w:sz w:val="20"/>
              </w:rPr>
            </w:pPr>
            <w:r w:rsidRPr="005635DC">
              <w:rPr>
                <w:rFonts w:eastAsia="Calibri"/>
                <w:sz w:val="20"/>
              </w:rPr>
              <w:t>Ontario Superior Court of Justice</w:t>
            </w:r>
          </w:p>
          <w:p w:rsidR="002B3BCC" w:rsidRPr="005635DC" w:rsidRDefault="002B3BCC" w:rsidP="002B3BCC">
            <w:pPr>
              <w:jc w:val="both"/>
              <w:rPr>
                <w:rFonts w:eastAsia="Calibri"/>
                <w:sz w:val="20"/>
              </w:rPr>
            </w:pPr>
            <w:r w:rsidRPr="005635DC">
              <w:rPr>
                <w:rFonts w:eastAsia="Calibri"/>
                <w:sz w:val="20"/>
              </w:rPr>
              <w:t>(</w:t>
            </w:r>
            <w:proofErr w:type="spellStart"/>
            <w:r w:rsidRPr="005635DC">
              <w:rPr>
                <w:rFonts w:eastAsia="Calibri"/>
                <w:sz w:val="20"/>
              </w:rPr>
              <w:t>Chapnik</w:t>
            </w:r>
            <w:proofErr w:type="spellEnd"/>
            <w:r w:rsidRPr="005635DC">
              <w:rPr>
                <w:rFonts w:eastAsia="Calibri"/>
                <w:sz w:val="20"/>
              </w:rPr>
              <w:t xml:space="preserve"> J.)</w:t>
            </w:r>
          </w:p>
          <w:p w:rsidR="002B3BCC" w:rsidRPr="005635DC" w:rsidRDefault="002B3BCC" w:rsidP="002B3BCC">
            <w:pPr>
              <w:jc w:val="both"/>
              <w:rPr>
                <w:rFonts w:eastAsia="Calibri"/>
                <w:sz w:val="20"/>
              </w:rPr>
            </w:pPr>
          </w:p>
        </w:tc>
        <w:tc>
          <w:tcPr>
            <w:tcW w:w="243" w:type="pct"/>
          </w:tcPr>
          <w:p w:rsidR="002B3BCC" w:rsidRPr="005635DC" w:rsidRDefault="002B3BCC" w:rsidP="002B3BCC">
            <w:pPr>
              <w:jc w:val="both"/>
              <w:rPr>
                <w:rFonts w:eastAsia="Calibri"/>
                <w:sz w:val="20"/>
              </w:rPr>
            </w:pPr>
          </w:p>
        </w:tc>
        <w:tc>
          <w:tcPr>
            <w:tcW w:w="2330" w:type="pct"/>
          </w:tcPr>
          <w:p w:rsidR="002B3BCC" w:rsidRPr="005635DC" w:rsidRDefault="002B3BCC" w:rsidP="002B3BCC">
            <w:pPr>
              <w:jc w:val="both"/>
              <w:rPr>
                <w:rFonts w:eastAsia="Calibri"/>
                <w:sz w:val="20"/>
              </w:rPr>
            </w:pPr>
            <w:r w:rsidRPr="005635DC">
              <w:rPr>
                <w:rFonts w:eastAsia="Calibri"/>
                <w:sz w:val="20"/>
              </w:rPr>
              <w:t>Respondent’s motion for summary judgment, granted; Applicant’s cross-motion for summary judgment, and his action, dismissed.</w:t>
            </w:r>
          </w:p>
          <w:p w:rsidR="002B3BCC" w:rsidRPr="005635DC" w:rsidRDefault="002B3BCC" w:rsidP="002B3BCC">
            <w:pPr>
              <w:jc w:val="both"/>
              <w:rPr>
                <w:rFonts w:eastAsia="Calibri"/>
                <w:sz w:val="20"/>
              </w:rPr>
            </w:pPr>
          </w:p>
        </w:tc>
      </w:tr>
      <w:tr w:rsidR="002B3BCC" w:rsidRPr="005635DC" w:rsidTr="002B3BCC">
        <w:tc>
          <w:tcPr>
            <w:tcW w:w="2427" w:type="pct"/>
          </w:tcPr>
          <w:p w:rsidR="002B3BCC" w:rsidRPr="005635DC" w:rsidRDefault="002B3BCC" w:rsidP="002B3BCC">
            <w:pPr>
              <w:jc w:val="both"/>
              <w:rPr>
                <w:rFonts w:eastAsia="Calibri"/>
                <w:sz w:val="20"/>
              </w:rPr>
            </w:pPr>
            <w:r w:rsidRPr="005635DC">
              <w:rPr>
                <w:rFonts w:eastAsia="Calibri"/>
                <w:sz w:val="20"/>
              </w:rPr>
              <w:t>January 6, 2012</w:t>
            </w:r>
          </w:p>
          <w:p w:rsidR="002B3BCC" w:rsidRPr="005635DC" w:rsidRDefault="002B3BCC" w:rsidP="002B3BCC">
            <w:pPr>
              <w:jc w:val="both"/>
              <w:rPr>
                <w:rFonts w:eastAsia="Calibri"/>
                <w:sz w:val="20"/>
              </w:rPr>
            </w:pPr>
            <w:r w:rsidRPr="005635DC">
              <w:rPr>
                <w:rFonts w:eastAsia="Calibri"/>
                <w:sz w:val="20"/>
              </w:rPr>
              <w:t>Court of Appeal for Ontario</w:t>
            </w:r>
          </w:p>
          <w:p w:rsidR="002B3BCC" w:rsidRPr="005635DC" w:rsidRDefault="002B3BCC" w:rsidP="002B3BCC">
            <w:pPr>
              <w:jc w:val="both"/>
              <w:rPr>
                <w:rFonts w:eastAsia="Calibri"/>
                <w:sz w:val="20"/>
              </w:rPr>
            </w:pPr>
            <w:r w:rsidRPr="005635DC">
              <w:rPr>
                <w:rFonts w:eastAsia="Calibri"/>
                <w:sz w:val="20"/>
              </w:rPr>
              <w:t>(Rosenberg, Simmons and Armstrong JJ.A.)</w:t>
            </w:r>
          </w:p>
          <w:p w:rsidR="002B3BCC" w:rsidRPr="005635DC" w:rsidRDefault="002B3BCC" w:rsidP="002B3BCC">
            <w:pPr>
              <w:jc w:val="both"/>
              <w:rPr>
                <w:rFonts w:eastAsia="Calibri"/>
                <w:sz w:val="20"/>
              </w:rPr>
            </w:pPr>
          </w:p>
        </w:tc>
        <w:tc>
          <w:tcPr>
            <w:tcW w:w="243" w:type="pct"/>
          </w:tcPr>
          <w:p w:rsidR="002B3BCC" w:rsidRPr="005635DC" w:rsidRDefault="002B3BCC" w:rsidP="002B3BCC">
            <w:pPr>
              <w:jc w:val="both"/>
              <w:rPr>
                <w:rFonts w:eastAsia="Calibri"/>
                <w:sz w:val="20"/>
              </w:rPr>
            </w:pPr>
          </w:p>
        </w:tc>
        <w:tc>
          <w:tcPr>
            <w:tcW w:w="2330" w:type="pct"/>
          </w:tcPr>
          <w:p w:rsidR="002B3BCC" w:rsidRPr="005635DC" w:rsidRDefault="002B3BCC" w:rsidP="002B3BCC">
            <w:pPr>
              <w:jc w:val="both"/>
              <w:rPr>
                <w:rFonts w:eastAsia="Calibri"/>
                <w:sz w:val="20"/>
              </w:rPr>
            </w:pPr>
            <w:r w:rsidRPr="005635DC">
              <w:rPr>
                <w:rFonts w:eastAsia="Calibri"/>
                <w:sz w:val="20"/>
              </w:rPr>
              <w:t>Applicant’s appeal, dismissed.</w:t>
            </w:r>
          </w:p>
          <w:p w:rsidR="002B3BCC" w:rsidRPr="005635DC" w:rsidRDefault="002B3BCC" w:rsidP="002B3BCC">
            <w:pPr>
              <w:jc w:val="both"/>
              <w:rPr>
                <w:rFonts w:eastAsia="Calibri"/>
                <w:sz w:val="20"/>
              </w:rPr>
            </w:pPr>
          </w:p>
          <w:p w:rsidR="002B3BCC" w:rsidRPr="005635DC" w:rsidRDefault="002B3BCC" w:rsidP="002B3BCC">
            <w:pPr>
              <w:jc w:val="both"/>
              <w:rPr>
                <w:rFonts w:eastAsia="Calibri"/>
                <w:sz w:val="20"/>
              </w:rPr>
            </w:pPr>
          </w:p>
        </w:tc>
      </w:tr>
      <w:tr w:rsidR="002B3BCC" w:rsidRPr="005635DC" w:rsidTr="002B3BCC">
        <w:tc>
          <w:tcPr>
            <w:tcW w:w="2427" w:type="pct"/>
          </w:tcPr>
          <w:p w:rsidR="002B3BCC" w:rsidRPr="005635DC" w:rsidRDefault="002B3BCC" w:rsidP="002B3BCC">
            <w:pPr>
              <w:jc w:val="both"/>
              <w:rPr>
                <w:rFonts w:eastAsia="Calibri"/>
                <w:sz w:val="20"/>
              </w:rPr>
            </w:pPr>
            <w:r w:rsidRPr="005635DC">
              <w:rPr>
                <w:rFonts w:eastAsia="Calibri"/>
                <w:sz w:val="20"/>
              </w:rPr>
              <w:t>March 6, 2012</w:t>
            </w:r>
          </w:p>
          <w:p w:rsidR="002B3BCC" w:rsidRPr="005635DC" w:rsidRDefault="002B3BCC" w:rsidP="00DB47E3">
            <w:pPr>
              <w:jc w:val="both"/>
              <w:rPr>
                <w:rFonts w:eastAsia="Calibri"/>
                <w:sz w:val="20"/>
              </w:rPr>
            </w:pPr>
            <w:r w:rsidRPr="005635DC">
              <w:rPr>
                <w:rFonts w:eastAsia="Calibri"/>
                <w:sz w:val="20"/>
              </w:rPr>
              <w:t>Supreme Court of Canada</w:t>
            </w:r>
          </w:p>
        </w:tc>
        <w:tc>
          <w:tcPr>
            <w:tcW w:w="243" w:type="pct"/>
          </w:tcPr>
          <w:p w:rsidR="002B3BCC" w:rsidRPr="005635DC" w:rsidRDefault="002B3BCC" w:rsidP="002B3BCC">
            <w:pPr>
              <w:jc w:val="both"/>
              <w:rPr>
                <w:rFonts w:eastAsia="Calibri"/>
                <w:sz w:val="20"/>
              </w:rPr>
            </w:pPr>
          </w:p>
        </w:tc>
        <w:tc>
          <w:tcPr>
            <w:tcW w:w="2330" w:type="pct"/>
          </w:tcPr>
          <w:p w:rsidR="002B3BCC" w:rsidRPr="005635DC" w:rsidRDefault="002B3BCC" w:rsidP="002B3BCC">
            <w:pPr>
              <w:jc w:val="both"/>
              <w:rPr>
                <w:rFonts w:eastAsia="Calibri"/>
                <w:sz w:val="20"/>
              </w:rPr>
            </w:pPr>
            <w:r w:rsidRPr="005635DC">
              <w:rPr>
                <w:rFonts w:eastAsia="Calibri"/>
                <w:sz w:val="20"/>
              </w:rPr>
              <w:t>Application for leave to appeal, filed.</w:t>
            </w:r>
          </w:p>
        </w:tc>
      </w:tr>
    </w:tbl>
    <w:p w:rsidR="002B3BCC" w:rsidRPr="007400FC" w:rsidRDefault="002B3BCC" w:rsidP="002B3BCC">
      <w:pPr>
        <w:rPr>
          <w:sz w:val="20"/>
          <w:szCs w:val="20"/>
        </w:rPr>
      </w:pPr>
    </w:p>
    <w:p w:rsidR="002B3BCC" w:rsidRPr="007400FC" w:rsidRDefault="00C90BA9" w:rsidP="002B3BCC">
      <w:pPr>
        <w:rPr>
          <w:sz w:val="20"/>
          <w:szCs w:val="20"/>
        </w:rPr>
      </w:pPr>
      <w:r w:rsidRPr="00C90BA9">
        <w:rPr>
          <w:sz w:val="20"/>
          <w:szCs w:val="20"/>
          <w:lang w:val="fr-CA"/>
        </w:rPr>
        <w:pict>
          <v:rect id="_x0000_i1043" style="width:2in;height:1pt" o:hrpct="0" o:hralign="center" o:hrstd="t" o:hrnoshade="t" o:hr="t" fillcolor="black [3213]" stroked="f"/>
        </w:pict>
      </w:r>
    </w:p>
    <w:p w:rsidR="002B3BCC" w:rsidRPr="007400FC" w:rsidRDefault="002B3BCC" w:rsidP="002B3BCC">
      <w:pPr>
        <w:rPr>
          <w:sz w:val="20"/>
          <w:szCs w:val="20"/>
        </w:rPr>
      </w:pPr>
    </w:p>
    <w:p w:rsidR="00DF7E92" w:rsidRDefault="00DF7E92" w:rsidP="002B3BCC">
      <w:pPr>
        <w:rPr>
          <w:sz w:val="20"/>
          <w:szCs w:val="20"/>
          <w:u w:val="single"/>
          <w:lang w:val="fr-CA"/>
        </w:rPr>
      </w:pPr>
    </w:p>
    <w:p w:rsidR="002B3BCC" w:rsidRPr="007400FC" w:rsidRDefault="002B3BCC" w:rsidP="002B3BCC">
      <w:pPr>
        <w:rPr>
          <w:sz w:val="20"/>
          <w:szCs w:val="20"/>
          <w:u w:val="single"/>
          <w:lang w:val="fr-CA"/>
        </w:rPr>
      </w:pPr>
      <w:r w:rsidRPr="007400FC">
        <w:rPr>
          <w:sz w:val="20"/>
          <w:szCs w:val="20"/>
          <w:u w:val="single"/>
          <w:lang w:val="fr-CA"/>
        </w:rPr>
        <w:t xml:space="preserve">RÉSUMÉ </w:t>
      </w:r>
      <w:r w:rsidRPr="001B157C">
        <w:rPr>
          <w:sz w:val="20"/>
          <w:szCs w:val="20"/>
          <w:u w:val="single"/>
          <w:lang w:val="fr-CA"/>
        </w:rPr>
        <w:t>DE L’AFFAIRE</w:t>
      </w:r>
    </w:p>
    <w:p w:rsidR="002B3BCC" w:rsidRPr="007400FC" w:rsidRDefault="002B3BCC" w:rsidP="002B3BC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B3BCC" w:rsidRPr="005252ED" w:rsidTr="002B3BCC">
        <w:tc>
          <w:tcPr>
            <w:tcW w:w="5000" w:type="pct"/>
            <w:gridSpan w:val="3"/>
          </w:tcPr>
          <w:p w:rsidR="002B3BCC" w:rsidRPr="005635DC" w:rsidRDefault="002B3BCC" w:rsidP="002B3BCC">
            <w:pPr>
              <w:rPr>
                <w:rFonts w:eastAsia="Calibri"/>
                <w:sz w:val="20"/>
                <w:lang w:val="fr-FR"/>
              </w:rPr>
            </w:pPr>
            <w:r w:rsidRPr="005635DC">
              <w:rPr>
                <w:rFonts w:eastAsia="Calibri"/>
                <w:sz w:val="20"/>
                <w:lang w:val="fr-FR"/>
              </w:rPr>
              <w:t>Droit des assurances – Indemnité en cas de décès accidentel – Prescription des actions – Les assureurs-vies ont-ils ou devraient-ils avoir l’obligation positive d’informer les bénéficiaires de la couverture qui leur est offerte par la police d’assurance? – L’action a-t-elle été intentée à l’intérieur du délai de prescription applicable? – La mort de l’assuré est-elle accidentelle?</w:t>
            </w:r>
          </w:p>
          <w:p w:rsidR="002B3BCC" w:rsidRPr="005635DC" w:rsidRDefault="002B3BCC" w:rsidP="002B3BCC">
            <w:pPr>
              <w:jc w:val="both"/>
              <w:rPr>
                <w:rFonts w:eastAsia="Calibri"/>
                <w:sz w:val="20"/>
                <w:lang w:val="fr-FR"/>
              </w:rPr>
            </w:pPr>
          </w:p>
        </w:tc>
      </w:tr>
      <w:tr w:rsidR="002B3BCC" w:rsidRPr="005252ED" w:rsidTr="002B3BCC">
        <w:tc>
          <w:tcPr>
            <w:tcW w:w="5000" w:type="pct"/>
            <w:gridSpan w:val="3"/>
          </w:tcPr>
          <w:p w:rsidR="002B3BCC" w:rsidRPr="005635DC" w:rsidRDefault="002B3BCC" w:rsidP="002B3BCC">
            <w:pPr>
              <w:jc w:val="both"/>
              <w:rPr>
                <w:rFonts w:eastAsia="Calibri"/>
                <w:sz w:val="20"/>
                <w:lang w:val="fr-FR"/>
              </w:rPr>
            </w:pPr>
            <w:r w:rsidRPr="005635DC">
              <w:rPr>
                <w:rFonts w:eastAsia="Calibri"/>
                <w:sz w:val="20"/>
                <w:lang w:val="fr-FR"/>
              </w:rPr>
              <w:t xml:space="preserve">Angelo </w:t>
            </w:r>
            <w:proofErr w:type="spellStart"/>
            <w:r w:rsidRPr="005635DC">
              <w:rPr>
                <w:rFonts w:eastAsia="Calibri"/>
                <w:sz w:val="20"/>
                <w:lang w:val="fr-FR"/>
              </w:rPr>
              <w:t>Dicaro</w:t>
            </w:r>
            <w:proofErr w:type="spellEnd"/>
            <w:r w:rsidRPr="005635DC">
              <w:rPr>
                <w:rFonts w:eastAsia="Calibri"/>
                <w:sz w:val="20"/>
                <w:lang w:val="fr-FR"/>
              </w:rPr>
              <w:t xml:space="preserve">, le mari de la demanderesse, est mort en juillet 1999 des suites de complications d’une maladie du foie. En août 1999, la demanderesse a fait une réclamation à l’intimée, la </w:t>
            </w:r>
            <w:proofErr w:type="spellStart"/>
            <w:r w:rsidRPr="005635DC">
              <w:rPr>
                <w:rFonts w:eastAsia="Calibri"/>
                <w:sz w:val="20"/>
                <w:lang w:val="fr-FR"/>
              </w:rPr>
              <w:t>Manufacturers</w:t>
            </w:r>
            <w:proofErr w:type="spellEnd"/>
            <w:r w:rsidRPr="005635DC">
              <w:rPr>
                <w:rFonts w:eastAsia="Calibri"/>
                <w:sz w:val="20"/>
                <w:lang w:val="fr-FR"/>
              </w:rPr>
              <w:t xml:space="preserve"> Life </w:t>
            </w:r>
            <w:proofErr w:type="spellStart"/>
            <w:r w:rsidRPr="005635DC">
              <w:rPr>
                <w:rFonts w:eastAsia="Calibri"/>
                <w:sz w:val="20"/>
                <w:lang w:val="fr-FR"/>
              </w:rPr>
              <w:t>Insurance</w:t>
            </w:r>
            <w:proofErr w:type="spellEnd"/>
            <w:r w:rsidRPr="005635DC">
              <w:rPr>
                <w:rFonts w:eastAsia="Calibri"/>
                <w:sz w:val="20"/>
                <w:lang w:val="fr-FR"/>
              </w:rPr>
              <w:t xml:space="preserve"> </w:t>
            </w:r>
            <w:proofErr w:type="spellStart"/>
            <w:r w:rsidRPr="005635DC">
              <w:rPr>
                <w:rFonts w:eastAsia="Calibri"/>
                <w:sz w:val="20"/>
                <w:lang w:val="fr-FR"/>
              </w:rPr>
              <w:t>Company</w:t>
            </w:r>
            <w:proofErr w:type="spellEnd"/>
            <w:r w:rsidRPr="005635DC">
              <w:rPr>
                <w:rFonts w:eastAsia="Calibri"/>
                <w:sz w:val="20"/>
                <w:lang w:val="fr-FR"/>
              </w:rPr>
              <w:t xml:space="preserve">, et a reçu 45 000 $ au titre de l’indemnité de base. En mars 2008, la demanderesse a réclamé une indemnité pour décès accidentel parce qu’elle avait appris que la mort de son mari était peut-être attribuable à un accident subi lors d’une intervention chirurgicale. La </w:t>
            </w:r>
            <w:proofErr w:type="spellStart"/>
            <w:r w:rsidRPr="005635DC">
              <w:rPr>
                <w:rFonts w:eastAsia="Calibri"/>
                <w:sz w:val="20"/>
                <w:lang w:val="fr-FR"/>
              </w:rPr>
              <w:t>Manufacturers</w:t>
            </w:r>
            <w:proofErr w:type="spellEnd"/>
            <w:r w:rsidRPr="005635DC">
              <w:rPr>
                <w:rFonts w:eastAsia="Calibri"/>
                <w:sz w:val="20"/>
                <w:lang w:val="fr-FR"/>
              </w:rPr>
              <w:t xml:space="preserve"> Life a refusé la réclamation au motif qu’elle avait été présentée trop tard et que la demanderesse n’avait pas établi le caractère accidentel de la mort. Dans la déclaration qu’elle a produite en mars 2010, la demanderesse sollicite une indemnité pour décès accidentel de 545 000 $. La </w:t>
            </w:r>
            <w:proofErr w:type="spellStart"/>
            <w:r w:rsidRPr="005635DC">
              <w:rPr>
                <w:rFonts w:eastAsia="Calibri"/>
                <w:sz w:val="20"/>
                <w:lang w:val="fr-FR"/>
              </w:rPr>
              <w:t>Manufacturers</w:t>
            </w:r>
            <w:proofErr w:type="spellEnd"/>
            <w:r w:rsidRPr="005635DC">
              <w:rPr>
                <w:rFonts w:eastAsia="Calibri"/>
                <w:sz w:val="20"/>
                <w:lang w:val="fr-FR"/>
              </w:rPr>
              <w:t xml:space="preserve"> Life a déposé une requête en jugement sommaire rejetant l’action parce que celle-ci avait été intentée après l’expiration du délai de prescription applicable. La demanderesse, la bénéficiaire de la police d’assurance, a déposé une requête incidente pour obtenir un jugement sommaire lui accordant 545 000 $.  </w:t>
            </w:r>
          </w:p>
        </w:tc>
      </w:tr>
      <w:tr w:rsidR="002B3BCC" w:rsidRPr="005252ED" w:rsidTr="002B3BCC">
        <w:tc>
          <w:tcPr>
            <w:tcW w:w="5000" w:type="pct"/>
            <w:gridSpan w:val="3"/>
          </w:tcPr>
          <w:p w:rsidR="002B3BCC" w:rsidRPr="005635DC" w:rsidRDefault="002B3BCC" w:rsidP="002B3BCC">
            <w:pPr>
              <w:jc w:val="both"/>
              <w:rPr>
                <w:rFonts w:eastAsia="Calibri"/>
                <w:sz w:val="20"/>
                <w:lang w:val="fr-FR"/>
              </w:rPr>
            </w:pPr>
          </w:p>
          <w:p w:rsidR="002B3BCC" w:rsidRPr="005635DC" w:rsidRDefault="002B3BCC" w:rsidP="002B3BCC">
            <w:pPr>
              <w:jc w:val="both"/>
              <w:rPr>
                <w:rFonts w:eastAsia="Calibri"/>
                <w:sz w:val="20"/>
                <w:lang w:val="fr-FR"/>
              </w:rPr>
            </w:pPr>
            <w:r w:rsidRPr="005635DC">
              <w:rPr>
                <w:rFonts w:eastAsia="Calibri"/>
                <w:sz w:val="20"/>
                <w:lang w:val="fr-FR"/>
              </w:rPr>
              <w:t>La Cour supérieure de justice de l’Ontario a accueilli la requête de l’assureur en jugement sommaire et a rejeté l’action, concluant que le délai de prescription applicable avait été dépassé et que l’on n’avait pas démontré que la mort de l’assuré était accidentelle. La Cour d’appel de l’Ontario a rejeté l’appel formé par la demanderesse.</w:t>
            </w:r>
          </w:p>
          <w:p w:rsidR="002B3BCC" w:rsidRPr="005635DC" w:rsidRDefault="002B3BCC" w:rsidP="002B3BCC">
            <w:pPr>
              <w:jc w:val="both"/>
              <w:rPr>
                <w:rFonts w:eastAsia="Calibri"/>
                <w:sz w:val="20"/>
                <w:lang w:val="fr-FR"/>
              </w:rPr>
            </w:pPr>
          </w:p>
        </w:tc>
      </w:tr>
      <w:tr w:rsidR="002B3BCC" w:rsidRPr="005252ED" w:rsidTr="002B3BCC">
        <w:tc>
          <w:tcPr>
            <w:tcW w:w="2427" w:type="pct"/>
          </w:tcPr>
          <w:p w:rsidR="002B3BCC" w:rsidRPr="005635DC" w:rsidRDefault="002B3BCC" w:rsidP="002B3BCC">
            <w:pPr>
              <w:jc w:val="both"/>
              <w:rPr>
                <w:rFonts w:eastAsia="Calibri"/>
                <w:sz w:val="20"/>
                <w:lang w:val="fr-FR"/>
              </w:rPr>
            </w:pPr>
            <w:r w:rsidRPr="005635DC">
              <w:rPr>
                <w:rFonts w:eastAsia="Calibri"/>
                <w:sz w:val="20"/>
                <w:lang w:val="fr-FR"/>
              </w:rPr>
              <w:t>15 juin 2011</w:t>
            </w:r>
          </w:p>
          <w:p w:rsidR="002B3BCC" w:rsidRPr="005635DC" w:rsidRDefault="002B3BCC" w:rsidP="002B3BCC">
            <w:pPr>
              <w:jc w:val="both"/>
              <w:rPr>
                <w:rFonts w:eastAsia="Calibri"/>
                <w:sz w:val="20"/>
                <w:lang w:val="fr-FR"/>
              </w:rPr>
            </w:pPr>
            <w:r w:rsidRPr="005635DC">
              <w:rPr>
                <w:rFonts w:eastAsia="Calibri"/>
                <w:sz w:val="20"/>
                <w:lang w:val="fr-FR"/>
              </w:rPr>
              <w:t xml:space="preserve">Cour supérieure de justice de l’Ontario </w:t>
            </w:r>
          </w:p>
          <w:p w:rsidR="002B3BCC" w:rsidRPr="005635DC" w:rsidRDefault="002B3BCC" w:rsidP="002B3BCC">
            <w:pPr>
              <w:jc w:val="both"/>
              <w:rPr>
                <w:rFonts w:eastAsia="Calibri"/>
                <w:sz w:val="20"/>
              </w:rPr>
            </w:pPr>
            <w:r w:rsidRPr="005635DC">
              <w:rPr>
                <w:rFonts w:eastAsia="Calibri"/>
                <w:sz w:val="20"/>
              </w:rPr>
              <w:t>(</w:t>
            </w:r>
            <w:proofErr w:type="spellStart"/>
            <w:r w:rsidRPr="005635DC">
              <w:rPr>
                <w:rFonts w:eastAsia="Calibri"/>
                <w:sz w:val="20"/>
              </w:rPr>
              <w:t>Juge</w:t>
            </w:r>
            <w:proofErr w:type="spellEnd"/>
            <w:r w:rsidRPr="005635DC">
              <w:rPr>
                <w:rFonts w:eastAsia="Calibri"/>
                <w:sz w:val="20"/>
              </w:rPr>
              <w:t xml:space="preserve"> </w:t>
            </w:r>
            <w:proofErr w:type="spellStart"/>
            <w:r w:rsidRPr="005635DC">
              <w:rPr>
                <w:rFonts w:eastAsia="Calibri"/>
                <w:sz w:val="20"/>
              </w:rPr>
              <w:t>Chapnik</w:t>
            </w:r>
            <w:proofErr w:type="spellEnd"/>
            <w:r w:rsidRPr="005635DC">
              <w:rPr>
                <w:rFonts w:eastAsia="Calibri"/>
                <w:sz w:val="20"/>
              </w:rPr>
              <w:t>)</w:t>
            </w:r>
          </w:p>
          <w:p w:rsidR="002B3BCC" w:rsidRPr="005635DC" w:rsidRDefault="002B3BCC" w:rsidP="002B3BCC">
            <w:pPr>
              <w:jc w:val="both"/>
              <w:rPr>
                <w:rFonts w:eastAsia="Calibri"/>
                <w:sz w:val="20"/>
              </w:rPr>
            </w:pPr>
          </w:p>
        </w:tc>
        <w:tc>
          <w:tcPr>
            <w:tcW w:w="243" w:type="pct"/>
          </w:tcPr>
          <w:p w:rsidR="002B3BCC" w:rsidRPr="005635DC" w:rsidRDefault="002B3BCC" w:rsidP="002B3BCC">
            <w:pPr>
              <w:jc w:val="both"/>
              <w:rPr>
                <w:rFonts w:eastAsia="Calibri"/>
                <w:sz w:val="20"/>
              </w:rPr>
            </w:pPr>
          </w:p>
        </w:tc>
        <w:tc>
          <w:tcPr>
            <w:tcW w:w="2330" w:type="pct"/>
          </w:tcPr>
          <w:p w:rsidR="002B3BCC" w:rsidRPr="005635DC" w:rsidRDefault="002B3BCC" w:rsidP="002B3BCC">
            <w:pPr>
              <w:jc w:val="both"/>
              <w:rPr>
                <w:rFonts w:eastAsia="Calibri"/>
                <w:sz w:val="20"/>
                <w:lang w:val="fr-FR"/>
              </w:rPr>
            </w:pPr>
            <w:r w:rsidRPr="005635DC">
              <w:rPr>
                <w:rFonts w:eastAsia="Calibri"/>
                <w:sz w:val="20"/>
                <w:lang w:val="fr-FR"/>
              </w:rPr>
              <w:t>Requête de l’intimée en jugement sommaire accueillie; requête incidente de la demanderesse en jugement sommaire et son action rejetées.</w:t>
            </w:r>
          </w:p>
          <w:p w:rsidR="002B3BCC" w:rsidRPr="005635DC" w:rsidRDefault="002B3BCC" w:rsidP="002B3BCC">
            <w:pPr>
              <w:jc w:val="both"/>
              <w:rPr>
                <w:rFonts w:eastAsia="Calibri"/>
                <w:sz w:val="20"/>
                <w:lang w:val="fr-FR"/>
              </w:rPr>
            </w:pPr>
          </w:p>
        </w:tc>
      </w:tr>
      <w:tr w:rsidR="002B3BCC" w:rsidRPr="005252ED" w:rsidTr="002B3BCC">
        <w:tc>
          <w:tcPr>
            <w:tcW w:w="2427" w:type="pct"/>
          </w:tcPr>
          <w:p w:rsidR="002B3BCC" w:rsidRPr="005635DC" w:rsidRDefault="002B3BCC" w:rsidP="002B3BCC">
            <w:pPr>
              <w:jc w:val="both"/>
              <w:rPr>
                <w:rFonts w:eastAsia="Calibri"/>
                <w:sz w:val="20"/>
                <w:lang w:val="fr-FR"/>
              </w:rPr>
            </w:pPr>
            <w:r w:rsidRPr="005635DC">
              <w:rPr>
                <w:rFonts w:eastAsia="Calibri"/>
                <w:sz w:val="20"/>
                <w:lang w:val="fr-FR"/>
              </w:rPr>
              <w:t>6 janvier 2012</w:t>
            </w:r>
          </w:p>
          <w:p w:rsidR="002B3BCC" w:rsidRPr="005635DC" w:rsidRDefault="002B3BCC" w:rsidP="002B3BCC">
            <w:pPr>
              <w:jc w:val="both"/>
              <w:rPr>
                <w:rFonts w:eastAsia="Calibri"/>
                <w:sz w:val="20"/>
                <w:lang w:val="fr-FR"/>
              </w:rPr>
            </w:pPr>
            <w:r w:rsidRPr="005635DC">
              <w:rPr>
                <w:rFonts w:eastAsia="Calibri"/>
                <w:sz w:val="20"/>
                <w:lang w:val="fr-FR"/>
              </w:rPr>
              <w:t>Cour d’appel de l’Ontario</w:t>
            </w:r>
          </w:p>
          <w:p w:rsidR="002B3BCC" w:rsidRPr="005635DC" w:rsidRDefault="002B3BCC" w:rsidP="002B3BCC">
            <w:pPr>
              <w:jc w:val="both"/>
              <w:rPr>
                <w:rFonts w:eastAsia="Calibri"/>
                <w:sz w:val="20"/>
                <w:lang w:val="fr-FR"/>
              </w:rPr>
            </w:pPr>
            <w:r w:rsidRPr="005635DC">
              <w:rPr>
                <w:rFonts w:eastAsia="Calibri"/>
                <w:sz w:val="20"/>
                <w:lang w:val="fr-FR"/>
              </w:rPr>
              <w:t>(Juges Rosenberg, Simmons et Armstrong)</w:t>
            </w:r>
          </w:p>
          <w:p w:rsidR="002B3BCC" w:rsidRPr="005635DC" w:rsidRDefault="002B3BCC" w:rsidP="002B3BCC">
            <w:pPr>
              <w:jc w:val="both"/>
              <w:rPr>
                <w:rFonts w:eastAsia="Calibri"/>
                <w:sz w:val="20"/>
                <w:lang w:val="fr-FR"/>
              </w:rPr>
            </w:pPr>
          </w:p>
        </w:tc>
        <w:tc>
          <w:tcPr>
            <w:tcW w:w="243" w:type="pct"/>
          </w:tcPr>
          <w:p w:rsidR="002B3BCC" w:rsidRPr="005635DC" w:rsidRDefault="002B3BCC" w:rsidP="002B3BCC">
            <w:pPr>
              <w:jc w:val="both"/>
              <w:rPr>
                <w:rFonts w:eastAsia="Calibri"/>
                <w:sz w:val="20"/>
                <w:lang w:val="fr-FR"/>
              </w:rPr>
            </w:pPr>
          </w:p>
        </w:tc>
        <w:tc>
          <w:tcPr>
            <w:tcW w:w="2330" w:type="pct"/>
          </w:tcPr>
          <w:p w:rsidR="002B3BCC" w:rsidRPr="005635DC" w:rsidRDefault="002B3BCC" w:rsidP="002B3BCC">
            <w:pPr>
              <w:jc w:val="both"/>
              <w:rPr>
                <w:rFonts w:eastAsia="Calibri"/>
                <w:sz w:val="20"/>
                <w:lang w:val="fr-FR"/>
              </w:rPr>
            </w:pPr>
            <w:r w:rsidRPr="005635DC">
              <w:rPr>
                <w:rFonts w:eastAsia="Calibri"/>
                <w:sz w:val="20"/>
                <w:lang w:val="fr-FR"/>
              </w:rPr>
              <w:t>Appel de la demanderesse rejeté.</w:t>
            </w:r>
          </w:p>
          <w:p w:rsidR="002B3BCC" w:rsidRPr="005635DC" w:rsidRDefault="002B3BCC" w:rsidP="002B3BCC">
            <w:pPr>
              <w:jc w:val="both"/>
              <w:rPr>
                <w:rFonts w:eastAsia="Calibri"/>
                <w:sz w:val="20"/>
                <w:lang w:val="fr-FR"/>
              </w:rPr>
            </w:pPr>
          </w:p>
          <w:p w:rsidR="002B3BCC" w:rsidRPr="005635DC" w:rsidRDefault="002B3BCC" w:rsidP="002B3BCC">
            <w:pPr>
              <w:jc w:val="both"/>
              <w:rPr>
                <w:rFonts w:eastAsia="Calibri"/>
                <w:sz w:val="20"/>
                <w:lang w:val="fr-FR"/>
              </w:rPr>
            </w:pPr>
          </w:p>
        </w:tc>
      </w:tr>
      <w:tr w:rsidR="002B3BCC" w:rsidRPr="005635DC" w:rsidTr="002B3BCC">
        <w:tc>
          <w:tcPr>
            <w:tcW w:w="2427" w:type="pct"/>
          </w:tcPr>
          <w:p w:rsidR="002B3BCC" w:rsidRPr="00D70C77" w:rsidRDefault="002B3BCC" w:rsidP="002B3BCC">
            <w:pPr>
              <w:jc w:val="both"/>
              <w:rPr>
                <w:rFonts w:eastAsia="Calibri"/>
                <w:sz w:val="20"/>
                <w:lang w:val="fr-CA"/>
              </w:rPr>
            </w:pPr>
            <w:r w:rsidRPr="00D70C77">
              <w:rPr>
                <w:rFonts w:eastAsia="Calibri"/>
                <w:sz w:val="20"/>
                <w:lang w:val="fr-CA"/>
              </w:rPr>
              <w:t>6 mars 2012</w:t>
            </w:r>
          </w:p>
          <w:p w:rsidR="002B3BCC" w:rsidRPr="00D70C77" w:rsidRDefault="002B3BCC" w:rsidP="00DB47E3">
            <w:pPr>
              <w:jc w:val="both"/>
              <w:rPr>
                <w:rFonts w:eastAsia="Calibri"/>
                <w:sz w:val="20"/>
                <w:lang w:val="fr-CA"/>
              </w:rPr>
            </w:pPr>
            <w:r w:rsidRPr="00D70C77">
              <w:rPr>
                <w:rFonts w:eastAsia="Calibri"/>
                <w:sz w:val="20"/>
                <w:lang w:val="fr-CA"/>
              </w:rPr>
              <w:t>Cour suprême du Canada</w:t>
            </w:r>
          </w:p>
        </w:tc>
        <w:tc>
          <w:tcPr>
            <w:tcW w:w="243" w:type="pct"/>
          </w:tcPr>
          <w:p w:rsidR="002B3BCC" w:rsidRPr="00D70C77" w:rsidRDefault="002B3BCC" w:rsidP="002B3BCC">
            <w:pPr>
              <w:jc w:val="both"/>
              <w:rPr>
                <w:rFonts w:eastAsia="Calibri"/>
                <w:sz w:val="20"/>
                <w:lang w:val="fr-CA"/>
              </w:rPr>
            </w:pPr>
          </w:p>
        </w:tc>
        <w:tc>
          <w:tcPr>
            <w:tcW w:w="2330" w:type="pct"/>
          </w:tcPr>
          <w:p w:rsidR="002B3BCC" w:rsidRPr="005635DC" w:rsidRDefault="002B3BCC" w:rsidP="002B3BCC">
            <w:pPr>
              <w:jc w:val="both"/>
              <w:rPr>
                <w:rFonts w:eastAsia="Calibri"/>
                <w:sz w:val="20"/>
              </w:rPr>
            </w:pPr>
            <w:proofErr w:type="spellStart"/>
            <w:r w:rsidRPr="005635DC">
              <w:rPr>
                <w:rFonts w:eastAsia="Calibri"/>
                <w:sz w:val="20"/>
              </w:rPr>
              <w:t>Demande</w:t>
            </w:r>
            <w:proofErr w:type="spellEnd"/>
            <w:r w:rsidRPr="005635DC">
              <w:rPr>
                <w:rFonts w:eastAsia="Calibri"/>
                <w:sz w:val="20"/>
              </w:rPr>
              <w:t xml:space="preserve"> </w:t>
            </w:r>
            <w:proofErr w:type="spellStart"/>
            <w:r w:rsidRPr="005635DC">
              <w:rPr>
                <w:rFonts w:eastAsia="Calibri"/>
                <w:sz w:val="20"/>
              </w:rPr>
              <w:t>d’autorisation</w:t>
            </w:r>
            <w:proofErr w:type="spellEnd"/>
            <w:r w:rsidRPr="005635DC">
              <w:rPr>
                <w:rFonts w:eastAsia="Calibri"/>
                <w:sz w:val="20"/>
              </w:rPr>
              <w:t xml:space="preserve"> </w:t>
            </w:r>
            <w:proofErr w:type="spellStart"/>
            <w:r w:rsidRPr="005635DC">
              <w:rPr>
                <w:rFonts w:eastAsia="Calibri"/>
                <w:sz w:val="20"/>
              </w:rPr>
              <w:t>d’appel</w:t>
            </w:r>
            <w:proofErr w:type="spellEnd"/>
            <w:r w:rsidRPr="005635DC">
              <w:rPr>
                <w:rFonts w:eastAsia="Calibri"/>
                <w:sz w:val="20"/>
              </w:rPr>
              <w:t xml:space="preserve"> </w:t>
            </w:r>
            <w:proofErr w:type="spellStart"/>
            <w:r w:rsidRPr="005635DC">
              <w:rPr>
                <w:rFonts w:eastAsia="Calibri"/>
                <w:sz w:val="20"/>
              </w:rPr>
              <w:t>déposée</w:t>
            </w:r>
            <w:proofErr w:type="spellEnd"/>
            <w:r w:rsidRPr="005635DC">
              <w:rPr>
                <w:rFonts w:eastAsia="Calibri"/>
                <w:sz w:val="20"/>
              </w:rPr>
              <w:t>.</w:t>
            </w:r>
          </w:p>
        </w:tc>
      </w:tr>
    </w:tbl>
    <w:p w:rsidR="002B3BCC" w:rsidRPr="007400FC" w:rsidRDefault="002B3BCC" w:rsidP="002B3BCC">
      <w:pPr>
        <w:rPr>
          <w:sz w:val="20"/>
          <w:szCs w:val="20"/>
        </w:rPr>
      </w:pPr>
    </w:p>
    <w:p w:rsidR="002B3BCC" w:rsidRPr="007400FC" w:rsidRDefault="00C90BA9" w:rsidP="002B3BCC">
      <w:pPr>
        <w:rPr>
          <w:sz w:val="20"/>
          <w:szCs w:val="20"/>
        </w:rPr>
      </w:pPr>
      <w:r w:rsidRPr="00C90BA9">
        <w:rPr>
          <w:sz w:val="20"/>
          <w:szCs w:val="20"/>
          <w:lang w:val="fr-CA"/>
        </w:rPr>
        <w:pict>
          <v:rect id="_x0000_i1044" style="width:2in;height:1pt" o:hrpct="0" o:hralign="center" o:hrstd="t" o:hrnoshade="t" o:hr="t" fillcolor="black [3213]" stroked="f"/>
        </w:pict>
      </w:r>
    </w:p>
    <w:p w:rsidR="008925F4" w:rsidRPr="007400FC" w:rsidRDefault="008925F4" w:rsidP="008925F4">
      <w:pPr>
        <w:rPr>
          <w:sz w:val="20"/>
          <w:szCs w:val="20"/>
        </w:rPr>
      </w:pPr>
    </w:p>
    <w:p w:rsidR="00E34A7A" w:rsidRPr="00DF7E92" w:rsidRDefault="00E34A7A" w:rsidP="00DF7E92">
      <w:pPr>
        <w:rPr>
          <w:sz w:val="20"/>
        </w:rPr>
      </w:pPr>
      <w:r w:rsidRPr="00042EA6">
        <w:rPr>
          <w:b/>
          <w:sz w:val="20"/>
          <w:lang w:val="en-US"/>
        </w:rPr>
        <w:t>34719</w:t>
      </w:r>
      <w:r w:rsidRPr="00042EA6">
        <w:rPr>
          <w:b/>
          <w:sz w:val="20"/>
          <w:lang w:val="en-US"/>
        </w:rPr>
        <w:tab/>
      </w:r>
      <w:r w:rsidRPr="00DF7E92">
        <w:rPr>
          <w:b/>
          <w:sz w:val="20"/>
          <w:u w:val="single"/>
          <w:lang w:val="en-US"/>
        </w:rPr>
        <w:t xml:space="preserve">Kathryn Rosenstein, </w:t>
      </w:r>
      <w:proofErr w:type="spellStart"/>
      <w:r w:rsidRPr="00DF7E92">
        <w:rPr>
          <w:b/>
          <w:sz w:val="20"/>
          <w:u w:val="single"/>
          <w:lang w:val="en-US"/>
        </w:rPr>
        <w:t>Hagop</w:t>
      </w:r>
      <w:proofErr w:type="spellEnd"/>
      <w:r w:rsidRPr="00DF7E92">
        <w:rPr>
          <w:b/>
          <w:sz w:val="20"/>
          <w:u w:val="single"/>
          <w:lang w:val="en-US"/>
        </w:rPr>
        <w:t xml:space="preserve"> </w:t>
      </w:r>
      <w:proofErr w:type="spellStart"/>
      <w:r w:rsidRPr="00DF7E92">
        <w:rPr>
          <w:b/>
          <w:sz w:val="20"/>
          <w:u w:val="single"/>
          <w:lang w:val="en-US"/>
        </w:rPr>
        <w:t>Artinian</w:t>
      </w:r>
      <w:proofErr w:type="spellEnd"/>
      <w:r w:rsidRPr="00DF7E92">
        <w:rPr>
          <w:b/>
          <w:sz w:val="20"/>
          <w:u w:val="single"/>
          <w:lang w:val="en-US"/>
        </w:rPr>
        <w:t xml:space="preserve"> v. Mary </w:t>
      </w:r>
      <w:proofErr w:type="spellStart"/>
      <w:r w:rsidRPr="00DF7E92">
        <w:rPr>
          <w:b/>
          <w:sz w:val="20"/>
          <w:u w:val="single"/>
          <w:lang w:val="en-US"/>
        </w:rPr>
        <w:t>Kanavaros</w:t>
      </w:r>
      <w:proofErr w:type="spellEnd"/>
      <w:r w:rsidRPr="00DF7E92">
        <w:rPr>
          <w:sz w:val="20"/>
        </w:rPr>
        <w:t xml:space="preserve"> (Que.) (Civil) (By Leave)</w:t>
      </w:r>
    </w:p>
    <w:p w:rsidR="00E34A7A" w:rsidRPr="00DF7E92" w:rsidRDefault="00E34A7A" w:rsidP="00DF7E92">
      <w:pPr>
        <w:tabs>
          <w:tab w:val="left" w:pos="1458"/>
        </w:tabs>
        <w:rPr>
          <w:sz w:val="20"/>
        </w:rPr>
      </w:pPr>
    </w:p>
    <w:p w:rsidR="00E34A7A" w:rsidRPr="00DF7E92" w:rsidRDefault="00E34A7A" w:rsidP="00DF7E92">
      <w:pPr>
        <w:rPr>
          <w:sz w:val="20"/>
        </w:rPr>
      </w:pPr>
      <w:proofErr w:type="gramStart"/>
      <w:r w:rsidRPr="00DF7E92">
        <w:rPr>
          <w:sz w:val="20"/>
        </w:rPr>
        <w:t>Coram :</w:t>
      </w:r>
      <w:proofErr w:type="gramEnd"/>
      <w:r w:rsidRPr="00DF7E92">
        <w:rPr>
          <w:sz w:val="20"/>
        </w:rPr>
        <w:tab/>
      </w:r>
      <w:proofErr w:type="spellStart"/>
      <w:r w:rsidRPr="00DF7E92">
        <w:rPr>
          <w:sz w:val="20"/>
          <w:u w:val="single"/>
          <w:lang w:val="en-US"/>
        </w:rPr>
        <w:t>LeBel</w:t>
      </w:r>
      <w:proofErr w:type="spellEnd"/>
      <w:r w:rsidRPr="00DF7E92">
        <w:rPr>
          <w:sz w:val="20"/>
          <w:u w:val="single"/>
          <w:lang w:val="en-US"/>
        </w:rPr>
        <w:t xml:space="preserve">, </w:t>
      </w:r>
      <w:proofErr w:type="spellStart"/>
      <w:r w:rsidRPr="00DF7E92">
        <w:rPr>
          <w:sz w:val="20"/>
          <w:u w:val="single"/>
          <w:lang w:val="en-US"/>
        </w:rPr>
        <w:t>Abella</w:t>
      </w:r>
      <w:proofErr w:type="spellEnd"/>
      <w:r w:rsidRPr="00DF7E92">
        <w:rPr>
          <w:sz w:val="20"/>
          <w:u w:val="single"/>
          <w:lang w:val="en-US"/>
        </w:rPr>
        <w:t xml:space="preserve"> and Cromwell JJ.</w:t>
      </w:r>
    </w:p>
    <w:p w:rsidR="00E34A7A" w:rsidRPr="00DF7E92" w:rsidRDefault="00E34A7A" w:rsidP="00DF7E92">
      <w:pPr>
        <w:tabs>
          <w:tab w:val="left" w:pos="1458"/>
        </w:tabs>
        <w:rPr>
          <w:sz w:val="20"/>
          <w:u w:val="single"/>
        </w:rPr>
      </w:pPr>
    </w:p>
    <w:p w:rsidR="00E34A7A" w:rsidRPr="00DF7E92" w:rsidRDefault="00E34A7A" w:rsidP="00DF7E92">
      <w:pPr>
        <w:ind w:firstLine="720"/>
        <w:jc w:val="both"/>
        <w:rPr>
          <w:sz w:val="20"/>
        </w:rPr>
      </w:pPr>
      <w:r w:rsidRPr="00DF7E92">
        <w:rPr>
          <w:sz w:val="20"/>
        </w:rPr>
        <w:t>The application for leave to appeal from the judgment of the Court of Appeal of Quebec (Montréal), Number 500-09-020960-100, 2012 QCCA 128, dated January 17, 2012, is dismissed with costs.</w:t>
      </w:r>
    </w:p>
    <w:p w:rsidR="00E34A7A" w:rsidRPr="00DF7E92" w:rsidRDefault="00E34A7A" w:rsidP="00DF7E92">
      <w:pPr>
        <w:jc w:val="both"/>
        <w:rPr>
          <w:sz w:val="20"/>
        </w:rPr>
      </w:pPr>
    </w:p>
    <w:p w:rsidR="00E34A7A" w:rsidRPr="00DF7E92" w:rsidRDefault="00E34A7A" w:rsidP="00DF7E92">
      <w:pPr>
        <w:ind w:firstLine="720"/>
        <w:jc w:val="both"/>
        <w:rPr>
          <w:sz w:val="20"/>
          <w:lang w:val="fr-CA"/>
        </w:rPr>
      </w:pPr>
      <w:r w:rsidRPr="00DF7E92">
        <w:rPr>
          <w:sz w:val="20"/>
          <w:lang w:val="fr-CA"/>
        </w:rPr>
        <w:t>La demande d’autorisation d’appel de l’arrêt de la Cour d’appel du Québec (Montréal), numéro 500-09-020960-100, 2012 QCCA 128, daté du 17 janvier 2012, est rejetée avec dépens.</w:t>
      </w:r>
    </w:p>
    <w:p w:rsidR="00E34A7A" w:rsidRPr="00DF7E92" w:rsidRDefault="00E34A7A" w:rsidP="00DF7E92">
      <w:pPr>
        <w:rPr>
          <w:sz w:val="20"/>
          <w:lang w:val="fr-CA"/>
        </w:rPr>
      </w:pPr>
    </w:p>
    <w:p w:rsidR="008925F4" w:rsidRPr="007400FC" w:rsidRDefault="008925F4" w:rsidP="008925F4">
      <w:pPr>
        <w:rPr>
          <w:sz w:val="20"/>
          <w:szCs w:val="20"/>
          <w:u w:val="single"/>
        </w:rPr>
      </w:pPr>
      <w:r w:rsidRPr="007400FC">
        <w:rPr>
          <w:sz w:val="20"/>
          <w:szCs w:val="20"/>
          <w:u w:val="single"/>
        </w:rPr>
        <w:t>CASE SUMMARY</w:t>
      </w:r>
    </w:p>
    <w:p w:rsidR="008925F4" w:rsidRPr="007400FC" w:rsidRDefault="008925F4" w:rsidP="008925F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925F4" w:rsidRPr="005635DC" w:rsidTr="008925F4">
        <w:tc>
          <w:tcPr>
            <w:tcW w:w="5000" w:type="pct"/>
            <w:gridSpan w:val="3"/>
          </w:tcPr>
          <w:p w:rsidR="008925F4" w:rsidRPr="005635DC" w:rsidRDefault="008925F4" w:rsidP="008925F4">
            <w:pPr>
              <w:jc w:val="both"/>
              <w:rPr>
                <w:rFonts w:eastAsia="Calibri"/>
                <w:sz w:val="20"/>
              </w:rPr>
            </w:pPr>
            <w:r w:rsidRPr="005635DC">
              <w:rPr>
                <w:rFonts w:eastAsia="Calibri"/>
                <w:sz w:val="20"/>
              </w:rPr>
              <w:t>Civil liability – Damages – Defamation – Whether statements were defamatory – Whether competence of teacher or professional covered by notions of public interest and free expression – Whether confidentiality agreement breached and if so, whether this limits recovery to foreseeable damages – Whether causal connection between statements and respondent’s inability to work – Whether award of exemplary damages justified – Whether gross salary could be compensated for – Whether lower courts’ decisions compatible with societal values.</w:t>
            </w:r>
          </w:p>
        </w:tc>
      </w:tr>
      <w:tr w:rsidR="008925F4" w:rsidRPr="005635DC" w:rsidTr="008925F4">
        <w:tc>
          <w:tcPr>
            <w:tcW w:w="5000" w:type="pct"/>
            <w:gridSpan w:val="3"/>
          </w:tcPr>
          <w:p w:rsidR="008925F4" w:rsidRPr="005635DC" w:rsidRDefault="008925F4" w:rsidP="008925F4">
            <w:pPr>
              <w:jc w:val="both"/>
              <w:rPr>
                <w:rFonts w:eastAsia="Calibri"/>
                <w:sz w:val="20"/>
              </w:rPr>
            </w:pPr>
          </w:p>
        </w:tc>
      </w:tr>
      <w:tr w:rsidR="008925F4" w:rsidRPr="005635DC" w:rsidTr="008925F4">
        <w:tc>
          <w:tcPr>
            <w:tcW w:w="5000" w:type="pct"/>
            <w:gridSpan w:val="3"/>
          </w:tcPr>
          <w:p w:rsidR="008925F4" w:rsidRPr="005635DC" w:rsidRDefault="008925F4" w:rsidP="008925F4">
            <w:pPr>
              <w:jc w:val="both"/>
              <w:rPr>
                <w:rFonts w:eastAsia="Calibri"/>
                <w:sz w:val="20"/>
              </w:rPr>
            </w:pPr>
            <w:r w:rsidRPr="005635DC">
              <w:rPr>
                <w:rFonts w:eastAsia="Calibri"/>
                <w:sz w:val="20"/>
              </w:rPr>
              <w:t>The applicants (“the parents”) sued their son’s teacher, the principal of the Westmount school and the school board (“the defendants”) for what they called “educational malpractice”. On the morning of the trial, the parties signed a settlement agreement which contained a confidentiality clause prohibiting the parties from divulging the terms of the settlement. While leaving the courthouse, the parents were accosted by media representatives to whom they made various comments with respect to the teacher’s character. In essence, they expressed that they had “made their point” and that the teacher was a “marked lady” who would now have to think twice about doing something unprofessional. The parents’ comments were widely broadcast on television and published in several major Canadian newspapers. The teacher sued the parents for defamation and was awarded $234,011.87 in damages. The parents appealed the award on the basis that the statements were not defamatory, that the teacher suffered no damages, that the award was excessive and that there was no basis for granting exemplary damages. In a brief set of reasons, the Court of Appeal dismissed the appeal.</w:t>
            </w:r>
          </w:p>
          <w:p w:rsidR="008925F4" w:rsidRPr="005635DC" w:rsidRDefault="008925F4" w:rsidP="008925F4">
            <w:pPr>
              <w:jc w:val="both"/>
              <w:rPr>
                <w:rFonts w:eastAsia="Calibri"/>
                <w:sz w:val="20"/>
              </w:rPr>
            </w:pPr>
          </w:p>
        </w:tc>
      </w:tr>
      <w:tr w:rsidR="008925F4" w:rsidRPr="005635DC" w:rsidTr="008925F4">
        <w:tc>
          <w:tcPr>
            <w:tcW w:w="2427" w:type="pct"/>
          </w:tcPr>
          <w:p w:rsidR="008925F4" w:rsidRPr="005635DC" w:rsidRDefault="008925F4" w:rsidP="008925F4">
            <w:pPr>
              <w:jc w:val="both"/>
              <w:rPr>
                <w:rFonts w:eastAsia="Calibri"/>
                <w:sz w:val="20"/>
              </w:rPr>
            </w:pPr>
            <w:r w:rsidRPr="005635DC">
              <w:rPr>
                <w:rFonts w:eastAsia="Calibri"/>
                <w:sz w:val="20"/>
              </w:rPr>
              <w:t>July 30, 2010</w:t>
            </w:r>
          </w:p>
          <w:p w:rsidR="008925F4" w:rsidRPr="005635DC" w:rsidRDefault="008925F4" w:rsidP="008925F4">
            <w:pPr>
              <w:jc w:val="both"/>
              <w:rPr>
                <w:rFonts w:eastAsia="Calibri"/>
                <w:sz w:val="20"/>
              </w:rPr>
            </w:pPr>
            <w:r w:rsidRPr="005635DC">
              <w:rPr>
                <w:rFonts w:eastAsia="Calibri"/>
                <w:sz w:val="20"/>
              </w:rPr>
              <w:t>Superior Court of Quebec</w:t>
            </w:r>
          </w:p>
          <w:p w:rsidR="008925F4" w:rsidRPr="005635DC" w:rsidRDefault="008925F4" w:rsidP="008925F4">
            <w:pPr>
              <w:jc w:val="both"/>
              <w:rPr>
                <w:rFonts w:eastAsia="Calibri"/>
                <w:sz w:val="20"/>
              </w:rPr>
            </w:pPr>
            <w:r w:rsidRPr="005635DC">
              <w:rPr>
                <w:rFonts w:eastAsia="Calibri"/>
                <w:sz w:val="20"/>
              </w:rPr>
              <w:t>(Richer J.)</w:t>
            </w:r>
          </w:p>
          <w:p w:rsidR="008925F4" w:rsidRPr="005635DC" w:rsidRDefault="008925F4" w:rsidP="008925F4">
            <w:pPr>
              <w:jc w:val="both"/>
              <w:rPr>
                <w:rFonts w:eastAsia="Calibri"/>
                <w:sz w:val="20"/>
              </w:rPr>
            </w:pPr>
            <w:r w:rsidRPr="005635DC">
              <w:rPr>
                <w:rFonts w:eastAsia="Calibri"/>
                <w:sz w:val="20"/>
              </w:rPr>
              <w:t>2010 QCCS 3398</w:t>
            </w:r>
          </w:p>
          <w:p w:rsidR="008925F4" w:rsidRPr="005635DC" w:rsidRDefault="008925F4" w:rsidP="008925F4">
            <w:pPr>
              <w:jc w:val="both"/>
              <w:rPr>
                <w:rFonts w:eastAsia="Calibri"/>
                <w:sz w:val="20"/>
              </w:rPr>
            </w:pPr>
          </w:p>
        </w:tc>
        <w:tc>
          <w:tcPr>
            <w:tcW w:w="243" w:type="pct"/>
          </w:tcPr>
          <w:p w:rsidR="008925F4" w:rsidRPr="005635DC" w:rsidRDefault="008925F4" w:rsidP="008925F4">
            <w:pPr>
              <w:jc w:val="both"/>
              <w:rPr>
                <w:rFonts w:eastAsia="Calibri"/>
                <w:sz w:val="20"/>
              </w:rPr>
            </w:pPr>
          </w:p>
        </w:tc>
        <w:tc>
          <w:tcPr>
            <w:tcW w:w="2330" w:type="pct"/>
          </w:tcPr>
          <w:p w:rsidR="008925F4" w:rsidRPr="005635DC" w:rsidRDefault="008925F4" w:rsidP="008925F4">
            <w:pPr>
              <w:jc w:val="both"/>
              <w:rPr>
                <w:rFonts w:eastAsia="Calibri"/>
                <w:sz w:val="20"/>
              </w:rPr>
            </w:pPr>
            <w:r w:rsidRPr="005635DC">
              <w:rPr>
                <w:rFonts w:eastAsia="Calibri"/>
                <w:sz w:val="20"/>
              </w:rPr>
              <w:t>Respondent awarded $234,011.87 in damages for defamatory statements made by applicants</w:t>
            </w:r>
          </w:p>
        </w:tc>
      </w:tr>
      <w:tr w:rsidR="008925F4" w:rsidRPr="005635DC" w:rsidTr="008925F4">
        <w:tc>
          <w:tcPr>
            <w:tcW w:w="2427" w:type="pct"/>
          </w:tcPr>
          <w:p w:rsidR="008925F4" w:rsidRPr="005635DC" w:rsidRDefault="008925F4" w:rsidP="008925F4">
            <w:pPr>
              <w:jc w:val="both"/>
              <w:rPr>
                <w:rFonts w:eastAsia="Calibri"/>
                <w:sz w:val="20"/>
              </w:rPr>
            </w:pPr>
            <w:r w:rsidRPr="005635DC">
              <w:rPr>
                <w:rFonts w:eastAsia="Calibri"/>
                <w:sz w:val="20"/>
              </w:rPr>
              <w:t>January 17, 2012</w:t>
            </w:r>
          </w:p>
          <w:p w:rsidR="008925F4" w:rsidRPr="005635DC" w:rsidRDefault="008925F4" w:rsidP="008925F4">
            <w:pPr>
              <w:jc w:val="both"/>
              <w:rPr>
                <w:rFonts w:eastAsia="Calibri"/>
                <w:sz w:val="20"/>
              </w:rPr>
            </w:pPr>
            <w:r w:rsidRPr="005635DC">
              <w:rPr>
                <w:rFonts w:eastAsia="Calibri"/>
                <w:sz w:val="20"/>
              </w:rPr>
              <w:t>Court of Appeal of Quebec (Montréal)</w:t>
            </w:r>
          </w:p>
          <w:p w:rsidR="008925F4" w:rsidRPr="005635DC" w:rsidRDefault="008925F4" w:rsidP="008925F4">
            <w:pPr>
              <w:jc w:val="both"/>
              <w:rPr>
                <w:rFonts w:eastAsia="Calibri"/>
                <w:sz w:val="20"/>
              </w:rPr>
            </w:pPr>
            <w:r w:rsidRPr="005635DC">
              <w:rPr>
                <w:rFonts w:eastAsia="Calibri"/>
                <w:sz w:val="20"/>
              </w:rPr>
              <w:t xml:space="preserve">(Duval </w:t>
            </w:r>
            <w:proofErr w:type="spellStart"/>
            <w:r w:rsidRPr="005635DC">
              <w:rPr>
                <w:rFonts w:eastAsia="Calibri"/>
                <w:sz w:val="20"/>
              </w:rPr>
              <w:t>Hesler</w:t>
            </w:r>
            <w:proofErr w:type="spellEnd"/>
            <w:r w:rsidRPr="005635DC">
              <w:rPr>
                <w:rFonts w:eastAsia="Calibri"/>
                <w:sz w:val="20"/>
              </w:rPr>
              <w:t xml:space="preserve">, </w:t>
            </w:r>
            <w:proofErr w:type="spellStart"/>
            <w:r w:rsidRPr="005635DC">
              <w:rPr>
                <w:rFonts w:eastAsia="Calibri"/>
                <w:sz w:val="20"/>
              </w:rPr>
              <w:t>Dalphond</w:t>
            </w:r>
            <w:proofErr w:type="spellEnd"/>
            <w:r w:rsidRPr="005635DC">
              <w:rPr>
                <w:rFonts w:eastAsia="Calibri"/>
                <w:sz w:val="20"/>
              </w:rPr>
              <w:t xml:space="preserve"> and Giroux JJ.A.)</w:t>
            </w:r>
          </w:p>
          <w:p w:rsidR="008925F4" w:rsidRPr="005635DC" w:rsidRDefault="008925F4" w:rsidP="008925F4">
            <w:pPr>
              <w:jc w:val="both"/>
              <w:rPr>
                <w:rFonts w:eastAsia="Calibri"/>
                <w:sz w:val="20"/>
              </w:rPr>
            </w:pPr>
            <w:r w:rsidRPr="005635DC">
              <w:rPr>
                <w:rFonts w:eastAsia="Calibri"/>
                <w:sz w:val="20"/>
              </w:rPr>
              <w:t xml:space="preserve">2012  QCCA 128 </w:t>
            </w:r>
          </w:p>
          <w:p w:rsidR="008925F4" w:rsidRPr="005635DC" w:rsidRDefault="008925F4" w:rsidP="008925F4">
            <w:pPr>
              <w:jc w:val="both"/>
              <w:rPr>
                <w:rFonts w:eastAsia="Calibri"/>
                <w:sz w:val="20"/>
                <w:lang w:val="fr-CA"/>
              </w:rPr>
            </w:pPr>
          </w:p>
        </w:tc>
        <w:tc>
          <w:tcPr>
            <w:tcW w:w="243" w:type="pct"/>
          </w:tcPr>
          <w:p w:rsidR="008925F4" w:rsidRPr="005635DC" w:rsidRDefault="008925F4" w:rsidP="008925F4">
            <w:pPr>
              <w:jc w:val="both"/>
              <w:rPr>
                <w:rFonts w:eastAsia="Calibri"/>
                <w:sz w:val="20"/>
                <w:lang w:val="fr-CA"/>
              </w:rPr>
            </w:pPr>
          </w:p>
        </w:tc>
        <w:tc>
          <w:tcPr>
            <w:tcW w:w="2330" w:type="pct"/>
          </w:tcPr>
          <w:p w:rsidR="008925F4" w:rsidRPr="005635DC" w:rsidRDefault="008925F4" w:rsidP="008925F4">
            <w:pPr>
              <w:jc w:val="both"/>
              <w:rPr>
                <w:rFonts w:eastAsia="Calibri"/>
                <w:sz w:val="20"/>
              </w:rPr>
            </w:pPr>
            <w:r w:rsidRPr="005635DC">
              <w:rPr>
                <w:rFonts w:eastAsia="Calibri"/>
                <w:sz w:val="20"/>
              </w:rPr>
              <w:t>Appeal dismissed</w:t>
            </w:r>
          </w:p>
          <w:p w:rsidR="008925F4" w:rsidRPr="005635DC" w:rsidRDefault="008925F4" w:rsidP="008925F4">
            <w:pPr>
              <w:jc w:val="both"/>
              <w:rPr>
                <w:rFonts w:eastAsia="Calibri"/>
                <w:sz w:val="20"/>
              </w:rPr>
            </w:pPr>
          </w:p>
        </w:tc>
      </w:tr>
      <w:tr w:rsidR="008925F4" w:rsidRPr="005635DC" w:rsidTr="008925F4">
        <w:tc>
          <w:tcPr>
            <w:tcW w:w="2427" w:type="pct"/>
          </w:tcPr>
          <w:p w:rsidR="008925F4" w:rsidRPr="005635DC" w:rsidRDefault="008925F4" w:rsidP="008925F4">
            <w:pPr>
              <w:jc w:val="both"/>
              <w:rPr>
                <w:rFonts w:eastAsia="Calibri"/>
                <w:sz w:val="20"/>
              </w:rPr>
            </w:pPr>
            <w:r w:rsidRPr="005635DC">
              <w:rPr>
                <w:rFonts w:eastAsia="Calibri"/>
                <w:sz w:val="20"/>
              </w:rPr>
              <w:t>March 15, 2012</w:t>
            </w:r>
          </w:p>
          <w:p w:rsidR="008925F4" w:rsidRPr="005635DC" w:rsidRDefault="008925F4" w:rsidP="008925F4">
            <w:pPr>
              <w:jc w:val="both"/>
              <w:rPr>
                <w:rFonts w:eastAsia="Calibri"/>
                <w:sz w:val="20"/>
              </w:rPr>
            </w:pPr>
            <w:r w:rsidRPr="005635DC">
              <w:rPr>
                <w:rFonts w:eastAsia="Calibri"/>
                <w:sz w:val="20"/>
              </w:rPr>
              <w:t>Supreme Court of Canada</w:t>
            </w:r>
          </w:p>
        </w:tc>
        <w:tc>
          <w:tcPr>
            <w:tcW w:w="243" w:type="pct"/>
          </w:tcPr>
          <w:p w:rsidR="008925F4" w:rsidRPr="005635DC" w:rsidRDefault="008925F4" w:rsidP="008925F4">
            <w:pPr>
              <w:jc w:val="both"/>
              <w:rPr>
                <w:rFonts w:eastAsia="Calibri"/>
                <w:sz w:val="20"/>
              </w:rPr>
            </w:pPr>
          </w:p>
        </w:tc>
        <w:tc>
          <w:tcPr>
            <w:tcW w:w="2330" w:type="pct"/>
          </w:tcPr>
          <w:p w:rsidR="008925F4" w:rsidRPr="005635DC" w:rsidRDefault="008925F4" w:rsidP="008925F4">
            <w:pPr>
              <w:jc w:val="both"/>
              <w:rPr>
                <w:rFonts w:eastAsia="Calibri"/>
                <w:sz w:val="20"/>
              </w:rPr>
            </w:pPr>
            <w:r w:rsidRPr="005635DC">
              <w:rPr>
                <w:rFonts w:eastAsia="Calibri"/>
                <w:sz w:val="20"/>
              </w:rPr>
              <w:t>Application for leave to appeal filed</w:t>
            </w:r>
          </w:p>
          <w:p w:rsidR="008925F4" w:rsidRPr="005635DC" w:rsidRDefault="008925F4" w:rsidP="008925F4">
            <w:pPr>
              <w:jc w:val="both"/>
              <w:rPr>
                <w:rFonts w:eastAsia="Calibri"/>
                <w:sz w:val="20"/>
              </w:rPr>
            </w:pPr>
          </w:p>
        </w:tc>
      </w:tr>
    </w:tbl>
    <w:p w:rsidR="008925F4" w:rsidRPr="007400FC" w:rsidRDefault="008925F4" w:rsidP="008925F4">
      <w:pPr>
        <w:rPr>
          <w:sz w:val="20"/>
          <w:szCs w:val="20"/>
        </w:rPr>
      </w:pPr>
    </w:p>
    <w:p w:rsidR="008925F4" w:rsidRPr="007400FC" w:rsidRDefault="00C90BA9" w:rsidP="008925F4">
      <w:pPr>
        <w:rPr>
          <w:sz w:val="20"/>
          <w:szCs w:val="20"/>
        </w:rPr>
      </w:pPr>
      <w:r w:rsidRPr="00C90BA9">
        <w:rPr>
          <w:sz w:val="20"/>
          <w:szCs w:val="20"/>
          <w:lang w:val="fr-CA"/>
        </w:rPr>
        <w:pict>
          <v:rect id="_x0000_i1045" style="width:2in;height:1pt" o:hrpct="0" o:hralign="center" o:hrstd="t" o:hrnoshade="t" o:hr="t" fillcolor="black [3213]" stroked="f"/>
        </w:pict>
      </w:r>
    </w:p>
    <w:p w:rsidR="008925F4" w:rsidRPr="007400FC" w:rsidRDefault="008925F4" w:rsidP="008925F4">
      <w:pPr>
        <w:rPr>
          <w:sz w:val="20"/>
          <w:szCs w:val="20"/>
        </w:rPr>
      </w:pPr>
    </w:p>
    <w:p w:rsidR="008925F4" w:rsidRPr="007400FC" w:rsidRDefault="008925F4" w:rsidP="008925F4">
      <w:pPr>
        <w:rPr>
          <w:sz w:val="20"/>
          <w:szCs w:val="20"/>
          <w:u w:val="single"/>
          <w:lang w:val="fr-CA"/>
        </w:rPr>
      </w:pPr>
      <w:r w:rsidRPr="007400FC">
        <w:rPr>
          <w:sz w:val="20"/>
          <w:szCs w:val="20"/>
          <w:u w:val="single"/>
          <w:lang w:val="fr-CA"/>
        </w:rPr>
        <w:t xml:space="preserve">RÉSUMÉ </w:t>
      </w:r>
      <w:r w:rsidRPr="001B157C">
        <w:rPr>
          <w:sz w:val="20"/>
          <w:szCs w:val="20"/>
          <w:u w:val="single"/>
          <w:lang w:val="fr-CA"/>
        </w:rPr>
        <w:t>DE L’AFFAIRE</w:t>
      </w:r>
    </w:p>
    <w:p w:rsidR="008925F4" w:rsidRPr="007400FC" w:rsidRDefault="008925F4" w:rsidP="008925F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925F4" w:rsidRPr="005252ED" w:rsidTr="008925F4">
        <w:tc>
          <w:tcPr>
            <w:tcW w:w="5000" w:type="pct"/>
            <w:gridSpan w:val="3"/>
          </w:tcPr>
          <w:p w:rsidR="008925F4" w:rsidRPr="005635DC" w:rsidRDefault="008925F4" w:rsidP="008925F4">
            <w:pPr>
              <w:jc w:val="both"/>
              <w:rPr>
                <w:rFonts w:eastAsia="Calibri"/>
                <w:sz w:val="20"/>
                <w:lang w:val="fr-FR"/>
              </w:rPr>
            </w:pPr>
            <w:r w:rsidRPr="005635DC">
              <w:rPr>
                <w:rFonts w:eastAsia="Calibri"/>
                <w:sz w:val="20"/>
                <w:lang w:val="fr-FR"/>
              </w:rPr>
              <w:t xml:space="preserve">Responsabilité civile – Dommages-intérêts – Diffamation – Les déclarations étaient-elles diffamatoires? – Les notions d’intérêt public et de liberté d’expression s’appliquent-elles à la compétence de l’enseignant ou du professionnel? – Y a-t-il eu violation de l’entente de non-divulgation et, dans l’affirmative, cette violation limite-t-elle l’indemnisation au préjudice prévisible? – Existe-t-il un lien de causalité entre les déclarations et l’incapacité de l’intimée à travailler? – L’octroi de dommages-intérêts exemplaires est-il justifié? – Peut-on indemniser la perte du salaire brut? – Les décisions des juridictions inférieures sont-elles compatibles avec les valeurs de la société? </w:t>
            </w:r>
          </w:p>
        </w:tc>
      </w:tr>
      <w:tr w:rsidR="008925F4" w:rsidRPr="005252ED" w:rsidTr="008925F4">
        <w:tc>
          <w:tcPr>
            <w:tcW w:w="5000" w:type="pct"/>
            <w:gridSpan w:val="3"/>
          </w:tcPr>
          <w:p w:rsidR="008925F4" w:rsidRPr="005635DC" w:rsidRDefault="008925F4" w:rsidP="008925F4">
            <w:pPr>
              <w:jc w:val="both"/>
              <w:rPr>
                <w:rFonts w:eastAsia="Calibri"/>
                <w:sz w:val="20"/>
                <w:lang w:val="fr-FR"/>
              </w:rPr>
            </w:pPr>
          </w:p>
        </w:tc>
      </w:tr>
      <w:tr w:rsidR="008925F4" w:rsidRPr="005252ED" w:rsidTr="008925F4">
        <w:tc>
          <w:tcPr>
            <w:tcW w:w="5000" w:type="pct"/>
            <w:gridSpan w:val="3"/>
          </w:tcPr>
          <w:p w:rsidR="008925F4" w:rsidRPr="005635DC" w:rsidRDefault="008925F4" w:rsidP="008925F4">
            <w:pPr>
              <w:jc w:val="both"/>
              <w:rPr>
                <w:rFonts w:eastAsia="Calibri"/>
                <w:sz w:val="20"/>
                <w:lang w:val="fr-CA"/>
              </w:rPr>
            </w:pPr>
            <w:r w:rsidRPr="005635DC">
              <w:rPr>
                <w:rFonts w:eastAsia="Calibri"/>
                <w:sz w:val="20"/>
                <w:lang w:val="fr-FR"/>
              </w:rPr>
              <w:t xml:space="preserve">Les demandeurs (« les parents ») ont poursuivi l’enseignante de leur fils, le principal de l’école Westmount et la commission scolaire (« les défendeurs ») pour ce qu’ils appellent une « faute professionnelle en éducation ». Le matin du procès, les parties ont signé une entente de non-divulgation qui contenait une clause interdisant aux parties de divulguer les modalités du règlement. À leur sortie du palais de justice, les parents ont été accostés par des représentants des médias et leur ont fait divers commentaires sur la moralité de l’enseignante. Les parents ont dit essentiellement qu’ils avaient « fait valoir leur point de vue » et que l’enseignante était une « dame marquée » qui allait hésiter avant de faire preuve d’un manque de professionnalisme. Les commentaires des parents ont été largement télédiffusés et publiés dans plusieurs grands journaux canadiens. L’enseignante a poursuivi les parents pour diffamation et s’est vu accorder 234 011,87 $ en dommages-intérêts. Les parents ont fait appel de l’adjudication des dommages-intérêts au motif que les déclarations n’étaient pas diffamatoires, que l’enseignante n’a subi aucun préjudice, que les dommages-intérêts étaient trop élevés et qu’il n’y avait aucune raison d’accorder des dommages-intérêts exemplaires. La Cour d’appel a rejeté l’appel dans de brefs motifs. </w:t>
            </w:r>
          </w:p>
          <w:p w:rsidR="008925F4" w:rsidRPr="005635DC" w:rsidRDefault="008925F4" w:rsidP="008925F4">
            <w:pPr>
              <w:jc w:val="both"/>
              <w:rPr>
                <w:rFonts w:eastAsia="Calibri"/>
                <w:sz w:val="20"/>
                <w:lang w:val="fr-CA"/>
              </w:rPr>
            </w:pPr>
          </w:p>
        </w:tc>
      </w:tr>
      <w:tr w:rsidR="008925F4" w:rsidRPr="005252ED" w:rsidTr="008925F4">
        <w:tc>
          <w:tcPr>
            <w:tcW w:w="2427" w:type="pct"/>
          </w:tcPr>
          <w:p w:rsidR="008925F4" w:rsidRPr="005635DC" w:rsidRDefault="008925F4" w:rsidP="008925F4">
            <w:pPr>
              <w:jc w:val="both"/>
              <w:rPr>
                <w:rFonts w:eastAsia="Calibri"/>
                <w:sz w:val="20"/>
                <w:lang w:val="fr-FR"/>
              </w:rPr>
            </w:pPr>
            <w:r w:rsidRPr="005635DC">
              <w:rPr>
                <w:rFonts w:eastAsia="Calibri"/>
                <w:sz w:val="20"/>
                <w:lang w:val="fr-FR"/>
              </w:rPr>
              <w:t>30 juillet 2010</w:t>
            </w:r>
          </w:p>
          <w:p w:rsidR="008925F4" w:rsidRPr="005635DC" w:rsidRDefault="008925F4" w:rsidP="008925F4">
            <w:pPr>
              <w:jc w:val="both"/>
              <w:rPr>
                <w:rFonts w:eastAsia="Calibri"/>
                <w:sz w:val="20"/>
                <w:lang w:val="fr-FR"/>
              </w:rPr>
            </w:pPr>
            <w:r w:rsidRPr="005635DC">
              <w:rPr>
                <w:rFonts w:eastAsia="Calibri"/>
                <w:sz w:val="20"/>
                <w:lang w:val="fr-FR"/>
              </w:rPr>
              <w:t>Cour supérieure du Québec</w:t>
            </w:r>
          </w:p>
          <w:p w:rsidR="008925F4" w:rsidRPr="005635DC" w:rsidRDefault="008925F4" w:rsidP="008925F4">
            <w:pPr>
              <w:jc w:val="both"/>
              <w:rPr>
                <w:rFonts w:eastAsia="Calibri"/>
                <w:sz w:val="20"/>
                <w:lang w:val="fr-FR"/>
              </w:rPr>
            </w:pPr>
            <w:r w:rsidRPr="005635DC">
              <w:rPr>
                <w:rFonts w:eastAsia="Calibri"/>
                <w:sz w:val="20"/>
                <w:lang w:val="fr-FR"/>
              </w:rPr>
              <w:t>(Juge Richer)</w:t>
            </w:r>
          </w:p>
          <w:p w:rsidR="008925F4" w:rsidRPr="005635DC" w:rsidRDefault="008925F4" w:rsidP="008925F4">
            <w:pPr>
              <w:jc w:val="both"/>
              <w:rPr>
                <w:rFonts w:eastAsia="Calibri"/>
                <w:sz w:val="20"/>
              </w:rPr>
            </w:pPr>
            <w:r w:rsidRPr="005635DC">
              <w:rPr>
                <w:rFonts w:eastAsia="Calibri"/>
                <w:sz w:val="20"/>
              </w:rPr>
              <w:t>2010 QCCS 3398</w:t>
            </w:r>
          </w:p>
          <w:p w:rsidR="008925F4" w:rsidRPr="005635DC" w:rsidRDefault="008925F4" w:rsidP="008925F4">
            <w:pPr>
              <w:jc w:val="both"/>
              <w:rPr>
                <w:rFonts w:eastAsia="Calibri"/>
                <w:sz w:val="20"/>
              </w:rPr>
            </w:pPr>
          </w:p>
        </w:tc>
        <w:tc>
          <w:tcPr>
            <w:tcW w:w="243" w:type="pct"/>
          </w:tcPr>
          <w:p w:rsidR="008925F4" w:rsidRPr="005635DC" w:rsidRDefault="008925F4" w:rsidP="008925F4">
            <w:pPr>
              <w:jc w:val="both"/>
              <w:rPr>
                <w:rFonts w:eastAsia="Calibri"/>
                <w:sz w:val="20"/>
              </w:rPr>
            </w:pPr>
          </w:p>
        </w:tc>
        <w:tc>
          <w:tcPr>
            <w:tcW w:w="2330" w:type="pct"/>
          </w:tcPr>
          <w:p w:rsidR="008925F4" w:rsidRPr="005635DC" w:rsidRDefault="008925F4" w:rsidP="008925F4">
            <w:pPr>
              <w:jc w:val="both"/>
              <w:rPr>
                <w:rFonts w:eastAsia="Calibri"/>
                <w:sz w:val="20"/>
                <w:lang w:val="fr-FR"/>
              </w:rPr>
            </w:pPr>
            <w:r w:rsidRPr="005635DC">
              <w:rPr>
                <w:rFonts w:eastAsia="Calibri"/>
                <w:sz w:val="20"/>
                <w:lang w:val="fr-FR"/>
              </w:rPr>
              <w:t xml:space="preserve">Dommages-intérêts de 234 011,87 $ accordés à l’intimée pour déclarations diffamatoires faites par les demandeurs </w:t>
            </w:r>
          </w:p>
        </w:tc>
      </w:tr>
      <w:tr w:rsidR="008925F4" w:rsidRPr="005635DC" w:rsidTr="008925F4">
        <w:tc>
          <w:tcPr>
            <w:tcW w:w="2427" w:type="pct"/>
          </w:tcPr>
          <w:p w:rsidR="008925F4" w:rsidRPr="005635DC" w:rsidRDefault="008925F4" w:rsidP="008925F4">
            <w:pPr>
              <w:jc w:val="both"/>
              <w:rPr>
                <w:rFonts w:eastAsia="Calibri"/>
                <w:sz w:val="20"/>
                <w:lang w:val="fr-FR"/>
              </w:rPr>
            </w:pPr>
            <w:r w:rsidRPr="005635DC">
              <w:rPr>
                <w:rFonts w:eastAsia="Calibri"/>
                <w:sz w:val="20"/>
                <w:lang w:val="fr-FR"/>
              </w:rPr>
              <w:t>17 janvier 2012</w:t>
            </w:r>
          </w:p>
          <w:p w:rsidR="008925F4" w:rsidRPr="005635DC" w:rsidRDefault="008925F4" w:rsidP="008925F4">
            <w:pPr>
              <w:jc w:val="both"/>
              <w:rPr>
                <w:rFonts w:eastAsia="Calibri"/>
                <w:sz w:val="20"/>
                <w:lang w:val="fr-FR"/>
              </w:rPr>
            </w:pPr>
            <w:r w:rsidRPr="005635DC">
              <w:rPr>
                <w:rFonts w:eastAsia="Calibri"/>
                <w:sz w:val="20"/>
                <w:lang w:val="fr-FR"/>
              </w:rPr>
              <w:t>Cour d’appel du Québec (Montréal)</w:t>
            </w:r>
          </w:p>
          <w:p w:rsidR="008925F4" w:rsidRPr="005635DC" w:rsidRDefault="008925F4" w:rsidP="008925F4">
            <w:pPr>
              <w:jc w:val="both"/>
              <w:rPr>
                <w:rFonts w:eastAsia="Calibri"/>
                <w:sz w:val="20"/>
                <w:lang w:val="fr-FR"/>
              </w:rPr>
            </w:pPr>
            <w:r w:rsidRPr="005635DC">
              <w:rPr>
                <w:rFonts w:eastAsia="Calibri"/>
                <w:sz w:val="20"/>
                <w:lang w:val="fr-FR"/>
              </w:rPr>
              <w:t xml:space="preserve">(Juges Duval </w:t>
            </w:r>
            <w:proofErr w:type="spellStart"/>
            <w:r w:rsidRPr="005635DC">
              <w:rPr>
                <w:rFonts w:eastAsia="Calibri"/>
                <w:sz w:val="20"/>
                <w:lang w:val="fr-FR"/>
              </w:rPr>
              <w:t>Hesler</w:t>
            </w:r>
            <w:proofErr w:type="spellEnd"/>
            <w:r w:rsidRPr="005635DC">
              <w:rPr>
                <w:rFonts w:eastAsia="Calibri"/>
                <w:sz w:val="20"/>
                <w:lang w:val="fr-FR"/>
              </w:rPr>
              <w:t xml:space="preserve">, </w:t>
            </w:r>
            <w:proofErr w:type="spellStart"/>
            <w:r w:rsidRPr="005635DC">
              <w:rPr>
                <w:rFonts w:eastAsia="Calibri"/>
                <w:sz w:val="20"/>
                <w:lang w:val="fr-FR"/>
              </w:rPr>
              <w:t>Dalphond</w:t>
            </w:r>
            <w:proofErr w:type="spellEnd"/>
            <w:r w:rsidRPr="005635DC">
              <w:rPr>
                <w:rFonts w:eastAsia="Calibri"/>
                <w:sz w:val="20"/>
                <w:lang w:val="fr-FR"/>
              </w:rPr>
              <w:t xml:space="preserve"> et Giroux)</w:t>
            </w:r>
          </w:p>
          <w:p w:rsidR="008925F4" w:rsidRPr="005635DC" w:rsidRDefault="008925F4" w:rsidP="008925F4">
            <w:pPr>
              <w:jc w:val="both"/>
              <w:rPr>
                <w:rFonts w:eastAsia="Calibri"/>
                <w:sz w:val="20"/>
              </w:rPr>
            </w:pPr>
            <w:r w:rsidRPr="005635DC">
              <w:rPr>
                <w:rFonts w:eastAsia="Calibri"/>
                <w:sz w:val="20"/>
              </w:rPr>
              <w:t xml:space="preserve">2012  QCCA 128 </w:t>
            </w:r>
          </w:p>
          <w:p w:rsidR="008925F4" w:rsidRPr="005635DC" w:rsidRDefault="008925F4" w:rsidP="008925F4">
            <w:pPr>
              <w:jc w:val="both"/>
              <w:rPr>
                <w:rFonts w:eastAsia="Calibri"/>
                <w:sz w:val="20"/>
                <w:lang w:val="fr-CA"/>
              </w:rPr>
            </w:pPr>
          </w:p>
        </w:tc>
        <w:tc>
          <w:tcPr>
            <w:tcW w:w="243" w:type="pct"/>
          </w:tcPr>
          <w:p w:rsidR="008925F4" w:rsidRPr="005635DC" w:rsidRDefault="008925F4" w:rsidP="008925F4">
            <w:pPr>
              <w:jc w:val="both"/>
              <w:rPr>
                <w:rFonts w:eastAsia="Calibri"/>
                <w:sz w:val="20"/>
                <w:lang w:val="fr-CA"/>
              </w:rPr>
            </w:pPr>
          </w:p>
        </w:tc>
        <w:tc>
          <w:tcPr>
            <w:tcW w:w="2330" w:type="pct"/>
          </w:tcPr>
          <w:p w:rsidR="008925F4" w:rsidRPr="005635DC" w:rsidRDefault="008925F4" w:rsidP="008925F4">
            <w:pPr>
              <w:jc w:val="both"/>
              <w:rPr>
                <w:rFonts w:eastAsia="Calibri"/>
                <w:sz w:val="20"/>
              </w:rPr>
            </w:pPr>
            <w:proofErr w:type="spellStart"/>
            <w:r w:rsidRPr="005635DC">
              <w:rPr>
                <w:rFonts w:eastAsia="Calibri"/>
                <w:sz w:val="20"/>
              </w:rPr>
              <w:t>Appel</w:t>
            </w:r>
            <w:proofErr w:type="spellEnd"/>
            <w:r w:rsidRPr="005635DC">
              <w:rPr>
                <w:rFonts w:eastAsia="Calibri"/>
                <w:sz w:val="20"/>
              </w:rPr>
              <w:t xml:space="preserve"> </w:t>
            </w:r>
            <w:proofErr w:type="spellStart"/>
            <w:r w:rsidRPr="005635DC">
              <w:rPr>
                <w:rFonts w:eastAsia="Calibri"/>
                <w:sz w:val="20"/>
              </w:rPr>
              <w:t>rejeté</w:t>
            </w:r>
            <w:proofErr w:type="spellEnd"/>
          </w:p>
          <w:p w:rsidR="008925F4" w:rsidRPr="005635DC" w:rsidRDefault="008925F4" w:rsidP="008925F4">
            <w:pPr>
              <w:jc w:val="both"/>
              <w:rPr>
                <w:rFonts w:eastAsia="Calibri"/>
                <w:sz w:val="20"/>
              </w:rPr>
            </w:pPr>
          </w:p>
        </w:tc>
      </w:tr>
      <w:tr w:rsidR="008925F4" w:rsidRPr="005635DC" w:rsidTr="008925F4">
        <w:tc>
          <w:tcPr>
            <w:tcW w:w="2427" w:type="pct"/>
          </w:tcPr>
          <w:p w:rsidR="008925F4" w:rsidRPr="005635DC" w:rsidRDefault="008925F4" w:rsidP="008925F4">
            <w:pPr>
              <w:jc w:val="both"/>
              <w:rPr>
                <w:rFonts w:eastAsia="Calibri"/>
                <w:sz w:val="20"/>
                <w:lang w:val="fr-FR"/>
              </w:rPr>
            </w:pPr>
            <w:r w:rsidRPr="005635DC">
              <w:rPr>
                <w:rFonts w:eastAsia="Calibri"/>
                <w:sz w:val="20"/>
                <w:lang w:val="fr-FR"/>
              </w:rPr>
              <w:t>15 mars 2012</w:t>
            </w:r>
          </w:p>
          <w:p w:rsidR="008925F4" w:rsidRPr="005635DC" w:rsidRDefault="008925F4" w:rsidP="008925F4">
            <w:pPr>
              <w:jc w:val="both"/>
              <w:rPr>
                <w:rFonts w:eastAsia="Calibri"/>
                <w:sz w:val="20"/>
                <w:lang w:val="fr-FR"/>
              </w:rPr>
            </w:pPr>
            <w:r w:rsidRPr="005635DC">
              <w:rPr>
                <w:rFonts w:eastAsia="Calibri"/>
                <w:sz w:val="20"/>
                <w:lang w:val="fr-FR"/>
              </w:rPr>
              <w:t>Cour suprême du Canada</w:t>
            </w:r>
          </w:p>
        </w:tc>
        <w:tc>
          <w:tcPr>
            <w:tcW w:w="243" w:type="pct"/>
          </w:tcPr>
          <w:p w:rsidR="008925F4" w:rsidRPr="005635DC" w:rsidRDefault="008925F4" w:rsidP="008925F4">
            <w:pPr>
              <w:jc w:val="both"/>
              <w:rPr>
                <w:rFonts w:eastAsia="Calibri"/>
                <w:sz w:val="20"/>
                <w:lang w:val="fr-FR"/>
              </w:rPr>
            </w:pPr>
          </w:p>
        </w:tc>
        <w:tc>
          <w:tcPr>
            <w:tcW w:w="2330" w:type="pct"/>
          </w:tcPr>
          <w:p w:rsidR="008925F4" w:rsidRPr="005635DC" w:rsidRDefault="008925F4" w:rsidP="008925F4">
            <w:pPr>
              <w:jc w:val="both"/>
              <w:rPr>
                <w:rFonts w:eastAsia="Calibri"/>
                <w:sz w:val="20"/>
              </w:rPr>
            </w:pPr>
            <w:r w:rsidRPr="005635DC">
              <w:rPr>
                <w:rFonts w:eastAsia="Calibri"/>
                <w:sz w:val="20"/>
                <w:lang w:val="fr-FR"/>
              </w:rPr>
              <w:t xml:space="preserve">Demande d’autorisation d’appel déposée </w:t>
            </w:r>
          </w:p>
          <w:p w:rsidR="008925F4" w:rsidRPr="005635DC" w:rsidRDefault="008925F4" w:rsidP="008925F4">
            <w:pPr>
              <w:jc w:val="both"/>
              <w:rPr>
                <w:rFonts w:eastAsia="Calibri"/>
                <w:sz w:val="20"/>
              </w:rPr>
            </w:pPr>
          </w:p>
        </w:tc>
      </w:tr>
    </w:tbl>
    <w:p w:rsidR="008925F4" w:rsidRPr="007400FC" w:rsidRDefault="008925F4" w:rsidP="008925F4">
      <w:pPr>
        <w:rPr>
          <w:sz w:val="20"/>
          <w:szCs w:val="20"/>
        </w:rPr>
      </w:pPr>
    </w:p>
    <w:p w:rsidR="008925F4" w:rsidRPr="007400FC" w:rsidRDefault="00C90BA9" w:rsidP="008925F4">
      <w:pPr>
        <w:rPr>
          <w:sz w:val="20"/>
          <w:szCs w:val="20"/>
        </w:rPr>
      </w:pPr>
      <w:r w:rsidRPr="00C90BA9">
        <w:rPr>
          <w:sz w:val="20"/>
          <w:szCs w:val="20"/>
          <w:lang w:val="fr-CA"/>
        </w:rPr>
        <w:pict>
          <v:rect id="_x0000_i1046" style="width:2in;height:1pt" o:hrpct="0" o:hralign="center" o:hrstd="t" o:hrnoshade="t" o:hr="t" fillcolor="black [3213]" stroked="f"/>
        </w:pict>
      </w:r>
    </w:p>
    <w:p w:rsidR="008925F4" w:rsidRPr="007400FC" w:rsidRDefault="008925F4" w:rsidP="008925F4">
      <w:pPr>
        <w:rPr>
          <w:sz w:val="20"/>
          <w:szCs w:val="20"/>
        </w:rPr>
      </w:pPr>
    </w:p>
    <w:p w:rsidR="00E34A7A" w:rsidRPr="00E34A7A" w:rsidRDefault="00E34A7A" w:rsidP="00E34A7A">
      <w:pPr>
        <w:ind w:left="1440" w:hanging="1440"/>
        <w:rPr>
          <w:sz w:val="20"/>
          <w:szCs w:val="24"/>
        </w:rPr>
      </w:pPr>
      <w:r w:rsidRPr="00042EA6">
        <w:rPr>
          <w:b/>
          <w:sz w:val="20"/>
          <w:szCs w:val="24"/>
          <w:lang w:val="en-US"/>
        </w:rPr>
        <w:t>34725</w:t>
      </w:r>
      <w:r w:rsidRPr="00042EA6">
        <w:rPr>
          <w:b/>
          <w:sz w:val="20"/>
          <w:szCs w:val="24"/>
          <w:lang w:val="en-US"/>
        </w:rPr>
        <w:tab/>
      </w:r>
      <w:proofErr w:type="spellStart"/>
      <w:r w:rsidRPr="00E34A7A">
        <w:rPr>
          <w:b/>
          <w:sz w:val="20"/>
          <w:szCs w:val="24"/>
          <w:u w:val="single"/>
          <w:lang w:val="en-US"/>
        </w:rPr>
        <w:t>Agyapal</w:t>
      </w:r>
      <w:proofErr w:type="spellEnd"/>
      <w:r w:rsidRPr="00E34A7A">
        <w:rPr>
          <w:b/>
          <w:sz w:val="20"/>
          <w:szCs w:val="24"/>
          <w:u w:val="single"/>
          <w:lang w:val="en-US"/>
        </w:rPr>
        <w:t xml:space="preserve"> Singh </w:t>
      </w:r>
      <w:proofErr w:type="spellStart"/>
      <w:r w:rsidRPr="00E34A7A">
        <w:rPr>
          <w:b/>
          <w:sz w:val="20"/>
          <w:szCs w:val="24"/>
          <w:u w:val="single"/>
          <w:lang w:val="en-US"/>
        </w:rPr>
        <w:t>Grewal</w:t>
      </w:r>
      <w:proofErr w:type="spellEnd"/>
      <w:r w:rsidRPr="00E34A7A">
        <w:rPr>
          <w:b/>
          <w:sz w:val="20"/>
          <w:szCs w:val="24"/>
          <w:u w:val="single"/>
          <w:lang w:val="en-US"/>
        </w:rPr>
        <w:t xml:space="preserve"> v. </w:t>
      </w:r>
      <w:proofErr w:type="spellStart"/>
      <w:r w:rsidRPr="00E34A7A">
        <w:rPr>
          <w:b/>
          <w:sz w:val="20"/>
          <w:szCs w:val="24"/>
          <w:u w:val="single"/>
          <w:lang w:val="en-US"/>
        </w:rPr>
        <w:t>Jatinder</w:t>
      </w:r>
      <w:proofErr w:type="spellEnd"/>
      <w:r w:rsidRPr="00E34A7A">
        <w:rPr>
          <w:b/>
          <w:sz w:val="20"/>
          <w:szCs w:val="24"/>
          <w:u w:val="single"/>
          <w:lang w:val="en-US"/>
        </w:rPr>
        <w:t xml:space="preserve"> Singh </w:t>
      </w:r>
      <w:proofErr w:type="spellStart"/>
      <w:r w:rsidRPr="00E34A7A">
        <w:rPr>
          <w:b/>
          <w:sz w:val="20"/>
          <w:szCs w:val="24"/>
          <w:u w:val="single"/>
          <w:lang w:val="en-US"/>
        </w:rPr>
        <w:t>Sandhu</w:t>
      </w:r>
      <w:proofErr w:type="spellEnd"/>
      <w:r w:rsidRPr="00E34A7A">
        <w:rPr>
          <w:b/>
          <w:sz w:val="20"/>
          <w:szCs w:val="24"/>
          <w:u w:val="single"/>
          <w:lang w:val="en-US"/>
        </w:rPr>
        <w:t xml:space="preserve">, 676207 B.C. Ltd., </w:t>
      </w:r>
      <w:proofErr w:type="spellStart"/>
      <w:r w:rsidRPr="00E34A7A">
        <w:rPr>
          <w:b/>
          <w:sz w:val="20"/>
          <w:szCs w:val="24"/>
          <w:u w:val="single"/>
          <w:lang w:val="en-US"/>
        </w:rPr>
        <w:t>Lakhvir</w:t>
      </w:r>
      <w:proofErr w:type="spellEnd"/>
      <w:r w:rsidRPr="00E34A7A">
        <w:rPr>
          <w:b/>
          <w:sz w:val="20"/>
          <w:szCs w:val="24"/>
          <w:u w:val="single"/>
          <w:lang w:val="en-US"/>
        </w:rPr>
        <w:t xml:space="preserve"> </w:t>
      </w:r>
      <w:proofErr w:type="spellStart"/>
      <w:r w:rsidRPr="00E34A7A">
        <w:rPr>
          <w:b/>
          <w:sz w:val="20"/>
          <w:szCs w:val="24"/>
          <w:u w:val="single"/>
          <w:lang w:val="en-US"/>
        </w:rPr>
        <w:t>Kaur</w:t>
      </w:r>
      <w:proofErr w:type="spellEnd"/>
      <w:r w:rsidRPr="00E34A7A">
        <w:rPr>
          <w:b/>
          <w:sz w:val="20"/>
          <w:szCs w:val="24"/>
          <w:u w:val="single"/>
          <w:lang w:val="en-US"/>
        </w:rPr>
        <w:t xml:space="preserve"> Gill</w:t>
      </w:r>
      <w:r w:rsidRPr="00E34A7A">
        <w:rPr>
          <w:sz w:val="20"/>
          <w:szCs w:val="24"/>
        </w:rPr>
        <w:t xml:space="preserve"> (B.C.) (Civil) (By Leave)</w:t>
      </w:r>
    </w:p>
    <w:p w:rsidR="00E34A7A" w:rsidRPr="00E34A7A" w:rsidRDefault="00E34A7A" w:rsidP="00E34A7A">
      <w:pPr>
        <w:tabs>
          <w:tab w:val="left" w:pos="1458"/>
        </w:tabs>
        <w:rPr>
          <w:sz w:val="20"/>
        </w:rPr>
      </w:pPr>
    </w:p>
    <w:p w:rsidR="00E34A7A" w:rsidRPr="00E34A7A" w:rsidRDefault="00E34A7A" w:rsidP="00E34A7A">
      <w:pPr>
        <w:rPr>
          <w:sz w:val="20"/>
          <w:szCs w:val="24"/>
        </w:rPr>
      </w:pPr>
      <w:proofErr w:type="gramStart"/>
      <w:r w:rsidRPr="00E34A7A">
        <w:rPr>
          <w:sz w:val="20"/>
          <w:szCs w:val="24"/>
        </w:rPr>
        <w:t>Coram :</w:t>
      </w:r>
      <w:proofErr w:type="gramEnd"/>
      <w:r w:rsidRPr="00E34A7A">
        <w:rPr>
          <w:sz w:val="20"/>
          <w:szCs w:val="24"/>
        </w:rPr>
        <w:tab/>
      </w:r>
      <w:proofErr w:type="spellStart"/>
      <w:r w:rsidRPr="00E34A7A">
        <w:rPr>
          <w:sz w:val="20"/>
          <w:szCs w:val="24"/>
          <w:u w:val="single"/>
          <w:lang w:val="en-US"/>
        </w:rPr>
        <w:t>LeBel</w:t>
      </w:r>
      <w:proofErr w:type="spellEnd"/>
      <w:r w:rsidRPr="00E34A7A">
        <w:rPr>
          <w:sz w:val="20"/>
          <w:szCs w:val="24"/>
          <w:u w:val="single"/>
          <w:lang w:val="en-US"/>
        </w:rPr>
        <w:t xml:space="preserve">, </w:t>
      </w:r>
      <w:proofErr w:type="spellStart"/>
      <w:r w:rsidRPr="00E34A7A">
        <w:rPr>
          <w:sz w:val="20"/>
          <w:szCs w:val="24"/>
          <w:u w:val="single"/>
          <w:lang w:val="en-US"/>
        </w:rPr>
        <w:t>Abella</w:t>
      </w:r>
      <w:proofErr w:type="spellEnd"/>
      <w:r w:rsidRPr="00E34A7A">
        <w:rPr>
          <w:sz w:val="20"/>
          <w:szCs w:val="24"/>
          <w:u w:val="single"/>
          <w:lang w:val="en-US"/>
        </w:rPr>
        <w:t xml:space="preserve"> and Cromwell JJ.</w:t>
      </w:r>
    </w:p>
    <w:p w:rsidR="00E34A7A" w:rsidRPr="00E34A7A" w:rsidRDefault="00E34A7A" w:rsidP="00E34A7A">
      <w:pPr>
        <w:tabs>
          <w:tab w:val="left" w:pos="1458"/>
        </w:tabs>
        <w:rPr>
          <w:sz w:val="20"/>
          <w:u w:val="single"/>
        </w:rPr>
      </w:pPr>
    </w:p>
    <w:p w:rsidR="00E34A7A" w:rsidRPr="00E34A7A" w:rsidRDefault="00E34A7A" w:rsidP="00E34A7A">
      <w:pPr>
        <w:ind w:firstLine="720"/>
        <w:jc w:val="both"/>
        <w:rPr>
          <w:sz w:val="20"/>
          <w:szCs w:val="24"/>
        </w:rPr>
      </w:pPr>
      <w:r w:rsidRPr="00E34A7A">
        <w:rPr>
          <w:sz w:val="20"/>
          <w:szCs w:val="24"/>
        </w:rPr>
        <w:t>The application for leave to appeal from the judgment of the Court of Appeal for British Columbia (Vancouver), Number CA038665, 2012 BCCA 26, dated January 19, 2012, is dismissed with costs.</w:t>
      </w:r>
    </w:p>
    <w:p w:rsidR="00E34A7A" w:rsidRPr="00E34A7A" w:rsidRDefault="00E34A7A" w:rsidP="00E34A7A">
      <w:pPr>
        <w:jc w:val="both"/>
        <w:rPr>
          <w:sz w:val="20"/>
          <w:szCs w:val="24"/>
        </w:rPr>
      </w:pPr>
    </w:p>
    <w:p w:rsidR="00E34A7A" w:rsidRPr="00E34A7A" w:rsidRDefault="00E34A7A" w:rsidP="00E34A7A">
      <w:pPr>
        <w:ind w:firstLine="720"/>
        <w:rPr>
          <w:sz w:val="20"/>
          <w:lang w:val="fr-CA"/>
        </w:rPr>
      </w:pPr>
      <w:r w:rsidRPr="00E34A7A">
        <w:rPr>
          <w:sz w:val="20"/>
          <w:szCs w:val="24"/>
          <w:lang w:val="fr-CA"/>
        </w:rPr>
        <w:t>La demande d’autorisation d’appel de l’arrêt de la Cour d’appel de la Colombie-Britannique (Vancouver), numéro CA038665, 2012 BCCA 26, daté du 19 janvier 2012, est rejetée avec dépens.</w:t>
      </w:r>
    </w:p>
    <w:p w:rsidR="008925F4" w:rsidRPr="00E34A7A" w:rsidRDefault="008925F4" w:rsidP="008925F4">
      <w:pPr>
        <w:rPr>
          <w:sz w:val="20"/>
          <w:szCs w:val="20"/>
          <w:u w:val="single"/>
          <w:lang w:val="fr-CA"/>
        </w:rPr>
      </w:pPr>
    </w:p>
    <w:p w:rsidR="008925F4" w:rsidRPr="007400FC" w:rsidRDefault="008925F4" w:rsidP="008925F4">
      <w:pPr>
        <w:rPr>
          <w:sz w:val="20"/>
          <w:szCs w:val="20"/>
          <w:u w:val="single"/>
        </w:rPr>
      </w:pPr>
      <w:r w:rsidRPr="007400FC">
        <w:rPr>
          <w:sz w:val="20"/>
          <w:szCs w:val="20"/>
          <w:u w:val="single"/>
        </w:rPr>
        <w:t>CASE SUMMARY</w:t>
      </w:r>
    </w:p>
    <w:p w:rsidR="008925F4" w:rsidRPr="007400FC" w:rsidRDefault="008925F4" w:rsidP="008925F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925F4" w:rsidRPr="005635DC" w:rsidTr="008925F4">
        <w:tc>
          <w:tcPr>
            <w:tcW w:w="5000" w:type="pct"/>
            <w:gridSpan w:val="3"/>
          </w:tcPr>
          <w:p w:rsidR="008925F4" w:rsidRDefault="008925F4" w:rsidP="008925F4">
            <w:pPr>
              <w:jc w:val="both"/>
              <w:rPr>
                <w:sz w:val="20"/>
              </w:rPr>
            </w:pPr>
            <w:r w:rsidRPr="005635DC">
              <w:rPr>
                <w:sz w:val="20"/>
              </w:rPr>
              <w:t>Damages – Torts – Fiduciary duty – Economic loss – Physician-patient relationship – What is the law when a therapeutic doctor-patient relationship is moved over (by the doctor) into a non-therapeutic sphere, and moved over during the currency of that continuing therapeutic relationship – How is loss for breach of fiduciary duty to be quantified in Canada and which of the two models is to be followed – What is the correct measure of damages to redress a propriety claim sounding in fraud – Scope of appellate judicial intervention; in particular what are the governing principles that permit an appellate court to reverse or disregard the findings of the trial judge, absent palpable and overriding error, or error of law.</w:t>
            </w:r>
          </w:p>
          <w:p w:rsidR="008925F4" w:rsidRPr="005635DC" w:rsidRDefault="008925F4" w:rsidP="008925F4">
            <w:pPr>
              <w:jc w:val="both"/>
              <w:rPr>
                <w:sz w:val="20"/>
              </w:rPr>
            </w:pPr>
          </w:p>
        </w:tc>
      </w:tr>
      <w:tr w:rsidR="008925F4" w:rsidRPr="005635DC" w:rsidTr="008925F4">
        <w:tc>
          <w:tcPr>
            <w:tcW w:w="5000" w:type="pct"/>
            <w:gridSpan w:val="3"/>
          </w:tcPr>
          <w:p w:rsidR="008925F4" w:rsidRPr="005635DC" w:rsidRDefault="008925F4" w:rsidP="008925F4">
            <w:pPr>
              <w:jc w:val="both"/>
              <w:rPr>
                <w:sz w:val="20"/>
              </w:rPr>
            </w:pPr>
            <w:r w:rsidRPr="005635DC">
              <w:rPr>
                <w:sz w:val="20"/>
              </w:rPr>
              <w:t xml:space="preserve">The respondent, Dr. </w:t>
            </w:r>
            <w:proofErr w:type="spellStart"/>
            <w:r w:rsidRPr="005635DC">
              <w:rPr>
                <w:sz w:val="20"/>
              </w:rPr>
              <w:t>Jatinder</w:t>
            </w:r>
            <w:proofErr w:type="spellEnd"/>
            <w:r w:rsidRPr="005635DC">
              <w:rPr>
                <w:sz w:val="20"/>
              </w:rPr>
              <w:t xml:space="preserve"> </w:t>
            </w:r>
            <w:proofErr w:type="spellStart"/>
            <w:r w:rsidRPr="005635DC">
              <w:rPr>
                <w:sz w:val="20"/>
              </w:rPr>
              <w:t>Sandhu</w:t>
            </w:r>
            <w:proofErr w:type="spellEnd"/>
            <w:r w:rsidRPr="005635DC">
              <w:rPr>
                <w:sz w:val="20"/>
              </w:rPr>
              <w:t xml:space="preserve">, was a psychiatrist and friend of the applicant, </w:t>
            </w:r>
            <w:proofErr w:type="spellStart"/>
            <w:r w:rsidRPr="005635DC">
              <w:rPr>
                <w:sz w:val="20"/>
              </w:rPr>
              <w:t>Agyapal</w:t>
            </w:r>
            <w:proofErr w:type="spellEnd"/>
            <w:r w:rsidRPr="005635DC">
              <w:rPr>
                <w:sz w:val="20"/>
              </w:rPr>
              <w:t xml:space="preserve"> </w:t>
            </w:r>
            <w:proofErr w:type="spellStart"/>
            <w:r w:rsidRPr="005635DC">
              <w:rPr>
                <w:sz w:val="20"/>
              </w:rPr>
              <w:t>Grewal</w:t>
            </w:r>
            <w:proofErr w:type="spellEnd"/>
            <w:r w:rsidRPr="005635DC">
              <w:rPr>
                <w:sz w:val="20"/>
              </w:rPr>
              <w:t xml:space="preserve">.  Between March 2002 and December 2004, Dr. </w:t>
            </w:r>
            <w:proofErr w:type="spellStart"/>
            <w:r w:rsidRPr="005635DC">
              <w:rPr>
                <w:sz w:val="20"/>
              </w:rPr>
              <w:t>Sandhu</w:t>
            </w:r>
            <w:proofErr w:type="spellEnd"/>
            <w:r w:rsidRPr="005635DC">
              <w:rPr>
                <w:sz w:val="20"/>
              </w:rPr>
              <w:t xml:space="preserve"> treated Mr. </w:t>
            </w:r>
            <w:proofErr w:type="spellStart"/>
            <w:r w:rsidRPr="005635DC">
              <w:rPr>
                <w:sz w:val="20"/>
              </w:rPr>
              <w:t>Grewal</w:t>
            </w:r>
            <w:proofErr w:type="spellEnd"/>
            <w:r w:rsidRPr="005635DC">
              <w:rPr>
                <w:sz w:val="20"/>
              </w:rPr>
              <w:t xml:space="preserve"> for clinical depression. During the treatment period, they participated in real estate purchases and sales of a farm property and a subdivision property, which concluded in June 2005, six months after treatment had concluded. With respect to the farm property, Dr. </w:t>
            </w:r>
            <w:proofErr w:type="spellStart"/>
            <w:r w:rsidRPr="005635DC">
              <w:rPr>
                <w:sz w:val="20"/>
              </w:rPr>
              <w:t>Sandhu</w:t>
            </w:r>
            <w:proofErr w:type="spellEnd"/>
            <w:r w:rsidRPr="005635DC">
              <w:rPr>
                <w:sz w:val="20"/>
              </w:rPr>
              <w:t xml:space="preserve"> had held Mr. </w:t>
            </w:r>
            <w:proofErr w:type="spellStart"/>
            <w:r w:rsidRPr="005635DC">
              <w:rPr>
                <w:sz w:val="20"/>
              </w:rPr>
              <w:t>Grewal’s</w:t>
            </w:r>
            <w:proofErr w:type="spellEnd"/>
            <w:r w:rsidRPr="005635DC">
              <w:rPr>
                <w:sz w:val="20"/>
              </w:rPr>
              <w:t xml:space="preserve"> interest in trust and sold it to the respondent, </w:t>
            </w:r>
            <w:proofErr w:type="spellStart"/>
            <w:r w:rsidRPr="005635DC">
              <w:rPr>
                <w:sz w:val="20"/>
              </w:rPr>
              <w:t>Lakhvir</w:t>
            </w:r>
            <w:proofErr w:type="spellEnd"/>
            <w:r w:rsidRPr="005635DC">
              <w:rPr>
                <w:sz w:val="20"/>
              </w:rPr>
              <w:t xml:space="preserve"> Gill, for less than market value. Immediately following the sale of the properties Mr. </w:t>
            </w:r>
            <w:proofErr w:type="spellStart"/>
            <w:r w:rsidRPr="005635DC">
              <w:rPr>
                <w:sz w:val="20"/>
              </w:rPr>
              <w:t>Grewal</w:t>
            </w:r>
            <w:proofErr w:type="spellEnd"/>
            <w:r w:rsidRPr="005635DC">
              <w:rPr>
                <w:sz w:val="20"/>
              </w:rPr>
              <w:t xml:space="preserve"> commenced an action, alleging the defendant had cheated him financially in a manner that seriously impaired his emotional and mental health. </w:t>
            </w:r>
          </w:p>
          <w:p w:rsidR="008925F4" w:rsidRPr="005635DC" w:rsidRDefault="008925F4" w:rsidP="008925F4">
            <w:pPr>
              <w:jc w:val="both"/>
              <w:rPr>
                <w:sz w:val="20"/>
              </w:rPr>
            </w:pPr>
          </w:p>
        </w:tc>
      </w:tr>
      <w:tr w:rsidR="008925F4" w:rsidRPr="005635DC" w:rsidTr="008925F4">
        <w:tc>
          <w:tcPr>
            <w:tcW w:w="5000" w:type="pct"/>
            <w:gridSpan w:val="3"/>
          </w:tcPr>
          <w:p w:rsidR="008925F4" w:rsidRPr="005635DC" w:rsidRDefault="008925F4" w:rsidP="008925F4">
            <w:pPr>
              <w:jc w:val="both"/>
              <w:rPr>
                <w:sz w:val="20"/>
              </w:rPr>
            </w:pPr>
            <w:r w:rsidRPr="005635DC">
              <w:rPr>
                <w:sz w:val="20"/>
              </w:rPr>
              <w:t xml:space="preserve">The Supreme Court of British Columbia allowed Mr. </w:t>
            </w:r>
            <w:proofErr w:type="spellStart"/>
            <w:r w:rsidRPr="005635DC">
              <w:rPr>
                <w:sz w:val="20"/>
              </w:rPr>
              <w:t>Grewal’s</w:t>
            </w:r>
            <w:proofErr w:type="spellEnd"/>
            <w:r w:rsidRPr="005635DC">
              <w:rPr>
                <w:sz w:val="20"/>
              </w:rPr>
              <w:t xml:space="preserve"> action, awarding damages and special costs against Dr. </w:t>
            </w:r>
            <w:proofErr w:type="spellStart"/>
            <w:r w:rsidRPr="005635DC">
              <w:rPr>
                <w:sz w:val="20"/>
              </w:rPr>
              <w:t>Sandhu</w:t>
            </w:r>
            <w:proofErr w:type="spellEnd"/>
            <w:r w:rsidRPr="005635DC">
              <w:rPr>
                <w:sz w:val="20"/>
              </w:rPr>
              <w:t xml:space="preserve">.  The court also ordered a registrar's reference to assess further damages in relation to the subdivision property.  Mr. </w:t>
            </w:r>
            <w:proofErr w:type="spellStart"/>
            <w:r w:rsidRPr="005635DC">
              <w:rPr>
                <w:sz w:val="20"/>
              </w:rPr>
              <w:t>Grewal’s</w:t>
            </w:r>
            <w:proofErr w:type="spellEnd"/>
            <w:r w:rsidRPr="005635DC">
              <w:rPr>
                <w:sz w:val="20"/>
              </w:rPr>
              <w:t xml:space="preserve"> action against Ms. Gill was dismissed.  The British Columbia Court of Appeal dismissed Mr. </w:t>
            </w:r>
            <w:proofErr w:type="spellStart"/>
            <w:r w:rsidRPr="005635DC">
              <w:rPr>
                <w:sz w:val="20"/>
              </w:rPr>
              <w:t>Grewal’s</w:t>
            </w:r>
            <w:proofErr w:type="spellEnd"/>
            <w:r w:rsidRPr="005635DC">
              <w:rPr>
                <w:sz w:val="20"/>
              </w:rPr>
              <w:t xml:space="preserve"> appeal on quantum of damages and allowed Dr. </w:t>
            </w:r>
            <w:proofErr w:type="spellStart"/>
            <w:r w:rsidRPr="005635DC">
              <w:rPr>
                <w:sz w:val="20"/>
              </w:rPr>
              <w:t>Sandhu’s</w:t>
            </w:r>
            <w:proofErr w:type="spellEnd"/>
            <w:r w:rsidRPr="005635DC">
              <w:rPr>
                <w:sz w:val="20"/>
              </w:rPr>
              <w:t xml:space="preserve"> cross-appeal, substantially setting aside the order of the B.C. Supreme Court. The Court of Appeal upheld the dismissal of the action against Ms. Gill, as well as the damages award of $162,500 against Dr. </w:t>
            </w:r>
            <w:proofErr w:type="spellStart"/>
            <w:r w:rsidRPr="005635DC">
              <w:rPr>
                <w:sz w:val="20"/>
              </w:rPr>
              <w:t>Sandhu</w:t>
            </w:r>
            <w:proofErr w:type="spellEnd"/>
            <w:r w:rsidRPr="005635DC">
              <w:rPr>
                <w:sz w:val="20"/>
              </w:rPr>
              <w:t xml:space="preserve"> for breach of trust with respect to the sale of the farm property.  The Court of Appeal remitted to the B.C. Supreme Court for retrial the claims for pecuniary losses and counterclaim in respect of the subdivision lots.</w:t>
            </w:r>
          </w:p>
          <w:p w:rsidR="008925F4" w:rsidRPr="005635DC" w:rsidRDefault="008925F4" w:rsidP="008925F4">
            <w:pPr>
              <w:jc w:val="both"/>
              <w:rPr>
                <w:sz w:val="20"/>
              </w:rPr>
            </w:pPr>
          </w:p>
        </w:tc>
      </w:tr>
      <w:tr w:rsidR="008925F4" w:rsidRPr="005635DC" w:rsidTr="008925F4">
        <w:tc>
          <w:tcPr>
            <w:tcW w:w="2427" w:type="pct"/>
          </w:tcPr>
          <w:p w:rsidR="008925F4" w:rsidRPr="005635DC" w:rsidRDefault="008925F4" w:rsidP="008925F4">
            <w:pPr>
              <w:jc w:val="both"/>
              <w:rPr>
                <w:sz w:val="20"/>
              </w:rPr>
            </w:pPr>
            <w:r w:rsidRPr="005635DC">
              <w:rPr>
                <w:sz w:val="20"/>
              </w:rPr>
              <w:t>November 18, 2010</w:t>
            </w:r>
          </w:p>
          <w:p w:rsidR="008925F4" w:rsidRPr="005635DC" w:rsidRDefault="008925F4" w:rsidP="008925F4">
            <w:pPr>
              <w:jc w:val="both"/>
              <w:rPr>
                <w:sz w:val="20"/>
              </w:rPr>
            </w:pPr>
            <w:r w:rsidRPr="005635DC">
              <w:rPr>
                <w:sz w:val="20"/>
              </w:rPr>
              <w:t>Supreme Court of British Columbia</w:t>
            </w:r>
          </w:p>
          <w:p w:rsidR="008925F4" w:rsidRDefault="008925F4" w:rsidP="008925F4">
            <w:pPr>
              <w:jc w:val="both"/>
              <w:rPr>
                <w:sz w:val="20"/>
              </w:rPr>
            </w:pPr>
            <w:r w:rsidRPr="005635DC">
              <w:rPr>
                <w:sz w:val="20"/>
              </w:rPr>
              <w:t>(Smith J.)</w:t>
            </w:r>
          </w:p>
          <w:p w:rsidR="008925F4" w:rsidRPr="005635DC" w:rsidRDefault="008925F4" w:rsidP="008925F4">
            <w:pPr>
              <w:jc w:val="both"/>
              <w:rPr>
                <w:sz w:val="20"/>
              </w:rPr>
            </w:pPr>
          </w:p>
        </w:tc>
        <w:tc>
          <w:tcPr>
            <w:tcW w:w="243" w:type="pct"/>
          </w:tcPr>
          <w:p w:rsidR="008925F4" w:rsidRPr="005635DC" w:rsidRDefault="008925F4" w:rsidP="008925F4">
            <w:pPr>
              <w:jc w:val="both"/>
              <w:rPr>
                <w:sz w:val="20"/>
              </w:rPr>
            </w:pPr>
          </w:p>
        </w:tc>
        <w:tc>
          <w:tcPr>
            <w:tcW w:w="2330" w:type="pct"/>
          </w:tcPr>
          <w:p w:rsidR="008925F4" w:rsidRPr="005635DC" w:rsidRDefault="008925F4" w:rsidP="008925F4">
            <w:pPr>
              <w:jc w:val="both"/>
              <w:rPr>
                <w:sz w:val="20"/>
              </w:rPr>
            </w:pPr>
            <w:r w:rsidRPr="005635DC">
              <w:rPr>
                <w:sz w:val="20"/>
              </w:rPr>
              <w:t>Applicant’s action, allowed.</w:t>
            </w:r>
          </w:p>
          <w:p w:rsidR="008925F4" w:rsidRPr="005635DC" w:rsidRDefault="008925F4" w:rsidP="008925F4">
            <w:pPr>
              <w:jc w:val="both"/>
              <w:rPr>
                <w:sz w:val="20"/>
              </w:rPr>
            </w:pPr>
          </w:p>
          <w:p w:rsidR="008925F4" w:rsidRPr="005635DC" w:rsidRDefault="008925F4" w:rsidP="008925F4">
            <w:pPr>
              <w:jc w:val="both"/>
              <w:rPr>
                <w:sz w:val="20"/>
              </w:rPr>
            </w:pPr>
          </w:p>
        </w:tc>
      </w:tr>
      <w:tr w:rsidR="008925F4" w:rsidRPr="005635DC" w:rsidTr="008925F4">
        <w:tc>
          <w:tcPr>
            <w:tcW w:w="2427" w:type="pct"/>
          </w:tcPr>
          <w:p w:rsidR="008925F4" w:rsidRPr="005635DC" w:rsidRDefault="008925F4" w:rsidP="008925F4">
            <w:pPr>
              <w:jc w:val="both"/>
              <w:rPr>
                <w:sz w:val="20"/>
              </w:rPr>
            </w:pPr>
            <w:r w:rsidRPr="005635DC">
              <w:rPr>
                <w:sz w:val="20"/>
              </w:rPr>
              <w:t>January 19, 2012</w:t>
            </w:r>
          </w:p>
          <w:p w:rsidR="008925F4" w:rsidRPr="005635DC" w:rsidRDefault="008925F4" w:rsidP="008925F4">
            <w:pPr>
              <w:jc w:val="both"/>
              <w:rPr>
                <w:sz w:val="20"/>
              </w:rPr>
            </w:pPr>
            <w:r w:rsidRPr="005635DC">
              <w:rPr>
                <w:sz w:val="20"/>
              </w:rPr>
              <w:t>Court of Appeal for British Columbia (Vancouver)</w:t>
            </w:r>
          </w:p>
          <w:p w:rsidR="008925F4" w:rsidRPr="005635DC" w:rsidRDefault="008925F4" w:rsidP="008925F4">
            <w:pPr>
              <w:jc w:val="both"/>
              <w:rPr>
                <w:sz w:val="20"/>
              </w:rPr>
            </w:pPr>
            <w:r w:rsidRPr="005635DC">
              <w:rPr>
                <w:sz w:val="20"/>
              </w:rPr>
              <w:t xml:space="preserve">(Levine, Lowry and </w:t>
            </w:r>
            <w:proofErr w:type="spellStart"/>
            <w:r w:rsidRPr="005635DC">
              <w:rPr>
                <w:sz w:val="20"/>
              </w:rPr>
              <w:t>Tysoe</w:t>
            </w:r>
            <w:proofErr w:type="spellEnd"/>
            <w:r w:rsidRPr="005635DC">
              <w:rPr>
                <w:sz w:val="20"/>
              </w:rPr>
              <w:t xml:space="preserve"> JJ.A.)</w:t>
            </w:r>
          </w:p>
          <w:p w:rsidR="008925F4" w:rsidRPr="005635DC" w:rsidRDefault="008925F4" w:rsidP="008925F4">
            <w:pPr>
              <w:jc w:val="both"/>
              <w:rPr>
                <w:sz w:val="20"/>
              </w:rPr>
            </w:pPr>
          </w:p>
        </w:tc>
        <w:tc>
          <w:tcPr>
            <w:tcW w:w="243" w:type="pct"/>
          </w:tcPr>
          <w:p w:rsidR="008925F4" w:rsidRPr="005635DC" w:rsidRDefault="008925F4" w:rsidP="008925F4">
            <w:pPr>
              <w:jc w:val="both"/>
              <w:rPr>
                <w:sz w:val="20"/>
              </w:rPr>
            </w:pPr>
          </w:p>
        </w:tc>
        <w:tc>
          <w:tcPr>
            <w:tcW w:w="2330" w:type="pct"/>
          </w:tcPr>
          <w:p w:rsidR="008925F4" w:rsidRPr="005635DC" w:rsidRDefault="008925F4" w:rsidP="008925F4">
            <w:pPr>
              <w:jc w:val="both"/>
              <w:rPr>
                <w:sz w:val="20"/>
              </w:rPr>
            </w:pPr>
            <w:r w:rsidRPr="005635DC">
              <w:rPr>
                <w:sz w:val="20"/>
              </w:rPr>
              <w:t>Applicant’s appeal on quantum of damages, dismissed; Respondent’s cross-appeal, allowed.</w:t>
            </w:r>
          </w:p>
          <w:p w:rsidR="008925F4" w:rsidRPr="005635DC" w:rsidRDefault="008925F4" w:rsidP="008925F4">
            <w:pPr>
              <w:jc w:val="both"/>
              <w:rPr>
                <w:sz w:val="20"/>
              </w:rPr>
            </w:pPr>
          </w:p>
        </w:tc>
      </w:tr>
      <w:tr w:rsidR="008925F4" w:rsidRPr="005635DC" w:rsidTr="008925F4">
        <w:tc>
          <w:tcPr>
            <w:tcW w:w="2427" w:type="pct"/>
          </w:tcPr>
          <w:p w:rsidR="008925F4" w:rsidRPr="005635DC" w:rsidRDefault="008925F4" w:rsidP="008925F4">
            <w:pPr>
              <w:jc w:val="both"/>
              <w:rPr>
                <w:sz w:val="20"/>
              </w:rPr>
            </w:pPr>
            <w:r w:rsidRPr="005635DC">
              <w:rPr>
                <w:sz w:val="20"/>
              </w:rPr>
              <w:t>March 19, 2012</w:t>
            </w:r>
          </w:p>
          <w:p w:rsidR="008925F4" w:rsidRPr="005635DC" w:rsidRDefault="008925F4" w:rsidP="00DB47E3">
            <w:pPr>
              <w:jc w:val="both"/>
              <w:rPr>
                <w:sz w:val="20"/>
              </w:rPr>
            </w:pPr>
            <w:r w:rsidRPr="005635DC">
              <w:rPr>
                <w:sz w:val="20"/>
              </w:rPr>
              <w:t>Supreme Court of Canada</w:t>
            </w:r>
          </w:p>
        </w:tc>
        <w:tc>
          <w:tcPr>
            <w:tcW w:w="243" w:type="pct"/>
          </w:tcPr>
          <w:p w:rsidR="008925F4" w:rsidRPr="005635DC" w:rsidRDefault="008925F4" w:rsidP="008925F4">
            <w:pPr>
              <w:jc w:val="both"/>
              <w:rPr>
                <w:sz w:val="20"/>
              </w:rPr>
            </w:pPr>
          </w:p>
        </w:tc>
        <w:tc>
          <w:tcPr>
            <w:tcW w:w="2330" w:type="pct"/>
          </w:tcPr>
          <w:p w:rsidR="008925F4" w:rsidRPr="005635DC" w:rsidRDefault="008925F4" w:rsidP="008925F4">
            <w:pPr>
              <w:jc w:val="both"/>
              <w:rPr>
                <w:sz w:val="20"/>
              </w:rPr>
            </w:pPr>
            <w:r w:rsidRPr="005635DC">
              <w:rPr>
                <w:sz w:val="20"/>
              </w:rPr>
              <w:t>Application for leave to appeal, filed.</w:t>
            </w:r>
          </w:p>
        </w:tc>
      </w:tr>
    </w:tbl>
    <w:p w:rsidR="008925F4" w:rsidRPr="007400FC" w:rsidRDefault="008925F4" w:rsidP="008925F4">
      <w:pPr>
        <w:rPr>
          <w:sz w:val="20"/>
          <w:szCs w:val="20"/>
        </w:rPr>
      </w:pPr>
    </w:p>
    <w:p w:rsidR="008925F4" w:rsidRPr="007400FC" w:rsidRDefault="00C90BA9" w:rsidP="008925F4">
      <w:pPr>
        <w:rPr>
          <w:sz w:val="20"/>
          <w:szCs w:val="20"/>
        </w:rPr>
      </w:pPr>
      <w:r w:rsidRPr="00C90BA9">
        <w:rPr>
          <w:sz w:val="20"/>
          <w:szCs w:val="20"/>
          <w:lang w:val="fr-CA"/>
        </w:rPr>
        <w:pict>
          <v:rect id="_x0000_i1047" style="width:2in;height:1pt" o:hrpct="0" o:hralign="center" o:hrstd="t" o:hrnoshade="t" o:hr="t" fillcolor="black [3213]" stroked="f"/>
        </w:pict>
      </w:r>
    </w:p>
    <w:p w:rsidR="008925F4" w:rsidRPr="007400FC" w:rsidRDefault="008925F4" w:rsidP="008925F4">
      <w:pPr>
        <w:rPr>
          <w:sz w:val="20"/>
          <w:szCs w:val="20"/>
        </w:rPr>
      </w:pPr>
    </w:p>
    <w:p w:rsidR="008925F4" w:rsidRPr="007400FC" w:rsidRDefault="008925F4" w:rsidP="008925F4">
      <w:pPr>
        <w:rPr>
          <w:sz w:val="20"/>
          <w:szCs w:val="20"/>
          <w:u w:val="single"/>
          <w:lang w:val="fr-CA"/>
        </w:rPr>
      </w:pPr>
      <w:r w:rsidRPr="007400FC">
        <w:rPr>
          <w:sz w:val="20"/>
          <w:szCs w:val="20"/>
          <w:u w:val="single"/>
          <w:lang w:val="fr-CA"/>
        </w:rPr>
        <w:t xml:space="preserve">RÉSUMÉ </w:t>
      </w:r>
      <w:r w:rsidRPr="001B157C">
        <w:rPr>
          <w:sz w:val="20"/>
          <w:szCs w:val="20"/>
          <w:u w:val="single"/>
          <w:lang w:val="fr-CA"/>
        </w:rPr>
        <w:t>DE L’AFFAIRE</w:t>
      </w:r>
    </w:p>
    <w:p w:rsidR="008925F4" w:rsidRPr="007400FC" w:rsidRDefault="008925F4" w:rsidP="008925F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925F4" w:rsidRPr="005252ED" w:rsidTr="008925F4">
        <w:tc>
          <w:tcPr>
            <w:tcW w:w="5000" w:type="pct"/>
            <w:gridSpan w:val="3"/>
          </w:tcPr>
          <w:p w:rsidR="008925F4" w:rsidRDefault="008925F4" w:rsidP="008925F4">
            <w:pPr>
              <w:jc w:val="both"/>
              <w:rPr>
                <w:rFonts w:eastAsia="Calibri"/>
                <w:sz w:val="20"/>
                <w:lang w:val="fr-FR"/>
              </w:rPr>
            </w:pPr>
            <w:r w:rsidRPr="005635DC">
              <w:rPr>
                <w:rFonts w:eastAsia="Calibri"/>
                <w:sz w:val="20"/>
                <w:lang w:val="fr-FR"/>
              </w:rPr>
              <w:t xml:space="preserve">Dommages-intérêts – Responsabilité délictuelle – Obligation </w:t>
            </w:r>
            <w:proofErr w:type="spellStart"/>
            <w:r w:rsidRPr="005635DC">
              <w:rPr>
                <w:rFonts w:eastAsia="Calibri"/>
                <w:sz w:val="20"/>
                <w:lang w:val="fr-FR"/>
              </w:rPr>
              <w:t>fiduciale</w:t>
            </w:r>
            <w:proofErr w:type="spellEnd"/>
            <w:r w:rsidRPr="005635DC">
              <w:rPr>
                <w:rFonts w:eastAsia="Calibri"/>
                <w:sz w:val="20"/>
                <w:lang w:val="fr-FR"/>
              </w:rPr>
              <w:t xml:space="preserve"> – Perte économique – Relation entre un médecin et son patient – Quelles sont les règles de droit applicables lorsqu’un médecin étend la relation thérapeutique qu’il entretient avec son patient dans une sphère non thérapeutique? – De quelle manière faut-il quantifier au Canada la perte découlant du manquement à une obligation </w:t>
            </w:r>
            <w:proofErr w:type="spellStart"/>
            <w:r w:rsidRPr="005635DC">
              <w:rPr>
                <w:rFonts w:eastAsia="Calibri"/>
                <w:sz w:val="20"/>
                <w:lang w:val="fr-FR"/>
              </w:rPr>
              <w:t>fiduciale</w:t>
            </w:r>
            <w:proofErr w:type="spellEnd"/>
            <w:r w:rsidRPr="005635DC">
              <w:rPr>
                <w:rFonts w:eastAsia="Calibri"/>
                <w:sz w:val="20"/>
                <w:lang w:val="fr-FR"/>
              </w:rPr>
              <w:t xml:space="preserve"> et lequel des deux modes doit être employé? – Comment doit-on calculer les dommages-intérêts lorsqu’il est fait droit à une demande de dommages-intérêts présentée en matière délictuelle pour fraude? – Étendue de l’intervention de la cour d’appel; plus précisément, quels sont les principes applicables permettant à la cour d’appel d’annuler ou de ne pas prendre en considération les conclusions du juge du procès en l’absence d’une erreur manifeste et dominante ou d’une erreur de droit? </w:t>
            </w:r>
          </w:p>
          <w:p w:rsidR="008925F4" w:rsidRPr="005635DC" w:rsidRDefault="008925F4" w:rsidP="008925F4">
            <w:pPr>
              <w:jc w:val="both"/>
              <w:rPr>
                <w:rFonts w:eastAsia="Calibri"/>
                <w:sz w:val="20"/>
                <w:lang w:val="fr-FR"/>
              </w:rPr>
            </w:pPr>
          </w:p>
        </w:tc>
      </w:tr>
      <w:tr w:rsidR="008925F4" w:rsidRPr="005252ED" w:rsidTr="008925F4">
        <w:tc>
          <w:tcPr>
            <w:tcW w:w="5000" w:type="pct"/>
            <w:gridSpan w:val="3"/>
          </w:tcPr>
          <w:p w:rsidR="008925F4" w:rsidRPr="005635DC" w:rsidRDefault="008925F4" w:rsidP="008925F4">
            <w:pPr>
              <w:jc w:val="both"/>
              <w:rPr>
                <w:rFonts w:eastAsia="Calibri"/>
                <w:sz w:val="20"/>
                <w:lang w:val="fr-FR"/>
              </w:rPr>
            </w:pPr>
            <w:r w:rsidRPr="005635DC">
              <w:rPr>
                <w:rFonts w:eastAsia="Calibri"/>
                <w:sz w:val="20"/>
                <w:lang w:val="fr-FR"/>
              </w:rPr>
              <w:t>L’intimé, le D</w:t>
            </w:r>
            <w:r w:rsidRPr="005635DC">
              <w:rPr>
                <w:rFonts w:eastAsia="Calibri"/>
                <w:sz w:val="20"/>
                <w:vertAlign w:val="superscript"/>
                <w:lang w:val="fr-FR"/>
              </w:rPr>
              <w:t>r</w:t>
            </w:r>
            <w:r w:rsidRPr="005635DC">
              <w:rPr>
                <w:rFonts w:eastAsia="Calibri"/>
                <w:sz w:val="20"/>
                <w:lang w:val="fr-FR"/>
              </w:rPr>
              <w:t xml:space="preserve"> </w:t>
            </w:r>
            <w:proofErr w:type="spellStart"/>
            <w:r w:rsidRPr="005635DC">
              <w:rPr>
                <w:rFonts w:eastAsia="Calibri"/>
                <w:sz w:val="20"/>
                <w:lang w:val="fr-FR"/>
              </w:rPr>
              <w:t>Jatinder</w:t>
            </w:r>
            <w:proofErr w:type="spellEnd"/>
            <w:r w:rsidRPr="005635DC">
              <w:rPr>
                <w:rFonts w:eastAsia="Calibri"/>
                <w:sz w:val="20"/>
                <w:lang w:val="fr-FR"/>
              </w:rPr>
              <w:t xml:space="preserve"> Sandhu, était un psychiatre et un ami du demandeur, </w:t>
            </w:r>
            <w:proofErr w:type="spellStart"/>
            <w:r w:rsidRPr="005635DC">
              <w:rPr>
                <w:rFonts w:eastAsia="Calibri"/>
                <w:sz w:val="20"/>
                <w:lang w:val="fr-FR"/>
              </w:rPr>
              <w:t>Agyapal</w:t>
            </w:r>
            <w:proofErr w:type="spellEnd"/>
            <w:r w:rsidRPr="005635DC">
              <w:rPr>
                <w:rFonts w:eastAsia="Calibri"/>
                <w:sz w:val="20"/>
                <w:lang w:val="fr-FR"/>
              </w:rPr>
              <w:t xml:space="preserve"> </w:t>
            </w:r>
            <w:proofErr w:type="spellStart"/>
            <w:r w:rsidRPr="005635DC">
              <w:rPr>
                <w:rFonts w:eastAsia="Calibri"/>
                <w:sz w:val="20"/>
                <w:lang w:val="fr-FR"/>
              </w:rPr>
              <w:t>Grewal</w:t>
            </w:r>
            <w:proofErr w:type="spellEnd"/>
            <w:r w:rsidRPr="005635DC">
              <w:rPr>
                <w:rFonts w:eastAsia="Calibri"/>
                <w:sz w:val="20"/>
                <w:lang w:val="fr-FR"/>
              </w:rPr>
              <w:t>.  Le D</w:t>
            </w:r>
            <w:r w:rsidRPr="005635DC">
              <w:rPr>
                <w:rFonts w:eastAsia="Calibri"/>
                <w:sz w:val="20"/>
                <w:vertAlign w:val="superscript"/>
                <w:lang w:val="fr-FR"/>
              </w:rPr>
              <w:t>r</w:t>
            </w:r>
            <w:r w:rsidRPr="005635DC">
              <w:rPr>
                <w:rFonts w:eastAsia="Calibri"/>
                <w:sz w:val="20"/>
                <w:lang w:val="fr-FR"/>
              </w:rPr>
              <w:t xml:space="preserve"> Sandhu a traité la dépression clinique de M. </w:t>
            </w:r>
            <w:proofErr w:type="spellStart"/>
            <w:r w:rsidRPr="005635DC">
              <w:rPr>
                <w:rFonts w:eastAsia="Calibri"/>
                <w:sz w:val="20"/>
                <w:lang w:val="fr-FR"/>
              </w:rPr>
              <w:t>Grewal</w:t>
            </w:r>
            <w:proofErr w:type="spellEnd"/>
            <w:r w:rsidRPr="005635DC">
              <w:rPr>
                <w:rFonts w:eastAsia="Calibri"/>
                <w:sz w:val="20"/>
                <w:lang w:val="fr-FR"/>
              </w:rPr>
              <w:t xml:space="preserve"> entre mars 2002 et décembre 2004. Durant le traitement, ils ont participé à l’acquisition et à la vente d’une ferme et d’une propriété lotie, des transactions qui ont été conclues en juin 2005, soit six mois après la fin du traitement. En ce qui concerne la ferme, le D</w:t>
            </w:r>
            <w:r w:rsidRPr="005635DC">
              <w:rPr>
                <w:rFonts w:eastAsia="Calibri"/>
                <w:sz w:val="20"/>
                <w:vertAlign w:val="superscript"/>
                <w:lang w:val="fr-FR"/>
              </w:rPr>
              <w:t>r</w:t>
            </w:r>
            <w:r w:rsidRPr="005635DC">
              <w:rPr>
                <w:rFonts w:eastAsia="Calibri"/>
                <w:sz w:val="20"/>
                <w:lang w:val="fr-FR"/>
              </w:rPr>
              <w:t xml:space="preserve"> Sandhu détenait en fiducie l’intérêt de M. </w:t>
            </w:r>
            <w:proofErr w:type="spellStart"/>
            <w:r w:rsidRPr="005635DC">
              <w:rPr>
                <w:rFonts w:eastAsia="Calibri"/>
                <w:sz w:val="20"/>
                <w:lang w:val="fr-FR"/>
              </w:rPr>
              <w:t>Grewal</w:t>
            </w:r>
            <w:proofErr w:type="spellEnd"/>
            <w:r w:rsidRPr="005635DC">
              <w:rPr>
                <w:rFonts w:eastAsia="Calibri"/>
                <w:sz w:val="20"/>
                <w:lang w:val="fr-FR"/>
              </w:rPr>
              <w:t xml:space="preserve"> et il l’a vendu à l’intimée </w:t>
            </w:r>
            <w:proofErr w:type="spellStart"/>
            <w:r w:rsidRPr="005635DC">
              <w:rPr>
                <w:rFonts w:eastAsia="Calibri"/>
                <w:sz w:val="20"/>
                <w:lang w:val="fr-FR"/>
              </w:rPr>
              <w:t>Lakhvir</w:t>
            </w:r>
            <w:proofErr w:type="spellEnd"/>
            <w:r w:rsidRPr="005635DC">
              <w:rPr>
                <w:rFonts w:eastAsia="Calibri"/>
                <w:sz w:val="20"/>
                <w:lang w:val="fr-FR"/>
              </w:rPr>
              <w:t xml:space="preserve"> Gill pour une somme inférieure à sa valeur marchande. M. </w:t>
            </w:r>
            <w:proofErr w:type="spellStart"/>
            <w:r w:rsidRPr="005635DC">
              <w:rPr>
                <w:rFonts w:eastAsia="Calibri"/>
                <w:sz w:val="20"/>
                <w:lang w:val="fr-FR"/>
              </w:rPr>
              <w:t>Grewal</w:t>
            </w:r>
            <w:proofErr w:type="spellEnd"/>
            <w:r w:rsidRPr="005635DC">
              <w:rPr>
                <w:rFonts w:eastAsia="Calibri"/>
                <w:sz w:val="20"/>
                <w:lang w:val="fr-FR"/>
              </w:rPr>
              <w:t xml:space="preserve"> a engagé une poursuite tout de suite après la vente des propriétés, reprochant au défendeur de l’avoir floué financièrement d’une manière qui nuisait gravement à sa santé émotionnelle et mentale.  </w:t>
            </w:r>
          </w:p>
          <w:p w:rsidR="008925F4" w:rsidRPr="005635DC" w:rsidRDefault="008925F4" w:rsidP="008925F4">
            <w:pPr>
              <w:jc w:val="both"/>
              <w:rPr>
                <w:rFonts w:eastAsia="Calibri"/>
                <w:sz w:val="20"/>
                <w:lang w:val="fr-FR"/>
              </w:rPr>
            </w:pPr>
          </w:p>
        </w:tc>
      </w:tr>
      <w:tr w:rsidR="008925F4" w:rsidRPr="005252ED" w:rsidTr="008925F4">
        <w:tc>
          <w:tcPr>
            <w:tcW w:w="5000" w:type="pct"/>
            <w:gridSpan w:val="3"/>
          </w:tcPr>
          <w:p w:rsidR="008925F4" w:rsidRPr="005635DC" w:rsidRDefault="008925F4" w:rsidP="008925F4">
            <w:pPr>
              <w:jc w:val="both"/>
              <w:rPr>
                <w:rFonts w:eastAsia="Calibri"/>
                <w:sz w:val="20"/>
                <w:lang w:val="fr-FR"/>
              </w:rPr>
            </w:pPr>
            <w:r w:rsidRPr="005635DC">
              <w:rPr>
                <w:rFonts w:eastAsia="Calibri"/>
                <w:sz w:val="20"/>
                <w:lang w:val="fr-FR"/>
              </w:rPr>
              <w:t xml:space="preserve">La Cour suprême de la Colombie-Britannique a accueilli l’action intentée par M. </w:t>
            </w:r>
            <w:proofErr w:type="spellStart"/>
            <w:r w:rsidRPr="005635DC">
              <w:rPr>
                <w:rFonts w:eastAsia="Calibri"/>
                <w:sz w:val="20"/>
                <w:lang w:val="fr-FR"/>
              </w:rPr>
              <w:t>Grewal</w:t>
            </w:r>
            <w:proofErr w:type="spellEnd"/>
            <w:r w:rsidRPr="005635DC">
              <w:rPr>
                <w:rFonts w:eastAsia="Calibri"/>
                <w:sz w:val="20"/>
                <w:lang w:val="fr-FR"/>
              </w:rPr>
              <w:t xml:space="preserve"> et condamné le D</w:t>
            </w:r>
            <w:r w:rsidRPr="005635DC">
              <w:rPr>
                <w:rFonts w:eastAsia="Calibri"/>
                <w:sz w:val="20"/>
                <w:vertAlign w:val="superscript"/>
                <w:lang w:val="fr-FR"/>
              </w:rPr>
              <w:t>r</w:t>
            </w:r>
            <w:r w:rsidRPr="005635DC">
              <w:rPr>
                <w:rFonts w:eastAsia="Calibri"/>
                <w:sz w:val="20"/>
                <w:lang w:val="fr-FR"/>
              </w:rPr>
              <w:t xml:space="preserve"> Sandhu à verser des dommages-intérêts et des dépens spéciaux. Elle a aussi  ordonné le renvoi de l’affaire au greffier pour qu’il évalue les dommages-intérêts supplémentaires à adjuger relativement à la propriété lotie. L’action intentée par M. </w:t>
            </w:r>
            <w:proofErr w:type="spellStart"/>
            <w:r w:rsidRPr="005635DC">
              <w:rPr>
                <w:rFonts w:eastAsia="Calibri"/>
                <w:sz w:val="20"/>
                <w:lang w:val="fr-FR"/>
              </w:rPr>
              <w:t>Grewal</w:t>
            </w:r>
            <w:proofErr w:type="spellEnd"/>
            <w:r w:rsidRPr="005635DC">
              <w:rPr>
                <w:rFonts w:eastAsia="Calibri"/>
                <w:sz w:val="20"/>
                <w:lang w:val="fr-FR"/>
              </w:rPr>
              <w:t xml:space="preserve"> contre Mme Gill a été rejetée. La Cour d’appel de la Colombie-Britannique a rejeté l’appel formé par M. </w:t>
            </w:r>
            <w:proofErr w:type="spellStart"/>
            <w:r w:rsidRPr="005635DC">
              <w:rPr>
                <w:rFonts w:eastAsia="Calibri"/>
                <w:sz w:val="20"/>
                <w:lang w:val="fr-FR"/>
              </w:rPr>
              <w:t>Grewal</w:t>
            </w:r>
            <w:proofErr w:type="spellEnd"/>
            <w:r w:rsidRPr="005635DC">
              <w:rPr>
                <w:rFonts w:eastAsia="Calibri"/>
                <w:sz w:val="20"/>
                <w:lang w:val="fr-FR"/>
              </w:rPr>
              <w:t xml:space="preserve"> à l’égard du montant des dommages-intérêts et a accueilli l’appel incident du D</w:t>
            </w:r>
            <w:r w:rsidRPr="005635DC">
              <w:rPr>
                <w:rFonts w:eastAsia="Calibri"/>
                <w:sz w:val="20"/>
                <w:vertAlign w:val="superscript"/>
                <w:lang w:val="fr-FR"/>
              </w:rPr>
              <w:t>r</w:t>
            </w:r>
            <w:r w:rsidRPr="005635DC">
              <w:rPr>
                <w:rFonts w:eastAsia="Calibri"/>
                <w:sz w:val="20"/>
                <w:lang w:val="fr-FR"/>
              </w:rPr>
              <w:t xml:space="preserve"> Sandhu, annulant ainsi pour l’essentiel l’ordonnance de la Cour suprême de la Colombie-Britannique. La Cour d’appel a confirmé le rejet de l’action intentée contre Mme Gill de même que l’adjudication de dommages-intérêts de 162 500 $ contre le D</w:t>
            </w:r>
            <w:r w:rsidRPr="005635DC">
              <w:rPr>
                <w:rFonts w:eastAsia="Calibri"/>
                <w:sz w:val="20"/>
                <w:vertAlign w:val="superscript"/>
                <w:lang w:val="fr-FR"/>
              </w:rPr>
              <w:t>r</w:t>
            </w:r>
            <w:r w:rsidRPr="005635DC">
              <w:rPr>
                <w:rFonts w:eastAsia="Calibri"/>
                <w:sz w:val="20"/>
                <w:lang w:val="fr-FR"/>
              </w:rPr>
              <w:t xml:space="preserve"> Sandhu pour abus de confiance quant à la vente de la ferme. La Cour d’appel a renvoyé l’affaire à la Cour suprême de la Colombie-Britannique pour qu’elle instruise à nouveau les poursuites pour perte pécuniaire et la demande reconventionnelle portant sur les terrains lotis. </w:t>
            </w:r>
          </w:p>
          <w:p w:rsidR="008925F4" w:rsidRPr="005635DC" w:rsidRDefault="008925F4" w:rsidP="008925F4">
            <w:pPr>
              <w:jc w:val="both"/>
              <w:rPr>
                <w:rFonts w:eastAsia="Calibri"/>
                <w:sz w:val="20"/>
                <w:lang w:val="fr-FR"/>
              </w:rPr>
            </w:pPr>
          </w:p>
        </w:tc>
      </w:tr>
      <w:tr w:rsidR="008925F4" w:rsidRPr="005635DC" w:rsidTr="008925F4">
        <w:tc>
          <w:tcPr>
            <w:tcW w:w="2427" w:type="pct"/>
          </w:tcPr>
          <w:p w:rsidR="008925F4" w:rsidRPr="005635DC" w:rsidRDefault="008925F4" w:rsidP="008925F4">
            <w:pPr>
              <w:jc w:val="both"/>
              <w:rPr>
                <w:rFonts w:eastAsia="Calibri"/>
                <w:sz w:val="20"/>
                <w:lang w:val="fr-FR"/>
              </w:rPr>
            </w:pPr>
            <w:r w:rsidRPr="005635DC">
              <w:rPr>
                <w:rFonts w:eastAsia="Calibri"/>
                <w:sz w:val="20"/>
                <w:lang w:val="fr-FR"/>
              </w:rPr>
              <w:t>18 novembre 2010</w:t>
            </w:r>
          </w:p>
          <w:p w:rsidR="008925F4" w:rsidRPr="005635DC" w:rsidRDefault="008925F4" w:rsidP="008925F4">
            <w:pPr>
              <w:jc w:val="both"/>
              <w:rPr>
                <w:rFonts w:eastAsia="Calibri"/>
                <w:sz w:val="20"/>
                <w:lang w:val="fr-FR"/>
              </w:rPr>
            </w:pPr>
            <w:r w:rsidRPr="005635DC">
              <w:rPr>
                <w:rFonts w:eastAsia="Calibri"/>
                <w:sz w:val="20"/>
                <w:lang w:val="fr-FR"/>
              </w:rPr>
              <w:t>Cour suprême de la Colombie-Britannique</w:t>
            </w:r>
          </w:p>
          <w:p w:rsidR="008925F4" w:rsidRDefault="008925F4" w:rsidP="008925F4">
            <w:pPr>
              <w:jc w:val="both"/>
              <w:rPr>
                <w:rFonts w:eastAsia="Calibri"/>
                <w:sz w:val="20"/>
              </w:rPr>
            </w:pPr>
            <w:r w:rsidRPr="005635DC">
              <w:rPr>
                <w:rFonts w:eastAsia="Calibri"/>
                <w:sz w:val="20"/>
              </w:rPr>
              <w:t>(</w:t>
            </w:r>
            <w:proofErr w:type="spellStart"/>
            <w:r w:rsidRPr="005635DC">
              <w:rPr>
                <w:rFonts w:eastAsia="Calibri"/>
                <w:sz w:val="20"/>
              </w:rPr>
              <w:t>Juge</w:t>
            </w:r>
            <w:proofErr w:type="spellEnd"/>
            <w:r w:rsidRPr="005635DC">
              <w:rPr>
                <w:rFonts w:eastAsia="Calibri"/>
                <w:sz w:val="20"/>
              </w:rPr>
              <w:t xml:space="preserve"> Smith)</w:t>
            </w:r>
          </w:p>
          <w:p w:rsidR="008925F4" w:rsidRPr="005635DC" w:rsidRDefault="008925F4" w:rsidP="008925F4">
            <w:pPr>
              <w:jc w:val="both"/>
              <w:rPr>
                <w:rFonts w:eastAsia="Calibri"/>
                <w:sz w:val="20"/>
              </w:rPr>
            </w:pPr>
          </w:p>
        </w:tc>
        <w:tc>
          <w:tcPr>
            <w:tcW w:w="243" w:type="pct"/>
          </w:tcPr>
          <w:p w:rsidR="008925F4" w:rsidRPr="005635DC" w:rsidRDefault="008925F4" w:rsidP="008925F4">
            <w:pPr>
              <w:jc w:val="both"/>
              <w:rPr>
                <w:rFonts w:eastAsia="Calibri"/>
                <w:sz w:val="20"/>
              </w:rPr>
            </w:pPr>
          </w:p>
        </w:tc>
        <w:tc>
          <w:tcPr>
            <w:tcW w:w="2330" w:type="pct"/>
          </w:tcPr>
          <w:p w:rsidR="008925F4" w:rsidRPr="005635DC" w:rsidRDefault="008925F4" w:rsidP="008925F4">
            <w:pPr>
              <w:jc w:val="both"/>
              <w:rPr>
                <w:rFonts w:eastAsia="Calibri"/>
                <w:sz w:val="20"/>
              </w:rPr>
            </w:pPr>
            <w:r w:rsidRPr="005635DC">
              <w:rPr>
                <w:rFonts w:eastAsia="Calibri"/>
                <w:sz w:val="20"/>
              </w:rPr>
              <w:t xml:space="preserve">Action du </w:t>
            </w:r>
            <w:proofErr w:type="spellStart"/>
            <w:r w:rsidRPr="005635DC">
              <w:rPr>
                <w:rFonts w:eastAsia="Calibri"/>
                <w:sz w:val="20"/>
              </w:rPr>
              <w:t>demandeur</w:t>
            </w:r>
            <w:proofErr w:type="spellEnd"/>
            <w:r w:rsidRPr="005635DC">
              <w:rPr>
                <w:rFonts w:eastAsia="Calibri"/>
                <w:sz w:val="20"/>
              </w:rPr>
              <w:t xml:space="preserve"> </w:t>
            </w:r>
            <w:proofErr w:type="spellStart"/>
            <w:r w:rsidRPr="005635DC">
              <w:rPr>
                <w:rFonts w:eastAsia="Calibri"/>
                <w:sz w:val="20"/>
              </w:rPr>
              <w:t>accueillie</w:t>
            </w:r>
            <w:proofErr w:type="spellEnd"/>
            <w:r w:rsidRPr="005635DC">
              <w:rPr>
                <w:rFonts w:eastAsia="Calibri"/>
                <w:sz w:val="20"/>
              </w:rPr>
              <w:t>.</w:t>
            </w:r>
          </w:p>
          <w:p w:rsidR="008925F4" w:rsidRPr="005635DC" w:rsidRDefault="008925F4" w:rsidP="008925F4">
            <w:pPr>
              <w:jc w:val="both"/>
              <w:rPr>
                <w:rFonts w:eastAsia="Calibri"/>
                <w:sz w:val="20"/>
              </w:rPr>
            </w:pPr>
          </w:p>
          <w:p w:rsidR="008925F4" w:rsidRPr="005635DC" w:rsidRDefault="008925F4" w:rsidP="008925F4">
            <w:pPr>
              <w:jc w:val="both"/>
              <w:rPr>
                <w:rFonts w:eastAsia="Calibri"/>
                <w:sz w:val="20"/>
              </w:rPr>
            </w:pPr>
          </w:p>
        </w:tc>
      </w:tr>
      <w:tr w:rsidR="008925F4" w:rsidRPr="005252ED" w:rsidTr="008925F4">
        <w:tc>
          <w:tcPr>
            <w:tcW w:w="2427" w:type="pct"/>
          </w:tcPr>
          <w:p w:rsidR="008925F4" w:rsidRPr="005635DC" w:rsidRDefault="008925F4" w:rsidP="008925F4">
            <w:pPr>
              <w:jc w:val="both"/>
              <w:rPr>
                <w:rFonts w:eastAsia="Calibri"/>
                <w:sz w:val="20"/>
                <w:lang w:val="fr-FR"/>
              </w:rPr>
            </w:pPr>
            <w:r w:rsidRPr="005635DC">
              <w:rPr>
                <w:rFonts w:eastAsia="Calibri"/>
                <w:sz w:val="20"/>
                <w:lang w:val="fr-FR"/>
              </w:rPr>
              <w:t>19 janvier 2012</w:t>
            </w:r>
          </w:p>
          <w:p w:rsidR="008925F4" w:rsidRPr="005635DC" w:rsidRDefault="008925F4" w:rsidP="008925F4">
            <w:pPr>
              <w:jc w:val="both"/>
              <w:rPr>
                <w:rFonts w:eastAsia="Calibri"/>
                <w:sz w:val="20"/>
                <w:lang w:val="fr-FR"/>
              </w:rPr>
            </w:pPr>
            <w:r w:rsidRPr="005635DC">
              <w:rPr>
                <w:rFonts w:eastAsia="Calibri"/>
                <w:sz w:val="20"/>
                <w:lang w:val="fr-FR"/>
              </w:rPr>
              <w:t>Cour d’appel de la Colombie-Britannique (Vancouver)</w:t>
            </w:r>
          </w:p>
          <w:p w:rsidR="008925F4" w:rsidRPr="005635DC" w:rsidRDefault="008925F4" w:rsidP="008925F4">
            <w:pPr>
              <w:jc w:val="both"/>
              <w:rPr>
                <w:rFonts w:eastAsia="Calibri"/>
                <w:sz w:val="20"/>
                <w:lang w:val="fr-FR"/>
              </w:rPr>
            </w:pPr>
            <w:r w:rsidRPr="005635DC">
              <w:rPr>
                <w:rFonts w:eastAsia="Calibri"/>
                <w:sz w:val="20"/>
                <w:lang w:val="fr-FR"/>
              </w:rPr>
              <w:t xml:space="preserve">(Juges </w:t>
            </w:r>
            <w:proofErr w:type="spellStart"/>
            <w:r w:rsidRPr="005635DC">
              <w:rPr>
                <w:rFonts w:eastAsia="Calibri"/>
                <w:sz w:val="20"/>
                <w:lang w:val="fr-FR"/>
              </w:rPr>
              <w:t>Levine</w:t>
            </w:r>
            <w:proofErr w:type="spellEnd"/>
            <w:r w:rsidRPr="005635DC">
              <w:rPr>
                <w:rFonts w:eastAsia="Calibri"/>
                <w:sz w:val="20"/>
                <w:lang w:val="fr-FR"/>
              </w:rPr>
              <w:t xml:space="preserve">, Lowry et </w:t>
            </w:r>
            <w:proofErr w:type="spellStart"/>
            <w:r w:rsidRPr="005635DC">
              <w:rPr>
                <w:rFonts w:eastAsia="Calibri"/>
                <w:sz w:val="20"/>
                <w:lang w:val="fr-FR"/>
              </w:rPr>
              <w:t>Tysoe</w:t>
            </w:r>
            <w:proofErr w:type="spellEnd"/>
            <w:r w:rsidRPr="005635DC">
              <w:rPr>
                <w:rFonts w:eastAsia="Calibri"/>
                <w:sz w:val="20"/>
                <w:lang w:val="fr-FR"/>
              </w:rPr>
              <w:t>)</w:t>
            </w:r>
          </w:p>
          <w:p w:rsidR="008925F4" w:rsidRPr="005635DC" w:rsidRDefault="008925F4" w:rsidP="008925F4">
            <w:pPr>
              <w:jc w:val="both"/>
              <w:rPr>
                <w:rFonts w:eastAsia="Calibri"/>
                <w:sz w:val="20"/>
                <w:lang w:val="fr-FR"/>
              </w:rPr>
            </w:pPr>
          </w:p>
        </w:tc>
        <w:tc>
          <w:tcPr>
            <w:tcW w:w="243" w:type="pct"/>
          </w:tcPr>
          <w:p w:rsidR="008925F4" w:rsidRPr="005635DC" w:rsidRDefault="008925F4" w:rsidP="008925F4">
            <w:pPr>
              <w:jc w:val="both"/>
              <w:rPr>
                <w:rFonts w:eastAsia="Calibri"/>
                <w:sz w:val="20"/>
                <w:lang w:val="fr-FR"/>
              </w:rPr>
            </w:pPr>
          </w:p>
        </w:tc>
        <w:tc>
          <w:tcPr>
            <w:tcW w:w="2330" w:type="pct"/>
          </w:tcPr>
          <w:p w:rsidR="008925F4" w:rsidRPr="005635DC" w:rsidRDefault="008925F4" w:rsidP="008925F4">
            <w:pPr>
              <w:jc w:val="both"/>
              <w:rPr>
                <w:rFonts w:eastAsia="Calibri"/>
                <w:sz w:val="20"/>
                <w:lang w:val="fr-FR"/>
              </w:rPr>
            </w:pPr>
            <w:r w:rsidRPr="005635DC">
              <w:rPr>
                <w:rFonts w:eastAsia="Calibri"/>
                <w:sz w:val="20"/>
                <w:lang w:val="fr-FR"/>
              </w:rPr>
              <w:t>Appel du demandeur concernant le montant des dommages-intérêts rejeté; Appel incident de l’intimé accueilli.</w:t>
            </w:r>
          </w:p>
          <w:p w:rsidR="008925F4" w:rsidRPr="005635DC" w:rsidRDefault="008925F4" w:rsidP="008925F4">
            <w:pPr>
              <w:jc w:val="both"/>
              <w:rPr>
                <w:rFonts w:eastAsia="Calibri"/>
                <w:sz w:val="20"/>
                <w:lang w:val="fr-FR"/>
              </w:rPr>
            </w:pPr>
          </w:p>
        </w:tc>
      </w:tr>
      <w:tr w:rsidR="008925F4" w:rsidRPr="005635DC" w:rsidTr="008925F4">
        <w:tc>
          <w:tcPr>
            <w:tcW w:w="2427" w:type="pct"/>
          </w:tcPr>
          <w:p w:rsidR="008925F4" w:rsidRPr="005635DC" w:rsidRDefault="008925F4" w:rsidP="008925F4">
            <w:pPr>
              <w:jc w:val="both"/>
              <w:rPr>
                <w:rFonts w:eastAsia="Calibri"/>
                <w:sz w:val="20"/>
                <w:lang w:val="fr-FR"/>
              </w:rPr>
            </w:pPr>
            <w:r w:rsidRPr="005635DC">
              <w:rPr>
                <w:rFonts w:eastAsia="Calibri"/>
                <w:sz w:val="20"/>
                <w:lang w:val="fr-FR"/>
              </w:rPr>
              <w:t>19 mars 2012</w:t>
            </w:r>
          </w:p>
          <w:p w:rsidR="008925F4" w:rsidRPr="005635DC" w:rsidRDefault="008925F4" w:rsidP="008925F4">
            <w:pPr>
              <w:jc w:val="both"/>
              <w:rPr>
                <w:rFonts w:eastAsia="Calibri"/>
                <w:sz w:val="20"/>
                <w:lang w:val="fr-FR"/>
              </w:rPr>
            </w:pPr>
            <w:r w:rsidRPr="005635DC">
              <w:rPr>
                <w:rFonts w:eastAsia="Calibri"/>
                <w:sz w:val="20"/>
                <w:lang w:val="fr-FR"/>
              </w:rPr>
              <w:t>Cour suprême du Canada</w:t>
            </w:r>
          </w:p>
        </w:tc>
        <w:tc>
          <w:tcPr>
            <w:tcW w:w="243" w:type="pct"/>
          </w:tcPr>
          <w:p w:rsidR="008925F4" w:rsidRPr="005635DC" w:rsidRDefault="008925F4" w:rsidP="008925F4">
            <w:pPr>
              <w:jc w:val="both"/>
              <w:rPr>
                <w:rFonts w:eastAsia="Calibri"/>
                <w:sz w:val="20"/>
                <w:lang w:val="fr-FR"/>
              </w:rPr>
            </w:pPr>
          </w:p>
        </w:tc>
        <w:tc>
          <w:tcPr>
            <w:tcW w:w="2330" w:type="pct"/>
          </w:tcPr>
          <w:p w:rsidR="008925F4" w:rsidRPr="005635DC" w:rsidRDefault="008925F4" w:rsidP="008925F4">
            <w:pPr>
              <w:jc w:val="both"/>
              <w:rPr>
                <w:rFonts w:eastAsia="Calibri"/>
                <w:sz w:val="20"/>
              </w:rPr>
            </w:pPr>
            <w:r w:rsidRPr="005635DC">
              <w:rPr>
                <w:rFonts w:eastAsia="Calibri"/>
                <w:sz w:val="20"/>
                <w:lang w:val="fr-FR"/>
              </w:rPr>
              <w:t>Demande d’autorisation d’appel déposée</w:t>
            </w:r>
            <w:r w:rsidRPr="005635DC">
              <w:rPr>
                <w:rFonts w:eastAsia="Calibri"/>
                <w:sz w:val="20"/>
              </w:rPr>
              <w:t>.</w:t>
            </w:r>
          </w:p>
        </w:tc>
      </w:tr>
    </w:tbl>
    <w:p w:rsidR="008925F4" w:rsidRPr="007400FC" w:rsidRDefault="008925F4" w:rsidP="008925F4">
      <w:pPr>
        <w:rPr>
          <w:sz w:val="20"/>
          <w:szCs w:val="20"/>
        </w:rPr>
      </w:pPr>
    </w:p>
    <w:p w:rsidR="008925F4" w:rsidRPr="007400FC" w:rsidRDefault="00C90BA9" w:rsidP="008925F4">
      <w:pPr>
        <w:rPr>
          <w:sz w:val="20"/>
          <w:szCs w:val="20"/>
        </w:rPr>
      </w:pPr>
      <w:r w:rsidRPr="00C90BA9">
        <w:rPr>
          <w:sz w:val="20"/>
          <w:szCs w:val="20"/>
          <w:lang w:val="fr-CA"/>
        </w:rPr>
        <w:pict>
          <v:rect id="_x0000_i1048" style="width:2in;height:1pt" o:hrpct="0" o:hralign="center" o:hrstd="t" o:hrnoshade="t" o:hr="t" fillcolor="black [3213]" stroked="f"/>
        </w:pict>
      </w:r>
    </w:p>
    <w:p w:rsidR="00493CD2" w:rsidRDefault="00493CD2" w:rsidP="00493CD2">
      <w:pPr>
        <w:rPr>
          <w:sz w:val="20"/>
          <w:szCs w:val="20"/>
        </w:rPr>
      </w:pPr>
    </w:p>
    <w:p w:rsidR="00E34A7A" w:rsidRPr="00E34A7A" w:rsidRDefault="00E34A7A" w:rsidP="00E34A7A">
      <w:pPr>
        <w:rPr>
          <w:sz w:val="20"/>
          <w:szCs w:val="24"/>
          <w:lang w:val="fr-CA"/>
        </w:rPr>
      </w:pPr>
      <w:r w:rsidRPr="00E34A7A">
        <w:rPr>
          <w:b/>
          <w:sz w:val="20"/>
          <w:szCs w:val="24"/>
          <w:lang w:val="fr-CA"/>
        </w:rPr>
        <w:t>34737</w:t>
      </w:r>
      <w:r w:rsidRPr="00E34A7A">
        <w:rPr>
          <w:b/>
          <w:sz w:val="20"/>
          <w:szCs w:val="24"/>
          <w:lang w:val="fr-CA"/>
        </w:rPr>
        <w:tab/>
      </w:r>
      <w:r w:rsidRPr="00E34A7A">
        <w:rPr>
          <w:b/>
          <w:sz w:val="20"/>
          <w:szCs w:val="24"/>
          <w:u w:val="single"/>
          <w:lang w:val="fr-CA"/>
        </w:rPr>
        <w:t>Éric Bédard c. Ministre de la Justice du Canada</w:t>
      </w:r>
      <w:r w:rsidRPr="00E34A7A">
        <w:rPr>
          <w:sz w:val="20"/>
          <w:szCs w:val="24"/>
          <w:lang w:val="fr-CA"/>
        </w:rPr>
        <w:t xml:space="preserve"> (</w:t>
      </w:r>
      <w:proofErr w:type="spellStart"/>
      <w:r w:rsidRPr="00E34A7A">
        <w:rPr>
          <w:sz w:val="20"/>
          <w:szCs w:val="24"/>
          <w:lang w:val="fr-CA"/>
        </w:rPr>
        <w:t>Qc</w:t>
      </w:r>
      <w:proofErr w:type="spellEnd"/>
      <w:r w:rsidRPr="00E34A7A">
        <w:rPr>
          <w:sz w:val="20"/>
          <w:szCs w:val="24"/>
          <w:lang w:val="fr-CA"/>
        </w:rPr>
        <w:t>) (Criminelle) (Autorisation)</w:t>
      </w:r>
    </w:p>
    <w:p w:rsidR="00E34A7A" w:rsidRPr="00E34A7A" w:rsidRDefault="00E34A7A" w:rsidP="00E34A7A">
      <w:pPr>
        <w:tabs>
          <w:tab w:val="left" w:pos="1458"/>
        </w:tabs>
        <w:rPr>
          <w:sz w:val="20"/>
          <w:lang w:val="fr-CA"/>
        </w:rPr>
      </w:pPr>
    </w:p>
    <w:p w:rsidR="00E34A7A" w:rsidRPr="00E34A7A" w:rsidRDefault="00E34A7A" w:rsidP="00E34A7A">
      <w:pPr>
        <w:rPr>
          <w:sz w:val="20"/>
          <w:szCs w:val="24"/>
          <w:lang w:val="fr-CA"/>
        </w:rPr>
      </w:pPr>
      <w:r w:rsidRPr="00E34A7A">
        <w:rPr>
          <w:sz w:val="20"/>
          <w:szCs w:val="24"/>
          <w:lang w:val="fr-CA"/>
        </w:rPr>
        <w:t>Coram :</w:t>
      </w:r>
      <w:r w:rsidRPr="00E34A7A">
        <w:rPr>
          <w:sz w:val="20"/>
          <w:szCs w:val="24"/>
          <w:lang w:val="fr-CA"/>
        </w:rPr>
        <w:tab/>
      </w:r>
      <w:r w:rsidRPr="00E34A7A">
        <w:rPr>
          <w:sz w:val="20"/>
          <w:szCs w:val="24"/>
          <w:u w:val="single"/>
          <w:lang w:val="fr-CA"/>
        </w:rPr>
        <w:t xml:space="preserve">Les juges </w:t>
      </w:r>
      <w:proofErr w:type="spellStart"/>
      <w:r w:rsidRPr="00E34A7A">
        <w:rPr>
          <w:sz w:val="20"/>
          <w:szCs w:val="24"/>
          <w:u w:val="single"/>
          <w:lang w:val="fr-CA"/>
        </w:rPr>
        <w:t>LeBel</w:t>
      </w:r>
      <w:proofErr w:type="spellEnd"/>
      <w:r w:rsidRPr="00E34A7A">
        <w:rPr>
          <w:sz w:val="20"/>
          <w:szCs w:val="24"/>
          <w:u w:val="single"/>
          <w:lang w:val="fr-CA"/>
        </w:rPr>
        <w:t>, Abella et Cromwell</w:t>
      </w:r>
    </w:p>
    <w:p w:rsidR="00E34A7A" w:rsidRPr="00E34A7A" w:rsidRDefault="00E34A7A" w:rsidP="00E34A7A">
      <w:pPr>
        <w:tabs>
          <w:tab w:val="left" w:pos="1458"/>
        </w:tabs>
        <w:rPr>
          <w:sz w:val="20"/>
          <w:u w:val="single"/>
          <w:lang w:val="fr-CA"/>
        </w:rPr>
      </w:pPr>
    </w:p>
    <w:p w:rsidR="00E34A7A" w:rsidRPr="00E34A7A" w:rsidRDefault="00E34A7A" w:rsidP="00E34A7A">
      <w:pPr>
        <w:ind w:firstLine="720"/>
        <w:jc w:val="both"/>
        <w:rPr>
          <w:sz w:val="20"/>
          <w:szCs w:val="24"/>
          <w:lang w:val="fr-CA"/>
        </w:rPr>
      </w:pPr>
      <w:r w:rsidRPr="00E34A7A">
        <w:rPr>
          <w:sz w:val="20"/>
          <w:szCs w:val="24"/>
          <w:lang w:val="fr-CA"/>
        </w:rPr>
        <w:t>La requête en prorogation du délai de signification et de dépôt de la demande d’autorisation d’appel est accordée. La demande d’autorisation d’appel de l’arrêt de la Cour d’appel du Québec (Montréal), numéro 500-10-004833-115, 2012 QCCA 154, daté du 27 janvier 2012, est rejetée sans dépens.</w:t>
      </w:r>
    </w:p>
    <w:p w:rsidR="00E34A7A" w:rsidRPr="00E34A7A" w:rsidRDefault="00E34A7A" w:rsidP="00E34A7A">
      <w:pPr>
        <w:jc w:val="both"/>
        <w:rPr>
          <w:sz w:val="20"/>
          <w:szCs w:val="24"/>
          <w:lang w:val="fr-CA"/>
        </w:rPr>
      </w:pPr>
    </w:p>
    <w:p w:rsidR="00E34A7A" w:rsidRPr="00E34A7A" w:rsidRDefault="00E34A7A" w:rsidP="00E34A7A">
      <w:pPr>
        <w:ind w:firstLine="720"/>
        <w:rPr>
          <w:sz w:val="20"/>
        </w:rPr>
      </w:pPr>
      <w:r w:rsidRPr="00E34A7A">
        <w:rPr>
          <w:sz w:val="20"/>
          <w:szCs w:val="24"/>
        </w:rPr>
        <w:t>The motion for an extension of time to serve and file the application for leave to appeal is granted. The application for leave to appeal from the judgment of the Court of Appeal of Quebec (Montréal), Number 500-10-004833-115, 2012 QCCA 154, dated January 27, 2012, is dismissed without costs.</w:t>
      </w:r>
    </w:p>
    <w:p w:rsidR="0072677B" w:rsidRDefault="0072677B" w:rsidP="0072677B">
      <w:pPr>
        <w:rPr>
          <w:sz w:val="20"/>
          <w:szCs w:val="20"/>
          <w:u w:val="single"/>
        </w:rPr>
      </w:pPr>
    </w:p>
    <w:p w:rsidR="0072677B" w:rsidRPr="001B157C" w:rsidRDefault="0072677B" w:rsidP="0072677B">
      <w:pPr>
        <w:rPr>
          <w:sz w:val="20"/>
          <w:szCs w:val="20"/>
          <w:u w:val="single"/>
        </w:rPr>
      </w:pPr>
      <w:r w:rsidRPr="001B157C">
        <w:rPr>
          <w:sz w:val="20"/>
          <w:szCs w:val="20"/>
          <w:u w:val="single"/>
        </w:rPr>
        <w:t>CASE SUMMARY</w:t>
      </w:r>
    </w:p>
    <w:p w:rsidR="0072677B" w:rsidRPr="0072677B" w:rsidRDefault="0072677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82DC9" w:rsidRPr="005635DC" w:rsidTr="00982DC9">
        <w:tc>
          <w:tcPr>
            <w:tcW w:w="5000" w:type="pct"/>
            <w:gridSpan w:val="3"/>
          </w:tcPr>
          <w:p w:rsidR="00982DC9" w:rsidRPr="005635DC" w:rsidRDefault="00982DC9" w:rsidP="00982DC9">
            <w:pPr>
              <w:jc w:val="both"/>
              <w:rPr>
                <w:rFonts w:eastAsia="Calibri"/>
                <w:sz w:val="20"/>
              </w:rPr>
            </w:pPr>
            <w:r w:rsidRPr="005635DC">
              <w:rPr>
                <w:rFonts w:eastAsia="Calibri"/>
                <w:sz w:val="20"/>
              </w:rPr>
              <w:t>Extradition — Judicial review — Discretion — Non-compliance with release conditions — Whether Court of Appeal erred in law in dismissing application for judicial review instituted by applicant, who at time was duly represented by counsel under valid mandate, because of applicant’s unexplained absence from hearing.</w:t>
            </w:r>
          </w:p>
        </w:tc>
      </w:tr>
      <w:tr w:rsidR="00982DC9" w:rsidRPr="005635DC" w:rsidTr="00982DC9">
        <w:tc>
          <w:tcPr>
            <w:tcW w:w="5000" w:type="pct"/>
            <w:gridSpan w:val="3"/>
          </w:tcPr>
          <w:p w:rsidR="00982DC9" w:rsidRPr="005635DC" w:rsidRDefault="00982DC9" w:rsidP="00982DC9">
            <w:pPr>
              <w:jc w:val="both"/>
              <w:rPr>
                <w:rFonts w:eastAsia="Calibri"/>
                <w:sz w:val="20"/>
              </w:rPr>
            </w:pPr>
          </w:p>
        </w:tc>
      </w:tr>
      <w:tr w:rsidR="00982DC9" w:rsidRPr="005635DC" w:rsidTr="00982DC9">
        <w:tc>
          <w:tcPr>
            <w:tcW w:w="5000" w:type="pct"/>
            <w:gridSpan w:val="3"/>
          </w:tcPr>
          <w:p w:rsidR="00982DC9" w:rsidRPr="005635DC" w:rsidRDefault="00982DC9" w:rsidP="00982DC9">
            <w:pPr>
              <w:jc w:val="both"/>
              <w:rPr>
                <w:rFonts w:eastAsia="Calibri"/>
                <w:sz w:val="20"/>
              </w:rPr>
            </w:pPr>
            <w:r w:rsidRPr="005635DC">
              <w:rPr>
                <w:rFonts w:eastAsia="Calibri"/>
                <w:sz w:val="20"/>
              </w:rPr>
              <w:t xml:space="preserve">The United States requested Mr. </w:t>
            </w:r>
            <w:proofErr w:type="spellStart"/>
            <w:r w:rsidRPr="005635DC">
              <w:rPr>
                <w:rFonts w:eastAsia="Calibri"/>
                <w:sz w:val="20"/>
              </w:rPr>
              <w:t>Bédard’s</w:t>
            </w:r>
            <w:proofErr w:type="spellEnd"/>
            <w:r w:rsidRPr="005635DC">
              <w:rPr>
                <w:rFonts w:eastAsia="Calibri"/>
                <w:sz w:val="20"/>
              </w:rPr>
              <w:t xml:space="preserve"> extradition so he could be tried on charges of conspiracy to traffic in a large quantity of marijuana and ecstasy.  Mr. Bédard suffers from </w:t>
            </w:r>
            <w:proofErr w:type="spellStart"/>
            <w:r w:rsidRPr="005635DC">
              <w:rPr>
                <w:rFonts w:eastAsia="Calibri"/>
                <w:sz w:val="20"/>
              </w:rPr>
              <w:t>polyostotic</w:t>
            </w:r>
            <w:proofErr w:type="spellEnd"/>
            <w:r w:rsidRPr="005635DC">
              <w:rPr>
                <w:rFonts w:eastAsia="Calibri"/>
                <w:sz w:val="20"/>
              </w:rPr>
              <w:t xml:space="preserve"> fibrous dysplasia, a rare congenital bone disease that causes the weakening of bones and involves a high risk of fracture at the slightest contact with a person or object. Mr. Bédard gets around in an electric wheelchair. When he was arrested in Quebec in May 2009, he was able to obtain a judicial interim release on certain conditions.  On December 14, 2010, the respondent Minister of Justice signed warrants ordering Mr. </w:t>
            </w:r>
            <w:proofErr w:type="spellStart"/>
            <w:r w:rsidRPr="005635DC">
              <w:rPr>
                <w:rFonts w:eastAsia="Calibri"/>
                <w:sz w:val="20"/>
              </w:rPr>
              <w:t>Bédard’s</w:t>
            </w:r>
            <w:proofErr w:type="spellEnd"/>
            <w:r w:rsidRPr="005635DC">
              <w:rPr>
                <w:rFonts w:eastAsia="Calibri"/>
                <w:sz w:val="20"/>
              </w:rPr>
              <w:t xml:space="preserve"> surrender.  After considering Mr. </w:t>
            </w:r>
            <w:proofErr w:type="spellStart"/>
            <w:r w:rsidRPr="005635DC">
              <w:rPr>
                <w:rFonts w:eastAsia="Calibri"/>
                <w:sz w:val="20"/>
              </w:rPr>
              <w:t>Bédard’s</w:t>
            </w:r>
            <w:proofErr w:type="spellEnd"/>
            <w:r w:rsidRPr="005635DC">
              <w:rPr>
                <w:rFonts w:eastAsia="Calibri"/>
                <w:sz w:val="20"/>
              </w:rPr>
              <w:t xml:space="preserve"> submissions concerning the special circumstances associated with his health condition, the Minister concluded that it had not been proved that Mr. </w:t>
            </w:r>
            <w:proofErr w:type="spellStart"/>
            <w:r w:rsidRPr="005635DC">
              <w:rPr>
                <w:rFonts w:eastAsia="Calibri"/>
                <w:sz w:val="20"/>
              </w:rPr>
              <w:t>Bédard’s</w:t>
            </w:r>
            <w:proofErr w:type="spellEnd"/>
            <w:r w:rsidRPr="005635DC">
              <w:rPr>
                <w:rFonts w:eastAsia="Calibri"/>
                <w:sz w:val="20"/>
              </w:rPr>
              <w:t xml:space="preserve"> surrender would be unjust or oppressive, outrage standards of decency or shock the conscience.  The American authorities informed the Minister that the Federal Bureau of Prisons could properly treat an inmate in Mr. </w:t>
            </w:r>
            <w:proofErr w:type="spellStart"/>
            <w:r w:rsidRPr="005635DC">
              <w:rPr>
                <w:rFonts w:eastAsia="Calibri"/>
                <w:sz w:val="20"/>
              </w:rPr>
              <w:t>Bédard’s</w:t>
            </w:r>
            <w:proofErr w:type="spellEnd"/>
            <w:r w:rsidRPr="005635DC">
              <w:rPr>
                <w:rFonts w:eastAsia="Calibri"/>
                <w:sz w:val="20"/>
              </w:rPr>
              <w:t xml:space="preserve"> condition.  Mr. Bédard challenged the decision of the Minister of Justice through an application for judicial review in the Court of Appeal.</w:t>
            </w:r>
          </w:p>
          <w:p w:rsidR="00982DC9" w:rsidRPr="005635DC" w:rsidRDefault="00982DC9" w:rsidP="00982DC9">
            <w:pPr>
              <w:jc w:val="both"/>
              <w:rPr>
                <w:rFonts w:eastAsia="Calibri"/>
                <w:sz w:val="20"/>
              </w:rPr>
            </w:pPr>
          </w:p>
        </w:tc>
      </w:tr>
      <w:tr w:rsidR="00982DC9" w:rsidRPr="005635DC" w:rsidTr="00982DC9">
        <w:tc>
          <w:tcPr>
            <w:tcW w:w="2427" w:type="pct"/>
          </w:tcPr>
          <w:p w:rsidR="00982DC9" w:rsidRPr="005635DC" w:rsidRDefault="00982DC9" w:rsidP="00982DC9">
            <w:pPr>
              <w:jc w:val="both"/>
              <w:rPr>
                <w:rFonts w:eastAsia="Calibri"/>
                <w:sz w:val="20"/>
              </w:rPr>
            </w:pPr>
            <w:r w:rsidRPr="005635DC">
              <w:rPr>
                <w:rFonts w:eastAsia="Calibri"/>
                <w:sz w:val="20"/>
              </w:rPr>
              <w:t>December 14, 2010</w:t>
            </w:r>
          </w:p>
          <w:p w:rsidR="00982DC9" w:rsidRPr="005635DC" w:rsidRDefault="00982DC9" w:rsidP="00982DC9">
            <w:pPr>
              <w:jc w:val="both"/>
              <w:rPr>
                <w:rFonts w:eastAsia="Calibri"/>
                <w:sz w:val="20"/>
              </w:rPr>
            </w:pPr>
            <w:r w:rsidRPr="005635DC">
              <w:rPr>
                <w:rFonts w:eastAsia="Calibri"/>
                <w:sz w:val="20"/>
              </w:rPr>
              <w:t>The Honourable Rob Nicholson, Minister of Justice and Attorney General of Canada</w:t>
            </w:r>
          </w:p>
          <w:p w:rsidR="00982DC9" w:rsidRPr="005635DC" w:rsidRDefault="00982DC9" w:rsidP="00982DC9">
            <w:pPr>
              <w:jc w:val="both"/>
              <w:rPr>
                <w:rFonts w:eastAsia="Calibri"/>
                <w:sz w:val="20"/>
              </w:rPr>
            </w:pPr>
          </w:p>
        </w:tc>
        <w:tc>
          <w:tcPr>
            <w:tcW w:w="243" w:type="pct"/>
          </w:tcPr>
          <w:p w:rsidR="00982DC9" w:rsidRPr="005635DC" w:rsidRDefault="00982DC9" w:rsidP="00982DC9">
            <w:pPr>
              <w:jc w:val="both"/>
              <w:rPr>
                <w:rFonts w:eastAsia="Calibri"/>
                <w:sz w:val="20"/>
              </w:rPr>
            </w:pPr>
          </w:p>
        </w:tc>
        <w:tc>
          <w:tcPr>
            <w:tcW w:w="2330" w:type="pct"/>
          </w:tcPr>
          <w:p w:rsidR="00982DC9" w:rsidRPr="005635DC" w:rsidRDefault="00982DC9" w:rsidP="00982DC9">
            <w:pPr>
              <w:jc w:val="both"/>
              <w:rPr>
                <w:rFonts w:eastAsia="Calibri"/>
                <w:sz w:val="20"/>
              </w:rPr>
            </w:pPr>
            <w:r w:rsidRPr="005635DC">
              <w:rPr>
                <w:rFonts w:eastAsia="Calibri"/>
                <w:sz w:val="20"/>
              </w:rPr>
              <w:t>Surrender of applicant to United States ordered</w:t>
            </w:r>
          </w:p>
        </w:tc>
      </w:tr>
      <w:tr w:rsidR="00982DC9" w:rsidRPr="005635DC" w:rsidTr="00982DC9">
        <w:tc>
          <w:tcPr>
            <w:tcW w:w="2427" w:type="pct"/>
          </w:tcPr>
          <w:p w:rsidR="00982DC9" w:rsidRPr="005635DC" w:rsidRDefault="00982DC9" w:rsidP="00982DC9">
            <w:pPr>
              <w:jc w:val="both"/>
              <w:rPr>
                <w:rFonts w:eastAsia="Calibri"/>
                <w:sz w:val="20"/>
              </w:rPr>
            </w:pPr>
            <w:r w:rsidRPr="005635DC">
              <w:rPr>
                <w:rFonts w:eastAsia="Calibri"/>
                <w:sz w:val="20"/>
              </w:rPr>
              <w:t>January 27, 2012</w:t>
            </w:r>
          </w:p>
          <w:p w:rsidR="00982DC9" w:rsidRPr="005635DC" w:rsidRDefault="00982DC9" w:rsidP="00982DC9">
            <w:pPr>
              <w:jc w:val="both"/>
              <w:rPr>
                <w:rFonts w:eastAsia="Calibri"/>
                <w:sz w:val="20"/>
              </w:rPr>
            </w:pPr>
            <w:r w:rsidRPr="005635DC">
              <w:rPr>
                <w:rFonts w:eastAsia="Calibri"/>
                <w:sz w:val="20"/>
              </w:rPr>
              <w:t>Quebec Court of Appeal (Montréal)</w:t>
            </w:r>
          </w:p>
          <w:p w:rsidR="00982DC9" w:rsidRPr="005635DC" w:rsidRDefault="00982DC9" w:rsidP="00982DC9">
            <w:pPr>
              <w:jc w:val="both"/>
              <w:rPr>
                <w:rFonts w:eastAsia="Calibri"/>
                <w:sz w:val="20"/>
              </w:rPr>
            </w:pPr>
            <w:r w:rsidRPr="005635DC">
              <w:rPr>
                <w:rFonts w:eastAsia="Calibri"/>
                <w:sz w:val="20"/>
              </w:rPr>
              <w:t xml:space="preserve">(Duval </w:t>
            </w:r>
            <w:proofErr w:type="spellStart"/>
            <w:r w:rsidRPr="005635DC">
              <w:rPr>
                <w:rFonts w:eastAsia="Calibri"/>
                <w:sz w:val="20"/>
              </w:rPr>
              <w:t>Hesler</w:t>
            </w:r>
            <w:proofErr w:type="spellEnd"/>
            <w:r w:rsidRPr="005635DC">
              <w:rPr>
                <w:rFonts w:eastAsia="Calibri"/>
                <w:sz w:val="20"/>
              </w:rPr>
              <w:t xml:space="preserve"> C.J. [dissenting] and Hilton and Gagnon JJ.A.) </w:t>
            </w:r>
          </w:p>
          <w:p w:rsidR="00982DC9" w:rsidRPr="005635DC" w:rsidRDefault="00982DC9" w:rsidP="00982DC9">
            <w:pPr>
              <w:jc w:val="both"/>
              <w:rPr>
                <w:rFonts w:eastAsia="Calibri"/>
                <w:sz w:val="20"/>
              </w:rPr>
            </w:pPr>
          </w:p>
        </w:tc>
        <w:tc>
          <w:tcPr>
            <w:tcW w:w="243" w:type="pct"/>
          </w:tcPr>
          <w:p w:rsidR="00982DC9" w:rsidRPr="005635DC" w:rsidRDefault="00982DC9" w:rsidP="00982DC9">
            <w:pPr>
              <w:jc w:val="both"/>
              <w:rPr>
                <w:rFonts w:eastAsia="Calibri"/>
                <w:sz w:val="20"/>
              </w:rPr>
            </w:pPr>
          </w:p>
        </w:tc>
        <w:tc>
          <w:tcPr>
            <w:tcW w:w="2330" w:type="pct"/>
          </w:tcPr>
          <w:p w:rsidR="00982DC9" w:rsidRPr="005635DC" w:rsidRDefault="00982DC9" w:rsidP="00982DC9">
            <w:pPr>
              <w:jc w:val="both"/>
              <w:rPr>
                <w:rFonts w:eastAsia="Calibri"/>
                <w:sz w:val="20"/>
              </w:rPr>
            </w:pPr>
            <w:r w:rsidRPr="005635DC">
              <w:rPr>
                <w:rFonts w:eastAsia="Calibri"/>
                <w:sz w:val="20"/>
              </w:rPr>
              <w:t>Application for judicial review of decision of Minister of Justice summarily dismissed</w:t>
            </w:r>
          </w:p>
          <w:p w:rsidR="00982DC9" w:rsidRPr="005635DC" w:rsidRDefault="00982DC9" w:rsidP="00982DC9">
            <w:pPr>
              <w:jc w:val="both"/>
              <w:rPr>
                <w:rFonts w:eastAsia="Calibri"/>
                <w:sz w:val="20"/>
              </w:rPr>
            </w:pPr>
          </w:p>
        </w:tc>
      </w:tr>
      <w:tr w:rsidR="00982DC9" w:rsidRPr="005635DC" w:rsidTr="00982DC9">
        <w:tc>
          <w:tcPr>
            <w:tcW w:w="2427" w:type="pct"/>
          </w:tcPr>
          <w:p w:rsidR="00982DC9" w:rsidRPr="005635DC" w:rsidRDefault="00982DC9" w:rsidP="00982DC9">
            <w:pPr>
              <w:jc w:val="both"/>
              <w:rPr>
                <w:rFonts w:eastAsia="Calibri"/>
                <w:sz w:val="20"/>
              </w:rPr>
            </w:pPr>
            <w:r w:rsidRPr="005635DC">
              <w:rPr>
                <w:rFonts w:eastAsia="Calibri"/>
                <w:sz w:val="20"/>
              </w:rPr>
              <w:t>March 28, 2012</w:t>
            </w:r>
          </w:p>
          <w:p w:rsidR="00982DC9" w:rsidRPr="005635DC" w:rsidRDefault="00982DC9" w:rsidP="00982DC9">
            <w:pPr>
              <w:jc w:val="both"/>
              <w:rPr>
                <w:rFonts w:eastAsia="Calibri"/>
                <w:sz w:val="20"/>
              </w:rPr>
            </w:pPr>
            <w:r w:rsidRPr="005635DC">
              <w:rPr>
                <w:rFonts w:eastAsia="Calibri"/>
                <w:sz w:val="20"/>
              </w:rPr>
              <w:t>Supreme Court of Canada</w:t>
            </w:r>
          </w:p>
          <w:p w:rsidR="00982DC9" w:rsidRPr="005635DC" w:rsidRDefault="00982DC9" w:rsidP="00982DC9">
            <w:pPr>
              <w:jc w:val="both"/>
              <w:rPr>
                <w:rFonts w:eastAsia="Calibri"/>
                <w:sz w:val="20"/>
              </w:rPr>
            </w:pPr>
          </w:p>
        </w:tc>
        <w:tc>
          <w:tcPr>
            <w:tcW w:w="243" w:type="pct"/>
          </w:tcPr>
          <w:p w:rsidR="00982DC9" w:rsidRPr="005635DC" w:rsidRDefault="00982DC9" w:rsidP="00982DC9">
            <w:pPr>
              <w:jc w:val="both"/>
              <w:rPr>
                <w:rFonts w:eastAsia="Calibri"/>
                <w:sz w:val="20"/>
              </w:rPr>
            </w:pPr>
          </w:p>
        </w:tc>
        <w:tc>
          <w:tcPr>
            <w:tcW w:w="2330" w:type="pct"/>
          </w:tcPr>
          <w:p w:rsidR="00982DC9" w:rsidRPr="005635DC" w:rsidRDefault="00982DC9" w:rsidP="00982DC9">
            <w:pPr>
              <w:jc w:val="both"/>
              <w:rPr>
                <w:rFonts w:eastAsia="Calibri"/>
                <w:sz w:val="20"/>
              </w:rPr>
            </w:pPr>
            <w:r w:rsidRPr="005635DC">
              <w:rPr>
                <w:rFonts w:eastAsia="Calibri"/>
                <w:sz w:val="20"/>
              </w:rPr>
              <w:t>Application for leave to appeal filed</w:t>
            </w:r>
          </w:p>
          <w:p w:rsidR="00982DC9" w:rsidRPr="005635DC" w:rsidRDefault="00982DC9" w:rsidP="00982DC9">
            <w:pPr>
              <w:jc w:val="both"/>
              <w:rPr>
                <w:rFonts w:eastAsia="Calibri"/>
                <w:sz w:val="20"/>
              </w:rPr>
            </w:pPr>
          </w:p>
        </w:tc>
      </w:tr>
      <w:tr w:rsidR="00982DC9" w:rsidRPr="005635DC" w:rsidTr="00982DC9">
        <w:tc>
          <w:tcPr>
            <w:tcW w:w="2427" w:type="pct"/>
          </w:tcPr>
          <w:p w:rsidR="00982DC9" w:rsidRPr="005635DC" w:rsidRDefault="00982DC9" w:rsidP="00982DC9">
            <w:pPr>
              <w:jc w:val="both"/>
              <w:rPr>
                <w:rFonts w:eastAsia="Calibri"/>
                <w:sz w:val="20"/>
              </w:rPr>
            </w:pPr>
            <w:r w:rsidRPr="005635DC">
              <w:rPr>
                <w:rFonts w:eastAsia="Calibri"/>
                <w:sz w:val="20"/>
              </w:rPr>
              <w:t>March 30, 2012</w:t>
            </w:r>
          </w:p>
          <w:p w:rsidR="00982DC9" w:rsidRPr="005635DC" w:rsidRDefault="00982DC9" w:rsidP="00982DC9">
            <w:pPr>
              <w:jc w:val="both"/>
              <w:rPr>
                <w:rFonts w:eastAsia="Calibri"/>
                <w:sz w:val="20"/>
              </w:rPr>
            </w:pPr>
            <w:r w:rsidRPr="005635DC">
              <w:rPr>
                <w:rFonts w:eastAsia="Calibri"/>
                <w:sz w:val="20"/>
              </w:rPr>
              <w:t>Supreme Court of Canada</w:t>
            </w:r>
          </w:p>
        </w:tc>
        <w:tc>
          <w:tcPr>
            <w:tcW w:w="243" w:type="pct"/>
          </w:tcPr>
          <w:p w:rsidR="00982DC9" w:rsidRPr="005635DC" w:rsidRDefault="00982DC9" w:rsidP="00982DC9">
            <w:pPr>
              <w:jc w:val="both"/>
              <w:rPr>
                <w:rFonts w:eastAsia="Calibri"/>
                <w:sz w:val="20"/>
              </w:rPr>
            </w:pPr>
          </w:p>
        </w:tc>
        <w:tc>
          <w:tcPr>
            <w:tcW w:w="2330" w:type="pct"/>
          </w:tcPr>
          <w:p w:rsidR="00982DC9" w:rsidRPr="005635DC" w:rsidRDefault="00982DC9" w:rsidP="00982DC9">
            <w:pPr>
              <w:jc w:val="both"/>
              <w:rPr>
                <w:rFonts w:eastAsia="Calibri"/>
                <w:sz w:val="20"/>
              </w:rPr>
            </w:pPr>
            <w:r w:rsidRPr="005635DC">
              <w:rPr>
                <w:rFonts w:eastAsia="Calibri"/>
                <w:sz w:val="20"/>
              </w:rPr>
              <w:t>Motion to extend time filed</w:t>
            </w:r>
          </w:p>
        </w:tc>
      </w:tr>
    </w:tbl>
    <w:p w:rsidR="0072677B" w:rsidRPr="00C50A5C" w:rsidRDefault="0072677B" w:rsidP="0072677B">
      <w:pPr>
        <w:rPr>
          <w:sz w:val="20"/>
          <w:szCs w:val="20"/>
        </w:rPr>
      </w:pPr>
    </w:p>
    <w:p w:rsidR="0072677B" w:rsidRPr="00C50A5C" w:rsidRDefault="00C90BA9" w:rsidP="0072677B">
      <w:pPr>
        <w:rPr>
          <w:sz w:val="20"/>
          <w:szCs w:val="20"/>
        </w:rPr>
      </w:pPr>
      <w:r w:rsidRPr="00C90BA9">
        <w:rPr>
          <w:sz w:val="20"/>
          <w:szCs w:val="20"/>
          <w:lang w:val="fr-CA"/>
        </w:rPr>
        <w:pict>
          <v:rect id="_x0000_i1049" style="width:2in;height:1pt" o:hrpct="0" o:hralign="center" o:hrstd="t" o:hrnoshade="t" o:hr="t" fillcolor="black [3213]" stroked="f"/>
        </w:pict>
      </w:r>
    </w:p>
    <w:p w:rsidR="0072677B" w:rsidRDefault="0072677B" w:rsidP="0072677B">
      <w:pPr>
        <w:rPr>
          <w:sz w:val="20"/>
          <w:szCs w:val="20"/>
        </w:rPr>
      </w:pPr>
    </w:p>
    <w:p w:rsidR="0072677B" w:rsidRPr="001B157C" w:rsidRDefault="0072677B" w:rsidP="0072677B">
      <w:pPr>
        <w:rPr>
          <w:sz w:val="20"/>
          <w:szCs w:val="20"/>
          <w:u w:val="single"/>
          <w:lang w:val="fr-CA"/>
        </w:rPr>
      </w:pPr>
      <w:r w:rsidRPr="001B157C">
        <w:rPr>
          <w:sz w:val="20"/>
          <w:szCs w:val="20"/>
          <w:u w:val="single"/>
          <w:lang w:val="fr-CA"/>
        </w:rPr>
        <w:t>RÉSUMÉ DE L’AFFAIRE</w:t>
      </w:r>
    </w:p>
    <w:p w:rsidR="00982DC9" w:rsidRPr="005635DC" w:rsidRDefault="00982DC9" w:rsidP="00982DC9">
      <w:pPr>
        <w:jc w:val="both"/>
        <w:rPr>
          <w:rFonts w:eastAsia="Calibri"/>
          <w:sz w:val="20"/>
        </w:rPr>
      </w:pPr>
    </w:p>
    <w:tbl>
      <w:tblPr>
        <w:tblW w:w="4952" w:type="pct"/>
        <w:tblLayout w:type="fixed"/>
        <w:tblCellMar>
          <w:left w:w="0" w:type="dxa"/>
          <w:bottom w:w="99" w:type="dxa"/>
          <w:right w:w="0" w:type="dxa"/>
        </w:tblCellMar>
        <w:tblLook w:val="04A0"/>
      </w:tblPr>
      <w:tblGrid>
        <w:gridCol w:w="4624"/>
        <w:gridCol w:w="463"/>
        <w:gridCol w:w="4440"/>
      </w:tblGrid>
      <w:tr w:rsidR="00982DC9" w:rsidRPr="005252ED" w:rsidTr="00982DC9">
        <w:tc>
          <w:tcPr>
            <w:tcW w:w="5000" w:type="pct"/>
            <w:gridSpan w:val="3"/>
          </w:tcPr>
          <w:p w:rsidR="00982DC9" w:rsidRPr="005635DC" w:rsidRDefault="00982DC9" w:rsidP="00982DC9">
            <w:pPr>
              <w:jc w:val="both"/>
              <w:rPr>
                <w:rFonts w:eastAsia="Calibri"/>
                <w:sz w:val="20"/>
                <w:lang w:val="fr-CA"/>
              </w:rPr>
            </w:pPr>
            <w:r w:rsidRPr="005635DC">
              <w:rPr>
                <w:rFonts w:eastAsia="Calibri"/>
                <w:sz w:val="20"/>
                <w:lang w:val="fr-CA"/>
              </w:rPr>
              <w:t>Extradition — Contrôle judicaire — Discrétion — Manquement aux conditions de remise en liberté — La Cour d’appel a-t-elle erré en droit en rejetant la demande de révision judiciaire du demandeur, alors dûment représenté par son conseil en vertu d’un mandat valide, et ce, compte tenu de son absence inexpliquée à l’audience?</w:t>
            </w:r>
          </w:p>
        </w:tc>
      </w:tr>
      <w:tr w:rsidR="00982DC9" w:rsidRPr="005252ED" w:rsidTr="00982DC9">
        <w:tc>
          <w:tcPr>
            <w:tcW w:w="5000" w:type="pct"/>
            <w:gridSpan w:val="3"/>
          </w:tcPr>
          <w:p w:rsidR="00982DC9" w:rsidRPr="005635DC" w:rsidRDefault="00982DC9" w:rsidP="00982DC9">
            <w:pPr>
              <w:jc w:val="both"/>
              <w:rPr>
                <w:rFonts w:eastAsia="Calibri"/>
                <w:sz w:val="20"/>
                <w:lang w:val="fr-CA"/>
              </w:rPr>
            </w:pPr>
          </w:p>
        </w:tc>
      </w:tr>
      <w:tr w:rsidR="00982DC9" w:rsidRPr="005252ED" w:rsidTr="00982DC9">
        <w:tc>
          <w:tcPr>
            <w:tcW w:w="5000" w:type="pct"/>
            <w:gridSpan w:val="3"/>
          </w:tcPr>
          <w:p w:rsidR="00982DC9" w:rsidRPr="005635DC" w:rsidRDefault="00982DC9" w:rsidP="00982DC9">
            <w:pPr>
              <w:jc w:val="both"/>
              <w:rPr>
                <w:rFonts w:eastAsia="Calibri"/>
                <w:sz w:val="20"/>
                <w:lang w:val="fr-CA"/>
              </w:rPr>
            </w:pPr>
            <w:r w:rsidRPr="005635DC">
              <w:rPr>
                <w:rFonts w:eastAsia="Calibri"/>
                <w:sz w:val="20"/>
                <w:lang w:val="fr-CA"/>
              </w:rPr>
              <w:t xml:space="preserve">Les États-Unis ont demandé l’extradition de M. Bédard afin qu’il subisse son procès quant à des accusations de complot pour trafic d’une quantité importante de marihuana et d’ecstasy. M. Bédard souffre de dysplasie fibreuse </w:t>
            </w:r>
            <w:proofErr w:type="spellStart"/>
            <w:r w:rsidRPr="005635DC">
              <w:rPr>
                <w:rFonts w:eastAsia="Calibri"/>
                <w:sz w:val="20"/>
                <w:lang w:val="fr-CA"/>
              </w:rPr>
              <w:t>polyostotique</w:t>
            </w:r>
            <w:proofErr w:type="spellEnd"/>
            <w:r w:rsidRPr="005635DC">
              <w:rPr>
                <w:rFonts w:eastAsia="Calibri"/>
                <w:sz w:val="20"/>
                <w:lang w:val="fr-CA"/>
              </w:rPr>
              <w:t xml:space="preserve">, une rare affection osseuse congénitale qui cause la fragilisation des os et entraîne un risque élevé de fracture au moindre contact avec une personne ou un objet. Il se déplace avec une chaise roulante électrique. Lors de son arrestation au Québec en mai 2009, il a pu obtenir une mise en liberté provisoire à certaines conditions. Le 14 décembre 2010, le ministre de la Justice intimé signe des mandats ordonnant l’extradition de M. Bédard. Après avoir considéré les observations soumises par ce dernier concernant les circonstances particulières de son état de santé, le ministre a conclu qu’il n’a pas été prouvé que l’extradition de M. Bédard </w:t>
            </w:r>
            <w:proofErr w:type="gramStart"/>
            <w:r w:rsidRPr="005635DC">
              <w:rPr>
                <w:rFonts w:eastAsia="Calibri"/>
                <w:sz w:val="20"/>
                <w:lang w:val="fr-CA"/>
              </w:rPr>
              <w:t>serait</w:t>
            </w:r>
            <w:proofErr w:type="gramEnd"/>
            <w:r w:rsidRPr="005635DC">
              <w:rPr>
                <w:rFonts w:eastAsia="Calibri"/>
                <w:sz w:val="20"/>
                <w:lang w:val="fr-CA"/>
              </w:rPr>
              <w:t xml:space="preserve"> injuste ou tyrannique ni qu’elle bafouerait les normes de décence ou choquerait la conscience.  Les autorités américaines ont informé le ministre que le Bureau fédéral des prisons pouvait traiter adéquatement un détenu dans la condition de M. Bédard. Ce dernier a contesté la décision du ministre de la Justice par le biais d’une demande de révision judiciaire devant la Cour d’appel.</w:t>
            </w:r>
          </w:p>
          <w:p w:rsidR="00982DC9" w:rsidRPr="005635DC" w:rsidRDefault="00982DC9" w:rsidP="00982DC9">
            <w:pPr>
              <w:jc w:val="both"/>
              <w:rPr>
                <w:rFonts w:eastAsia="Calibri"/>
                <w:sz w:val="20"/>
                <w:lang w:val="fr-CA"/>
              </w:rPr>
            </w:pPr>
          </w:p>
        </w:tc>
      </w:tr>
      <w:tr w:rsidR="00982DC9" w:rsidRPr="005252ED" w:rsidTr="00982DC9">
        <w:tc>
          <w:tcPr>
            <w:tcW w:w="2427" w:type="pct"/>
          </w:tcPr>
          <w:p w:rsidR="00982DC9" w:rsidRPr="005635DC" w:rsidRDefault="00982DC9" w:rsidP="00982DC9">
            <w:pPr>
              <w:jc w:val="both"/>
              <w:rPr>
                <w:rFonts w:eastAsia="Calibri"/>
                <w:sz w:val="20"/>
                <w:lang w:val="fr-CA"/>
              </w:rPr>
            </w:pPr>
            <w:r w:rsidRPr="005635DC">
              <w:rPr>
                <w:rFonts w:eastAsia="Calibri"/>
                <w:sz w:val="20"/>
                <w:lang w:val="fr-CA"/>
              </w:rPr>
              <w:t>Le 14 décembre 2010</w:t>
            </w:r>
          </w:p>
          <w:p w:rsidR="00982DC9" w:rsidRPr="005635DC" w:rsidRDefault="00982DC9" w:rsidP="00982DC9">
            <w:pPr>
              <w:jc w:val="both"/>
              <w:rPr>
                <w:rFonts w:eastAsia="Calibri"/>
                <w:sz w:val="20"/>
                <w:lang w:val="fr-CA"/>
              </w:rPr>
            </w:pPr>
            <w:r w:rsidRPr="005635DC">
              <w:rPr>
                <w:rFonts w:eastAsia="Calibri"/>
                <w:sz w:val="20"/>
                <w:lang w:val="fr-CA"/>
              </w:rPr>
              <w:t>L’honorable Rob Nicholson, ministre de la Justice et procureur général du Canada</w:t>
            </w:r>
          </w:p>
          <w:p w:rsidR="00982DC9" w:rsidRPr="005635DC" w:rsidRDefault="00982DC9" w:rsidP="00982DC9">
            <w:pPr>
              <w:jc w:val="both"/>
              <w:rPr>
                <w:rFonts w:eastAsia="Calibri"/>
                <w:sz w:val="20"/>
                <w:lang w:val="fr-CA"/>
              </w:rPr>
            </w:pPr>
          </w:p>
        </w:tc>
        <w:tc>
          <w:tcPr>
            <w:tcW w:w="243" w:type="pct"/>
          </w:tcPr>
          <w:p w:rsidR="00982DC9" w:rsidRPr="005635DC" w:rsidRDefault="00982DC9" w:rsidP="00982DC9">
            <w:pPr>
              <w:jc w:val="both"/>
              <w:rPr>
                <w:rFonts w:eastAsia="Calibri"/>
                <w:sz w:val="20"/>
                <w:lang w:val="fr-FR"/>
              </w:rPr>
            </w:pPr>
          </w:p>
        </w:tc>
        <w:tc>
          <w:tcPr>
            <w:tcW w:w="2330" w:type="pct"/>
          </w:tcPr>
          <w:p w:rsidR="00982DC9" w:rsidRPr="005635DC" w:rsidRDefault="00982DC9" w:rsidP="00982DC9">
            <w:pPr>
              <w:jc w:val="both"/>
              <w:rPr>
                <w:rFonts w:eastAsia="Calibri"/>
                <w:sz w:val="20"/>
                <w:lang w:val="fr-CA"/>
              </w:rPr>
            </w:pPr>
            <w:r w:rsidRPr="005635DC">
              <w:rPr>
                <w:rFonts w:eastAsia="Calibri"/>
                <w:sz w:val="20"/>
                <w:lang w:val="fr-CA"/>
              </w:rPr>
              <w:t>Arrêté d’extradition du demandeur vers les États-Unis</w:t>
            </w:r>
          </w:p>
        </w:tc>
      </w:tr>
      <w:tr w:rsidR="00982DC9" w:rsidRPr="005252ED" w:rsidTr="00982DC9">
        <w:tc>
          <w:tcPr>
            <w:tcW w:w="2427" w:type="pct"/>
          </w:tcPr>
          <w:p w:rsidR="00982DC9" w:rsidRPr="005635DC" w:rsidRDefault="00982DC9" w:rsidP="00982DC9">
            <w:pPr>
              <w:jc w:val="both"/>
              <w:rPr>
                <w:rFonts w:eastAsia="Calibri"/>
                <w:sz w:val="20"/>
                <w:lang w:val="fr-CA"/>
              </w:rPr>
            </w:pPr>
            <w:r w:rsidRPr="005635DC">
              <w:rPr>
                <w:rFonts w:eastAsia="Calibri"/>
                <w:sz w:val="20"/>
                <w:lang w:val="fr-CA"/>
              </w:rPr>
              <w:t>Le 27 janvier 2012</w:t>
            </w:r>
          </w:p>
          <w:p w:rsidR="00982DC9" w:rsidRPr="005635DC" w:rsidRDefault="00982DC9" w:rsidP="00982DC9">
            <w:pPr>
              <w:jc w:val="both"/>
              <w:rPr>
                <w:rFonts w:eastAsia="Calibri"/>
                <w:sz w:val="20"/>
                <w:lang w:val="fr-CA"/>
              </w:rPr>
            </w:pPr>
            <w:r w:rsidRPr="005635DC">
              <w:rPr>
                <w:rFonts w:eastAsia="Calibri"/>
                <w:sz w:val="20"/>
                <w:lang w:val="fr-CA"/>
              </w:rPr>
              <w:t>Cour d’appel du Québec (Montréal)</w:t>
            </w:r>
          </w:p>
          <w:p w:rsidR="00982DC9" w:rsidRPr="005635DC" w:rsidRDefault="00982DC9" w:rsidP="00982DC9">
            <w:pPr>
              <w:jc w:val="both"/>
              <w:rPr>
                <w:rFonts w:eastAsia="Calibri"/>
                <w:sz w:val="20"/>
                <w:lang w:val="fr-CA"/>
              </w:rPr>
            </w:pPr>
            <w:r w:rsidRPr="005635DC">
              <w:rPr>
                <w:rFonts w:eastAsia="Calibri"/>
                <w:sz w:val="20"/>
                <w:lang w:val="fr-CA"/>
              </w:rPr>
              <w:t xml:space="preserve">(La juge en chef Duval </w:t>
            </w:r>
            <w:proofErr w:type="spellStart"/>
            <w:r w:rsidRPr="005635DC">
              <w:rPr>
                <w:rFonts w:eastAsia="Calibri"/>
                <w:sz w:val="20"/>
                <w:lang w:val="fr-CA"/>
              </w:rPr>
              <w:t>Hesler</w:t>
            </w:r>
            <w:proofErr w:type="spellEnd"/>
            <w:r w:rsidRPr="005635DC">
              <w:rPr>
                <w:rFonts w:eastAsia="Calibri"/>
                <w:sz w:val="20"/>
                <w:lang w:val="fr-CA"/>
              </w:rPr>
              <w:t xml:space="preserve"> [dissidente] et les juges Hilton et Gagnon) </w:t>
            </w:r>
          </w:p>
          <w:p w:rsidR="00982DC9" w:rsidRPr="005635DC" w:rsidRDefault="00982DC9" w:rsidP="00982DC9">
            <w:pPr>
              <w:jc w:val="both"/>
              <w:rPr>
                <w:rFonts w:eastAsia="Calibri"/>
                <w:sz w:val="20"/>
                <w:lang w:val="fr-CA"/>
              </w:rPr>
            </w:pPr>
          </w:p>
        </w:tc>
        <w:tc>
          <w:tcPr>
            <w:tcW w:w="243" w:type="pct"/>
          </w:tcPr>
          <w:p w:rsidR="00982DC9" w:rsidRPr="005635DC" w:rsidRDefault="00982DC9" w:rsidP="00982DC9">
            <w:pPr>
              <w:jc w:val="both"/>
              <w:rPr>
                <w:rFonts w:eastAsia="Calibri"/>
                <w:sz w:val="20"/>
                <w:lang w:val="fr-FR"/>
              </w:rPr>
            </w:pPr>
          </w:p>
        </w:tc>
        <w:tc>
          <w:tcPr>
            <w:tcW w:w="2330" w:type="pct"/>
          </w:tcPr>
          <w:p w:rsidR="00982DC9" w:rsidRPr="005635DC" w:rsidRDefault="00982DC9" w:rsidP="00982DC9">
            <w:pPr>
              <w:jc w:val="both"/>
              <w:rPr>
                <w:rFonts w:eastAsia="Calibri"/>
                <w:sz w:val="20"/>
                <w:lang w:val="fr-CA"/>
              </w:rPr>
            </w:pPr>
            <w:r w:rsidRPr="005635DC">
              <w:rPr>
                <w:rFonts w:eastAsia="Calibri"/>
                <w:sz w:val="20"/>
                <w:lang w:val="fr-CA"/>
              </w:rPr>
              <w:t>Demande en révision judicaire de la décision du ministre de la Justice rejetée sommairement</w:t>
            </w:r>
          </w:p>
          <w:p w:rsidR="00982DC9" w:rsidRPr="005635DC" w:rsidRDefault="00982DC9" w:rsidP="00982DC9">
            <w:pPr>
              <w:jc w:val="both"/>
              <w:rPr>
                <w:rFonts w:eastAsia="Calibri"/>
                <w:sz w:val="20"/>
                <w:lang w:val="fr-CA"/>
              </w:rPr>
            </w:pPr>
          </w:p>
        </w:tc>
      </w:tr>
      <w:tr w:rsidR="00982DC9" w:rsidRPr="005635DC" w:rsidTr="00982DC9">
        <w:tc>
          <w:tcPr>
            <w:tcW w:w="2427" w:type="pct"/>
          </w:tcPr>
          <w:p w:rsidR="00982DC9" w:rsidRPr="005635DC" w:rsidRDefault="00982DC9" w:rsidP="00982DC9">
            <w:pPr>
              <w:jc w:val="both"/>
              <w:rPr>
                <w:rFonts w:eastAsia="Calibri"/>
                <w:sz w:val="20"/>
                <w:lang w:val="fr-CA"/>
              </w:rPr>
            </w:pPr>
            <w:r w:rsidRPr="005635DC">
              <w:rPr>
                <w:rFonts w:eastAsia="Calibri"/>
                <w:sz w:val="20"/>
                <w:lang w:val="fr-CA"/>
              </w:rPr>
              <w:t>Le 28 mars 2012</w:t>
            </w:r>
          </w:p>
          <w:p w:rsidR="00982DC9" w:rsidRPr="005635DC" w:rsidRDefault="00982DC9" w:rsidP="00982DC9">
            <w:pPr>
              <w:jc w:val="both"/>
              <w:rPr>
                <w:rFonts w:eastAsia="Calibri"/>
                <w:sz w:val="20"/>
                <w:lang w:val="fr-CA"/>
              </w:rPr>
            </w:pPr>
            <w:r w:rsidRPr="005635DC">
              <w:rPr>
                <w:rFonts w:eastAsia="Calibri"/>
                <w:sz w:val="20"/>
                <w:lang w:val="fr-CA"/>
              </w:rPr>
              <w:t>Cour suprême du Canada</w:t>
            </w:r>
          </w:p>
          <w:p w:rsidR="00982DC9" w:rsidRPr="005635DC" w:rsidRDefault="00982DC9" w:rsidP="00982DC9">
            <w:pPr>
              <w:jc w:val="both"/>
              <w:rPr>
                <w:rFonts w:eastAsia="Calibri"/>
                <w:sz w:val="20"/>
                <w:lang w:val="fr-FR"/>
              </w:rPr>
            </w:pPr>
          </w:p>
        </w:tc>
        <w:tc>
          <w:tcPr>
            <w:tcW w:w="243" w:type="pct"/>
          </w:tcPr>
          <w:p w:rsidR="00982DC9" w:rsidRPr="005635DC" w:rsidRDefault="00982DC9" w:rsidP="00982DC9">
            <w:pPr>
              <w:jc w:val="both"/>
              <w:rPr>
                <w:rFonts w:eastAsia="Calibri"/>
                <w:sz w:val="20"/>
                <w:lang w:val="fr-FR"/>
              </w:rPr>
            </w:pPr>
          </w:p>
        </w:tc>
        <w:tc>
          <w:tcPr>
            <w:tcW w:w="2330" w:type="pct"/>
          </w:tcPr>
          <w:p w:rsidR="00982DC9" w:rsidRPr="005635DC" w:rsidRDefault="00982DC9" w:rsidP="00982DC9">
            <w:pPr>
              <w:jc w:val="both"/>
              <w:rPr>
                <w:rFonts w:eastAsia="Calibri"/>
                <w:sz w:val="20"/>
                <w:lang w:val="fr-CA"/>
              </w:rPr>
            </w:pPr>
            <w:r w:rsidRPr="005635DC">
              <w:rPr>
                <w:rFonts w:eastAsia="Calibri"/>
                <w:sz w:val="20"/>
                <w:lang w:val="fr-CA"/>
              </w:rPr>
              <w:t>Demande d'autorisation d'appel déposée</w:t>
            </w:r>
          </w:p>
          <w:p w:rsidR="00982DC9" w:rsidRPr="005635DC" w:rsidRDefault="00982DC9" w:rsidP="00982DC9">
            <w:pPr>
              <w:jc w:val="both"/>
              <w:rPr>
                <w:rFonts w:eastAsia="Calibri"/>
                <w:sz w:val="20"/>
                <w:lang w:val="fr-CA"/>
              </w:rPr>
            </w:pPr>
          </w:p>
        </w:tc>
      </w:tr>
      <w:tr w:rsidR="00982DC9" w:rsidRPr="005252ED" w:rsidTr="00982DC9">
        <w:tc>
          <w:tcPr>
            <w:tcW w:w="2427" w:type="pct"/>
          </w:tcPr>
          <w:p w:rsidR="00982DC9" w:rsidRPr="005635DC" w:rsidRDefault="00982DC9" w:rsidP="00982DC9">
            <w:pPr>
              <w:jc w:val="both"/>
              <w:rPr>
                <w:rFonts w:eastAsia="Calibri"/>
                <w:sz w:val="20"/>
                <w:lang w:val="fr-CA"/>
              </w:rPr>
            </w:pPr>
            <w:r w:rsidRPr="005635DC">
              <w:rPr>
                <w:rFonts w:eastAsia="Calibri"/>
                <w:sz w:val="20"/>
                <w:lang w:val="fr-CA"/>
              </w:rPr>
              <w:t>Le 30 mars 2012</w:t>
            </w:r>
          </w:p>
          <w:p w:rsidR="00982DC9" w:rsidRPr="005635DC" w:rsidRDefault="00982DC9" w:rsidP="00982DC9">
            <w:pPr>
              <w:jc w:val="both"/>
              <w:rPr>
                <w:rFonts w:eastAsia="Calibri"/>
                <w:sz w:val="20"/>
                <w:lang w:val="fr-CA"/>
              </w:rPr>
            </w:pPr>
            <w:r w:rsidRPr="005635DC">
              <w:rPr>
                <w:rFonts w:eastAsia="Calibri"/>
                <w:sz w:val="20"/>
                <w:lang w:val="fr-CA"/>
              </w:rPr>
              <w:t>Cour suprême du Canada</w:t>
            </w:r>
          </w:p>
        </w:tc>
        <w:tc>
          <w:tcPr>
            <w:tcW w:w="243" w:type="pct"/>
          </w:tcPr>
          <w:p w:rsidR="00982DC9" w:rsidRPr="005635DC" w:rsidRDefault="00982DC9" w:rsidP="00982DC9">
            <w:pPr>
              <w:jc w:val="both"/>
              <w:rPr>
                <w:rFonts w:eastAsia="Calibri"/>
                <w:sz w:val="20"/>
                <w:lang w:val="fr-FR"/>
              </w:rPr>
            </w:pPr>
          </w:p>
        </w:tc>
        <w:tc>
          <w:tcPr>
            <w:tcW w:w="2330" w:type="pct"/>
          </w:tcPr>
          <w:p w:rsidR="00982DC9" w:rsidRPr="005635DC" w:rsidRDefault="00982DC9" w:rsidP="00982DC9">
            <w:pPr>
              <w:jc w:val="both"/>
              <w:rPr>
                <w:rFonts w:eastAsia="Calibri"/>
                <w:sz w:val="20"/>
                <w:lang w:val="fr-CA"/>
              </w:rPr>
            </w:pPr>
            <w:r w:rsidRPr="005635DC">
              <w:rPr>
                <w:rFonts w:eastAsia="Calibri"/>
                <w:sz w:val="20"/>
                <w:lang w:val="fr-CA"/>
              </w:rPr>
              <w:t>Requête en prorogation des délais déposée</w:t>
            </w:r>
          </w:p>
        </w:tc>
      </w:tr>
    </w:tbl>
    <w:p w:rsidR="00493CD2" w:rsidRPr="00D70C77" w:rsidRDefault="00493CD2" w:rsidP="00493CD2">
      <w:pPr>
        <w:rPr>
          <w:sz w:val="20"/>
          <w:szCs w:val="20"/>
          <w:lang w:val="fr-CA"/>
        </w:rPr>
      </w:pPr>
    </w:p>
    <w:p w:rsidR="00493CD2" w:rsidRPr="00C50A5C" w:rsidRDefault="00C90BA9" w:rsidP="00493CD2">
      <w:pPr>
        <w:rPr>
          <w:sz w:val="20"/>
          <w:szCs w:val="20"/>
        </w:rPr>
      </w:pPr>
      <w:r w:rsidRPr="00C90BA9">
        <w:rPr>
          <w:sz w:val="20"/>
          <w:szCs w:val="20"/>
          <w:lang w:val="fr-CA"/>
        </w:rPr>
        <w:pict>
          <v:rect id="_x0000_i1050" style="width:2in;height:1pt" o:hrpct="0" o:hralign="center" o:hrstd="t" o:hrnoshade="t" o:hr="t" fillcolor="black [3213]" stroked="f"/>
        </w:pict>
      </w: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5252ED"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EE6C8B" w:rsidRDefault="008529D7" w:rsidP="00AF1715">
      <w:pPr>
        <w:rPr>
          <w:b/>
          <w:sz w:val="20"/>
          <w:szCs w:val="20"/>
          <w:lang w:val="fr-CA"/>
        </w:rPr>
      </w:pPr>
      <w:r w:rsidRPr="00EE6C8B">
        <w:rPr>
          <w:b/>
          <w:sz w:val="20"/>
          <w:szCs w:val="20"/>
          <w:lang w:val="fr-CA"/>
        </w:rPr>
        <w:t>JUNE</w:t>
      </w:r>
      <w:r w:rsidR="00AF1715" w:rsidRPr="00EE6C8B">
        <w:rPr>
          <w:b/>
          <w:sz w:val="20"/>
          <w:szCs w:val="20"/>
          <w:lang w:val="fr-CA"/>
        </w:rPr>
        <w:t xml:space="preserve"> </w:t>
      </w:r>
      <w:r w:rsidRPr="00EE6C8B">
        <w:rPr>
          <w:b/>
          <w:sz w:val="20"/>
          <w:szCs w:val="20"/>
          <w:lang w:val="fr-CA"/>
        </w:rPr>
        <w:t>22</w:t>
      </w:r>
      <w:r w:rsidR="00AF1715" w:rsidRPr="00EE6C8B">
        <w:rPr>
          <w:b/>
          <w:sz w:val="20"/>
          <w:szCs w:val="20"/>
          <w:lang w:val="fr-CA"/>
        </w:rPr>
        <w:t>, 201</w:t>
      </w:r>
      <w:r w:rsidRPr="00EE6C8B">
        <w:rPr>
          <w:b/>
          <w:sz w:val="20"/>
          <w:szCs w:val="20"/>
          <w:lang w:val="fr-CA"/>
        </w:rPr>
        <w:t>2</w:t>
      </w:r>
      <w:r w:rsidR="00AF1715" w:rsidRPr="00EE6C8B">
        <w:rPr>
          <w:b/>
          <w:sz w:val="20"/>
          <w:szCs w:val="20"/>
          <w:lang w:val="fr-CA"/>
        </w:rPr>
        <w:t xml:space="preserve"> / LE </w:t>
      </w:r>
      <w:r w:rsidRPr="00EE6C8B">
        <w:rPr>
          <w:b/>
          <w:sz w:val="20"/>
          <w:szCs w:val="20"/>
          <w:lang w:val="fr-CA"/>
        </w:rPr>
        <w:t>22</w:t>
      </w:r>
      <w:r w:rsidR="00AF1715" w:rsidRPr="00EE6C8B">
        <w:rPr>
          <w:b/>
          <w:sz w:val="20"/>
          <w:szCs w:val="20"/>
          <w:lang w:val="fr-CA"/>
        </w:rPr>
        <w:t xml:space="preserve"> </w:t>
      </w:r>
      <w:r w:rsidRPr="00EE6C8B">
        <w:rPr>
          <w:b/>
          <w:sz w:val="20"/>
          <w:szCs w:val="20"/>
          <w:lang w:val="fr-CA"/>
        </w:rPr>
        <w:t>JUIN</w:t>
      </w:r>
      <w:r w:rsidR="00AF1715" w:rsidRPr="00EE6C8B">
        <w:rPr>
          <w:b/>
          <w:sz w:val="20"/>
          <w:szCs w:val="20"/>
          <w:lang w:val="fr-CA"/>
        </w:rPr>
        <w:t xml:space="preserve"> 201</w:t>
      </w:r>
      <w:r w:rsidRPr="00EE6C8B">
        <w:rPr>
          <w:b/>
          <w:sz w:val="20"/>
          <w:szCs w:val="20"/>
          <w:lang w:val="fr-CA"/>
        </w:rPr>
        <w:t>2</w:t>
      </w:r>
    </w:p>
    <w:p w:rsidR="00AF1715" w:rsidRPr="00EE6C8B" w:rsidRDefault="00AF1715" w:rsidP="00AF1715">
      <w:pPr>
        <w:rPr>
          <w:sz w:val="20"/>
          <w:szCs w:val="20"/>
          <w:lang w:val="fr-CA"/>
        </w:rPr>
      </w:pPr>
    </w:p>
    <w:p w:rsidR="00EE6C8B" w:rsidRPr="00EE6C8B" w:rsidRDefault="00EE6C8B" w:rsidP="00EE6C8B">
      <w:pPr>
        <w:ind w:left="1440" w:hanging="1440"/>
        <w:jc w:val="both"/>
        <w:rPr>
          <w:sz w:val="20"/>
          <w:lang w:val="fr-CA"/>
        </w:rPr>
      </w:pPr>
      <w:r w:rsidRPr="00EE6C8B">
        <w:rPr>
          <w:b/>
          <w:sz w:val="20"/>
          <w:lang w:val="fr-CA"/>
        </w:rPr>
        <w:t>34060</w:t>
      </w:r>
      <w:r w:rsidRPr="00EE6C8B">
        <w:rPr>
          <w:b/>
          <w:sz w:val="20"/>
          <w:lang w:val="fr-CA"/>
        </w:rPr>
        <w:tab/>
      </w:r>
      <w:r w:rsidRPr="00EE6C8B">
        <w:rPr>
          <w:b/>
          <w:sz w:val="20"/>
          <w:u w:val="single"/>
          <w:lang w:val="fr-CA"/>
        </w:rPr>
        <w:t xml:space="preserve">Ville de Westmount c. Richard </w:t>
      </w:r>
      <w:proofErr w:type="spellStart"/>
      <w:r w:rsidRPr="00EE6C8B">
        <w:rPr>
          <w:b/>
          <w:sz w:val="20"/>
          <w:u w:val="single"/>
          <w:lang w:val="fr-CA"/>
        </w:rPr>
        <w:t>Rossy</w:t>
      </w:r>
      <w:proofErr w:type="spellEnd"/>
      <w:r w:rsidRPr="00EE6C8B">
        <w:rPr>
          <w:b/>
          <w:sz w:val="20"/>
          <w:u w:val="single"/>
          <w:lang w:val="fr-CA"/>
        </w:rPr>
        <w:t xml:space="preserve">, Sharon </w:t>
      </w:r>
      <w:proofErr w:type="spellStart"/>
      <w:r w:rsidRPr="00EE6C8B">
        <w:rPr>
          <w:b/>
          <w:sz w:val="20"/>
          <w:u w:val="single"/>
          <w:lang w:val="fr-CA"/>
        </w:rPr>
        <w:t>Rossy</w:t>
      </w:r>
      <w:proofErr w:type="spellEnd"/>
      <w:r w:rsidRPr="00EE6C8B">
        <w:rPr>
          <w:b/>
          <w:sz w:val="20"/>
          <w:u w:val="single"/>
          <w:lang w:val="fr-CA"/>
        </w:rPr>
        <w:t xml:space="preserve">, Justin </w:t>
      </w:r>
      <w:proofErr w:type="spellStart"/>
      <w:r w:rsidRPr="00EE6C8B">
        <w:rPr>
          <w:b/>
          <w:sz w:val="20"/>
          <w:u w:val="single"/>
          <w:lang w:val="fr-CA"/>
        </w:rPr>
        <w:t>Rossy</w:t>
      </w:r>
      <w:proofErr w:type="spellEnd"/>
      <w:r w:rsidRPr="00EE6C8B">
        <w:rPr>
          <w:b/>
          <w:sz w:val="20"/>
          <w:u w:val="single"/>
          <w:lang w:val="fr-CA"/>
        </w:rPr>
        <w:t xml:space="preserve">, Luke </w:t>
      </w:r>
      <w:proofErr w:type="spellStart"/>
      <w:r w:rsidRPr="00EE6C8B">
        <w:rPr>
          <w:b/>
          <w:sz w:val="20"/>
          <w:u w:val="single"/>
          <w:lang w:val="fr-CA"/>
        </w:rPr>
        <w:t>Rossy</w:t>
      </w:r>
      <w:proofErr w:type="spellEnd"/>
      <w:r w:rsidRPr="00EE6C8B">
        <w:rPr>
          <w:b/>
          <w:sz w:val="20"/>
          <w:u w:val="single"/>
          <w:lang w:val="fr-CA"/>
        </w:rPr>
        <w:t xml:space="preserve">, Nicholas </w:t>
      </w:r>
      <w:proofErr w:type="spellStart"/>
      <w:r w:rsidRPr="00EE6C8B">
        <w:rPr>
          <w:b/>
          <w:sz w:val="20"/>
          <w:u w:val="single"/>
          <w:lang w:val="fr-CA"/>
        </w:rPr>
        <w:t>Rossy</w:t>
      </w:r>
      <w:proofErr w:type="spellEnd"/>
      <w:r w:rsidRPr="00EE6C8B">
        <w:rPr>
          <w:b/>
          <w:sz w:val="20"/>
          <w:u w:val="single"/>
          <w:lang w:val="fr-CA"/>
        </w:rPr>
        <w:t xml:space="preserve"> et Société de l’assurance automobile du Québec</w:t>
      </w:r>
      <w:r w:rsidRPr="00EE6C8B">
        <w:rPr>
          <w:b/>
          <w:sz w:val="20"/>
          <w:lang w:val="fr-CA"/>
        </w:rPr>
        <w:t xml:space="preserve"> </w:t>
      </w:r>
      <w:r w:rsidRPr="00EE6C8B">
        <w:rPr>
          <w:sz w:val="20"/>
          <w:lang w:val="fr-CA"/>
        </w:rPr>
        <w:t>(</w:t>
      </w:r>
      <w:proofErr w:type="spellStart"/>
      <w:r w:rsidRPr="00EE6C8B">
        <w:rPr>
          <w:sz w:val="20"/>
          <w:lang w:val="fr-CA"/>
        </w:rPr>
        <w:t>Qc</w:t>
      </w:r>
      <w:proofErr w:type="spellEnd"/>
      <w:r w:rsidRPr="00EE6C8B">
        <w:rPr>
          <w:sz w:val="20"/>
          <w:lang w:val="fr-CA"/>
        </w:rPr>
        <w:t xml:space="preserve">) </w:t>
      </w:r>
    </w:p>
    <w:p w:rsidR="00EE6C8B" w:rsidRPr="00EE6C8B" w:rsidRDefault="00EE6C8B" w:rsidP="00EE6C8B">
      <w:pPr>
        <w:ind w:left="1440" w:hanging="1440"/>
        <w:jc w:val="both"/>
        <w:rPr>
          <w:b/>
          <w:sz w:val="20"/>
          <w:lang w:val="fr-CA"/>
        </w:rPr>
      </w:pPr>
      <w:r w:rsidRPr="00EE6C8B">
        <w:rPr>
          <w:b/>
          <w:sz w:val="20"/>
          <w:lang w:val="fr-CA"/>
        </w:rPr>
        <w:tab/>
        <w:t>2012 SCC 30 / 2012 CSC 30</w:t>
      </w:r>
    </w:p>
    <w:p w:rsidR="00EE6C8B" w:rsidRPr="00EE6C8B" w:rsidRDefault="00EE6C8B" w:rsidP="00EE6C8B">
      <w:pPr>
        <w:ind w:left="1440" w:hanging="1440"/>
        <w:jc w:val="both"/>
        <w:rPr>
          <w:b/>
          <w:sz w:val="20"/>
          <w:lang w:val="fr-CA"/>
        </w:rPr>
      </w:pPr>
    </w:p>
    <w:p w:rsidR="00EE6C8B" w:rsidRPr="00EE6C8B" w:rsidRDefault="00EE6C8B" w:rsidP="00EE6C8B">
      <w:pPr>
        <w:ind w:left="720" w:hanging="720"/>
        <w:jc w:val="both"/>
        <w:rPr>
          <w:sz w:val="20"/>
          <w:u w:val="single"/>
          <w:lang w:val="fr-CA"/>
        </w:rPr>
      </w:pPr>
      <w:r w:rsidRPr="00EE6C8B">
        <w:rPr>
          <w:sz w:val="20"/>
          <w:lang w:val="fr-CA"/>
        </w:rPr>
        <w:t>Coram</w:t>
      </w:r>
      <w:proofErr w:type="gramStart"/>
      <w:r w:rsidRPr="00EE6C8B">
        <w:rPr>
          <w:sz w:val="20"/>
          <w:lang w:val="fr-CA"/>
        </w:rPr>
        <w:t xml:space="preserve">:  </w:t>
      </w:r>
      <w:r w:rsidRPr="00EE6C8B">
        <w:rPr>
          <w:sz w:val="20"/>
          <w:u w:val="single"/>
          <w:lang w:val="fr-CA"/>
        </w:rPr>
        <w:t>La</w:t>
      </w:r>
      <w:proofErr w:type="gramEnd"/>
      <w:r w:rsidRPr="00EE6C8B">
        <w:rPr>
          <w:sz w:val="20"/>
          <w:u w:val="single"/>
          <w:lang w:val="fr-CA"/>
        </w:rPr>
        <w:t xml:space="preserve"> juge en chef McLachlin et les juges </w:t>
      </w:r>
      <w:proofErr w:type="spellStart"/>
      <w:r w:rsidRPr="00EE6C8B">
        <w:rPr>
          <w:sz w:val="20"/>
          <w:u w:val="single"/>
          <w:lang w:val="fr-CA"/>
        </w:rPr>
        <w:t>LeBel</w:t>
      </w:r>
      <w:proofErr w:type="spellEnd"/>
      <w:r w:rsidRPr="00EE6C8B">
        <w:rPr>
          <w:sz w:val="20"/>
          <w:u w:val="single"/>
          <w:lang w:val="fr-CA"/>
        </w:rPr>
        <w:t xml:space="preserve">, Deschamps, Fish, Abella, Cromwell et Karakatsanis </w:t>
      </w:r>
    </w:p>
    <w:p w:rsidR="00EE6C8B" w:rsidRPr="00EE6C8B" w:rsidRDefault="00EE6C8B" w:rsidP="00EE6C8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EE6C8B" w:rsidRPr="00A10CD0" w:rsidRDefault="00EE6C8B" w:rsidP="00EE6C8B">
      <w:pPr>
        <w:jc w:val="both"/>
        <w:rPr>
          <w:sz w:val="20"/>
          <w:lang w:val="fr-CA"/>
        </w:rPr>
      </w:pPr>
      <w:r w:rsidRPr="00A10CD0">
        <w:rPr>
          <w:sz w:val="20"/>
          <w:lang w:val="fr-CA"/>
        </w:rPr>
        <w:t>L’appel interjeté contre l’arrêt de la Cour d’appel du Québec (Montréal), numéros 500-09-019100-080 et 500-09-019115-088, 2010 QCCA 2131, en date du 22 novembre 2010, entendu le 13 février 2012, est accueilli avec dépens. Le jugement de la Cour supérieure est rétabli et l’action contre la Ville de Westmount est rejetée.</w:t>
      </w:r>
    </w:p>
    <w:p w:rsidR="00EE6C8B" w:rsidRPr="00A10CD0" w:rsidRDefault="00EE6C8B" w:rsidP="00EE6C8B">
      <w:pPr>
        <w:jc w:val="both"/>
        <w:rPr>
          <w:sz w:val="20"/>
          <w:lang w:val="fr-CA"/>
        </w:rPr>
      </w:pPr>
    </w:p>
    <w:p w:rsidR="00EE6C8B" w:rsidRPr="00A10CD0" w:rsidRDefault="00EE6C8B" w:rsidP="00EE6C8B">
      <w:pPr>
        <w:jc w:val="both"/>
        <w:rPr>
          <w:sz w:val="20"/>
        </w:rPr>
      </w:pPr>
      <w:r w:rsidRPr="00A10CD0">
        <w:rPr>
          <w:sz w:val="20"/>
        </w:rPr>
        <w:t>The appeal from the judgment of the Court of Appeal of Quebec (Montréal), Numbers 500-09-019100-080 and 500-09-019115-088, 2010 QCCA 2131, dated November 22, 2010, heard on February 13, 2012, is allowed with costs. The judgment of the Superior Court is restored and the action against the City of Westmount is dismissed.</w:t>
      </w:r>
    </w:p>
    <w:p w:rsidR="00EE6C8B" w:rsidRDefault="00EE6C8B" w:rsidP="00AF1715">
      <w:pPr>
        <w:ind w:left="1440" w:hanging="1440"/>
        <w:jc w:val="both"/>
        <w:rPr>
          <w:b/>
          <w:sz w:val="20"/>
          <w:szCs w:val="20"/>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6B32DA" w:rsidRDefault="006B32DA" w:rsidP="005C6840">
      <w:pPr>
        <w:rPr>
          <w:rFonts w:cs="Times New Roman"/>
          <w:i/>
          <w:sz w:val="20"/>
          <w:szCs w:val="20"/>
          <w:lang w:val="fr-CA"/>
        </w:rPr>
      </w:pPr>
    </w:p>
    <w:p w:rsidR="003B3977" w:rsidRPr="006B32DA" w:rsidRDefault="006B32DA" w:rsidP="005C6840">
      <w:pPr>
        <w:rPr>
          <w:rFonts w:cs="Times New Roman"/>
          <w:i/>
          <w:sz w:val="20"/>
          <w:szCs w:val="20"/>
          <w:lang w:val="fr-CA"/>
        </w:rPr>
      </w:pPr>
      <w:r w:rsidRPr="006B32DA">
        <w:rPr>
          <w:rFonts w:cs="Times New Roman"/>
          <w:i/>
          <w:sz w:val="20"/>
          <w:szCs w:val="20"/>
          <w:lang w:val="fr-CA"/>
        </w:rPr>
        <w:t xml:space="preserve">Ville de Westmount c. Richard </w:t>
      </w:r>
      <w:proofErr w:type="spellStart"/>
      <w:r w:rsidRPr="006B32DA">
        <w:rPr>
          <w:rFonts w:cs="Times New Roman"/>
          <w:i/>
          <w:sz w:val="20"/>
          <w:szCs w:val="20"/>
          <w:lang w:val="fr-CA"/>
        </w:rPr>
        <w:t>Rossy</w:t>
      </w:r>
      <w:proofErr w:type="spellEnd"/>
      <w:r w:rsidRPr="006B32DA">
        <w:rPr>
          <w:rFonts w:cs="Times New Roman"/>
          <w:i/>
          <w:sz w:val="20"/>
          <w:szCs w:val="20"/>
          <w:lang w:val="fr-CA"/>
        </w:rPr>
        <w:t xml:space="preserve"> et autres</w:t>
      </w:r>
      <w:r w:rsidRPr="006349E9">
        <w:rPr>
          <w:rFonts w:cs="Times New Roman"/>
          <w:sz w:val="20"/>
          <w:szCs w:val="20"/>
          <w:lang w:val="fr-CA"/>
        </w:rPr>
        <w:t xml:space="preserve"> (</w:t>
      </w:r>
      <w:proofErr w:type="spellStart"/>
      <w:r w:rsidRPr="006349E9">
        <w:rPr>
          <w:rFonts w:cs="Times New Roman"/>
          <w:sz w:val="20"/>
          <w:szCs w:val="20"/>
          <w:lang w:val="fr-CA"/>
        </w:rPr>
        <w:t>Qc</w:t>
      </w:r>
      <w:proofErr w:type="spellEnd"/>
      <w:r w:rsidRPr="006349E9">
        <w:rPr>
          <w:rFonts w:cs="Times New Roman"/>
          <w:sz w:val="20"/>
          <w:szCs w:val="20"/>
          <w:lang w:val="fr-CA"/>
        </w:rPr>
        <w:t>) (34060)</w:t>
      </w:r>
    </w:p>
    <w:p w:rsidR="006B32DA" w:rsidRPr="0017770A" w:rsidRDefault="006B32DA" w:rsidP="006B32DA">
      <w:pPr>
        <w:jc w:val="both"/>
        <w:rPr>
          <w:rFonts w:cs="Times New Roman"/>
          <w:b/>
          <w:sz w:val="20"/>
          <w:szCs w:val="20"/>
        </w:rPr>
      </w:pPr>
      <w:r w:rsidRPr="0017770A">
        <w:rPr>
          <w:rFonts w:cs="Times New Roman"/>
          <w:b/>
          <w:sz w:val="20"/>
          <w:szCs w:val="20"/>
        </w:rPr>
        <w:t>Indexed as:  </w:t>
      </w:r>
      <w:r w:rsidR="0017770A" w:rsidRPr="0017770A">
        <w:rPr>
          <w:rStyle w:val="SCCAppellantForIndexChar"/>
          <w:rFonts w:eastAsia="Calibri"/>
          <w:sz w:val="20"/>
          <w:lang w:val="en-US"/>
        </w:rPr>
        <w:t>Westmount (City)</w:t>
      </w:r>
      <w:r w:rsidR="0017770A" w:rsidRPr="0017770A">
        <w:rPr>
          <w:b/>
          <w:sz w:val="20"/>
          <w:szCs w:val="20"/>
        </w:rPr>
        <w:t xml:space="preserve"> v. </w:t>
      </w:r>
      <w:proofErr w:type="spellStart"/>
      <w:r w:rsidR="0017770A" w:rsidRPr="0017770A">
        <w:rPr>
          <w:rStyle w:val="SCCRespondentForIndexChar"/>
          <w:rFonts w:eastAsiaTheme="minorHAnsi"/>
          <w:sz w:val="20"/>
        </w:rPr>
        <w:t>Rossy</w:t>
      </w:r>
      <w:proofErr w:type="spellEnd"/>
      <w:r w:rsidRPr="0017770A">
        <w:rPr>
          <w:rFonts w:cs="Times New Roman"/>
          <w:b/>
          <w:sz w:val="20"/>
          <w:szCs w:val="20"/>
          <w:lang w:val="en-US"/>
        </w:rPr>
        <w:t xml:space="preserve"> </w:t>
      </w:r>
      <w:r w:rsidRPr="0017770A">
        <w:rPr>
          <w:rStyle w:val="SCCRespondentForIndexChar"/>
          <w:rFonts w:eastAsiaTheme="minorHAnsi"/>
          <w:sz w:val="20"/>
        </w:rPr>
        <w:t xml:space="preserve">/ </w:t>
      </w:r>
      <w:proofErr w:type="spellStart"/>
      <w:proofErr w:type="gramStart"/>
      <w:r w:rsidRPr="0017770A">
        <w:rPr>
          <w:rFonts w:cs="Times New Roman"/>
          <w:b/>
          <w:sz w:val="20"/>
          <w:szCs w:val="20"/>
        </w:rPr>
        <w:t>Répertorié</w:t>
      </w:r>
      <w:proofErr w:type="spellEnd"/>
      <w:r w:rsidRPr="0017770A">
        <w:rPr>
          <w:rFonts w:cs="Times New Roman"/>
          <w:b/>
          <w:sz w:val="20"/>
          <w:szCs w:val="20"/>
        </w:rPr>
        <w:t> :</w:t>
      </w:r>
      <w:proofErr w:type="gramEnd"/>
      <w:r w:rsidRPr="0017770A">
        <w:rPr>
          <w:rFonts w:cs="Times New Roman"/>
          <w:b/>
          <w:sz w:val="20"/>
          <w:szCs w:val="20"/>
        </w:rPr>
        <w:t> </w:t>
      </w:r>
      <w:r w:rsidR="0017770A" w:rsidRPr="0017770A">
        <w:rPr>
          <w:rFonts w:cs="Times New Roman"/>
          <w:b/>
          <w:sz w:val="20"/>
          <w:szCs w:val="20"/>
        </w:rPr>
        <w:t xml:space="preserve">Westmount (Ville) c. </w:t>
      </w:r>
      <w:proofErr w:type="spellStart"/>
      <w:r w:rsidR="0017770A" w:rsidRPr="0017770A">
        <w:rPr>
          <w:rFonts w:cs="Times New Roman"/>
          <w:b/>
          <w:sz w:val="20"/>
          <w:szCs w:val="20"/>
        </w:rPr>
        <w:t>Rossy</w:t>
      </w:r>
      <w:proofErr w:type="spellEnd"/>
      <w:r w:rsidR="0017770A" w:rsidRPr="0017770A">
        <w:rPr>
          <w:rFonts w:cs="Times New Roman"/>
          <w:b/>
          <w:sz w:val="20"/>
          <w:szCs w:val="20"/>
        </w:rPr>
        <w:t xml:space="preserve"> </w:t>
      </w:r>
    </w:p>
    <w:p w:rsidR="006B32DA" w:rsidRPr="003B3977" w:rsidRDefault="006B32DA" w:rsidP="006B32DA">
      <w:pPr>
        <w:pStyle w:val="SCCSystemYear"/>
        <w:jc w:val="both"/>
        <w:rPr>
          <w:sz w:val="20"/>
        </w:rPr>
      </w:pPr>
      <w:proofErr w:type="spellStart"/>
      <w:r w:rsidRPr="003B3977">
        <w:rPr>
          <w:sz w:val="20"/>
        </w:rPr>
        <w:t>Neutral</w:t>
      </w:r>
      <w:proofErr w:type="spellEnd"/>
      <w:r w:rsidRPr="003B3977">
        <w:rPr>
          <w:sz w:val="20"/>
        </w:rPr>
        <w:t xml:space="preserve"> citation</w:t>
      </w:r>
      <w:proofErr w:type="gramStart"/>
      <w:r w:rsidRPr="003B3977">
        <w:rPr>
          <w:sz w:val="20"/>
        </w:rPr>
        <w:t>:  201</w:t>
      </w:r>
      <w:r>
        <w:rPr>
          <w:sz w:val="20"/>
        </w:rPr>
        <w:t>2</w:t>
      </w:r>
      <w:proofErr w:type="gramEnd"/>
      <w:r w:rsidRPr="003B3977">
        <w:rPr>
          <w:sz w:val="20"/>
        </w:rPr>
        <w:t xml:space="preserve"> SCC </w:t>
      </w:r>
      <w:r>
        <w:rPr>
          <w:sz w:val="20"/>
        </w:rPr>
        <w:t>30</w:t>
      </w:r>
      <w:r w:rsidRPr="003B3977">
        <w:rPr>
          <w:sz w:val="20"/>
        </w:rPr>
        <w:t xml:space="preserve"> / Référence neutre : 201</w:t>
      </w:r>
      <w:r>
        <w:rPr>
          <w:sz w:val="20"/>
        </w:rPr>
        <w:t>2</w:t>
      </w:r>
      <w:r w:rsidRPr="003B3977">
        <w:rPr>
          <w:sz w:val="20"/>
        </w:rPr>
        <w:t xml:space="preserve"> CSC </w:t>
      </w:r>
      <w:r>
        <w:rPr>
          <w:sz w:val="20"/>
        </w:rPr>
        <w:t>30</w:t>
      </w:r>
    </w:p>
    <w:p w:rsidR="006B32DA" w:rsidRPr="006B32DA" w:rsidRDefault="006B32DA" w:rsidP="006B32DA">
      <w:pPr>
        <w:rPr>
          <w:rFonts w:cs="Times New Roman"/>
          <w:sz w:val="20"/>
          <w:szCs w:val="20"/>
          <w:lang w:val="fr-CA"/>
        </w:rPr>
      </w:pPr>
      <w:proofErr w:type="spellStart"/>
      <w:r w:rsidRPr="006B32DA">
        <w:rPr>
          <w:rFonts w:cs="Times New Roman"/>
          <w:sz w:val="20"/>
          <w:szCs w:val="20"/>
          <w:lang w:val="fr-CA"/>
        </w:rPr>
        <w:t>Hearing</w:t>
      </w:r>
      <w:proofErr w:type="spellEnd"/>
      <w:proofErr w:type="gramStart"/>
      <w:r w:rsidRPr="006B32DA">
        <w:rPr>
          <w:rFonts w:cs="Times New Roman"/>
          <w:sz w:val="20"/>
          <w:szCs w:val="20"/>
          <w:lang w:val="fr-CA"/>
        </w:rPr>
        <w:t xml:space="preserve">:  </w:t>
      </w:r>
      <w:proofErr w:type="spellStart"/>
      <w:r w:rsidRPr="006B32DA">
        <w:rPr>
          <w:rFonts w:cs="Times New Roman"/>
          <w:sz w:val="20"/>
          <w:szCs w:val="20"/>
          <w:lang w:val="fr-CA"/>
        </w:rPr>
        <w:t>February</w:t>
      </w:r>
      <w:proofErr w:type="spellEnd"/>
      <w:proofErr w:type="gramEnd"/>
      <w:r w:rsidRPr="006B32DA">
        <w:rPr>
          <w:rFonts w:cs="Times New Roman"/>
          <w:sz w:val="20"/>
          <w:szCs w:val="20"/>
          <w:lang w:val="fr-CA"/>
        </w:rPr>
        <w:t xml:space="preserve"> 13, 2012 / </w:t>
      </w:r>
      <w:proofErr w:type="spellStart"/>
      <w:r w:rsidRPr="006B32DA">
        <w:rPr>
          <w:rFonts w:cs="Times New Roman"/>
          <w:sz w:val="20"/>
          <w:szCs w:val="20"/>
          <w:lang w:val="fr-CA"/>
        </w:rPr>
        <w:t>Judgment</w:t>
      </w:r>
      <w:proofErr w:type="spellEnd"/>
      <w:r w:rsidRPr="006B32DA">
        <w:rPr>
          <w:rFonts w:cs="Times New Roman"/>
          <w:sz w:val="20"/>
          <w:szCs w:val="20"/>
          <w:lang w:val="fr-CA"/>
        </w:rPr>
        <w:t xml:space="preserve">:  </w:t>
      </w:r>
      <w:proofErr w:type="spellStart"/>
      <w:r w:rsidRPr="006B32DA">
        <w:rPr>
          <w:rFonts w:cs="Times New Roman"/>
          <w:sz w:val="20"/>
          <w:szCs w:val="20"/>
          <w:lang w:val="fr-CA"/>
        </w:rPr>
        <w:t>June</w:t>
      </w:r>
      <w:proofErr w:type="spellEnd"/>
      <w:r w:rsidRPr="006B32DA">
        <w:rPr>
          <w:rFonts w:cs="Times New Roman"/>
          <w:sz w:val="20"/>
          <w:szCs w:val="20"/>
          <w:lang w:val="fr-CA"/>
        </w:rPr>
        <w:t xml:space="preserve"> 22, 2012</w:t>
      </w:r>
    </w:p>
    <w:p w:rsidR="006B32DA" w:rsidRPr="003B3977" w:rsidRDefault="006B32DA" w:rsidP="006B32DA">
      <w:pPr>
        <w:rPr>
          <w:rFonts w:cs="Times New Roman"/>
          <w:sz w:val="20"/>
          <w:szCs w:val="20"/>
          <w:lang w:val="fr-CA"/>
        </w:rPr>
      </w:pPr>
      <w:r w:rsidRPr="003B3977">
        <w:rPr>
          <w:rFonts w:cs="Times New Roman"/>
          <w:sz w:val="20"/>
          <w:szCs w:val="20"/>
          <w:lang w:val="fr-CA"/>
        </w:rPr>
        <w:t xml:space="preserve">Audition : Le </w:t>
      </w:r>
      <w:r>
        <w:rPr>
          <w:rFonts w:cs="Times New Roman"/>
          <w:sz w:val="20"/>
          <w:szCs w:val="20"/>
          <w:lang w:val="fr-CA"/>
        </w:rPr>
        <w:t>13 février</w:t>
      </w:r>
      <w:r w:rsidRPr="003B3977">
        <w:rPr>
          <w:rFonts w:cs="Times New Roman"/>
          <w:sz w:val="20"/>
          <w:szCs w:val="20"/>
          <w:lang w:val="fr-CA"/>
        </w:rPr>
        <w:t xml:space="preserve"> 201</w:t>
      </w:r>
      <w:r>
        <w:rPr>
          <w:rFonts w:cs="Times New Roman"/>
          <w:sz w:val="20"/>
          <w:szCs w:val="20"/>
          <w:lang w:val="fr-CA"/>
        </w:rPr>
        <w:t>2</w:t>
      </w:r>
      <w:r w:rsidRPr="003B3977">
        <w:rPr>
          <w:rFonts w:cs="Times New Roman"/>
          <w:sz w:val="20"/>
          <w:szCs w:val="20"/>
          <w:lang w:val="fr-CA"/>
        </w:rPr>
        <w:t xml:space="preserve"> / Jugement : Le 2</w:t>
      </w:r>
      <w:r>
        <w:rPr>
          <w:rFonts w:cs="Times New Roman"/>
          <w:sz w:val="20"/>
          <w:szCs w:val="20"/>
          <w:lang w:val="fr-CA"/>
        </w:rPr>
        <w:t>2 juin</w:t>
      </w:r>
      <w:r w:rsidRPr="003B3977">
        <w:rPr>
          <w:rFonts w:cs="Times New Roman"/>
          <w:sz w:val="20"/>
          <w:szCs w:val="20"/>
          <w:lang w:val="fr-CA"/>
        </w:rPr>
        <w:t xml:space="preserve"> 201</w:t>
      </w:r>
      <w:r>
        <w:rPr>
          <w:rFonts w:cs="Times New Roman"/>
          <w:sz w:val="20"/>
          <w:szCs w:val="20"/>
          <w:lang w:val="fr-CA"/>
        </w:rPr>
        <w:t>2</w:t>
      </w:r>
    </w:p>
    <w:p w:rsidR="006B32DA" w:rsidRPr="003B3977" w:rsidRDefault="00C90BA9" w:rsidP="006B32DA">
      <w:pPr>
        <w:rPr>
          <w:rFonts w:cs="Times New Roman"/>
          <w:sz w:val="20"/>
          <w:szCs w:val="20"/>
          <w:lang w:val="fr-CA"/>
        </w:rPr>
      </w:pPr>
      <w:r w:rsidRPr="00C90BA9">
        <w:rPr>
          <w:rFonts w:cs="Times New Roman"/>
          <w:i/>
          <w:sz w:val="20"/>
          <w:szCs w:val="20"/>
        </w:rPr>
        <w:pict>
          <v:rect id="_x0000_i1055" style="width:480.95pt;height:1pt" o:hralign="center" o:hrstd="t" o:hrnoshade="t" o:hr="t" fillcolor="black [3213]" stroked="f"/>
        </w:pict>
      </w:r>
    </w:p>
    <w:p w:rsidR="00112C0F" w:rsidRDefault="00112C0F" w:rsidP="005C6840">
      <w:pPr>
        <w:rPr>
          <w:rFonts w:cs="Times New Roman"/>
          <w:sz w:val="20"/>
          <w:szCs w:val="20"/>
        </w:rPr>
      </w:pPr>
    </w:p>
    <w:p w:rsidR="00042EA6" w:rsidRPr="00112C0F" w:rsidRDefault="00042EA6" w:rsidP="00042EA6">
      <w:pPr>
        <w:rPr>
          <w:rFonts w:cs="Times New Roman"/>
          <w:i/>
          <w:sz w:val="20"/>
          <w:szCs w:val="20"/>
          <w:lang w:val="fr-CA"/>
        </w:rPr>
      </w:pPr>
      <w:r w:rsidRPr="003B3977">
        <w:rPr>
          <w:rFonts w:cs="Times New Roman"/>
          <w:sz w:val="20"/>
          <w:szCs w:val="20"/>
          <w:lang w:val="fr-CA"/>
        </w:rPr>
        <w:t>Présent</w:t>
      </w:r>
      <w:r w:rsidRPr="00112C0F">
        <w:rPr>
          <w:rFonts w:cs="Times New Roman"/>
          <w:sz w:val="20"/>
          <w:szCs w:val="20"/>
          <w:lang w:val="fr-CA"/>
        </w:rPr>
        <w:t>s : </w:t>
      </w:r>
      <w:r w:rsidRPr="00112C0F">
        <w:rPr>
          <w:sz w:val="20"/>
          <w:szCs w:val="20"/>
          <w:lang w:val="fr-CA"/>
        </w:rPr>
        <w:t xml:space="preserve">La juge en chef McLachlin et les juges </w:t>
      </w:r>
      <w:proofErr w:type="spellStart"/>
      <w:r w:rsidRPr="00112C0F">
        <w:rPr>
          <w:sz w:val="20"/>
          <w:szCs w:val="20"/>
          <w:lang w:val="fr-CA"/>
        </w:rPr>
        <w:t>LeBel</w:t>
      </w:r>
      <w:proofErr w:type="spellEnd"/>
      <w:r w:rsidRPr="00112C0F">
        <w:rPr>
          <w:sz w:val="20"/>
          <w:szCs w:val="20"/>
          <w:lang w:val="fr-CA"/>
        </w:rPr>
        <w:t>, Deschamps, Fish, Abella, Cromwell et Karakatsanis</w:t>
      </w:r>
    </w:p>
    <w:p w:rsidR="006B32DA" w:rsidRPr="006D2D47" w:rsidRDefault="006B32DA" w:rsidP="005C6840">
      <w:pPr>
        <w:rPr>
          <w:rFonts w:cs="Times New Roman"/>
          <w:i/>
          <w:sz w:val="20"/>
          <w:szCs w:val="20"/>
          <w:lang w:val="fr-CA"/>
        </w:rPr>
      </w:pPr>
    </w:p>
    <w:p w:rsidR="00D504A6" w:rsidRDefault="00D504A6" w:rsidP="00D504A6">
      <w:pPr>
        <w:pStyle w:val="SCCNormalDoubleSpacing"/>
        <w:spacing w:line="240" w:lineRule="auto"/>
        <w:rPr>
          <w:i/>
          <w:sz w:val="20"/>
          <w:lang w:val="fr-CA"/>
        </w:rPr>
      </w:pPr>
      <w:r w:rsidRPr="006D2D47">
        <w:rPr>
          <w:sz w:val="20"/>
          <w:lang w:val="fr-CA"/>
        </w:rPr>
        <w:tab/>
      </w:r>
      <w:r w:rsidRPr="00D504A6">
        <w:rPr>
          <w:i/>
          <w:sz w:val="20"/>
          <w:lang w:val="fr-CA"/>
        </w:rPr>
        <w:t xml:space="preserve">Assurance — Assurance automobile — Régime public d’assurance automobile sans égard à la responsabilité — Arbre tombé sur un véhicule cause la mort du conducteur — Type de lien de causalité nécessaire entre le préjudice et l’automobile — Le préjudice subi par le conducteur </w:t>
      </w:r>
      <w:proofErr w:type="spellStart"/>
      <w:r w:rsidRPr="00D504A6">
        <w:rPr>
          <w:i/>
          <w:sz w:val="20"/>
          <w:lang w:val="fr-CA"/>
        </w:rPr>
        <w:t>a</w:t>
      </w:r>
      <w:r w:rsidRPr="00D504A6">
        <w:rPr>
          <w:i/>
          <w:sz w:val="20"/>
          <w:lang w:val="fr-CA"/>
        </w:rPr>
        <w:noBreakHyphen/>
        <w:t>t</w:t>
      </w:r>
      <w:r w:rsidRPr="00D504A6">
        <w:rPr>
          <w:i/>
          <w:sz w:val="20"/>
          <w:lang w:val="fr-CA"/>
        </w:rPr>
        <w:noBreakHyphen/>
        <w:t>il</w:t>
      </w:r>
      <w:proofErr w:type="spellEnd"/>
      <w:r w:rsidRPr="00D504A6">
        <w:rPr>
          <w:i/>
          <w:sz w:val="20"/>
          <w:lang w:val="fr-CA"/>
        </w:rPr>
        <w:t xml:space="preserve"> été « causé par une automobile, par son usage ou par son chargement »? — Loi sur l’assurance automobile, L.R.Q., ch. A</w:t>
      </w:r>
      <w:r w:rsidRPr="00D504A6">
        <w:rPr>
          <w:i/>
          <w:sz w:val="20"/>
          <w:lang w:val="fr-CA"/>
        </w:rPr>
        <w:noBreakHyphen/>
        <w:t>25, art. 1 « accident », « préjudice causé par une automobile ».</w:t>
      </w:r>
    </w:p>
    <w:p w:rsidR="00D504A6" w:rsidRPr="00D504A6" w:rsidRDefault="00D504A6" w:rsidP="00D504A6">
      <w:pPr>
        <w:pStyle w:val="SCCNormalDoubleSpacing"/>
        <w:spacing w:line="240" w:lineRule="auto"/>
        <w:rPr>
          <w:i/>
          <w:sz w:val="20"/>
          <w:lang w:val="fr-CA"/>
        </w:rPr>
      </w:pPr>
    </w:p>
    <w:p w:rsidR="00D504A6" w:rsidRDefault="00D504A6" w:rsidP="00D504A6">
      <w:pPr>
        <w:pStyle w:val="SCCNormalDoubleSpacing"/>
        <w:spacing w:line="240" w:lineRule="auto"/>
        <w:rPr>
          <w:i/>
          <w:sz w:val="20"/>
          <w:lang w:val="fr-FR"/>
        </w:rPr>
      </w:pPr>
      <w:r w:rsidRPr="00D504A6">
        <w:rPr>
          <w:i/>
          <w:sz w:val="20"/>
          <w:lang w:val="fr-CA"/>
        </w:rPr>
        <w:tab/>
      </w:r>
      <w:r w:rsidRPr="00D504A6">
        <w:rPr>
          <w:i/>
          <w:sz w:val="20"/>
          <w:lang w:val="fr-FR"/>
        </w:rPr>
        <w:t xml:space="preserve">Procédure civile — Moyens de </w:t>
      </w:r>
      <w:proofErr w:type="spellStart"/>
      <w:r w:rsidRPr="00D504A6">
        <w:rPr>
          <w:i/>
          <w:sz w:val="20"/>
          <w:lang w:val="fr-FR"/>
        </w:rPr>
        <w:t>non</w:t>
      </w:r>
      <w:r w:rsidRPr="00D504A6">
        <w:rPr>
          <w:i/>
          <w:sz w:val="20"/>
          <w:lang w:val="fr-FR"/>
        </w:rPr>
        <w:noBreakHyphen/>
        <w:t>recevabilité</w:t>
      </w:r>
      <w:proofErr w:type="spellEnd"/>
      <w:r w:rsidRPr="00D504A6">
        <w:rPr>
          <w:i/>
          <w:sz w:val="20"/>
          <w:lang w:val="fr-FR"/>
        </w:rPr>
        <w:t xml:space="preserve"> — Arbre tombé sur un véhicule cause la mort du conducteur — Membres de la famille du conducteur intentent une poursuite en </w:t>
      </w:r>
      <w:proofErr w:type="spellStart"/>
      <w:r w:rsidRPr="00D504A6">
        <w:rPr>
          <w:i/>
          <w:sz w:val="20"/>
          <w:lang w:val="fr-FR"/>
        </w:rPr>
        <w:t>dommages</w:t>
      </w:r>
      <w:r w:rsidRPr="00D504A6">
        <w:rPr>
          <w:i/>
          <w:sz w:val="20"/>
          <w:lang w:val="fr-FR"/>
        </w:rPr>
        <w:noBreakHyphen/>
        <w:t>intérêts</w:t>
      </w:r>
      <w:proofErr w:type="spellEnd"/>
      <w:r w:rsidRPr="00D504A6">
        <w:rPr>
          <w:i/>
          <w:sz w:val="20"/>
          <w:lang w:val="fr-FR"/>
        </w:rPr>
        <w:t xml:space="preserve"> contre la ville où s’est produit l’accident — La poursuite civile est-elle irrecevable du fait de l’application du régime public d’assurance automobile? — Code de procédure civile, L.R.Q., ch. C</w:t>
      </w:r>
      <w:r w:rsidRPr="00D504A6">
        <w:rPr>
          <w:i/>
          <w:sz w:val="20"/>
          <w:lang w:val="fr-FR"/>
        </w:rPr>
        <w:noBreakHyphen/>
        <w:t xml:space="preserve">25, art. 75.1, 165(4) — </w:t>
      </w:r>
      <w:r w:rsidRPr="00D504A6">
        <w:rPr>
          <w:i/>
          <w:sz w:val="20"/>
          <w:lang w:val="fr-CA"/>
        </w:rPr>
        <w:t>Loi sur l’assurance automobile, L.R.Q., ch. </w:t>
      </w:r>
      <w:r w:rsidRPr="00D504A6">
        <w:rPr>
          <w:i/>
          <w:sz w:val="20"/>
          <w:lang w:val="fr-FR"/>
        </w:rPr>
        <w:t>A</w:t>
      </w:r>
      <w:r w:rsidRPr="00D504A6">
        <w:rPr>
          <w:i/>
          <w:sz w:val="20"/>
          <w:lang w:val="fr-FR"/>
        </w:rPr>
        <w:noBreakHyphen/>
        <w:t>25, art. 83.57.</w:t>
      </w:r>
    </w:p>
    <w:p w:rsidR="00D504A6" w:rsidRPr="00D504A6" w:rsidRDefault="00D504A6" w:rsidP="00D504A6">
      <w:pPr>
        <w:pStyle w:val="SCCNormalDoubleSpacing"/>
        <w:spacing w:line="240" w:lineRule="auto"/>
        <w:rPr>
          <w:sz w:val="20"/>
          <w:lang w:val="fr-FR"/>
        </w:rPr>
      </w:pPr>
    </w:p>
    <w:p w:rsidR="00D504A6" w:rsidRDefault="00D504A6" w:rsidP="00D504A6">
      <w:pPr>
        <w:pStyle w:val="SCCNormalDoubleSpacing"/>
        <w:spacing w:line="240" w:lineRule="auto"/>
        <w:rPr>
          <w:sz w:val="20"/>
          <w:lang w:val="fr-FR"/>
        </w:rPr>
      </w:pPr>
      <w:r w:rsidRPr="00D504A6">
        <w:rPr>
          <w:sz w:val="20"/>
          <w:lang w:val="fr-FR"/>
        </w:rPr>
        <w:tab/>
        <w:t xml:space="preserve">R a été tué lorsqu’un arbre est tombé sur le véhicule qu’il conduisait dans la ville de Westmount.  Les parents de R ainsi que ses trois frères ont intenté un recours en </w:t>
      </w:r>
      <w:proofErr w:type="spellStart"/>
      <w:r w:rsidRPr="00D504A6">
        <w:rPr>
          <w:sz w:val="20"/>
          <w:lang w:val="fr-FR"/>
        </w:rPr>
        <w:t>dommages</w:t>
      </w:r>
      <w:r w:rsidRPr="00D504A6">
        <w:rPr>
          <w:sz w:val="20"/>
          <w:lang w:val="fr-FR"/>
        </w:rPr>
        <w:noBreakHyphen/>
        <w:t>intérêts</w:t>
      </w:r>
      <w:proofErr w:type="spellEnd"/>
      <w:r w:rsidRPr="00D504A6">
        <w:rPr>
          <w:sz w:val="20"/>
          <w:lang w:val="fr-FR"/>
        </w:rPr>
        <w:t xml:space="preserve"> contre la ville en se fondant sur la responsabilité civile qui lui incomberait, selon eux, aux termes du </w:t>
      </w:r>
      <w:r w:rsidRPr="00D504A6">
        <w:rPr>
          <w:i/>
          <w:sz w:val="20"/>
          <w:lang w:val="fr-FR"/>
        </w:rPr>
        <w:t>Code civil du Québec</w:t>
      </w:r>
      <w:r w:rsidRPr="00D504A6">
        <w:rPr>
          <w:sz w:val="20"/>
          <w:lang w:val="fr-FR"/>
        </w:rPr>
        <w:t xml:space="preserve">.  Ils alléguaient que, en sa qualité de propriétaire de l’arbre, la ville n’avait pas bien entretenu l’arbre en question.  La Ville a demandé le rejet de l’action en application du par. 165(4) et de l’art. 75.1 </w:t>
      </w:r>
      <w:proofErr w:type="gramStart"/>
      <w:r w:rsidRPr="00D504A6">
        <w:rPr>
          <w:sz w:val="20"/>
          <w:lang w:val="fr-FR"/>
        </w:rPr>
        <w:t>du</w:t>
      </w:r>
      <w:proofErr w:type="gramEnd"/>
      <w:r w:rsidRPr="00D504A6">
        <w:rPr>
          <w:sz w:val="20"/>
          <w:lang w:val="fr-FR"/>
        </w:rPr>
        <w:t xml:space="preserve"> </w:t>
      </w:r>
      <w:r w:rsidRPr="00D504A6">
        <w:rPr>
          <w:i/>
          <w:sz w:val="20"/>
          <w:lang w:val="fr-FR"/>
        </w:rPr>
        <w:t>Code de procédure civile</w:t>
      </w:r>
      <w:r w:rsidRPr="00D504A6">
        <w:rPr>
          <w:sz w:val="20"/>
          <w:lang w:val="fr-FR"/>
        </w:rPr>
        <w:t xml:space="preserve">.  Elle a soutenu que le préjudice résultait d’un accident causé par une automobile et que toute indemnisation pour le préjudice à la personne était donc régie par la </w:t>
      </w:r>
      <w:r w:rsidRPr="00D504A6">
        <w:rPr>
          <w:i/>
          <w:sz w:val="20"/>
          <w:lang w:val="fr-FR"/>
        </w:rPr>
        <w:t xml:space="preserve">Loi sur l’assurance automobile </w:t>
      </w:r>
      <w:r w:rsidRPr="00D504A6">
        <w:rPr>
          <w:sz w:val="20"/>
          <w:lang w:val="fr-FR"/>
        </w:rPr>
        <w:t>(la « Loi »).  La Cour supérieure a accueilli la requête de la Ville et rejeté l’action.  La Cour d’appel a conclu qu’une blessure n’est pas un « préjudice causé par une automobile » seulement parce qu’une victime se trouve dans le véhicule au moment de l’accident.  Elle a conclu que les allégations de la requête introductive d’instance menaient à la conclusion selon laquelle rien ne liait les préjudices corporels subis par R au fait qu’il se trouvait dans un véhicule.  Elle a accueilli le pourvoi et autorisé la continuation de la cause en Cour supérieure.</w:t>
      </w:r>
    </w:p>
    <w:p w:rsidR="00354361" w:rsidRPr="00D504A6" w:rsidRDefault="00354361" w:rsidP="00D504A6">
      <w:pPr>
        <w:pStyle w:val="SCCNormalDoubleSpacing"/>
        <w:spacing w:line="240" w:lineRule="auto"/>
        <w:rPr>
          <w:sz w:val="20"/>
          <w:lang w:val="fr-FR"/>
        </w:rPr>
      </w:pPr>
    </w:p>
    <w:p w:rsidR="00D504A6" w:rsidRDefault="00D504A6" w:rsidP="00D504A6">
      <w:pPr>
        <w:pStyle w:val="SCCNormalDoubleSpacing"/>
        <w:spacing w:line="240" w:lineRule="auto"/>
        <w:rPr>
          <w:sz w:val="20"/>
          <w:lang w:val="fr-FR"/>
        </w:rPr>
      </w:pPr>
      <w:r w:rsidRPr="00D504A6">
        <w:rPr>
          <w:sz w:val="20"/>
          <w:lang w:val="fr-CA"/>
        </w:rPr>
        <w:tab/>
      </w:r>
      <w:r w:rsidRPr="00D504A6">
        <w:rPr>
          <w:i/>
          <w:sz w:val="20"/>
          <w:lang w:val="fr-FR"/>
        </w:rPr>
        <w:t>Arrêt :</w:t>
      </w:r>
      <w:r w:rsidRPr="00D504A6">
        <w:rPr>
          <w:sz w:val="20"/>
          <w:lang w:val="fr-FR"/>
        </w:rPr>
        <w:t xml:space="preserve"> L’appel est accueilli.</w:t>
      </w:r>
    </w:p>
    <w:p w:rsidR="00354361" w:rsidRPr="00D504A6" w:rsidRDefault="00354361" w:rsidP="00D504A6">
      <w:pPr>
        <w:pStyle w:val="SCCNormalDoubleSpacing"/>
        <w:spacing w:line="240" w:lineRule="auto"/>
        <w:rPr>
          <w:sz w:val="20"/>
          <w:lang w:val="fr-FR"/>
        </w:rPr>
      </w:pPr>
    </w:p>
    <w:p w:rsidR="00D504A6" w:rsidRDefault="00D504A6" w:rsidP="00D504A6">
      <w:pPr>
        <w:pStyle w:val="SCCNormalDoubleSpacing"/>
        <w:spacing w:line="240" w:lineRule="auto"/>
        <w:rPr>
          <w:sz w:val="20"/>
          <w:lang w:val="fr-FR"/>
        </w:rPr>
      </w:pPr>
      <w:r w:rsidRPr="00D504A6">
        <w:rPr>
          <w:sz w:val="20"/>
          <w:lang w:val="fr-FR"/>
        </w:rPr>
        <w:tab/>
        <w:t xml:space="preserve">La Loi est considérée comme une loi </w:t>
      </w:r>
      <w:proofErr w:type="spellStart"/>
      <w:r w:rsidRPr="00D504A6">
        <w:rPr>
          <w:sz w:val="20"/>
          <w:lang w:val="fr-FR"/>
        </w:rPr>
        <w:t>remédiatrice</w:t>
      </w:r>
      <w:proofErr w:type="spellEnd"/>
      <w:r w:rsidRPr="00D504A6">
        <w:rPr>
          <w:sz w:val="20"/>
          <w:lang w:val="fr-FR"/>
        </w:rPr>
        <w:t xml:space="preserve">.  Il faut donc l’interpréter conformément à l’art. 41 de la </w:t>
      </w:r>
      <w:r w:rsidRPr="00D504A6">
        <w:rPr>
          <w:i/>
          <w:sz w:val="20"/>
          <w:lang w:val="fr-FR"/>
        </w:rPr>
        <w:t xml:space="preserve">Loi d’interprétation. </w:t>
      </w:r>
      <w:r w:rsidRPr="00D504A6">
        <w:rPr>
          <w:sz w:val="20"/>
          <w:lang w:val="fr-FR"/>
        </w:rPr>
        <w:t xml:space="preserve">Elle doit recevoir une interprétation large et libérale afin de garantir l’accomplissement de son objet.  La décision de la Cour d’appel dans l’arrêt </w:t>
      </w:r>
      <w:r w:rsidRPr="00D504A6">
        <w:rPr>
          <w:i/>
          <w:sz w:val="20"/>
          <w:lang w:val="fr-FR"/>
        </w:rPr>
        <w:t xml:space="preserve">Productions </w:t>
      </w:r>
      <w:proofErr w:type="spellStart"/>
      <w:r w:rsidRPr="00D504A6">
        <w:rPr>
          <w:i/>
          <w:sz w:val="20"/>
          <w:lang w:val="fr-FR"/>
        </w:rPr>
        <w:t>Pram</w:t>
      </w:r>
      <w:proofErr w:type="spellEnd"/>
      <w:r w:rsidRPr="00D504A6">
        <w:rPr>
          <w:i/>
          <w:sz w:val="20"/>
          <w:lang w:val="fr-FR"/>
        </w:rPr>
        <w:t xml:space="preserve"> </w:t>
      </w:r>
      <w:proofErr w:type="spellStart"/>
      <w:r w:rsidRPr="00D504A6">
        <w:rPr>
          <w:i/>
          <w:sz w:val="20"/>
          <w:lang w:val="fr-FR"/>
        </w:rPr>
        <w:t>inc</w:t>
      </w:r>
      <w:proofErr w:type="spellEnd"/>
      <w:r w:rsidRPr="00D504A6">
        <w:rPr>
          <w:i/>
          <w:sz w:val="20"/>
          <w:lang w:val="fr-FR"/>
        </w:rPr>
        <w:t>. c. Lemay</w:t>
      </w:r>
      <w:r w:rsidRPr="00D504A6">
        <w:rPr>
          <w:sz w:val="20"/>
          <w:lang w:val="fr-FR"/>
        </w:rPr>
        <w:t>,</w:t>
      </w:r>
      <w:r w:rsidRPr="00D504A6">
        <w:rPr>
          <w:i/>
          <w:sz w:val="20"/>
          <w:lang w:val="fr-FR"/>
        </w:rPr>
        <w:t xml:space="preserve"> </w:t>
      </w:r>
      <w:r w:rsidRPr="00D504A6">
        <w:rPr>
          <w:sz w:val="20"/>
          <w:lang w:val="fr-FR"/>
        </w:rPr>
        <w:t>[1992] R.J.Q. 1738, nous enseigne que, pour décider si la Loi</w:t>
      </w:r>
      <w:r w:rsidRPr="00D504A6">
        <w:rPr>
          <w:i/>
          <w:sz w:val="20"/>
          <w:lang w:val="fr-FR"/>
        </w:rPr>
        <w:t xml:space="preserve"> </w:t>
      </w:r>
      <w:r w:rsidRPr="00D504A6">
        <w:rPr>
          <w:sz w:val="20"/>
          <w:lang w:val="fr-FR"/>
        </w:rPr>
        <w:t xml:space="preserve">s’applique, les tribunaux n’ont pas à chercher un lien causal traditionnel entre la faute et le dommage, comme cela se fait couramment dans les causes civiles délictuelles ou quasi délictuelles.  Les principes qui émanent de </w:t>
      </w:r>
      <w:proofErr w:type="spellStart"/>
      <w:r w:rsidRPr="00D504A6">
        <w:rPr>
          <w:i/>
          <w:sz w:val="20"/>
          <w:lang w:val="fr-FR"/>
        </w:rPr>
        <w:t>Pram</w:t>
      </w:r>
      <w:proofErr w:type="spellEnd"/>
      <w:r w:rsidRPr="00D504A6">
        <w:rPr>
          <w:sz w:val="20"/>
          <w:lang w:val="fr-FR"/>
        </w:rPr>
        <w:t xml:space="preserve"> guident utilement les tribunaux lorsqu’il s’agit d’interpréter la Loi et ils doivent être réaffirmés.  Chaque cas doit être examiné en fonction de ses faits propres.  Cependant, à tout le moins, un accident qui découle de l’utilisation d’un véhicule comme moyen de transport répondra à la définition du terme « accident » utilisé dans la Loi et aura donc été « causé par une automobile » au sens où il faut l’entendre pour l’application de la Loi.  Tout recours civil relatif au dommage causé par l’accident en question sera irrecevable et les victimes devront formuler une réclamation auprès de la Société de l’assurance automobile du Québec.  Il n’est pas nécessaire que le véhicule ait été une cause active de l’accident.  La simple utilisation ou conduite du véhicule en tant que véhicule suffiront pour que la Loi s’applique.  Cette interprétation découle d’une simple application des principes élaborés dans </w:t>
      </w:r>
      <w:proofErr w:type="spellStart"/>
      <w:r w:rsidRPr="00D504A6">
        <w:rPr>
          <w:i/>
          <w:sz w:val="20"/>
          <w:lang w:val="fr-FR"/>
        </w:rPr>
        <w:t>Pram</w:t>
      </w:r>
      <w:proofErr w:type="spellEnd"/>
      <w:r w:rsidRPr="00D504A6">
        <w:rPr>
          <w:sz w:val="20"/>
          <w:lang w:val="fr-FR"/>
        </w:rPr>
        <w:t>.  Elle est, en outre, compatible avec la jurisprudence et la doctrine, et elle donne effet à l’objectif que vise le régime législatif.</w:t>
      </w:r>
    </w:p>
    <w:p w:rsidR="00354361" w:rsidRPr="00D504A6" w:rsidRDefault="00354361" w:rsidP="00D504A6">
      <w:pPr>
        <w:pStyle w:val="SCCNormalDoubleSpacing"/>
        <w:spacing w:line="240" w:lineRule="auto"/>
        <w:rPr>
          <w:sz w:val="20"/>
          <w:lang w:val="fr-CA"/>
        </w:rPr>
      </w:pPr>
    </w:p>
    <w:p w:rsidR="00D504A6" w:rsidRPr="00D504A6" w:rsidRDefault="00D504A6" w:rsidP="00D504A6">
      <w:pPr>
        <w:pStyle w:val="SCCNormalDoubleSpacing"/>
        <w:spacing w:line="240" w:lineRule="auto"/>
        <w:rPr>
          <w:sz w:val="20"/>
          <w:lang w:val="fr-FR"/>
        </w:rPr>
      </w:pPr>
      <w:r w:rsidRPr="00D504A6">
        <w:rPr>
          <w:sz w:val="20"/>
          <w:lang w:val="fr-FR"/>
        </w:rPr>
        <w:tab/>
        <w:t>Lorsqu’on applique ce test aux faits de la présente affaire, on doit conclure que la Loi s’applique à l’accident dont R a été victime.  S’il est vrai que l’automobile était possiblement stationnaire ou en train de traverser un carrefour, selon la preuve au dossier, R l’utilisait comme moyen de transport lorsque l’accident est survenu.  Cela suffit pour conclure que le préjudice est le résultat d’un « accident » au sens de la Loi et que, dès lors, le droit à une indemnité sans égard à la responsabilité prévue par le régime s’applique.  Ainsi, la demande civile est irrecevable et les parents et les frères de R doivent s’adresser à la Société de l’assurance automobile du Québec pour être indemnisés.  La Cour d’appel a commis une erreur en interprétant la Loi trop étroitement.  Une telle interprétation risque de restreindre indûment l’application souhaitée du régime québécois sans égard à la responsabilité et doit donc être rejetée.</w:t>
      </w:r>
    </w:p>
    <w:p w:rsidR="006B32DA" w:rsidRPr="00354361" w:rsidRDefault="006B32DA" w:rsidP="00354361">
      <w:pPr>
        <w:rPr>
          <w:rFonts w:cs="Times New Roman"/>
          <w:i/>
          <w:sz w:val="20"/>
          <w:szCs w:val="20"/>
          <w:lang w:val="fr-FR"/>
        </w:rPr>
      </w:pPr>
    </w:p>
    <w:p w:rsidR="00354361" w:rsidRDefault="00354361" w:rsidP="00354361">
      <w:pPr>
        <w:pStyle w:val="SCCNormalDoubleSpacing"/>
        <w:spacing w:line="240" w:lineRule="auto"/>
        <w:rPr>
          <w:sz w:val="20"/>
          <w:lang w:val="fr-CA"/>
        </w:rPr>
      </w:pPr>
      <w:r w:rsidRPr="006D2D47">
        <w:rPr>
          <w:sz w:val="20"/>
          <w:lang w:val="fr-CA"/>
        </w:rPr>
        <w:tab/>
      </w:r>
      <w:r w:rsidRPr="00354361">
        <w:rPr>
          <w:sz w:val="20"/>
          <w:lang w:val="fr-CA"/>
        </w:rPr>
        <w:t xml:space="preserve">POURVOI contre un arrêt de la Cour d’appel du Québec (les juges Thibault, Dufresne et </w:t>
      </w:r>
      <w:proofErr w:type="spellStart"/>
      <w:r w:rsidRPr="00354361">
        <w:rPr>
          <w:sz w:val="20"/>
          <w:lang w:val="fr-CA"/>
        </w:rPr>
        <w:t>Cournoyer</w:t>
      </w:r>
      <w:proofErr w:type="spellEnd"/>
      <w:r w:rsidRPr="00354361">
        <w:rPr>
          <w:sz w:val="20"/>
          <w:lang w:val="fr-CA"/>
        </w:rPr>
        <w:t xml:space="preserve"> (</w:t>
      </w:r>
      <w:r w:rsidRPr="00354361">
        <w:rPr>
          <w:i/>
          <w:sz w:val="20"/>
          <w:lang w:val="fr-CA"/>
        </w:rPr>
        <w:t>ad hoc</w:t>
      </w:r>
      <w:r w:rsidRPr="00354361">
        <w:rPr>
          <w:sz w:val="20"/>
          <w:lang w:val="fr-CA"/>
        </w:rPr>
        <w:t>)), 2010 QCCA 2131, [2010] R.J.Q. 2338, [2010] J.Q. n</w:t>
      </w:r>
      <w:r w:rsidRPr="00354361">
        <w:rPr>
          <w:sz w:val="20"/>
          <w:vertAlign w:val="superscript"/>
          <w:lang w:val="fr-CA"/>
        </w:rPr>
        <w:t>o </w:t>
      </w:r>
      <w:r w:rsidRPr="00354361">
        <w:rPr>
          <w:sz w:val="20"/>
          <w:lang w:val="fr-CA"/>
        </w:rPr>
        <w:t xml:space="preserve">12046 (QL), 2010 </w:t>
      </w:r>
      <w:proofErr w:type="spellStart"/>
      <w:r w:rsidRPr="00354361">
        <w:rPr>
          <w:sz w:val="20"/>
          <w:lang w:val="fr-CA"/>
        </w:rPr>
        <w:t>CarswellQue</w:t>
      </w:r>
      <w:proofErr w:type="spellEnd"/>
      <w:r w:rsidRPr="00354361">
        <w:rPr>
          <w:sz w:val="20"/>
          <w:lang w:val="fr-CA"/>
        </w:rPr>
        <w:t xml:space="preserve"> 12485, qui a infirmé une décision du juge </w:t>
      </w:r>
      <w:bookmarkStart w:id="1" w:name="OLE_LINK1"/>
      <w:bookmarkStart w:id="2" w:name="OLE_LINK2"/>
      <w:proofErr w:type="spellStart"/>
      <w:r w:rsidRPr="00354361">
        <w:rPr>
          <w:sz w:val="20"/>
          <w:lang w:val="fr-CA"/>
        </w:rPr>
        <w:t>Reimnitz</w:t>
      </w:r>
      <w:bookmarkEnd w:id="1"/>
      <w:bookmarkEnd w:id="2"/>
      <w:proofErr w:type="spellEnd"/>
      <w:r w:rsidRPr="00354361">
        <w:rPr>
          <w:sz w:val="20"/>
          <w:lang w:val="fr-CA"/>
        </w:rPr>
        <w:t>, 2008 QCCS 4471 (</w:t>
      </w:r>
      <w:proofErr w:type="spellStart"/>
      <w:r w:rsidRPr="00354361">
        <w:rPr>
          <w:sz w:val="20"/>
          <w:lang w:val="fr-CA"/>
        </w:rPr>
        <w:t>CanLII</w:t>
      </w:r>
      <w:proofErr w:type="spellEnd"/>
      <w:r w:rsidRPr="00354361">
        <w:rPr>
          <w:sz w:val="20"/>
          <w:lang w:val="fr-CA"/>
        </w:rPr>
        <w:t>), [2008] J.Q. n</w:t>
      </w:r>
      <w:r w:rsidRPr="00354361">
        <w:rPr>
          <w:sz w:val="20"/>
          <w:vertAlign w:val="superscript"/>
          <w:lang w:val="fr-CA"/>
        </w:rPr>
        <w:t>o</w:t>
      </w:r>
      <w:r w:rsidRPr="00354361">
        <w:rPr>
          <w:sz w:val="20"/>
          <w:lang w:val="fr-CA"/>
        </w:rPr>
        <w:t xml:space="preserve"> 9318 (QL), 2008 </w:t>
      </w:r>
      <w:proofErr w:type="spellStart"/>
      <w:r w:rsidRPr="00354361">
        <w:rPr>
          <w:sz w:val="20"/>
          <w:lang w:val="fr-CA"/>
        </w:rPr>
        <w:t>CarswellQue</w:t>
      </w:r>
      <w:proofErr w:type="spellEnd"/>
      <w:r w:rsidRPr="00354361">
        <w:rPr>
          <w:sz w:val="20"/>
          <w:lang w:val="fr-CA"/>
        </w:rPr>
        <w:t xml:space="preserve"> 9489.  Pourvoi accueilli.</w:t>
      </w:r>
    </w:p>
    <w:p w:rsidR="007D6FCA" w:rsidRPr="00354361" w:rsidRDefault="007D6FCA" w:rsidP="00354361">
      <w:pPr>
        <w:pStyle w:val="SCCNormalDoubleSpacing"/>
        <w:spacing w:line="240" w:lineRule="auto"/>
        <w:rPr>
          <w:sz w:val="20"/>
          <w:lang w:val="fr-CA"/>
        </w:rPr>
      </w:pPr>
    </w:p>
    <w:p w:rsidR="00354361" w:rsidRDefault="00354361" w:rsidP="00354361">
      <w:pPr>
        <w:pStyle w:val="SCCNormalDoubleSpacing"/>
        <w:spacing w:line="240" w:lineRule="auto"/>
        <w:rPr>
          <w:sz w:val="20"/>
          <w:lang w:val="fr-CA"/>
        </w:rPr>
      </w:pPr>
      <w:r w:rsidRPr="00354361">
        <w:rPr>
          <w:i/>
          <w:sz w:val="20"/>
          <w:lang w:val="fr-CA"/>
        </w:rPr>
        <w:tab/>
        <w:t>André Legrand</w:t>
      </w:r>
      <w:r w:rsidRPr="00354361">
        <w:rPr>
          <w:sz w:val="20"/>
          <w:lang w:val="fr-CA"/>
        </w:rPr>
        <w:t xml:space="preserve"> et </w:t>
      </w:r>
      <w:proofErr w:type="spellStart"/>
      <w:r w:rsidRPr="00354361">
        <w:rPr>
          <w:i/>
          <w:sz w:val="20"/>
          <w:lang w:val="fr-CA"/>
        </w:rPr>
        <w:t>Dominic</w:t>
      </w:r>
      <w:proofErr w:type="spellEnd"/>
      <w:r w:rsidRPr="00354361">
        <w:rPr>
          <w:i/>
          <w:sz w:val="20"/>
          <w:lang w:val="fr-CA"/>
        </w:rPr>
        <w:t xml:space="preserve"> Dupoy</w:t>
      </w:r>
      <w:r w:rsidRPr="00354361">
        <w:rPr>
          <w:sz w:val="20"/>
          <w:lang w:val="fr-CA"/>
        </w:rPr>
        <w:t>, pour l’appelante.</w:t>
      </w:r>
    </w:p>
    <w:p w:rsidR="00354361" w:rsidRPr="00354361" w:rsidRDefault="00354361" w:rsidP="00354361">
      <w:pPr>
        <w:pStyle w:val="SCCNormalDoubleSpacing"/>
        <w:spacing w:line="240" w:lineRule="auto"/>
        <w:rPr>
          <w:sz w:val="20"/>
          <w:lang w:val="fr-CA"/>
        </w:rPr>
      </w:pPr>
    </w:p>
    <w:p w:rsidR="00354361" w:rsidRPr="00354361" w:rsidRDefault="00354361" w:rsidP="00354361">
      <w:pPr>
        <w:pStyle w:val="SCCNormalDoubleSpacing"/>
        <w:spacing w:line="240" w:lineRule="auto"/>
        <w:rPr>
          <w:sz w:val="20"/>
          <w:lang w:val="fr-CA"/>
        </w:rPr>
      </w:pPr>
      <w:r w:rsidRPr="00354361">
        <w:rPr>
          <w:i/>
          <w:sz w:val="20"/>
          <w:lang w:val="fr-CA"/>
        </w:rPr>
        <w:tab/>
        <w:t>Julius H. Grey</w:t>
      </w:r>
      <w:r w:rsidRPr="00354361">
        <w:rPr>
          <w:sz w:val="20"/>
          <w:lang w:val="fr-CA"/>
        </w:rPr>
        <w:t xml:space="preserve">, </w:t>
      </w:r>
      <w:proofErr w:type="spellStart"/>
      <w:r w:rsidRPr="00354361">
        <w:rPr>
          <w:i/>
          <w:sz w:val="20"/>
          <w:lang w:val="fr-CA"/>
        </w:rPr>
        <w:t>Politimi</w:t>
      </w:r>
      <w:proofErr w:type="spellEnd"/>
      <w:r w:rsidRPr="00354361">
        <w:rPr>
          <w:i/>
          <w:sz w:val="20"/>
          <w:lang w:val="fr-CA"/>
        </w:rPr>
        <w:t xml:space="preserve"> </w:t>
      </w:r>
      <w:proofErr w:type="spellStart"/>
      <w:r w:rsidRPr="00354361">
        <w:rPr>
          <w:i/>
          <w:sz w:val="20"/>
          <w:lang w:val="fr-CA"/>
        </w:rPr>
        <w:t>Karounis</w:t>
      </w:r>
      <w:proofErr w:type="spellEnd"/>
      <w:r w:rsidRPr="00354361">
        <w:rPr>
          <w:sz w:val="20"/>
          <w:lang w:val="fr-CA"/>
        </w:rPr>
        <w:t xml:space="preserve"> et </w:t>
      </w:r>
      <w:proofErr w:type="spellStart"/>
      <w:r w:rsidRPr="00354361">
        <w:rPr>
          <w:i/>
          <w:sz w:val="20"/>
          <w:lang w:val="fr-CA"/>
        </w:rPr>
        <w:t>Lynne</w:t>
      </w:r>
      <w:r w:rsidRPr="00354361">
        <w:rPr>
          <w:i/>
          <w:sz w:val="20"/>
          <w:lang w:val="fr-CA"/>
        </w:rPr>
        <w:noBreakHyphen/>
        <w:t>Marie</w:t>
      </w:r>
      <w:proofErr w:type="spellEnd"/>
      <w:r w:rsidRPr="00354361">
        <w:rPr>
          <w:i/>
          <w:sz w:val="20"/>
          <w:lang w:val="fr-CA"/>
        </w:rPr>
        <w:t xml:space="preserve"> </w:t>
      </w:r>
      <w:proofErr w:type="spellStart"/>
      <w:r w:rsidRPr="00354361">
        <w:rPr>
          <w:i/>
          <w:sz w:val="20"/>
          <w:lang w:val="fr-CA"/>
        </w:rPr>
        <w:t>Casgrain</w:t>
      </w:r>
      <w:proofErr w:type="spellEnd"/>
      <w:r w:rsidRPr="00354361">
        <w:rPr>
          <w:sz w:val="20"/>
          <w:lang w:val="fr-CA"/>
        </w:rPr>
        <w:t xml:space="preserve">, pour les intimés Richard </w:t>
      </w:r>
      <w:proofErr w:type="spellStart"/>
      <w:r w:rsidRPr="00354361">
        <w:rPr>
          <w:sz w:val="20"/>
          <w:lang w:val="fr-CA"/>
        </w:rPr>
        <w:t>Rossy</w:t>
      </w:r>
      <w:proofErr w:type="spellEnd"/>
      <w:r w:rsidRPr="00354361">
        <w:rPr>
          <w:sz w:val="20"/>
          <w:lang w:val="fr-CA"/>
        </w:rPr>
        <w:t xml:space="preserve"> et autres.</w:t>
      </w:r>
    </w:p>
    <w:p w:rsidR="00354361" w:rsidRDefault="00354361" w:rsidP="00354361">
      <w:pPr>
        <w:pStyle w:val="SCCNormalDoubleSpacing"/>
        <w:spacing w:line="240" w:lineRule="auto"/>
        <w:rPr>
          <w:i/>
          <w:sz w:val="20"/>
          <w:lang w:val="fr-CA"/>
        </w:rPr>
      </w:pPr>
    </w:p>
    <w:p w:rsidR="00354361" w:rsidRPr="00354361" w:rsidRDefault="00354361" w:rsidP="00354361">
      <w:pPr>
        <w:pStyle w:val="SCCNormalDoubleSpacing"/>
        <w:spacing w:line="240" w:lineRule="auto"/>
        <w:rPr>
          <w:sz w:val="20"/>
          <w:lang w:val="fr-CA"/>
        </w:rPr>
      </w:pPr>
      <w:r w:rsidRPr="00354361">
        <w:rPr>
          <w:i/>
          <w:sz w:val="20"/>
          <w:lang w:val="fr-CA"/>
        </w:rPr>
        <w:tab/>
      </w:r>
      <w:r w:rsidRPr="00D90288">
        <w:rPr>
          <w:sz w:val="20"/>
          <w:lang w:val="fr-CA"/>
        </w:rPr>
        <w:t>Personne n’a comparu</w:t>
      </w:r>
      <w:r w:rsidRPr="00354361">
        <w:rPr>
          <w:sz w:val="20"/>
          <w:lang w:val="fr-CA"/>
        </w:rPr>
        <w:t xml:space="preserve"> pour l’intimée la Société de l’assurance automobile du Québec. </w:t>
      </w:r>
    </w:p>
    <w:p w:rsidR="00354361" w:rsidRDefault="00354361" w:rsidP="00354361">
      <w:pPr>
        <w:pStyle w:val="SCCLawFirm"/>
        <w:spacing w:line="240" w:lineRule="auto"/>
        <w:rPr>
          <w:sz w:val="20"/>
          <w:lang w:val="fr-CA"/>
        </w:rPr>
      </w:pPr>
    </w:p>
    <w:p w:rsidR="00354361" w:rsidRPr="00354361" w:rsidRDefault="00354361" w:rsidP="00354361">
      <w:pPr>
        <w:pStyle w:val="SCCLawFirm"/>
        <w:spacing w:line="240" w:lineRule="auto"/>
        <w:rPr>
          <w:sz w:val="20"/>
          <w:lang w:val="fr-CA"/>
        </w:rPr>
      </w:pPr>
      <w:r w:rsidRPr="00354361">
        <w:rPr>
          <w:sz w:val="20"/>
          <w:lang w:val="fr-CA"/>
        </w:rPr>
        <w:tab/>
        <w:t>Procureurs de l’appelante : Norton Rose OR, Montréal.</w:t>
      </w:r>
    </w:p>
    <w:p w:rsidR="00354361" w:rsidRPr="00354361" w:rsidRDefault="00354361" w:rsidP="00354361">
      <w:pPr>
        <w:rPr>
          <w:i/>
          <w:sz w:val="20"/>
          <w:szCs w:val="20"/>
          <w:lang w:val="fr-CA"/>
        </w:rPr>
      </w:pPr>
    </w:p>
    <w:p w:rsidR="006B32DA" w:rsidRPr="00D90288" w:rsidRDefault="00354361" w:rsidP="00354361">
      <w:pPr>
        <w:rPr>
          <w:rFonts w:cs="Times New Roman"/>
          <w:i/>
          <w:sz w:val="20"/>
          <w:szCs w:val="20"/>
          <w:lang w:val="fr-CA"/>
        </w:rPr>
      </w:pPr>
      <w:r w:rsidRPr="00354361">
        <w:rPr>
          <w:i/>
          <w:sz w:val="20"/>
          <w:szCs w:val="20"/>
          <w:lang w:val="fr-CA"/>
        </w:rPr>
        <w:tab/>
        <w:t xml:space="preserve">Procureurs des intimés Richard </w:t>
      </w:r>
      <w:proofErr w:type="spellStart"/>
      <w:r w:rsidRPr="00354361">
        <w:rPr>
          <w:i/>
          <w:sz w:val="20"/>
          <w:szCs w:val="20"/>
          <w:lang w:val="fr-CA"/>
        </w:rPr>
        <w:t>Rossy</w:t>
      </w:r>
      <w:proofErr w:type="spellEnd"/>
      <w:r w:rsidRPr="00354361">
        <w:rPr>
          <w:i/>
          <w:sz w:val="20"/>
          <w:szCs w:val="20"/>
          <w:lang w:val="fr-CA"/>
        </w:rPr>
        <w:t xml:space="preserve"> et autres : Grey, </w:t>
      </w:r>
      <w:proofErr w:type="spellStart"/>
      <w:r w:rsidRPr="00354361">
        <w:rPr>
          <w:i/>
          <w:sz w:val="20"/>
          <w:szCs w:val="20"/>
          <w:lang w:val="fr-CA"/>
        </w:rPr>
        <w:t>Casgrain</w:t>
      </w:r>
      <w:proofErr w:type="spellEnd"/>
      <w:r w:rsidRPr="00354361">
        <w:rPr>
          <w:i/>
          <w:sz w:val="20"/>
          <w:szCs w:val="20"/>
          <w:lang w:val="fr-CA"/>
        </w:rPr>
        <w:t>,</w:t>
      </w:r>
      <w:r w:rsidR="00D90288" w:rsidRPr="00D90288">
        <w:rPr>
          <w:sz w:val="20"/>
          <w:szCs w:val="20"/>
          <w:lang w:val="fr-CA"/>
        </w:rPr>
        <w:t xml:space="preserve"> Montréal</w:t>
      </w:r>
      <w:r w:rsidR="00D90288">
        <w:rPr>
          <w:sz w:val="20"/>
          <w:szCs w:val="20"/>
          <w:lang w:val="fr-CA"/>
        </w:rPr>
        <w:t>.</w:t>
      </w:r>
    </w:p>
    <w:p w:rsidR="00354361" w:rsidRPr="00042EA6" w:rsidRDefault="00354361" w:rsidP="00354361">
      <w:pPr>
        <w:rPr>
          <w:rFonts w:cs="Times New Roman"/>
          <w:sz w:val="20"/>
          <w:szCs w:val="20"/>
          <w:lang w:val="en-US"/>
        </w:rPr>
      </w:pPr>
      <w:r w:rsidRPr="00042EA6">
        <w:rPr>
          <w:rFonts w:cs="Times New Roman"/>
          <w:sz w:val="20"/>
          <w:szCs w:val="20"/>
          <w:lang w:val="en-US"/>
        </w:rPr>
        <w:t>________________________</w:t>
      </w:r>
    </w:p>
    <w:p w:rsidR="00354361" w:rsidRPr="00042EA6" w:rsidRDefault="00354361" w:rsidP="00354361">
      <w:pPr>
        <w:rPr>
          <w:rFonts w:cs="Times New Roman"/>
          <w:sz w:val="20"/>
          <w:szCs w:val="20"/>
          <w:lang w:val="en-US"/>
        </w:rPr>
      </w:pPr>
    </w:p>
    <w:p w:rsidR="00354361" w:rsidRPr="00112C0F" w:rsidRDefault="00354361" w:rsidP="00354361">
      <w:pPr>
        <w:rPr>
          <w:rFonts w:cs="Times New Roman"/>
          <w:sz w:val="20"/>
          <w:szCs w:val="20"/>
          <w:lang w:val="en-US"/>
        </w:rPr>
      </w:pPr>
      <w:r w:rsidRPr="003B3977">
        <w:rPr>
          <w:rFonts w:cs="Times New Roman"/>
          <w:sz w:val="20"/>
          <w:szCs w:val="20"/>
        </w:rPr>
        <w:t xml:space="preserve">Present:  </w:t>
      </w:r>
      <w:r w:rsidRPr="00112C0F">
        <w:rPr>
          <w:rFonts w:cs="Times New Roman"/>
          <w:sz w:val="20"/>
          <w:szCs w:val="20"/>
          <w:lang w:val="en-US"/>
        </w:rPr>
        <w:t xml:space="preserve">McLachlin C.J. and </w:t>
      </w:r>
      <w:proofErr w:type="spellStart"/>
      <w:r w:rsidRPr="00112C0F">
        <w:rPr>
          <w:rFonts w:cs="Times New Roman"/>
          <w:sz w:val="20"/>
          <w:szCs w:val="20"/>
          <w:lang w:val="en-US"/>
        </w:rPr>
        <w:t>LeBel</w:t>
      </w:r>
      <w:proofErr w:type="spellEnd"/>
      <w:r w:rsidRPr="00112C0F">
        <w:rPr>
          <w:rFonts w:cs="Times New Roman"/>
          <w:sz w:val="20"/>
          <w:szCs w:val="20"/>
          <w:lang w:val="en-US"/>
        </w:rPr>
        <w:t xml:space="preserve">, Deschamps, Fish, </w:t>
      </w:r>
      <w:proofErr w:type="spellStart"/>
      <w:r w:rsidRPr="00112C0F">
        <w:rPr>
          <w:rFonts w:cs="Times New Roman"/>
          <w:sz w:val="20"/>
          <w:szCs w:val="20"/>
          <w:lang w:val="en-US"/>
        </w:rPr>
        <w:t>Abella</w:t>
      </w:r>
      <w:proofErr w:type="spellEnd"/>
      <w:r w:rsidRPr="00112C0F">
        <w:rPr>
          <w:rFonts w:cs="Times New Roman"/>
          <w:sz w:val="20"/>
          <w:szCs w:val="20"/>
          <w:lang w:val="en-US"/>
        </w:rPr>
        <w:t>, Cromwell and Karakatsanis JJ.</w:t>
      </w:r>
    </w:p>
    <w:p w:rsidR="00354361" w:rsidRDefault="00354361" w:rsidP="00354361">
      <w:pPr>
        <w:rPr>
          <w:rFonts w:cs="Times New Roman"/>
          <w:i/>
          <w:sz w:val="20"/>
          <w:szCs w:val="20"/>
          <w:lang w:val="en-US"/>
        </w:rPr>
      </w:pPr>
    </w:p>
    <w:p w:rsidR="007D6FCA" w:rsidRDefault="007D6FCA" w:rsidP="007D6FCA">
      <w:pPr>
        <w:tabs>
          <w:tab w:val="left" w:pos="1168"/>
        </w:tabs>
        <w:jc w:val="both"/>
        <w:rPr>
          <w:rFonts w:eastAsia="Times New Roman" w:cs="Times New Roman"/>
          <w:i/>
          <w:sz w:val="20"/>
          <w:szCs w:val="20"/>
          <w:lang w:eastAsia="en-CA"/>
        </w:rPr>
      </w:pPr>
      <w:r w:rsidRPr="007D6FCA">
        <w:rPr>
          <w:rFonts w:eastAsia="Times New Roman" w:cs="Times New Roman"/>
          <w:sz w:val="20"/>
          <w:szCs w:val="20"/>
          <w:lang w:eastAsia="en-CA"/>
        </w:rPr>
        <w:tab/>
      </w:r>
      <w:r w:rsidRPr="007D6FCA">
        <w:rPr>
          <w:rFonts w:eastAsia="Times New Roman" w:cs="Times New Roman"/>
          <w:i/>
          <w:sz w:val="20"/>
          <w:szCs w:val="20"/>
          <w:lang w:eastAsia="en-CA"/>
        </w:rPr>
        <w:t xml:space="preserve">Insurance — Automobile insurance — </w:t>
      </w:r>
      <w:proofErr w:type="spellStart"/>
      <w:r w:rsidRPr="007D6FCA">
        <w:rPr>
          <w:rFonts w:eastAsia="Times New Roman" w:cs="Times New Roman"/>
          <w:i/>
          <w:sz w:val="20"/>
          <w:szCs w:val="20"/>
          <w:lang w:eastAsia="en-CA"/>
        </w:rPr>
        <w:t>No</w:t>
      </w:r>
      <w:r w:rsidRPr="007D6FCA">
        <w:rPr>
          <w:rFonts w:eastAsia="Times New Roman" w:cs="Times New Roman"/>
          <w:i/>
          <w:sz w:val="20"/>
          <w:szCs w:val="20"/>
          <w:lang w:eastAsia="en-CA"/>
        </w:rPr>
        <w:noBreakHyphen/>
        <w:t>fault</w:t>
      </w:r>
      <w:proofErr w:type="spellEnd"/>
      <w:r w:rsidRPr="007D6FCA">
        <w:rPr>
          <w:rFonts w:eastAsia="Times New Roman" w:cs="Times New Roman"/>
          <w:i/>
          <w:sz w:val="20"/>
          <w:szCs w:val="20"/>
          <w:lang w:eastAsia="en-CA"/>
        </w:rPr>
        <w:t xml:space="preserve"> public automobile insurance scheme — Tree falling on vehicle causing driver’s death — Type of causal link necessary between damage and automobile — Whether driver’s injuries were “caused by an automobile, by the use thereof or by the load carried in or on an automobile”? — Automobile Insurance Act, R.S.Q., c. A</w:t>
      </w:r>
      <w:r w:rsidRPr="007D6FCA">
        <w:rPr>
          <w:rFonts w:eastAsia="Times New Roman" w:cs="Times New Roman"/>
          <w:i/>
          <w:sz w:val="20"/>
          <w:szCs w:val="20"/>
          <w:lang w:eastAsia="en-CA"/>
        </w:rPr>
        <w:noBreakHyphen/>
        <w:t>25, s. 1 “accident”, “damage caused by an automobile”.</w:t>
      </w:r>
    </w:p>
    <w:p w:rsidR="007D6FCA" w:rsidRPr="007D6FCA" w:rsidRDefault="007D6FCA" w:rsidP="007D6FCA">
      <w:pPr>
        <w:tabs>
          <w:tab w:val="left" w:pos="1168"/>
        </w:tabs>
        <w:jc w:val="both"/>
        <w:rPr>
          <w:rFonts w:eastAsia="Times New Roman" w:cs="Times New Roman"/>
          <w:i/>
          <w:sz w:val="20"/>
          <w:szCs w:val="20"/>
          <w:lang w:eastAsia="en-CA"/>
        </w:rPr>
      </w:pPr>
    </w:p>
    <w:p w:rsidR="007D6FCA" w:rsidRDefault="007D6FCA" w:rsidP="007D6FCA">
      <w:pPr>
        <w:tabs>
          <w:tab w:val="left" w:pos="1168"/>
        </w:tabs>
        <w:jc w:val="both"/>
        <w:rPr>
          <w:rFonts w:eastAsia="Times New Roman" w:cs="Times New Roman"/>
          <w:i/>
          <w:sz w:val="20"/>
          <w:szCs w:val="20"/>
          <w:lang w:eastAsia="en-CA"/>
        </w:rPr>
      </w:pPr>
      <w:r w:rsidRPr="007D6FCA">
        <w:rPr>
          <w:rFonts w:eastAsia="Times New Roman" w:cs="Times New Roman"/>
          <w:i/>
          <w:sz w:val="20"/>
          <w:szCs w:val="20"/>
          <w:lang w:eastAsia="en-CA"/>
        </w:rPr>
        <w:tab/>
        <w:t>Civil procedure — Exception to dismiss action — Tree falling on vehicle causing driver’s death — Driver’s family members filing action in damages against city where accident occurred — Whether civil claim barred by virtue of public automobile insurance scheme’s application — Code of Civil Procedure, R.S.Q., c. C</w:t>
      </w:r>
      <w:r w:rsidRPr="007D6FCA">
        <w:rPr>
          <w:rFonts w:eastAsia="Times New Roman" w:cs="Times New Roman"/>
          <w:i/>
          <w:sz w:val="20"/>
          <w:szCs w:val="20"/>
          <w:lang w:eastAsia="en-CA"/>
        </w:rPr>
        <w:noBreakHyphen/>
        <w:t>25, arts. </w:t>
      </w:r>
      <w:proofErr w:type="gramStart"/>
      <w:r w:rsidRPr="007D6FCA">
        <w:rPr>
          <w:rFonts w:eastAsia="Times New Roman" w:cs="Times New Roman"/>
          <w:i/>
          <w:sz w:val="20"/>
          <w:szCs w:val="20"/>
          <w:lang w:eastAsia="en-CA"/>
        </w:rPr>
        <w:t>75.1, 165(4) — Automobile Insurance Act, R.S.Q., c. A</w:t>
      </w:r>
      <w:r w:rsidRPr="007D6FCA">
        <w:rPr>
          <w:rFonts w:eastAsia="Times New Roman" w:cs="Times New Roman"/>
          <w:i/>
          <w:sz w:val="20"/>
          <w:szCs w:val="20"/>
          <w:lang w:eastAsia="en-CA"/>
        </w:rPr>
        <w:noBreakHyphen/>
        <w:t>25, s. 83.57.</w:t>
      </w:r>
      <w:proofErr w:type="gramEnd"/>
    </w:p>
    <w:p w:rsidR="007D6FCA" w:rsidRPr="007D6FCA" w:rsidRDefault="007D6FCA" w:rsidP="007D6FCA">
      <w:pPr>
        <w:tabs>
          <w:tab w:val="left" w:pos="1168"/>
        </w:tabs>
        <w:jc w:val="both"/>
        <w:rPr>
          <w:rFonts w:eastAsia="Times New Roman" w:cs="Times New Roman"/>
          <w:sz w:val="20"/>
          <w:szCs w:val="20"/>
          <w:lang w:eastAsia="en-CA"/>
        </w:rPr>
      </w:pPr>
    </w:p>
    <w:p w:rsidR="007D6FCA" w:rsidRDefault="007D6FCA" w:rsidP="007D6FCA">
      <w:pPr>
        <w:tabs>
          <w:tab w:val="left" w:pos="1168"/>
        </w:tabs>
        <w:jc w:val="both"/>
        <w:rPr>
          <w:rFonts w:eastAsia="Times New Roman" w:cs="Times New Roman"/>
          <w:sz w:val="20"/>
          <w:szCs w:val="20"/>
          <w:lang w:eastAsia="en-CA"/>
        </w:rPr>
      </w:pPr>
      <w:r w:rsidRPr="007D6FCA">
        <w:rPr>
          <w:rFonts w:eastAsia="Times New Roman" w:cs="Times New Roman"/>
          <w:sz w:val="20"/>
          <w:szCs w:val="20"/>
          <w:lang w:eastAsia="en-CA"/>
        </w:rPr>
        <w:tab/>
        <w:t xml:space="preserve">R was killed when a tree fell on the vehicle he was driving in the City of Westmount.  R’s parents and three brothers filed an action in damages against the City on the basis of civil liability under the </w:t>
      </w:r>
      <w:r w:rsidRPr="007D6FCA">
        <w:rPr>
          <w:rFonts w:eastAsia="Times New Roman" w:cs="Times New Roman"/>
          <w:i/>
          <w:sz w:val="20"/>
          <w:szCs w:val="20"/>
          <w:lang w:eastAsia="en-CA"/>
        </w:rPr>
        <w:t>Civil Code of Québec</w:t>
      </w:r>
      <w:r w:rsidRPr="007D6FCA">
        <w:rPr>
          <w:rFonts w:eastAsia="Times New Roman" w:cs="Times New Roman"/>
          <w:sz w:val="20"/>
          <w:szCs w:val="20"/>
          <w:lang w:eastAsia="en-CA"/>
        </w:rPr>
        <w:t>.  They alleged that, as the owner of the tree, the City had failed to properly maintain it.  The City moved to dismiss the action under arts. </w:t>
      </w:r>
      <w:proofErr w:type="gramStart"/>
      <w:r w:rsidRPr="007D6FCA">
        <w:rPr>
          <w:rFonts w:eastAsia="Times New Roman" w:cs="Times New Roman"/>
          <w:sz w:val="20"/>
          <w:szCs w:val="20"/>
          <w:lang w:eastAsia="en-CA"/>
        </w:rPr>
        <w:t xml:space="preserve">165(4) and 75.1 of the </w:t>
      </w:r>
      <w:r w:rsidRPr="007D6FCA">
        <w:rPr>
          <w:rFonts w:eastAsia="Times New Roman" w:cs="Times New Roman"/>
          <w:i/>
          <w:sz w:val="20"/>
          <w:szCs w:val="20"/>
          <w:lang w:eastAsia="en-CA"/>
        </w:rPr>
        <w:t>Code of Civil Procedure</w:t>
      </w:r>
      <w:r w:rsidRPr="007D6FCA">
        <w:rPr>
          <w:rFonts w:eastAsia="Times New Roman" w:cs="Times New Roman"/>
          <w:sz w:val="20"/>
          <w:szCs w:val="20"/>
          <w:lang w:eastAsia="en-CA"/>
        </w:rPr>
        <w:t>.</w:t>
      </w:r>
      <w:proofErr w:type="gramEnd"/>
      <w:r w:rsidRPr="007D6FCA">
        <w:rPr>
          <w:rFonts w:eastAsia="Times New Roman" w:cs="Times New Roman"/>
          <w:sz w:val="20"/>
          <w:szCs w:val="20"/>
          <w:lang w:eastAsia="en-CA"/>
        </w:rPr>
        <w:t xml:space="preserve">  It argued that the injury resulted from an accident caused by an automobile and, therefore, that any compensation for personal injury was governed by the </w:t>
      </w:r>
      <w:r w:rsidRPr="007D6FCA">
        <w:rPr>
          <w:rFonts w:eastAsia="Times New Roman" w:cs="Times New Roman"/>
          <w:i/>
          <w:sz w:val="20"/>
          <w:szCs w:val="20"/>
          <w:lang w:eastAsia="en-CA"/>
        </w:rPr>
        <w:t>Automobile Insurance Act</w:t>
      </w:r>
      <w:r w:rsidRPr="007D6FCA">
        <w:rPr>
          <w:rFonts w:eastAsia="Times New Roman" w:cs="Times New Roman"/>
          <w:sz w:val="20"/>
          <w:szCs w:val="20"/>
          <w:lang w:eastAsia="en-CA"/>
        </w:rPr>
        <w:t xml:space="preserve"> (“Act”).  The Superior Court granted the City’s motion and dismissed the action.  The Court of Appeal concluded that an injury is not “damage caused by an automobile” simply because the victim was in a vehicle at the time of the accident. It found that the motion’s allegations led to the conclusion that there was nothing to connect R’s injuries with the fact that he was in a vehicle.  It allowed the appeal and held that the case could proceed in the Superior Court.</w:t>
      </w:r>
    </w:p>
    <w:p w:rsidR="007D6FCA" w:rsidRDefault="007D6FCA" w:rsidP="007D6FCA">
      <w:pPr>
        <w:tabs>
          <w:tab w:val="left" w:pos="1168"/>
        </w:tabs>
        <w:jc w:val="both"/>
        <w:rPr>
          <w:rFonts w:eastAsia="Times New Roman" w:cs="Times New Roman"/>
          <w:sz w:val="20"/>
          <w:szCs w:val="20"/>
          <w:lang w:eastAsia="en-CA"/>
        </w:rPr>
      </w:pPr>
    </w:p>
    <w:p w:rsidR="007D6FCA" w:rsidRDefault="007D6FCA" w:rsidP="007D6FCA">
      <w:pPr>
        <w:tabs>
          <w:tab w:val="left" w:pos="1168"/>
        </w:tabs>
        <w:jc w:val="both"/>
        <w:rPr>
          <w:rFonts w:eastAsia="Times New Roman" w:cs="Times New Roman"/>
          <w:sz w:val="20"/>
          <w:szCs w:val="20"/>
          <w:lang w:eastAsia="en-CA"/>
        </w:rPr>
      </w:pPr>
      <w:r w:rsidRPr="007D6FCA">
        <w:rPr>
          <w:rFonts w:eastAsia="Times New Roman" w:cs="Times New Roman"/>
          <w:sz w:val="20"/>
          <w:szCs w:val="20"/>
          <w:lang w:eastAsia="en-CA"/>
        </w:rPr>
        <w:tab/>
      </w:r>
      <w:r w:rsidRPr="007D6FCA">
        <w:rPr>
          <w:rFonts w:eastAsia="Times New Roman" w:cs="Times New Roman"/>
          <w:i/>
          <w:sz w:val="20"/>
          <w:szCs w:val="20"/>
          <w:lang w:eastAsia="en-CA"/>
        </w:rPr>
        <w:t>Held:</w:t>
      </w:r>
      <w:r w:rsidRPr="007D6FCA">
        <w:rPr>
          <w:rFonts w:eastAsia="Times New Roman" w:cs="Times New Roman"/>
          <w:sz w:val="20"/>
          <w:szCs w:val="20"/>
          <w:lang w:eastAsia="en-CA"/>
        </w:rPr>
        <w:t xml:space="preserve">  The appeal should be allowed.</w:t>
      </w:r>
    </w:p>
    <w:p w:rsidR="007D6FCA" w:rsidRPr="007D6FCA" w:rsidRDefault="007D6FCA" w:rsidP="007D6FCA">
      <w:pPr>
        <w:tabs>
          <w:tab w:val="left" w:pos="1168"/>
        </w:tabs>
        <w:jc w:val="both"/>
        <w:rPr>
          <w:rFonts w:eastAsia="Times New Roman" w:cs="Times New Roman"/>
          <w:sz w:val="20"/>
          <w:szCs w:val="20"/>
          <w:lang w:eastAsia="en-CA"/>
        </w:rPr>
      </w:pPr>
    </w:p>
    <w:p w:rsidR="007D6FCA" w:rsidRDefault="007D6FCA" w:rsidP="007D6FCA">
      <w:pPr>
        <w:tabs>
          <w:tab w:val="left" w:pos="1168"/>
        </w:tabs>
        <w:jc w:val="both"/>
        <w:rPr>
          <w:rFonts w:eastAsia="Times New Roman" w:cs="Times New Roman"/>
          <w:sz w:val="20"/>
          <w:szCs w:val="20"/>
          <w:lang w:eastAsia="en-CA"/>
        </w:rPr>
      </w:pPr>
      <w:r w:rsidRPr="007D6FCA">
        <w:rPr>
          <w:rFonts w:eastAsia="Times New Roman" w:cs="Times New Roman"/>
          <w:sz w:val="20"/>
          <w:szCs w:val="20"/>
          <w:lang w:eastAsia="en-CA"/>
        </w:rPr>
        <w:tab/>
        <w:t xml:space="preserve">The Act is considered remedial legislation.  Therefore, it must be interpreted in accordance with s. 41 of the </w:t>
      </w:r>
      <w:r w:rsidRPr="007D6FCA">
        <w:rPr>
          <w:rFonts w:eastAsia="Times New Roman" w:cs="Times New Roman"/>
          <w:i/>
          <w:sz w:val="20"/>
          <w:szCs w:val="20"/>
          <w:lang w:eastAsia="en-CA"/>
        </w:rPr>
        <w:t>Interpretation Act</w:t>
      </w:r>
      <w:r w:rsidRPr="007D6FCA">
        <w:rPr>
          <w:rFonts w:eastAsia="Times New Roman" w:cs="Times New Roman"/>
          <w:sz w:val="20"/>
          <w:szCs w:val="20"/>
          <w:lang w:eastAsia="en-CA"/>
        </w:rPr>
        <w:t xml:space="preserve">.  It must be given a large and liberal interpretation to ensure that its purpose is attained.  The Court of Appeal’s decision in </w:t>
      </w:r>
      <w:r w:rsidRPr="007D6FCA">
        <w:rPr>
          <w:rFonts w:eastAsia="Times New Roman" w:cs="Times New Roman"/>
          <w:i/>
          <w:sz w:val="20"/>
          <w:szCs w:val="20"/>
          <w:lang w:eastAsia="en-CA"/>
        </w:rPr>
        <w:t>Productions Pram inc. v. Lemay</w:t>
      </w:r>
      <w:r w:rsidRPr="007D6FCA">
        <w:rPr>
          <w:rFonts w:eastAsia="Times New Roman" w:cs="Times New Roman"/>
          <w:sz w:val="20"/>
          <w:szCs w:val="20"/>
          <w:lang w:eastAsia="en-CA"/>
        </w:rPr>
        <w:t xml:space="preserve">, [1992] R.J.Q. 1738, teaches that, in determining whether the Act applies, a court must not look for a traditional causal link between fault and damage as is routinely done in </w:t>
      </w:r>
      <w:proofErr w:type="spellStart"/>
      <w:r w:rsidRPr="007D6FCA">
        <w:rPr>
          <w:rFonts w:eastAsia="Times New Roman" w:cs="Times New Roman"/>
          <w:sz w:val="20"/>
          <w:szCs w:val="20"/>
          <w:lang w:eastAsia="en-CA"/>
        </w:rPr>
        <w:t>delictual</w:t>
      </w:r>
      <w:proofErr w:type="spellEnd"/>
      <w:r w:rsidRPr="007D6FCA">
        <w:rPr>
          <w:rFonts w:eastAsia="Times New Roman" w:cs="Times New Roman"/>
          <w:sz w:val="20"/>
          <w:szCs w:val="20"/>
          <w:lang w:eastAsia="en-CA"/>
        </w:rPr>
        <w:t xml:space="preserve"> or </w:t>
      </w:r>
      <w:proofErr w:type="spellStart"/>
      <w:r w:rsidRPr="007D6FCA">
        <w:rPr>
          <w:rFonts w:eastAsia="Times New Roman" w:cs="Times New Roman"/>
          <w:sz w:val="20"/>
          <w:szCs w:val="20"/>
          <w:lang w:eastAsia="en-CA"/>
        </w:rPr>
        <w:t>quasi</w:t>
      </w:r>
      <w:r w:rsidRPr="007D6FCA">
        <w:rPr>
          <w:rFonts w:eastAsia="Times New Roman" w:cs="Times New Roman"/>
          <w:sz w:val="20"/>
          <w:szCs w:val="20"/>
          <w:lang w:eastAsia="en-CA"/>
        </w:rPr>
        <w:noBreakHyphen/>
        <w:t>delictual</w:t>
      </w:r>
      <w:proofErr w:type="spellEnd"/>
      <w:r w:rsidRPr="007D6FCA">
        <w:rPr>
          <w:rFonts w:eastAsia="Times New Roman" w:cs="Times New Roman"/>
          <w:sz w:val="20"/>
          <w:szCs w:val="20"/>
          <w:lang w:eastAsia="en-CA"/>
        </w:rPr>
        <w:t xml:space="preserve"> civil liability cases.  The principles from </w:t>
      </w:r>
      <w:r w:rsidRPr="007D6FCA">
        <w:rPr>
          <w:rFonts w:eastAsia="Times New Roman" w:cs="Times New Roman"/>
          <w:i/>
          <w:sz w:val="20"/>
          <w:szCs w:val="20"/>
          <w:lang w:eastAsia="en-CA"/>
        </w:rPr>
        <w:t>Pram</w:t>
      </w:r>
      <w:r w:rsidRPr="007D6FCA">
        <w:rPr>
          <w:rFonts w:eastAsia="Times New Roman" w:cs="Times New Roman"/>
          <w:sz w:val="20"/>
          <w:szCs w:val="20"/>
          <w:lang w:eastAsia="en-CA"/>
        </w:rPr>
        <w:t xml:space="preserve"> are a useful guide to the interpretation of the Act and should be reaffirmed.  Each case must be considered on its facts. However, at a minimum, an accident arising out of the use of a vehicle as a means of transportation will fall within the definition of “accident” in the Act and will therefore be “caused by an automobile” within the meaning of the Act.  Any civil action in connection with the damage caused by that accident will be barred and victims will have to file a claim with the </w:t>
      </w:r>
      <w:proofErr w:type="spellStart"/>
      <w:r w:rsidRPr="007D6FCA">
        <w:rPr>
          <w:rFonts w:eastAsia="Times New Roman" w:cs="Times New Roman"/>
          <w:sz w:val="20"/>
          <w:szCs w:val="20"/>
          <w:lang w:eastAsia="en-CA"/>
        </w:rPr>
        <w:t>Société</w:t>
      </w:r>
      <w:proofErr w:type="spellEnd"/>
      <w:r w:rsidRPr="007D6FCA">
        <w:rPr>
          <w:rFonts w:eastAsia="Times New Roman" w:cs="Times New Roman"/>
          <w:sz w:val="20"/>
          <w:szCs w:val="20"/>
          <w:lang w:eastAsia="en-CA"/>
        </w:rPr>
        <w:t xml:space="preserve"> de </w:t>
      </w:r>
      <w:proofErr w:type="spellStart"/>
      <w:r w:rsidRPr="007D6FCA">
        <w:rPr>
          <w:rFonts w:eastAsia="Times New Roman" w:cs="Times New Roman"/>
          <w:sz w:val="20"/>
          <w:szCs w:val="20"/>
          <w:lang w:eastAsia="en-CA"/>
        </w:rPr>
        <w:t>l’assurance</w:t>
      </w:r>
      <w:proofErr w:type="spellEnd"/>
      <w:r w:rsidRPr="007D6FCA">
        <w:rPr>
          <w:rFonts w:eastAsia="Times New Roman" w:cs="Times New Roman"/>
          <w:sz w:val="20"/>
          <w:szCs w:val="20"/>
          <w:lang w:eastAsia="en-CA"/>
        </w:rPr>
        <w:t xml:space="preserve"> automobile du Québec.  The vehicle’s role in the accident need not be an active one.  The mere use or operation of the vehicle, as a vehicle, will be sufficient for the Act to apply.  This interpretation follows from a straightforward application of the principles developed in </w:t>
      </w:r>
      <w:r w:rsidRPr="007D6FCA">
        <w:rPr>
          <w:rFonts w:eastAsia="Times New Roman" w:cs="Times New Roman"/>
          <w:i/>
          <w:sz w:val="20"/>
          <w:szCs w:val="20"/>
          <w:lang w:eastAsia="en-CA"/>
        </w:rPr>
        <w:t>Pram</w:t>
      </w:r>
      <w:r w:rsidRPr="007D6FCA">
        <w:rPr>
          <w:rFonts w:eastAsia="Times New Roman" w:cs="Times New Roman"/>
          <w:sz w:val="20"/>
          <w:szCs w:val="20"/>
          <w:lang w:eastAsia="en-CA"/>
        </w:rPr>
        <w:t xml:space="preserve">.  It is in line with the jurisprudence and the literature, and it gives effect to the objective of the legislative scheme. </w:t>
      </w:r>
    </w:p>
    <w:p w:rsidR="007D6FCA" w:rsidRPr="007D6FCA" w:rsidRDefault="007D6FCA" w:rsidP="007D6FCA">
      <w:pPr>
        <w:tabs>
          <w:tab w:val="left" w:pos="1168"/>
        </w:tabs>
        <w:jc w:val="both"/>
        <w:rPr>
          <w:rFonts w:eastAsia="Times New Roman" w:cs="Times New Roman"/>
          <w:sz w:val="20"/>
          <w:szCs w:val="20"/>
          <w:lang w:eastAsia="en-CA"/>
        </w:rPr>
      </w:pPr>
    </w:p>
    <w:p w:rsidR="007D6FCA" w:rsidRPr="007D6FCA" w:rsidRDefault="007D6FCA" w:rsidP="007D6FCA">
      <w:pPr>
        <w:tabs>
          <w:tab w:val="left" w:pos="1168"/>
        </w:tabs>
        <w:jc w:val="both"/>
        <w:rPr>
          <w:rFonts w:eastAsia="Times New Roman" w:cs="Times New Roman"/>
          <w:sz w:val="20"/>
          <w:szCs w:val="20"/>
          <w:lang w:eastAsia="en-CA"/>
        </w:rPr>
      </w:pPr>
      <w:r w:rsidRPr="007D6FCA">
        <w:rPr>
          <w:rFonts w:eastAsia="Times New Roman" w:cs="Times New Roman"/>
          <w:sz w:val="20"/>
          <w:szCs w:val="20"/>
          <w:lang w:eastAsia="en-CA"/>
        </w:rPr>
        <w:tab/>
        <w:t xml:space="preserve">On the facts of this case, the Act applies to R’s accident.  Although the vehicle may have been stationary or moving through an intersection, the evidence on the record is that R was using the vehicle as a means of transportation when the accident occurred.  This is enough to find that the damage arose as a result of an “accident” within the meaning of the Act and that the </w:t>
      </w:r>
      <w:proofErr w:type="spellStart"/>
      <w:r w:rsidRPr="007D6FCA">
        <w:rPr>
          <w:rFonts w:eastAsia="Times New Roman" w:cs="Times New Roman"/>
          <w:sz w:val="20"/>
          <w:szCs w:val="20"/>
          <w:lang w:eastAsia="en-CA"/>
        </w:rPr>
        <w:t>no</w:t>
      </w:r>
      <w:r w:rsidRPr="007D6FCA">
        <w:rPr>
          <w:rFonts w:eastAsia="Times New Roman" w:cs="Times New Roman"/>
          <w:sz w:val="20"/>
          <w:szCs w:val="20"/>
          <w:lang w:eastAsia="en-CA"/>
        </w:rPr>
        <w:noBreakHyphen/>
        <w:t>fault</w:t>
      </w:r>
      <w:proofErr w:type="spellEnd"/>
      <w:r w:rsidRPr="007D6FCA">
        <w:rPr>
          <w:rFonts w:eastAsia="Times New Roman" w:cs="Times New Roman"/>
          <w:sz w:val="20"/>
          <w:szCs w:val="20"/>
          <w:lang w:eastAsia="en-CA"/>
        </w:rPr>
        <w:t xml:space="preserve"> benefits of the scheme are triggered.  Therefore, the civil claim is barred and R’s parents and brothers must turn instead to the </w:t>
      </w:r>
      <w:proofErr w:type="spellStart"/>
      <w:r w:rsidRPr="007D6FCA">
        <w:rPr>
          <w:rFonts w:eastAsia="Times New Roman" w:cs="Times New Roman"/>
          <w:sz w:val="20"/>
          <w:szCs w:val="20"/>
          <w:lang w:eastAsia="en-CA"/>
        </w:rPr>
        <w:t>Société</w:t>
      </w:r>
      <w:proofErr w:type="spellEnd"/>
      <w:r w:rsidRPr="007D6FCA">
        <w:rPr>
          <w:rFonts w:eastAsia="Times New Roman" w:cs="Times New Roman"/>
          <w:sz w:val="20"/>
          <w:szCs w:val="20"/>
          <w:lang w:eastAsia="en-CA"/>
        </w:rPr>
        <w:t xml:space="preserve"> de </w:t>
      </w:r>
      <w:proofErr w:type="spellStart"/>
      <w:r w:rsidRPr="007D6FCA">
        <w:rPr>
          <w:rFonts w:eastAsia="Times New Roman" w:cs="Times New Roman"/>
          <w:sz w:val="20"/>
          <w:szCs w:val="20"/>
          <w:lang w:eastAsia="en-CA"/>
        </w:rPr>
        <w:t>l’assurance</w:t>
      </w:r>
      <w:proofErr w:type="spellEnd"/>
      <w:r w:rsidRPr="007D6FCA">
        <w:rPr>
          <w:rFonts w:eastAsia="Times New Roman" w:cs="Times New Roman"/>
          <w:sz w:val="20"/>
          <w:szCs w:val="20"/>
          <w:lang w:eastAsia="en-CA"/>
        </w:rPr>
        <w:t xml:space="preserve"> automobile du Québec for compensation. The Court of Appeal erred in interpreting the Act too narrowly.  Such an interpretation risks unduly restricting the intended application of Quebec’s </w:t>
      </w:r>
      <w:proofErr w:type="spellStart"/>
      <w:r w:rsidRPr="007D6FCA">
        <w:rPr>
          <w:rFonts w:eastAsia="Times New Roman" w:cs="Times New Roman"/>
          <w:sz w:val="20"/>
          <w:szCs w:val="20"/>
          <w:lang w:eastAsia="en-CA"/>
        </w:rPr>
        <w:t>no</w:t>
      </w:r>
      <w:r w:rsidRPr="007D6FCA">
        <w:rPr>
          <w:rFonts w:eastAsia="Times New Roman" w:cs="Times New Roman"/>
          <w:sz w:val="20"/>
          <w:szCs w:val="20"/>
          <w:lang w:eastAsia="en-CA"/>
        </w:rPr>
        <w:noBreakHyphen/>
        <w:t>fault</w:t>
      </w:r>
      <w:proofErr w:type="spellEnd"/>
      <w:r w:rsidRPr="007D6FCA">
        <w:rPr>
          <w:rFonts w:eastAsia="Times New Roman" w:cs="Times New Roman"/>
          <w:sz w:val="20"/>
          <w:szCs w:val="20"/>
          <w:lang w:eastAsia="en-CA"/>
        </w:rPr>
        <w:t xml:space="preserve"> scheme and must therefore be rejected.</w:t>
      </w:r>
    </w:p>
    <w:p w:rsidR="007D6FCA" w:rsidRPr="007D6FCA" w:rsidRDefault="007D6FCA" w:rsidP="007D6FCA">
      <w:pPr>
        <w:rPr>
          <w:rFonts w:cs="Times New Roman"/>
          <w:i/>
          <w:sz w:val="20"/>
          <w:szCs w:val="20"/>
        </w:rPr>
      </w:pPr>
    </w:p>
    <w:p w:rsidR="007D6FCA" w:rsidRDefault="007D6FCA" w:rsidP="007D6FCA">
      <w:pPr>
        <w:pStyle w:val="SCCNormalDoubleSpacing"/>
        <w:spacing w:line="240" w:lineRule="auto"/>
        <w:rPr>
          <w:sz w:val="20"/>
        </w:rPr>
      </w:pPr>
      <w:r w:rsidRPr="006D2D47">
        <w:rPr>
          <w:sz w:val="20"/>
          <w:lang w:val="en-US"/>
        </w:rPr>
        <w:tab/>
      </w:r>
      <w:r w:rsidRPr="007D6FCA">
        <w:rPr>
          <w:sz w:val="20"/>
        </w:rPr>
        <w:t xml:space="preserve">APPEAL from a judgment of the Quebec Court of Appeal (Thibault and </w:t>
      </w:r>
      <w:proofErr w:type="spellStart"/>
      <w:r w:rsidRPr="007D6FCA">
        <w:rPr>
          <w:sz w:val="20"/>
        </w:rPr>
        <w:t>Dufresne</w:t>
      </w:r>
      <w:proofErr w:type="spellEnd"/>
      <w:r w:rsidRPr="007D6FCA">
        <w:rPr>
          <w:sz w:val="20"/>
        </w:rPr>
        <w:t xml:space="preserve"> JJ.A. and </w:t>
      </w:r>
      <w:proofErr w:type="spellStart"/>
      <w:r w:rsidRPr="007D6FCA">
        <w:rPr>
          <w:sz w:val="20"/>
        </w:rPr>
        <w:t>Cournoyer</w:t>
      </w:r>
      <w:proofErr w:type="spellEnd"/>
      <w:r w:rsidRPr="007D6FCA">
        <w:rPr>
          <w:sz w:val="20"/>
        </w:rPr>
        <w:t> J. (</w:t>
      </w:r>
      <w:r w:rsidRPr="007D6FCA">
        <w:rPr>
          <w:i/>
          <w:sz w:val="20"/>
        </w:rPr>
        <w:t>ad hoc</w:t>
      </w:r>
      <w:r w:rsidRPr="007D6FCA">
        <w:rPr>
          <w:sz w:val="20"/>
        </w:rPr>
        <w:t>)), 2010 QCCA 2131, [2010] R.J.Q. 2338, [2010] J.Q. n</w:t>
      </w:r>
      <w:r w:rsidRPr="007D6FCA">
        <w:rPr>
          <w:sz w:val="20"/>
          <w:vertAlign w:val="superscript"/>
        </w:rPr>
        <w:t>o</w:t>
      </w:r>
      <w:r w:rsidRPr="007D6FCA">
        <w:rPr>
          <w:sz w:val="20"/>
        </w:rPr>
        <w:t xml:space="preserve"> 12046 (QL), 2010 </w:t>
      </w:r>
      <w:proofErr w:type="spellStart"/>
      <w:r w:rsidRPr="007D6FCA">
        <w:rPr>
          <w:sz w:val="20"/>
        </w:rPr>
        <w:t>CarswellQue</w:t>
      </w:r>
      <w:proofErr w:type="spellEnd"/>
      <w:r w:rsidRPr="007D6FCA">
        <w:rPr>
          <w:sz w:val="20"/>
        </w:rPr>
        <w:t xml:space="preserve"> 12485, setting aside a decision of </w:t>
      </w:r>
      <w:proofErr w:type="spellStart"/>
      <w:r w:rsidRPr="007D6FCA">
        <w:rPr>
          <w:sz w:val="20"/>
        </w:rPr>
        <w:t>Reimnitz</w:t>
      </w:r>
      <w:proofErr w:type="spellEnd"/>
      <w:r w:rsidRPr="007D6FCA">
        <w:rPr>
          <w:sz w:val="20"/>
        </w:rPr>
        <w:t> J., 2008 QCCS 4471 (</w:t>
      </w:r>
      <w:proofErr w:type="spellStart"/>
      <w:r w:rsidRPr="007D6FCA">
        <w:rPr>
          <w:sz w:val="20"/>
        </w:rPr>
        <w:t>CanLII</w:t>
      </w:r>
      <w:proofErr w:type="spellEnd"/>
      <w:r w:rsidRPr="007D6FCA">
        <w:rPr>
          <w:sz w:val="20"/>
        </w:rPr>
        <w:t>), [2008] J.Q. n</w:t>
      </w:r>
      <w:r w:rsidRPr="007D6FCA">
        <w:rPr>
          <w:sz w:val="20"/>
          <w:vertAlign w:val="superscript"/>
        </w:rPr>
        <w:t>o</w:t>
      </w:r>
      <w:r w:rsidRPr="007D6FCA">
        <w:rPr>
          <w:sz w:val="20"/>
        </w:rPr>
        <w:t xml:space="preserve"> 9318 (QL), 2008 </w:t>
      </w:r>
      <w:proofErr w:type="spellStart"/>
      <w:r w:rsidRPr="007D6FCA">
        <w:rPr>
          <w:sz w:val="20"/>
        </w:rPr>
        <w:t>CarswellQue</w:t>
      </w:r>
      <w:proofErr w:type="spellEnd"/>
      <w:r w:rsidRPr="007D6FCA">
        <w:rPr>
          <w:sz w:val="20"/>
        </w:rPr>
        <w:t xml:space="preserve"> 9489.  Appeal allowed.</w:t>
      </w:r>
    </w:p>
    <w:p w:rsidR="007D6FCA" w:rsidRPr="007D6FCA" w:rsidRDefault="007D6FCA" w:rsidP="007D6FCA">
      <w:pPr>
        <w:pStyle w:val="SCCNormalDoubleSpacing"/>
        <w:spacing w:line="240" w:lineRule="auto"/>
        <w:rPr>
          <w:sz w:val="20"/>
        </w:rPr>
      </w:pPr>
    </w:p>
    <w:p w:rsidR="007D6FCA" w:rsidRPr="007D6FCA" w:rsidRDefault="007D6FCA" w:rsidP="007D6FCA">
      <w:pPr>
        <w:pStyle w:val="SCCNormalDoubleSpacing"/>
        <w:spacing w:line="240" w:lineRule="auto"/>
        <w:rPr>
          <w:sz w:val="20"/>
        </w:rPr>
      </w:pPr>
      <w:r w:rsidRPr="007D6FCA">
        <w:rPr>
          <w:i/>
          <w:sz w:val="20"/>
        </w:rPr>
        <w:tab/>
      </w:r>
      <w:proofErr w:type="gramStart"/>
      <w:r w:rsidRPr="007D6FCA">
        <w:rPr>
          <w:i/>
          <w:sz w:val="20"/>
        </w:rPr>
        <w:t xml:space="preserve">André </w:t>
      </w:r>
      <w:proofErr w:type="spellStart"/>
      <w:r w:rsidRPr="007D6FCA">
        <w:rPr>
          <w:i/>
          <w:sz w:val="20"/>
        </w:rPr>
        <w:t>Legrand</w:t>
      </w:r>
      <w:proofErr w:type="spellEnd"/>
      <w:r w:rsidRPr="007D6FCA">
        <w:rPr>
          <w:sz w:val="20"/>
        </w:rPr>
        <w:t xml:space="preserve"> and </w:t>
      </w:r>
      <w:r w:rsidRPr="007D6FCA">
        <w:rPr>
          <w:i/>
          <w:sz w:val="20"/>
        </w:rPr>
        <w:t xml:space="preserve">Dominic </w:t>
      </w:r>
      <w:proofErr w:type="spellStart"/>
      <w:r w:rsidRPr="007D6FCA">
        <w:rPr>
          <w:i/>
          <w:sz w:val="20"/>
        </w:rPr>
        <w:t>Dupoy</w:t>
      </w:r>
      <w:proofErr w:type="spellEnd"/>
      <w:r w:rsidRPr="007D6FCA">
        <w:rPr>
          <w:sz w:val="20"/>
        </w:rPr>
        <w:t>, for the appellant.</w:t>
      </w:r>
      <w:proofErr w:type="gramEnd"/>
    </w:p>
    <w:p w:rsidR="007D6FCA" w:rsidRDefault="007D6FCA" w:rsidP="007D6FCA">
      <w:pPr>
        <w:pStyle w:val="SCCNormalDoubleSpacing"/>
        <w:spacing w:line="240" w:lineRule="auto"/>
        <w:rPr>
          <w:i/>
          <w:sz w:val="20"/>
        </w:rPr>
      </w:pPr>
    </w:p>
    <w:p w:rsidR="007D6FCA" w:rsidRPr="007D6FCA" w:rsidRDefault="007D6FCA" w:rsidP="00D90288">
      <w:pPr>
        <w:pStyle w:val="SCCNormalDoubleSpacing"/>
        <w:spacing w:line="240" w:lineRule="auto"/>
        <w:ind w:left="1440" w:hanging="1440"/>
        <w:rPr>
          <w:sz w:val="20"/>
        </w:rPr>
      </w:pPr>
      <w:r w:rsidRPr="007D6FCA">
        <w:rPr>
          <w:i/>
          <w:sz w:val="20"/>
        </w:rPr>
        <w:tab/>
      </w:r>
      <w:proofErr w:type="gramStart"/>
      <w:r w:rsidRPr="007D6FCA">
        <w:rPr>
          <w:i/>
          <w:sz w:val="20"/>
        </w:rPr>
        <w:t>Julius H. Grey</w:t>
      </w:r>
      <w:r w:rsidRPr="007D6FCA">
        <w:rPr>
          <w:sz w:val="20"/>
        </w:rPr>
        <w:t xml:space="preserve">, </w:t>
      </w:r>
      <w:proofErr w:type="spellStart"/>
      <w:r w:rsidRPr="007D6FCA">
        <w:rPr>
          <w:i/>
          <w:sz w:val="20"/>
        </w:rPr>
        <w:t>Politimi</w:t>
      </w:r>
      <w:proofErr w:type="spellEnd"/>
      <w:r w:rsidRPr="007D6FCA">
        <w:rPr>
          <w:i/>
          <w:sz w:val="20"/>
        </w:rPr>
        <w:t xml:space="preserve"> </w:t>
      </w:r>
      <w:proofErr w:type="spellStart"/>
      <w:r w:rsidRPr="007D6FCA">
        <w:rPr>
          <w:i/>
          <w:sz w:val="20"/>
        </w:rPr>
        <w:t>Karounis</w:t>
      </w:r>
      <w:proofErr w:type="spellEnd"/>
      <w:r w:rsidRPr="007D6FCA">
        <w:rPr>
          <w:sz w:val="20"/>
        </w:rPr>
        <w:t xml:space="preserve"> and </w:t>
      </w:r>
      <w:proofErr w:type="spellStart"/>
      <w:r w:rsidRPr="007D6FCA">
        <w:rPr>
          <w:i/>
          <w:sz w:val="20"/>
        </w:rPr>
        <w:t>Lynne</w:t>
      </w:r>
      <w:r w:rsidRPr="007D6FCA">
        <w:rPr>
          <w:i/>
          <w:sz w:val="20"/>
        </w:rPr>
        <w:noBreakHyphen/>
        <w:t>Marie</w:t>
      </w:r>
      <w:proofErr w:type="spellEnd"/>
      <w:r w:rsidRPr="007D6FCA">
        <w:rPr>
          <w:i/>
          <w:sz w:val="20"/>
        </w:rPr>
        <w:t xml:space="preserve"> </w:t>
      </w:r>
      <w:proofErr w:type="spellStart"/>
      <w:r w:rsidRPr="007D6FCA">
        <w:rPr>
          <w:i/>
          <w:sz w:val="20"/>
        </w:rPr>
        <w:t>Casgrain</w:t>
      </w:r>
      <w:proofErr w:type="spellEnd"/>
      <w:r w:rsidRPr="007D6FCA">
        <w:rPr>
          <w:sz w:val="20"/>
        </w:rPr>
        <w:t xml:space="preserve">, for the respondents Richard </w:t>
      </w:r>
      <w:proofErr w:type="spellStart"/>
      <w:r w:rsidRPr="007D6FCA">
        <w:rPr>
          <w:sz w:val="20"/>
        </w:rPr>
        <w:t>Rossy</w:t>
      </w:r>
      <w:proofErr w:type="spellEnd"/>
      <w:r w:rsidRPr="007D6FCA">
        <w:rPr>
          <w:sz w:val="20"/>
        </w:rPr>
        <w:t xml:space="preserve"> et al.</w:t>
      </w:r>
      <w:proofErr w:type="gramEnd"/>
    </w:p>
    <w:p w:rsidR="007D6FCA" w:rsidRDefault="007D6FCA" w:rsidP="007D6FCA">
      <w:pPr>
        <w:pStyle w:val="SCCNormalDoubleSpacing"/>
        <w:spacing w:line="240" w:lineRule="auto"/>
        <w:rPr>
          <w:i/>
          <w:sz w:val="20"/>
        </w:rPr>
      </w:pPr>
    </w:p>
    <w:p w:rsidR="007D6FCA" w:rsidRPr="007D6FCA" w:rsidRDefault="007D6FCA" w:rsidP="007D6FCA">
      <w:pPr>
        <w:pStyle w:val="SCCNormalDoubleSpacing"/>
        <w:spacing w:line="240" w:lineRule="auto"/>
        <w:rPr>
          <w:sz w:val="20"/>
        </w:rPr>
      </w:pPr>
      <w:r w:rsidRPr="007D6FCA">
        <w:rPr>
          <w:i/>
          <w:sz w:val="20"/>
        </w:rPr>
        <w:tab/>
        <w:t xml:space="preserve">No one appeared </w:t>
      </w:r>
      <w:r w:rsidRPr="007D6FCA">
        <w:rPr>
          <w:sz w:val="20"/>
        </w:rPr>
        <w:t xml:space="preserve">for the respondent </w:t>
      </w:r>
      <w:proofErr w:type="spellStart"/>
      <w:r w:rsidRPr="007D6FCA">
        <w:rPr>
          <w:sz w:val="20"/>
        </w:rPr>
        <w:t>Société</w:t>
      </w:r>
      <w:proofErr w:type="spellEnd"/>
      <w:r w:rsidRPr="007D6FCA">
        <w:rPr>
          <w:sz w:val="20"/>
        </w:rPr>
        <w:t xml:space="preserve"> de </w:t>
      </w:r>
      <w:proofErr w:type="spellStart"/>
      <w:r w:rsidRPr="007D6FCA">
        <w:rPr>
          <w:sz w:val="20"/>
        </w:rPr>
        <w:t>l’assurance</w:t>
      </w:r>
      <w:proofErr w:type="spellEnd"/>
      <w:r w:rsidRPr="007D6FCA">
        <w:rPr>
          <w:sz w:val="20"/>
        </w:rPr>
        <w:t xml:space="preserve"> automobile du Québec.</w:t>
      </w:r>
    </w:p>
    <w:p w:rsidR="007D6FCA" w:rsidRDefault="007D6FCA" w:rsidP="007D6FCA">
      <w:pPr>
        <w:pStyle w:val="SCCLawFirm"/>
        <w:spacing w:line="240" w:lineRule="auto"/>
        <w:rPr>
          <w:sz w:val="20"/>
        </w:rPr>
      </w:pPr>
    </w:p>
    <w:p w:rsidR="007D6FCA" w:rsidRPr="007D6FCA" w:rsidRDefault="007D6FCA" w:rsidP="007D6FCA">
      <w:pPr>
        <w:pStyle w:val="SCCLawFirm"/>
        <w:spacing w:line="240" w:lineRule="auto"/>
        <w:rPr>
          <w:sz w:val="20"/>
        </w:rPr>
      </w:pPr>
      <w:r w:rsidRPr="007D6FCA">
        <w:rPr>
          <w:sz w:val="20"/>
        </w:rPr>
        <w:tab/>
        <w:t>Solicitors for the appellant:  Norton Rose OR, Montréal.</w:t>
      </w:r>
    </w:p>
    <w:p w:rsidR="007D6FCA" w:rsidRDefault="007D6FCA" w:rsidP="007D6FCA">
      <w:pPr>
        <w:rPr>
          <w:sz w:val="20"/>
          <w:szCs w:val="20"/>
        </w:rPr>
      </w:pPr>
    </w:p>
    <w:p w:rsidR="007D6FCA" w:rsidRPr="00D90288" w:rsidRDefault="007D6FCA" w:rsidP="007D6FCA">
      <w:pPr>
        <w:rPr>
          <w:rFonts w:cs="Times New Roman"/>
          <w:i/>
          <w:sz w:val="20"/>
          <w:szCs w:val="20"/>
          <w:lang w:val="en-US"/>
        </w:rPr>
      </w:pPr>
      <w:r w:rsidRPr="007D6FCA">
        <w:rPr>
          <w:sz w:val="20"/>
          <w:szCs w:val="20"/>
        </w:rPr>
        <w:tab/>
      </w:r>
      <w:r w:rsidRPr="00D90288">
        <w:rPr>
          <w:i/>
          <w:sz w:val="20"/>
          <w:szCs w:val="20"/>
        </w:rPr>
        <w:t xml:space="preserve">Solicitors for the respondents Richard </w:t>
      </w:r>
      <w:proofErr w:type="spellStart"/>
      <w:r w:rsidRPr="00D90288">
        <w:rPr>
          <w:i/>
          <w:sz w:val="20"/>
          <w:szCs w:val="20"/>
        </w:rPr>
        <w:t>Rossy</w:t>
      </w:r>
      <w:proofErr w:type="spellEnd"/>
      <w:r w:rsidRPr="00D90288">
        <w:rPr>
          <w:i/>
          <w:sz w:val="20"/>
          <w:szCs w:val="20"/>
        </w:rPr>
        <w:t xml:space="preserve"> et al.:  Grey, </w:t>
      </w:r>
      <w:proofErr w:type="spellStart"/>
      <w:r w:rsidRPr="00D90288">
        <w:rPr>
          <w:i/>
          <w:sz w:val="20"/>
          <w:szCs w:val="20"/>
        </w:rPr>
        <w:t>Casgrain</w:t>
      </w:r>
      <w:proofErr w:type="spellEnd"/>
      <w:r w:rsidRPr="00D90288">
        <w:rPr>
          <w:i/>
          <w:sz w:val="20"/>
          <w:szCs w:val="20"/>
        </w:rPr>
        <w:t>, Montréal.</w:t>
      </w:r>
    </w:p>
    <w:p w:rsidR="007D6FCA" w:rsidRPr="00042EA6" w:rsidRDefault="007D6FCA" w:rsidP="00354361">
      <w:pPr>
        <w:rPr>
          <w:rFonts w:cs="Times New Roman"/>
          <w:i/>
          <w:sz w:val="20"/>
          <w:szCs w:val="20"/>
          <w:lang w:val="en-US"/>
        </w:rPr>
      </w:pPr>
    </w:p>
    <w:p w:rsidR="005C6840" w:rsidRDefault="00C90BA9" w:rsidP="00D90288">
      <w:pPr>
        <w:rPr>
          <w:sz w:val="20"/>
        </w:rPr>
      </w:pPr>
      <w:r w:rsidRPr="00C90BA9">
        <w:rPr>
          <w:rFonts w:cs="Times New Roman"/>
          <w:sz w:val="20"/>
          <w:szCs w:val="20"/>
          <w:lang w:val="fr-CA"/>
        </w:rPr>
        <w:pict>
          <v:rect id="_x0000_i1056"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576" w:footer="960" w:gutter="0"/>
          <w:cols w:space="720"/>
          <w:titlePg/>
          <w:docGrid w:linePitch="272"/>
        </w:sectPr>
      </w:pPr>
    </w:p>
    <w:p w:rsidR="00E903A1" w:rsidRPr="002E0C7E" w:rsidRDefault="00C90BA9"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 xml:space="preserve">Séances de la </w:t>
            </w:r>
            <w:proofErr w:type="spellStart"/>
            <w:r w:rsidRPr="002E0C7E">
              <w:rPr>
                <w:rFonts w:ascii="Arial" w:hAnsi="Arial"/>
                <w:sz w:val="16"/>
              </w:rPr>
              <w:t>cour</w:t>
            </w:r>
            <w:proofErr w:type="spellEnd"/>
            <w:r w:rsidRPr="002E0C7E">
              <w:rPr>
                <w:rFonts w:ascii="Arial" w:hAnsi="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sidRPr="00B058C3">
              <w:rPr>
                <w:rFonts w:ascii="Arial" w:hAnsi="Arial"/>
                <w:b/>
                <w:sz w:val="16"/>
                <w:lang w:val="fr-CA"/>
              </w:rPr>
              <w:t>/semaines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87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sidRPr="00B058C3">
              <w:rPr>
                <w:rFonts w:ascii="Arial" w:hAnsi="Arial"/>
                <w:b/>
                <w:sz w:val="16"/>
                <w:lang w:val="fr-CA"/>
              </w:rPr>
              <w:t>/journées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9    motion and </w:t>
            </w:r>
            <w:proofErr w:type="spellStart"/>
            <w:r w:rsidRPr="00B058C3">
              <w:rPr>
                <w:rFonts w:ascii="Arial" w:hAnsi="Arial"/>
                <w:b/>
                <w:sz w:val="16"/>
                <w:lang w:val="fr-CA"/>
              </w:rPr>
              <w:t>conference</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sidRPr="00B058C3">
              <w:rPr>
                <w:rFonts w:ascii="Arial" w:hAnsi="Arial"/>
                <w:b/>
                <w:sz w:val="16"/>
                <w:lang w:val="fr-CA"/>
              </w:rPr>
              <w:t>/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 xml:space="preserve">3    holidays during sitting days/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2E0C7E">
              <w:rPr>
                <w:rFonts w:ascii="Arial" w:hAnsi="Arial"/>
                <w:sz w:val="16"/>
              </w:rPr>
              <w:t>Requêtes</w:t>
            </w:r>
            <w:proofErr w:type="spellEnd"/>
            <w:r w:rsidRPr="002E0C7E">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48"/>
      <w:footerReference w:type="default" r:id="rId49"/>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809" w:rsidRDefault="00EB7809" w:rsidP="00A87207">
      <w:r>
        <w:separator/>
      </w:r>
    </w:p>
  </w:endnote>
  <w:endnote w:type="continuationSeparator" w:id="0">
    <w:p w:rsidR="00EB7809" w:rsidRDefault="00EB7809"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9" w:rsidRDefault="00EB7809">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9" w:rsidRDefault="00EB7809">
    <w:pPr>
      <w:pStyle w:val="Footer"/>
    </w:pPr>
    <w:r>
      <w:pict>
        <v:rect id="_x0000_i1038" style="width:480.95pt;height:1pt" o:hralign="center" o:hrstd="t" o:hrnoshade="t" o:hr="t" fillcolor="black [3213]" stroked="f"/>
      </w:pict>
    </w:r>
  </w:p>
  <w:p w:rsidR="00EB7809" w:rsidRPr="00D7601D" w:rsidRDefault="00EB7809" w:rsidP="00432989">
    <w:pPr>
      <w:tabs>
        <w:tab w:val="center" w:pos="4680"/>
      </w:tabs>
    </w:pPr>
    <w:r>
      <w:tab/>
      <w:t xml:space="preserve">- </w:t>
    </w:r>
    <w:fldSimple w:instr=" PAGE   \* MERGEFORMAT ">
      <w:r w:rsidR="00402685">
        <w:rPr>
          <w:noProof/>
        </w:rPr>
        <w:t>955</w:t>
      </w:r>
    </w:fldSimple>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9" w:rsidRDefault="00EB78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B7809" w:rsidRDefault="00EB78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B7809" w:rsidRDefault="00EB7809">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9" w:rsidRDefault="00EB78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90BA9">
      <w:rPr>
        <w:lang w:val="fr-CA"/>
      </w:rPr>
      <w:pict>
        <v:rect id="_x0000_i1051" style="width:480.95pt;height:1pt" o:hralign="center" o:hrstd="t" o:hrnoshade="t" o:hr="t" fillcolor="black [3213]" stroked="f"/>
      </w:pict>
    </w:r>
  </w:p>
  <w:p w:rsidR="00EB7809" w:rsidRPr="0009648D" w:rsidRDefault="00EB7809" w:rsidP="00ED7E83">
    <w:pPr>
      <w:tabs>
        <w:tab w:val="center" w:pos="4680"/>
      </w:tabs>
    </w:pPr>
    <w:r>
      <w:tab/>
    </w:r>
    <w:r w:rsidRPr="0009648D">
      <w:t xml:space="preserve">- </w:t>
    </w:r>
    <w:fldSimple w:instr=" PAGE   \* MERGEFORMAT ">
      <w:r w:rsidR="00402685">
        <w:rPr>
          <w:noProof/>
        </w:rPr>
        <w:t>966</w:t>
      </w:r>
    </w:fldSimple>
    <w:r w:rsidRPr="0009648D">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9" w:rsidRDefault="00EB7809">
    <w:pPr>
      <w:pStyle w:val="Footer"/>
      <w:rPr>
        <w:lang w:val="fr-CA"/>
      </w:rPr>
    </w:pPr>
    <w:r w:rsidRPr="00C90BA9">
      <w:rPr>
        <w:lang w:val="fr-CA"/>
      </w:rPr>
      <w:pict>
        <v:rect id="_x0000_i1052" style="width:480.95pt;height:1pt" o:hralign="center" o:hrstd="t" o:hrnoshade="t" o:hr="t" fillcolor="black [3213]" stroked="f"/>
      </w:pict>
    </w:r>
  </w:p>
  <w:p w:rsidR="00EB7809" w:rsidRDefault="00EB7809" w:rsidP="00245129">
    <w:pPr>
      <w:tabs>
        <w:tab w:val="center" w:pos="4680"/>
      </w:tabs>
    </w:pPr>
    <w:r>
      <w:tab/>
    </w:r>
    <w:r w:rsidRPr="0009648D">
      <w:t xml:space="preserve">- </w:t>
    </w:r>
    <w:fldSimple w:instr=" PAGE   \* MERGEFORMAT ">
      <w:r w:rsidR="00402685">
        <w:rPr>
          <w:noProof/>
        </w:rPr>
        <w:t>957</w:t>
      </w:r>
    </w:fldSimple>
    <w:r w:rsidRPr="0009648D">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9" w:rsidRDefault="00EB78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B7809" w:rsidRDefault="00EB78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B7809" w:rsidRDefault="00EB7809">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9" w:rsidRDefault="00EB7809" w:rsidP="00732DB7">
    <w:r>
      <w:pict>
        <v:rect id="_x0000_i1053" style="width:480.95pt;height:1pt" o:hralign="center" o:hrstd="t" o:hrnoshade="t" o:hr="t" fillcolor="black" stroked="f"/>
      </w:pict>
    </w:r>
  </w:p>
  <w:p w:rsidR="00EB7809" w:rsidRDefault="00EB7809">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9" w:rsidRDefault="00EB7809">
    <w:pPr>
      <w:pStyle w:val="Footer"/>
    </w:pPr>
    <w:r>
      <w:pict>
        <v:rect id="_x0000_i1054" style="width:480.95pt;height:1pt" o:hralign="center" o:hrstd="t" o:hrnoshade="t" o:hr="t" fillcolor="black [3213]" stroked="f"/>
      </w:pict>
    </w:r>
  </w:p>
  <w:p w:rsidR="00EB7809" w:rsidRPr="003C2C0F" w:rsidRDefault="00EB7809" w:rsidP="00697C62">
    <w:pPr>
      <w:tabs>
        <w:tab w:val="center" w:pos="4680"/>
      </w:tabs>
    </w:pPr>
    <w:r>
      <w:tab/>
      <w:t xml:space="preserve">- </w:t>
    </w:r>
    <w:fldSimple w:instr=" PAGE   \* MERGEFORMAT ">
      <w:r w:rsidR="00402685">
        <w:rPr>
          <w:noProof/>
        </w:rPr>
        <w:t>967</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9" w:rsidRDefault="00EB78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B7809" w:rsidRDefault="00EB78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B7809" w:rsidRDefault="00EB7809">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9" w:rsidRDefault="00EB78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B7809" w:rsidRDefault="00EB78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7" style="width:480.95pt;height:1pt" o:hralign="center" o:hrstd="t" o:hrnoshade="t" o:hr="t" fillcolor="black [3213]" stroked="f"/>
      </w:pict>
    </w:r>
  </w:p>
  <w:p w:rsidR="00EB7809" w:rsidRDefault="00EB780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402685">
      <w:rPr>
        <w:noProof/>
        <w:szCs w:val="24"/>
      </w:rPr>
      <w:t>970</w:t>
    </w:r>
    <w:r w:rsidRPr="001775C1">
      <w:rPr>
        <w:szCs w:val="24"/>
      </w:rPr>
      <w:fldChar w:fldCharType="end"/>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9" w:rsidRDefault="00EB7809" w:rsidP="00782AE4">
    <w:pPr>
      <w:tabs>
        <w:tab w:val="center" w:pos="4680"/>
      </w:tabs>
    </w:pPr>
    <w:r>
      <w:pict>
        <v:rect id="_x0000_i1058" style="width:480.95pt;height:1pt" o:hralign="center" o:hrstd="t" o:hrnoshade="t" o:hr="t" fillcolor="black [3213]" stroked="f"/>
      </w:pict>
    </w:r>
  </w:p>
  <w:p w:rsidR="00EB7809" w:rsidRDefault="00EB780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402685">
      <w:rPr>
        <w:noProof/>
        <w:szCs w:val="24"/>
      </w:rPr>
      <w:t>968</w:t>
    </w:r>
    <w:r w:rsidRPr="001775C1">
      <w:rPr>
        <w:szCs w:val="24"/>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9" w:rsidRDefault="00EB7809">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9" w:rsidRPr="00924065" w:rsidRDefault="00EB7809"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9" w:rsidRDefault="00EB780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9" w:rsidRDefault="00EB7809" w:rsidP="00A87207">
    <w:pPr>
      <w:pStyle w:val="Footer"/>
    </w:pPr>
    <w:r>
      <w:pict>
        <v:rect id="_x0000_i1031" style="width:480.95pt;height:1pt" o:hralign="center" o:hrstd="t" o:hrnoshade="t" o:hr="t" fillcolor="black [3213]" stroked="f"/>
      </w:pict>
    </w:r>
  </w:p>
  <w:p w:rsidR="00EB7809" w:rsidRPr="00B7374B" w:rsidRDefault="00EB780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02685">
      <w:rPr>
        <w:noProof/>
        <w:szCs w:val="24"/>
      </w:rPr>
      <w:t>954</w:t>
    </w:r>
    <w:r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9" w:rsidRDefault="00EB7809" w:rsidP="00755F22">
    <w:pPr>
      <w:tabs>
        <w:tab w:val="left" w:pos="-1440"/>
        <w:tab w:val="left" w:pos="-720"/>
      </w:tabs>
    </w:pPr>
    <w:r>
      <w:pict>
        <v:rect id="_x0000_i1032" style="width:480.95pt;height:1pt" o:hralign="center" o:hrstd="t" o:hrnoshade="t" o:hr="t" fillcolor="black [3213]" stroked="f"/>
      </w:pict>
    </w:r>
  </w:p>
  <w:p w:rsidR="00EB7809" w:rsidRPr="00954D22" w:rsidRDefault="00EB7809"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402685">
      <w:rPr>
        <w:noProof/>
        <w:szCs w:val="24"/>
      </w:rPr>
      <w:t>953</w:t>
    </w:r>
    <w:r>
      <w:rPr>
        <w:szCs w:val="24"/>
      </w:rPr>
      <w:fldChar w:fldCharType="end"/>
    </w:r>
    <w:r w:rsidRPr="00954D22">
      <w:rPr>
        <w:szCs w:val="24"/>
      </w:rPr>
      <w:t xml:space="preserve"> -</w:t>
    </w:r>
  </w:p>
  <w:p w:rsidR="00EB7809" w:rsidRDefault="00EB780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9" w:rsidRDefault="00EB7809" w:rsidP="00A87207">
    <w:pPr>
      <w:pStyle w:val="Footer"/>
    </w:pPr>
    <w:r>
      <w:pict>
        <v:rect id="_x0000_i1034" style="width:480.95pt;height:1pt" o:hralign="center" o:hrstd="t" o:hrnoshade="t" o:hr="t" fillcolor="black [3213]" stroked="f"/>
      </w:pict>
    </w:r>
  </w:p>
  <w:p w:rsidR="00EB7809" w:rsidRPr="00B7374B" w:rsidRDefault="00EB780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956</w:t>
    </w:r>
    <w:r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9" w:rsidRDefault="00EB7809"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5" style="width:480.95pt;height:1pt" o:hralign="center" o:hrstd="t" o:hrnoshade="t" o:hr="t" fillcolor="black [3213]" stroked="f"/>
      </w:pict>
    </w:r>
  </w:p>
  <w:p w:rsidR="00EB7809" w:rsidRPr="00954D22" w:rsidRDefault="00EB780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02685">
      <w:rPr>
        <w:noProof/>
        <w:szCs w:val="24"/>
      </w:rPr>
      <w:t>954</w:t>
    </w:r>
    <w:r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9" w:rsidRDefault="00EB7809">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EB7809" w:rsidRDefault="00EB7809">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pPr>
  </w:p>
  <w:p w:rsidR="00EB7809" w:rsidRDefault="00EB7809">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9" w:rsidRDefault="00EB7809">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EB7809" w:rsidRDefault="00EB7809">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pPr>
    <w:r>
      <w:pict>
        <v:rect id="_x0000_i1037" style="width:480.95pt;height:1pt" o:hralign="center" o:hrstd="t" o:hrnoshade="t" o:hr="t" fillcolor="black [3213]" stroked="f"/>
      </w:pict>
    </w:r>
  </w:p>
  <w:p w:rsidR="00EB7809" w:rsidRDefault="00EB7809" w:rsidP="00432989">
    <w:pPr>
      <w:tabs>
        <w:tab w:val="center" w:pos="4680"/>
      </w:tabs>
    </w:pPr>
    <w:r>
      <w:tab/>
      <w:t xml:space="preserve">- </w:t>
    </w:r>
    <w:fldSimple w:instr=" PAGE   \* MERGEFORMAT ">
      <w:r w:rsidR="00402685">
        <w:rPr>
          <w:noProof/>
        </w:rPr>
        <w:t>956</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809" w:rsidRDefault="00EB7809" w:rsidP="00A87207">
      <w:r>
        <w:separator/>
      </w:r>
    </w:p>
  </w:footnote>
  <w:footnote w:type="continuationSeparator" w:id="0">
    <w:p w:rsidR="00EB7809" w:rsidRDefault="00EB7809"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9" w:rsidRDefault="00EB7809">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9" w:rsidRDefault="00EB7809">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EB7809" w:rsidRPr="005252ED">
      <w:tc>
        <w:tcPr>
          <w:tcW w:w="4200" w:type="dxa"/>
          <w:tcMar>
            <w:left w:w="0" w:type="dxa"/>
            <w:right w:w="0" w:type="dxa"/>
          </w:tcMar>
        </w:tcPr>
        <w:p w:rsidR="00EB7809" w:rsidRDefault="00EB78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B7809" w:rsidRDefault="00EB78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B7809" w:rsidRDefault="00EB780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B7809" w:rsidRPr="00FF6BA5" w:rsidRDefault="00EB780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B7809" w:rsidRPr="00FF6BA5" w:rsidRDefault="00EB78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B7809" w:rsidRPr="00FF6BA5" w:rsidRDefault="00EB78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B7809" w:rsidRPr="00FF6BA5" w:rsidRDefault="00EB78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EB7809" w:rsidRPr="005252ED" w:rsidTr="00245129">
      <w:tc>
        <w:tcPr>
          <w:tcW w:w="4200" w:type="dxa"/>
          <w:tcMar>
            <w:left w:w="0" w:type="dxa"/>
            <w:right w:w="0" w:type="dxa"/>
          </w:tcMar>
        </w:tcPr>
        <w:p w:rsidR="00EB7809" w:rsidRPr="00755F22" w:rsidRDefault="00EB78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EB7809" w:rsidRPr="00755F22" w:rsidRDefault="00EB78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EB7809" w:rsidRPr="00755F22" w:rsidRDefault="00EB780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B7809" w:rsidRPr="00755F22" w:rsidRDefault="00EB780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B7809" w:rsidRPr="00755F22" w:rsidRDefault="00EB780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B7809" w:rsidRPr="00755F22" w:rsidRDefault="00EB780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EB7809" w:rsidRPr="00FF6BA5" w:rsidRDefault="00EB7809" w:rsidP="00755F22">
    <w:pPr>
      <w:tabs>
        <w:tab w:val="left" w:pos="-1440"/>
        <w:tab w:val="left" w:pos="-720"/>
      </w:tabs>
      <w:rPr>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9" w:rsidRDefault="00EB7809">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EB7809" w:rsidRPr="005252ED">
      <w:tc>
        <w:tcPr>
          <w:tcW w:w="4200" w:type="dxa"/>
          <w:tcMar>
            <w:left w:w="0" w:type="dxa"/>
            <w:right w:w="0" w:type="dxa"/>
          </w:tcMar>
        </w:tcPr>
        <w:p w:rsidR="00EB7809" w:rsidRDefault="00EB78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EB7809" w:rsidRDefault="00EB78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EB7809" w:rsidRDefault="00EB78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EB7809" w:rsidRPr="003C2C0F" w:rsidRDefault="00EB780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EB7809" w:rsidRPr="003C2C0F" w:rsidRDefault="00EB78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EB7809" w:rsidRPr="003C2C0F" w:rsidRDefault="00EB78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EB7809" w:rsidRPr="005252ED" w:rsidTr="00245129">
      <w:tc>
        <w:tcPr>
          <w:tcW w:w="4200" w:type="dxa"/>
          <w:tcMar>
            <w:left w:w="0" w:type="dxa"/>
            <w:right w:w="0" w:type="dxa"/>
          </w:tcMar>
        </w:tcPr>
        <w:p w:rsidR="00EB7809" w:rsidRPr="00FF6EEC" w:rsidRDefault="00EB7809" w:rsidP="00FF6EEC">
          <w:pPr>
            <w:rPr>
              <w:sz w:val="20"/>
              <w:szCs w:val="20"/>
            </w:rPr>
          </w:pPr>
          <w:r w:rsidRPr="00FF6EEC">
            <w:rPr>
              <w:sz w:val="20"/>
              <w:szCs w:val="20"/>
            </w:rPr>
            <w:t>PRONOUNCEMENTS OF APPEALS RESERVED</w:t>
          </w:r>
        </w:p>
      </w:tc>
      <w:tc>
        <w:tcPr>
          <w:tcW w:w="1200" w:type="dxa"/>
          <w:tcMar>
            <w:left w:w="0" w:type="dxa"/>
            <w:right w:w="0" w:type="dxa"/>
          </w:tcMar>
        </w:tcPr>
        <w:p w:rsidR="00EB7809" w:rsidRPr="00FF6EEC" w:rsidRDefault="00EB7809" w:rsidP="00FF6EEC">
          <w:pPr>
            <w:jc w:val="center"/>
            <w:rPr>
              <w:sz w:val="20"/>
              <w:szCs w:val="20"/>
            </w:rPr>
          </w:pPr>
        </w:p>
        <w:p w:rsidR="00EB7809" w:rsidRPr="00FF6EEC" w:rsidRDefault="00EB7809" w:rsidP="00FF6EEC">
          <w:pPr>
            <w:jc w:val="center"/>
            <w:rPr>
              <w:sz w:val="20"/>
              <w:szCs w:val="20"/>
            </w:rPr>
          </w:pPr>
        </w:p>
        <w:p w:rsidR="00EB7809" w:rsidRPr="00FF6EEC" w:rsidRDefault="00EB7809" w:rsidP="00FF6EEC">
          <w:pPr>
            <w:jc w:val="center"/>
            <w:rPr>
              <w:sz w:val="20"/>
              <w:szCs w:val="20"/>
            </w:rPr>
          </w:pPr>
        </w:p>
      </w:tc>
      <w:tc>
        <w:tcPr>
          <w:tcW w:w="4080" w:type="dxa"/>
          <w:tcMar>
            <w:left w:w="0" w:type="dxa"/>
            <w:right w:w="0" w:type="dxa"/>
          </w:tcMar>
        </w:tcPr>
        <w:p w:rsidR="00EB7809" w:rsidRPr="00FF6EEC" w:rsidRDefault="00EB7809" w:rsidP="00FF6EEC">
          <w:pPr>
            <w:rPr>
              <w:sz w:val="20"/>
              <w:szCs w:val="20"/>
              <w:lang w:val="fr-CA"/>
            </w:rPr>
          </w:pPr>
          <w:r w:rsidRPr="00FF6EEC">
            <w:rPr>
              <w:sz w:val="20"/>
              <w:szCs w:val="20"/>
              <w:lang w:val="fr-CA"/>
            </w:rPr>
            <w:t>JUGEMENTS RENDUS SUR LES APPELS EN DÉLIBÉRÉ</w:t>
          </w:r>
        </w:p>
      </w:tc>
    </w:tr>
  </w:tbl>
  <w:p w:rsidR="00EB7809" w:rsidRPr="003C2C0F" w:rsidRDefault="00EB7809"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9" w:rsidRDefault="00EB7809">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EB7809">
      <w:tc>
        <w:tcPr>
          <w:tcW w:w="4230" w:type="dxa"/>
          <w:tcMar>
            <w:left w:w="0" w:type="dxa"/>
            <w:right w:w="0" w:type="dxa"/>
          </w:tcMar>
        </w:tcPr>
        <w:p w:rsidR="00EB7809" w:rsidRDefault="00EB78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EB7809" w:rsidRDefault="00EB78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EB7809" w:rsidRDefault="00EB78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EB7809" w:rsidRDefault="00EB78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B7809" w:rsidRDefault="00EB78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EB7809" w:rsidRDefault="00EB780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EB7809" w:rsidRDefault="00EB78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B7809" w:rsidRDefault="00EB78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EB7809" w:rsidRPr="00782AE4" w:rsidTr="00245129">
      <w:tc>
        <w:tcPr>
          <w:tcW w:w="4230" w:type="dxa"/>
          <w:tcMar>
            <w:left w:w="0" w:type="dxa"/>
            <w:right w:w="0" w:type="dxa"/>
          </w:tcMar>
        </w:tcPr>
        <w:p w:rsidR="00EB7809" w:rsidRPr="00782AE4" w:rsidRDefault="00EB7809" w:rsidP="00102926">
          <w:pPr>
            <w:keepNext/>
            <w:keepLines/>
            <w:tabs>
              <w:tab w:val="left" w:pos="-1440"/>
              <w:tab w:val="left" w:pos="-720"/>
            </w:tabs>
            <w:rPr>
              <w:sz w:val="20"/>
              <w:szCs w:val="20"/>
            </w:rPr>
          </w:pPr>
          <w:r w:rsidRPr="00782AE4">
            <w:rPr>
              <w:sz w:val="20"/>
              <w:szCs w:val="20"/>
            </w:rPr>
            <w:t xml:space="preserve">HEADNOTES OF RECENT </w:t>
          </w:r>
        </w:p>
        <w:p w:rsidR="00EB7809" w:rsidRPr="00782AE4" w:rsidRDefault="00EB78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EB7809" w:rsidRDefault="00EB7809" w:rsidP="00102926">
          <w:pPr>
            <w:keepNext/>
            <w:keepLines/>
            <w:tabs>
              <w:tab w:val="left" w:pos="-1440"/>
              <w:tab w:val="left" w:pos="-720"/>
            </w:tabs>
            <w:jc w:val="center"/>
            <w:rPr>
              <w:sz w:val="20"/>
              <w:szCs w:val="20"/>
            </w:rPr>
          </w:pPr>
        </w:p>
        <w:p w:rsidR="00EB7809" w:rsidRDefault="00EB7809" w:rsidP="00102926">
          <w:pPr>
            <w:keepNext/>
            <w:keepLines/>
            <w:tabs>
              <w:tab w:val="left" w:pos="-1440"/>
              <w:tab w:val="left" w:pos="-720"/>
            </w:tabs>
            <w:jc w:val="center"/>
            <w:rPr>
              <w:sz w:val="20"/>
              <w:szCs w:val="20"/>
            </w:rPr>
          </w:pPr>
        </w:p>
        <w:p w:rsidR="00EB7809" w:rsidRPr="00782AE4" w:rsidRDefault="00EB7809" w:rsidP="00102926">
          <w:pPr>
            <w:keepNext/>
            <w:keepLines/>
            <w:tabs>
              <w:tab w:val="left" w:pos="-1440"/>
              <w:tab w:val="left" w:pos="-720"/>
            </w:tabs>
            <w:jc w:val="center"/>
            <w:rPr>
              <w:sz w:val="20"/>
              <w:szCs w:val="20"/>
            </w:rPr>
          </w:pPr>
        </w:p>
      </w:tc>
      <w:tc>
        <w:tcPr>
          <w:tcW w:w="4080" w:type="dxa"/>
          <w:tcMar>
            <w:left w:w="0" w:type="dxa"/>
            <w:right w:w="0" w:type="dxa"/>
          </w:tcMar>
        </w:tcPr>
        <w:p w:rsidR="00EB7809" w:rsidRPr="00102926" w:rsidRDefault="00EB78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EB7809" w:rsidRPr="00782AE4" w:rsidRDefault="00EB7809" w:rsidP="00102926">
          <w:pPr>
            <w:keepLines/>
            <w:tabs>
              <w:tab w:val="left" w:pos="-1440"/>
              <w:tab w:val="left" w:pos="-720"/>
            </w:tabs>
            <w:rPr>
              <w:sz w:val="20"/>
              <w:szCs w:val="20"/>
            </w:rPr>
          </w:pPr>
          <w:r w:rsidRPr="00102926">
            <w:rPr>
              <w:sz w:val="20"/>
              <w:szCs w:val="20"/>
              <w:lang w:val="fr-CA"/>
            </w:rPr>
            <w:t>RÉCENTS</w:t>
          </w:r>
        </w:p>
      </w:tc>
    </w:tr>
  </w:tbl>
  <w:p w:rsidR="00EB7809" w:rsidRDefault="00EB7809"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9" w:rsidRDefault="00EB78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9" w:rsidRDefault="00EB7809">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9" w:rsidRDefault="00EB78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9" w:rsidRDefault="00EB780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EB7809" w:rsidRPr="0044776A" w:rsidTr="00245129">
      <w:tc>
        <w:tcPr>
          <w:tcW w:w="4290" w:type="dxa"/>
          <w:tcMar>
            <w:left w:w="0" w:type="dxa"/>
            <w:right w:w="0" w:type="dxa"/>
          </w:tcMar>
        </w:tcPr>
        <w:p w:rsidR="00EB7809" w:rsidRPr="0044776A" w:rsidRDefault="00EB7809"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EB7809" w:rsidRPr="0044776A" w:rsidRDefault="00EB7809" w:rsidP="002E2327">
          <w:pPr>
            <w:keepNext/>
            <w:keepLines/>
            <w:tabs>
              <w:tab w:val="left" w:pos="-1440"/>
              <w:tab w:val="left" w:pos="-720"/>
            </w:tabs>
            <w:jc w:val="center"/>
            <w:rPr>
              <w:sz w:val="20"/>
              <w:szCs w:val="20"/>
            </w:rPr>
          </w:pPr>
        </w:p>
        <w:p w:rsidR="00EB7809" w:rsidRPr="0044776A" w:rsidRDefault="00EB7809" w:rsidP="002E2327">
          <w:pPr>
            <w:keepNext/>
            <w:keepLines/>
            <w:tabs>
              <w:tab w:val="left" w:pos="-1440"/>
              <w:tab w:val="left" w:pos="-720"/>
            </w:tabs>
            <w:jc w:val="center"/>
            <w:rPr>
              <w:sz w:val="20"/>
              <w:szCs w:val="20"/>
            </w:rPr>
          </w:pPr>
        </w:p>
        <w:p w:rsidR="00EB7809" w:rsidRPr="0044776A" w:rsidRDefault="00EB7809" w:rsidP="002E2327">
          <w:pPr>
            <w:keepNext/>
            <w:keepLines/>
            <w:tabs>
              <w:tab w:val="left" w:pos="-1440"/>
              <w:tab w:val="left" w:pos="-720"/>
            </w:tabs>
            <w:jc w:val="center"/>
            <w:rPr>
              <w:sz w:val="20"/>
              <w:szCs w:val="20"/>
            </w:rPr>
          </w:pPr>
        </w:p>
      </w:tc>
      <w:tc>
        <w:tcPr>
          <w:tcW w:w="4320" w:type="dxa"/>
          <w:tcMar>
            <w:left w:w="0" w:type="dxa"/>
            <w:right w:w="0" w:type="dxa"/>
          </w:tcMar>
        </w:tcPr>
        <w:p w:rsidR="00EB7809" w:rsidRPr="0044776A" w:rsidRDefault="00EB7809" w:rsidP="002E2327">
          <w:pPr>
            <w:keepLines/>
            <w:rPr>
              <w:sz w:val="20"/>
              <w:szCs w:val="20"/>
              <w:lang w:val="fr-CA"/>
            </w:rPr>
          </w:pPr>
          <w:r w:rsidRPr="0044776A">
            <w:rPr>
              <w:sz w:val="20"/>
              <w:szCs w:val="20"/>
              <w:lang w:val="fr-CA"/>
            </w:rPr>
            <w:t>DEMANDES D'AUTORISATION D'APPEL DÉPOSÉES</w:t>
          </w:r>
        </w:p>
      </w:tc>
    </w:tr>
  </w:tbl>
  <w:p w:rsidR="00EB7809" w:rsidRDefault="00EB780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9" w:rsidRDefault="00EB780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EB7809" w:rsidRPr="005252ED" w:rsidTr="00245129">
      <w:tc>
        <w:tcPr>
          <w:tcW w:w="4200" w:type="dxa"/>
          <w:tcMar>
            <w:left w:w="0" w:type="dxa"/>
            <w:right w:w="0" w:type="dxa"/>
          </w:tcMar>
        </w:tcPr>
        <w:p w:rsidR="00EB7809" w:rsidRPr="0044776A" w:rsidRDefault="00EB7809" w:rsidP="0044776A">
          <w:pPr>
            <w:keepNext/>
            <w:keepLines/>
            <w:widowControl w:val="0"/>
            <w:rPr>
              <w:sz w:val="20"/>
              <w:szCs w:val="20"/>
            </w:rPr>
          </w:pPr>
          <w:r>
            <w:rPr>
              <w:sz w:val="20"/>
              <w:szCs w:val="20"/>
            </w:rPr>
            <w:t>APPLICATIONS FOR LEAVE</w:t>
          </w:r>
        </w:p>
        <w:p w:rsidR="00EB7809" w:rsidRPr="0044776A" w:rsidRDefault="00EB7809"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EB7809" w:rsidRPr="0044776A" w:rsidRDefault="00EB7809" w:rsidP="0044776A">
          <w:pPr>
            <w:keepNext/>
            <w:keepLines/>
            <w:widowControl w:val="0"/>
            <w:jc w:val="center"/>
            <w:rPr>
              <w:sz w:val="20"/>
              <w:szCs w:val="20"/>
            </w:rPr>
          </w:pPr>
        </w:p>
        <w:p w:rsidR="00EB7809" w:rsidRPr="0044776A" w:rsidRDefault="00EB7809" w:rsidP="0044776A">
          <w:pPr>
            <w:keepNext/>
            <w:keepLines/>
            <w:widowControl w:val="0"/>
            <w:jc w:val="center"/>
            <w:rPr>
              <w:sz w:val="20"/>
              <w:szCs w:val="20"/>
            </w:rPr>
          </w:pPr>
        </w:p>
        <w:p w:rsidR="00EB7809" w:rsidRPr="0044776A" w:rsidRDefault="00EB7809" w:rsidP="0044776A">
          <w:pPr>
            <w:keepNext/>
            <w:keepLines/>
            <w:widowControl w:val="0"/>
            <w:jc w:val="center"/>
            <w:rPr>
              <w:sz w:val="20"/>
              <w:szCs w:val="20"/>
            </w:rPr>
          </w:pPr>
        </w:p>
      </w:tc>
      <w:tc>
        <w:tcPr>
          <w:tcW w:w="4080" w:type="dxa"/>
          <w:tcMar>
            <w:left w:w="0" w:type="dxa"/>
            <w:right w:w="0" w:type="dxa"/>
          </w:tcMar>
        </w:tcPr>
        <w:p w:rsidR="00EB7809" w:rsidRPr="0044776A" w:rsidRDefault="00EB7809" w:rsidP="0044776A">
          <w:pPr>
            <w:keepLines/>
            <w:widowControl w:val="0"/>
            <w:rPr>
              <w:sz w:val="20"/>
              <w:szCs w:val="20"/>
              <w:lang w:val="fr-CA"/>
            </w:rPr>
          </w:pPr>
          <w:r w:rsidRPr="0044776A">
            <w:rPr>
              <w:sz w:val="20"/>
              <w:szCs w:val="20"/>
              <w:lang w:val="fr-CA"/>
            </w:rPr>
            <w:t>DEMANDES SOUMISES À LA COUR DEPUIS LA DERNIÈRE PARUTION</w:t>
          </w:r>
        </w:p>
        <w:p w:rsidR="00EB7809" w:rsidRPr="0044776A" w:rsidRDefault="00EB7809" w:rsidP="0044776A">
          <w:pPr>
            <w:widowControl w:val="0"/>
            <w:rPr>
              <w:sz w:val="20"/>
              <w:szCs w:val="20"/>
              <w:lang w:val="fr-CA"/>
            </w:rPr>
          </w:pPr>
        </w:p>
      </w:tc>
    </w:tr>
  </w:tbl>
  <w:p w:rsidR="00EB7809" w:rsidRPr="002E2327" w:rsidRDefault="00EB7809">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9" w:rsidRDefault="00EB7809">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EB7809" w:rsidRPr="005252ED">
      <w:tc>
        <w:tcPr>
          <w:tcW w:w="4200" w:type="dxa"/>
          <w:tcMar>
            <w:left w:w="0" w:type="dxa"/>
            <w:right w:w="0" w:type="dxa"/>
          </w:tcMar>
        </w:tcPr>
        <w:p w:rsidR="00EB7809" w:rsidRDefault="00EB7809">
          <w:pPr>
            <w:keepNext/>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r>
            <w:rPr>
              <w:rFonts w:ascii="Times New" w:hAnsi="Times New"/>
            </w:rPr>
            <w:t>ORAL HEARING ON APPLICATIONS FOR LEAVE</w:t>
          </w:r>
        </w:p>
      </w:tc>
      <w:tc>
        <w:tcPr>
          <w:tcW w:w="1200" w:type="dxa"/>
          <w:tcMar>
            <w:left w:w="0" w:type="dxa"/>
            <w:right w:w="0" w:type="dxa"/>
          </w:tcMar>
        </w:tcPr>
        <w:p w:rsidR="00EB7809" w:rsidRDefault="00EB7809">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p>
      </w:tc>
      <w:tc>
        <w:tcPr>
          <w:tcW w:w="4080" w:type="dxa"/>
          <w:tcMar>
            <w:left w:w="0" w:type="dxa"/>
            <w:right w:w="0" w:type="dxa"/>
          </w:tcMar>
        </w:tcPr>
        <w:p w:rsidR="00EB7809" w:rsidRPr="008D6812" w:rsidRDefault="00EB7809">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lang w:val="fr-CA"/>
            </w:rPr>
          </w:pPr>
          <w:r w:rsidRPr="008D6812">
            <w:rPr>
              <w:rFonts w:ascii="Times New" w:hAnsi="Times New"/>
              <w:lang w:val="fr-CA"/>
            </w:rPr>
            <w:t xml:space="preserve">AUDIENCE SUR LES DEMANDES D’AUTORISATION </w:t>
          </w:r>
        </w:p>
      </w:tc>
    </w:tr>
  </w:tbl>
  <w:p w:rsidR="00EB7809" w:rsidRPr="008D6812" w:rsidRDefault="00EB7809">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EB7809" w:rsidRPr="008D6812" w:rsidRDefault="00EB7809">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EB7809" w:rsidRPr="005252ED" w:rsidTr="00245129">
      <w:tc>
        <w:tcPr>
          <w:tcW w:w="4200" w:type="dxa"/>
          <w:tcMar>
            <w:left w:w="0" w:type="dxa"/>
            <w:right w:w="0" w:type="dxa"/>
          </w:tcMar>
        </w:tcPr>
        <w:p w:rsidR="00EB7809" w:rsidRPr="00755F22" w:rsidRDefault="00EB7809" w:rsidP="00432989">
          <w:pPr>
            <w:rPr>
              <w:sz w:val="20"/>
              <w:szCs w:val="20"/>
            </w:rPr>
          </w:pPr>
          <w:r w:rsidRPr="00755F22">
            <w:rPr>
              <w:sz w:val="20"/>
              <w:szCs w:val="20"/>
            </w:rPr>
            <w:t>ORAL HEARING ON APPLICATIONS FOR LEAVE</w:t>
          </w:r>
        </w:p>
      </w:tc>
      <w:tc>
        <w:tcPr>
          <w:tcW w:w="1200" w:type="dxa"/>
          <w:tcMar>
            <w:left w:w="0" w:type="dxa"/>
            <w:right w:w="0" w:type="dxa"/>
          </w:tcMar>
        </w:tcPr>
        <w:p w:rsidR="00EB7809" w:rsidRDefault="00EB7809" w:rsidP="008D292F">
          <w:pPr>
            <w:jc w:val="center"/>
            <w:rPr>
              <w:sz w:val="20"/>
              <w:szCs w:val="20"/>
            </w:rPr>
          </w:pPr>
        </w:p>
        <w:p w:rsidR="00EB7809" w:rsidRDefault="00EB7809" w:rsidP="008D292F">
          <w:pPr>
            <w:jc w:val="center"/>
            <w:rPr>
              <w:sz w:val="20"/>
              <w:szCs w:val="20"/>
            </w:rPr>
          </w:pPr>
        </w:p>
        <w:p w:rsidR="00EB7809" w:rsidRPr="00755F22" w:rsidRDefault="00EB7809" w:rsidP="008D292F">
          <w:pPr>
            <w:jc w:val="center"/>
            <w:rPr>
              <w:sz w:val="20"/>
              <w:szCs w:val="20"/>
            </w:rPr>
          </w:pPr>
        </w:p>
      </w:tc>
      <w:tc>
        <w:tcPr>
          <w:tcW w:w="4080" w:type="dxa"/>
          <w:tcMar>
            <w:left w:w="0" w:type="dxa"/>
            <w:right w:w="0" w:type="dxa"/>
          </w:tcMar>
        </w:tcPr>
        <w:p w:rsidR="00EB7809" w:rsidRPr="00755F22" w:rsidRDefault="00EB7809" w:rsidP="00432989">
          <w:pPr>
            <w:rPr>
              <w:sz w:val="20"/>
              <w:szCs w:val="20"/>
              <w:lang w:val="fr-CA"/>
            </w:rPr>
          </w:pPr>
          <w:r w:rsidRPr="00755F22">
            <w:rPr>
              <w:sz w:val="20"/>
              <w:szCs w:val="20"/>
              <w:lang w:val="fr-CA"/>
            </w:rPr>
            <w:t xml:space="preserve">AUDIENCE SUR LES DEMANDES D’AUTORISATION </w:t>
          </w:r>
        </w:p>
      </w:tc>
    </w:tr>
  </w:tbl>
  <w:p w:rsidR="00EB7809" w:rsidRPr="008D6812" w:rsidRDefault="00EB7809">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EB7809" w:rsidRPr="008D6812" w:rsidRDefault="00EB7809">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D305E"/>
    <w:multiLevelType w:val="hybridMultilevel"/>
    <w:tmpl w:val="A7364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61722"/>
    <w:multiLevelType w:val="hybridMultilevel"/>
    <w:tmpl w:val="AB86C582"/>
    <w:lvl w:ilvl="0" w:tplc="0BCCE9CA">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defaultTabStop w:val="1440"/>
  <w:drawingGridHorizontalSpacing w:val="120"/>
  <w:displayHorizontalDrawingGridEvery w:val="2"/>
  <w:characterSpacingControl w:val="doNotCompress"/>
  <w:hdrShapeDefaults>
    <o:shapedefaults v:ext="edit" spidmax="34829"/>
  </w:hdrShapeDefaults>
  <w:footnotePr>
    <w:footnote w:id="-1"/>
    <w:footnote w:id="0"/>
  </w:footnotePr>
  <w:endnotePr>
    <w:endnote w:id="-1"/>
    <w:endnote w:id="0"/>
  </w:endnotePr>
  <w:compat/>
  <w:rsids>
    <w:rsidRoot w:val="00A82CFE"/>
    <w:rsid w:val="00002663"/>
    <w:rsid w:val="000302AC"/>
    <w:rsid w:val="0003223B"/>
    <w:rsid w:val="000327B2"/>
    <w:rsid w:val="000424C5"/>
    <w:rsid w:val="00042EA6"/>
    <w:rsid w:val="00096BD9"/>
    <w:rsid w:val="000B3C9A"/>
    <w:rsid w:val="000B40A2"/>
    <w:rsid w:val="000B4624"/>
    <w:rsid w:val="000B7DF4"/>
    <w:rsid w:val="000C0ACD"/>
    <w:rsid w:val="000F28D1"/>
    <w:rsid w:val="000F4812"/>
    <w:rsid w:val="00102926"/>
    <w:rsid w:val="0010587F"/>
    <w:rsid w:val="00111C6B"/>
    <w:rsid w:val="00112C0F"/>
    <w:rsid w:val="0012102B"/>
    <w:rsid w:val="0013369E"/>
    <w:rsid w:val="001541DC"/>
    <w:rsid w:val="0015529C"/>
    <w:rsid w:val="00164E6D"/>
    <w:rsid w:val="0017770A"/>
    <w:rsid w:val="00182C2E"/>
    <w:rsid w:val="001B157C"/>
    <w:rsid w:val="001B5C23"/>
    <w:rsid w:val="001D0D5F"/>
    <w:rsid w:val="001D6B8C"/>
    <w:rsid w:val="001F1F83"/>
    <w:rsid w:val="002021A9"/>
    <w:rsid w:val="002043AD"/>
    <w:rsid w:val="002139A7"/>
    <w:rsid w:val="00215E80"/>
    <w:rsid w:val="00215F6E"/>
    <w:rsid w:val="00215F7C"/>
    <w:rsid w:val="0022323B"/>
    <w:rsid w:val="00226342"/>
    <w:rsid w:val="00235A4D"/>
    <w:rsid w:val="002410B8"/>
    <w:rsid w:val="00242AEE"/>
    <w:rsid w:val="00245129"/>
    <w:rsid w:val="00245879"/>
    <w:rsid w:val="00267FD5"/>
    <w:rsid w:val="002868D0"/>
    <w:rsid w:val="00287C50"/>
    <w:rsid w:val="002A27D1"/>
    <w:rsid w:val="002A4AFA"/>
    <w:rsid w:val="002B3BCC"/>
    <w:rsid w:val="002B516C"/>
    <w:rsid w:val="002D72EB"/>
    <w:rsid w:val="002E2327"/>
    <w:rsid w:val="002E3583"/>
    <w:rsid w:val="002E5576"/>
    <w:rsid w:val="00331B52"/>
    <w:rsid w:val="003359D3"/>
    <w:rsid w:val="00337DF5"/>
    <w:rsid w:val="00354361"/>
    <w:rsid w:val="00355967"/>
    <w:rsid w:val="00382C47"/>
    <w:rsid w:val="00384384"/>
    <w:rsid w:val="003866AE"/>
    <w:rsid w:val="00386D20"/>
    <w:rsid w:val="003B3977"/>
    <w:rsid w:val="003C05B9"/>
    <w:rsid w:val="00402685"/>
    <w:rsid w:val="00432989"/>
    <w:rsid w:val="004406EE"/>
    <w:rsid w:val="00440E24"/>
    <w:rsid w:val="0044776A"/>
    <w:rsid w:val="00460AFC"/>
    <w:rsid w:val="0047471F"/>
    <w:rsid w:val="00493CD2"/>
    <w:rsid w:val="004B195E"/>
    <w:rsid w:val="004B66B4"/>
    <w:rsid w:val="004B7F60"/>
    <w:rsid w:val="004C1AAC"/>
    <w:rsid w:val="004E60C9"/>
    <w:rsid w:val="004F090E"/>
    <w:rsid w:val="005252ED"/>
    <w:rsid w:val="00527CC7"/>
    <w:rsid w:val="00571CA4"/>
    <w:rsid w:val="00582136"/>
    <w:rsid w:val="005B4990"/>
    <w:rsid w:val="005C6840"/>
    <w:rsid w:val="005F263E"/>
    <w:rsid w:val="00600252"/>
    <w:rsid w:val="0060058F"/>
    <w:rsid w:val="006051CD"/>
    <w:rsid w:val="00607144"/>
    <w:rsid w:val="00610A5E"/>
    <w:rsid w:val="00612A40"/>
    <w:rsid w:val="006349E9"/>
    <w:rsid w:val="00652654"/>
    <w:rsid w:val="00675479"/>
    <w:rsid w:val="00684171"/>
    <w:rsid w:val="00696BF9"/>
    <w:rsid w:val="00697C62"/>
    <w:rsid w:val="006A329B"/>
    <w:rsid w:val="006A7EB8"/>
    <w:rsid w:val="006B32DA"/>
    <w:rsid w:val="006B6926"/>
    <w:rsid w:val="006C3F47"/>
    <w:rsid w:val="006C5F7A"/>
    <w:rsid w:val="006D2D47"/>
    <w:rsid w:val="006E06AF"/>
    <w:rsid w:val="006F350F"/>
    <w:rsid w:val="007140C8"/>
    <w:rsid w:val="0072677B"/>
    <w:rsid w:val="00732DB7"/>
    <w:rsid w:val="0074238B"/>
    <w:rsid w:val="00745EF7"/>
    <w:rsid w:val="00755F22"/>
    <w:rsid w:val="00756CD6"/>
    <w:rsid w:val="00762825"/>
    <w:rsid w:val="00766E4A"/>
    <w:rsid w:val="00770994"/>
    <w:rsid w:val="00772FC1"/>
    <w:rsid w:val="007820CE"/>
    <w:rsid w:val="00782AE4"/>
    <w:rsid w:val="0079724F"/>
    <w:rsid w:val="007A05FC"/>
    <w:rsid w:val="007A3EAE"/>
    <w:rsid w:val="007C04FC"/>
    <w:rsid w:val="007D3E0F"/>
    <w:rsid w:val="007D6FCA"/>
    <w:rsid w:val="007F387B"/>
    <w:rsid w:val="00802863"/>
    <w:rsid w:val="00815B3C"/>
    <w:rsid w:val="0082692F"/>
    <w:rsid w:val="0082783A"/>
    <w:rsid w:val="00831CA9"/>
    <w:rsid w:val="00850E1F"/>
    <w:rsid w:val="008529D7"/>
    <w:rsid w:val="00853E63"/>
    <w:rsid w:val="0085476B"/>
    <w:rsid w:val="0088239E"/>
    <w:rsid w:val="00890FEB"/>
    <w:rsid w:val="008925F4"/>
    <w:rsid w:val="00894F86"/>
    <w:rsid w:val="008C618D"/>
    <w:rsid w:val="008D292F"/>
    <w:rsid w:val="008E03DC"/>
    <w:rsid w:val="008F0107"/>
    <w:rsid w:val="008F0964"/>
    <w:rsid w:val="00901AC0"/>
    <w:rsid w:val="0091635C"/>
    <w:rsid w:val="00924065"/>
    <w:rsid w:val="00930D68"/>
    <w:rsid w:val="00932DB4"/>
    <w:rsid w:val="00941A4B"/>
    <w:rsid w:val="00946242"/>
    <w:rsid w:val="00946397"/>
    <w:rsid w:val="0095096B"/>
    <w:rsid w:val="00970CD3"/>
    <w:rsid w:val="009723FA"/>
    <w:rsid w:val="00982DC9"/>
    <w:rsid w:val="00984546"/>
    <w:rsid w:val="00996510"/>
    <w:rsid w:val="009971F7"/>
    <w:rsid w:val="009D1F15"/>
    <w:rsid w:val="009D555E"/>
    <w:rsid w:val="009F3024"/>
    <w:rsid w:val="00A0355E"/>
    <w:rsid w:val="00A375D1"/>
    <w:rsid w:val="00A50FB9"/>
    <w:rsid w:val="00A51D10"/>
    <w:rsid w:val="00A52A83"/>
    <w:rsid w:val="00A6552C"/>
    <w:rsid w:val="00A82CFE"/>
    <w:rsid w:val="00A87207"/>
    <w:rsid w:val="00A935AA"/>
    <w:rsid w:val="00AB2201"/>
    <w:rsid w:val="00AB3CF5"/>
    <w:rsid w:val="00AC556C"/>
    <w:rsid w:val="00AD3259"/>
    <w:rsid w:val="00AF1715"/>
    <w:rsid w:val="00AF3904"/>
    <w:rsid w:val="00B010C0"/>
    <w:rsid w:val="00B4740D"/>
    <w:rsid w:val="00B61629"/>
    <w:rsid w:val="00B7374B"/>
    <w:rsid w:val="00B90DC0"/>
    <w:rsid w:val="00B95449"/>
    <w:rsid w:val="00BA116A"/>
    <w:rsid w:val="00BA3F6C"/>
    <w:rsid w:val="00BA5582"/>
    <w:rsid w:val="00BA6468"/>
    <w:rsid w:val="00BD06DA"/>
    <w:rsid w:val="00BD4217"/>
    <w:rsid w:val="00BF25F3"/>
    <w:rsid w:val="00C06ECE"/>
    <w:rsid w:val="00C1697B"/>
    <w:rsid w:val="00C21CB5"/>
    <w:rsid w:val="00C50A5C"/>
    <w:rsid w:val="00C50FDF"/>
    <w:rsid w:val="00C520BB"/>
    <w:rsid w:val="00C63381"/>
    <w:rsid w:val="00C73D06"/>
    <w:rsid w:val="00C73E1B"/>
    <w:rsid w:val="00C759B4"/>
    <w:rsid w:val="00C77713"/>
    <w:rsid w:val="00C90BA9"/>
    <w:rsid w:val="00CB43D5"/>
    <w:rsid w:val="00CC4D84"/>
    <w:rsid w:val="00CE198A"/>
    <w:rsid w:val="00D504A6"/>
    <w:rsid w:val="00D64901"/>
    <w:rsid w:val="00D70C77"/>
    <w:rsid w:val="00D76BDF"/>
    <w:rsid w:val="00D862C1"/>
    <w:rsid w:val="00D90288"/>
    <w:rsid w:val="00D913D0"/>
    <w:rsid w:val="00D93B50"/>
    <w:rsid w:val="00D94670"/>
    <w:rsid w:val="00DA46F6"/>
    <w:rsid w:val="00DB47E3"/>
    <w:rsid w:val="00DD0B49"/>
    <w:rsid w:val="00DE12D9"/>
    <w:rsid w:val="00DF7E92"/>
    <w:rsid w:val="00E00F1D"/>
    <w:rsid w:val="00E06DFA"/>
    <w:rsid w:val="00E20A0A"/>
    <w:rsid w:val="00E34A7A"/>
    <w:rsid w:val="00E356C7"/>
    <w:rsid w:val="00E45FE4"/>
    <w:rsid w:val="00E64FA7"/>
    <w:rsid w:val="00E770CB"/>
    <w:rsid w:val="00E903A1"/>
    <w:rsid w:val="00E940EB"/>
    <w:rsid w:val="00EB2B90"/>
    <w:rsid w:val="00EB7809"/>
    <w:rsid w:val="00ED7E83"/>
    <w:rsid w:val="00EE2EDD"/>
    <w:rsid w:val="00EE6C8B"/>
    <w:rsid w:val="00EE780D"/>
    <w:rsid w:val="00EF4B63"/>
    <w:rsid w:val="00F0068D"/>
    <w:rsid w:val="00F038A3"/>
    <w:rsid w:val="00F0576D"/>
    <w:rsid w:val="00F14E6D"/>
    <w:rsid w:val="00F15EA8"/>
    <w:rsid w:val="00F16C8D"/>
    <w:rsid w:val="00F26C61"/>
    <w:rsid w:val="00F33CCE"/>
    <w:rsid w:val="00F40249"/>
    <w:rsid w:val="00F526C8"/>
    <w:rsid w:val="00F80D6D"/>
    <w:rsid w:val="00F9272D"/>
    <w:rsid w:val="00F9518C"/>
    <w:rsid w:val="00FA316E"/>
    <w:rsid w:val="00FA59EF"/>
    <w:rsid w:val="00FA5AA2"/>
    <w:rsid w:val="00FB19A2"/>
    <w:rsid w:val="00FC1525"/>
    <w:rsid w:val="00FE06CA"/>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AppellantInfoAppellantInfo">
    <w:name w:val="SCC.AppellantInfo.AppellantInfo"/>
    <w:basedOn w:val="Normal"/>
    <w:next w:val="Normal"/>
    <w:link w:val="SCCAppellantInfoAppellantInfoChar"/>
    <w:rsid w:val="00002663"/>
    <w:rPr>
      <w:szCs w:val="24"/>
    </w:rPr>
  </w:style>
  <w:style w:type="character" w:customStyle="1" w:styleId="SCCAppellantInfoAppellantInfoChar">
    <w:name w:val="SCC.AppellantInfo.AppellantInfo Char"/>
    <w:basedOn w:val="DefaultParagraphFont"/>
    <w:link w:val="SCCAppellantInfoAppellantInfo"/>
    <w:rsid w:val="00002663"/>
    <w:rPr>
      <w:szCs w:val="24"/>
      <w:lang w:val="en-CA"/>
    </w:rPr>
  </w:style>
  <w:style w:type="paragraph" w:styleId="BalloonText">
    <w:name w:val="Balloon Text"/>
    <w:basedOn w:val="Normal"/>
    <w:link w:val="BalloonTextChar"/>
    <w:uiPriority w:val="99"/>
    <w:semiHidden/>
    <w:unhideWhenUsed/>
    <w:rsid w:val="00772FC1"/>
    <w:rPr>
      <w:rFonts w:ascii="Tahoma" w:hAnsi="Tahoma" w:cs="Tahoma"/>
      <w:sz w:val="16"/>
      <w:szCs w:val="16"/>
    </w:rPr>
  </w:style>
  <w:style w:type="character" w:customStyle="1" w:styleId="BalloonTextChar">
    <w:name w:val="Balloon Text Char"/>
    <w:basedOn w:val="DefaultParagraphFont"/>
    <w:link w:val="BalloonText"/>
    <w:uiPriority w:val="99"/>
    <w:semiHidden/>
    <w:rsid w:val="00772FC1"/>
    <w:rPr>
      <w:rFonts w:ascii="Tahoma" w:hAnsi="Tahoma" w:cs="Tahoma"/>
      <w:sz w:val="16"/>
      <w:szCs w:val="16"/>
      <w:lang w:val="en-CA"/>
    </w:rPr>
  </w:style>
  <w:style w:type="paragraph" w:customStyle="1" w:styleId="SCCLsocParty">
    <w:name w:val="SCC.Lsoc.Party"/>
    <w:basedOn w:val="Normal"/>
    <w:next w:val="Normal"/>
    <w:link w:val="SCCLsocPartyChar"/>
    <w:rsid w:val="00982DC9"/>
    <w:pPr>
      <w:jc w:val="center"/>
    </w:pPr>
    <w:rPr>
      <w:rFonts w:eastAsia="Calibri" w:cs="Times New Roman"/>
      <w:lang w:val="fr-CA"/>
    </w:rPr>
  </w:style>
  <w:style w:type="character" w:customStyle="1" w:styleId="SCCLsocPartyChar">
    <w:name w:val="SCC.Lsoc.Party Char"/>
    <w:basedOn w:val="DefaultParagraphFont"/>
    <w:link w:val="SCCLsocParty"/>
    <w:rsid w:val="00982DC9"/>
    <w:rPr>
      <w:rFonts w:eastAsia="Calibri" w:cs="Times New Roman"/>
      <w:lang w:val="fr-CA"/>
    </w:rPr>
  </w:style>
  <w:style w:type="table" w:customStyle="1" w:styleId="TableGrid1">
    <w:name w:val="Table Grid1"/>
    <w:basedOn w:val="TableNormal"/>
    <w:next w:val="TableGrid"/>
    <w:uiPriority w:val="59"/>
    <w:rsid w:val="00DF7E92"/>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F7E92"/>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F7E92"/>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F7E92"/>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34A7A"/>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34A7A"/>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321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8" Type="http://schemas.openxmlformats.org/officeDocument/2006/relationships/hyperlink" Target="http://www.scc-csc.gc.ca"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7975</Words>
  <Characters>45458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2012-06-20T17:07:00Z</dcterms:created>
  <dcterms:modified xsi:type="dcterms:W3CDTF">2012-06-22T17:46:00Z</dcterms:modified>
</cp:coreProperties>
</file>